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0"/>
        <w:rPr>
          <w:rFonts w:ascii="方正小标宋简体" w:hAnsi="宋体" w:eastAsia="方正小标宋简体"/>
          <w:color w:val="000000"/>
          <w:sz w:val="72"/>
          <w:szCs w:val="72"/>
        </w:rPr>
      </w:pPr>
      <w:bookmarkStart w:id="0" w:name="_Toc15306267"/>
    </w:p>
    <w:p>
      <w:pPr>
        <w:spacing w:line="600" w:lineRule="exact"/>
        <w:jc w:val="center"/>
        <w:outlineLvl w:val="0"/>
        <w:rPr>
          <w:rFonts w:ascii="方正小标宋简体" w:hAnsi="宋体" w:eastAsia="方正小标宋简体"/>
          <w:color w:val="000000"/>
          <w:sz w:val="72"/>
          <w:szCs w:val="72"/>
        </w:rPr>
      </w:pPr>
    </w:p>
    <w:p>
      <w:pPr>
        <w:spacing w:line="600" w:lineRule="exact"/>
        <w:jc w:val="center"/>
        <w:outlineLvl w:val="0"/>
        <w:rPr>
          <w:rFonts w:ascii="方正小标宋简体" w:hAnsi="宋体" w:eastAsia="方正小标宋简体"/>
          <w:color w:val="000000"/>
          <w:sz w:val="72"/>
          <w:szCs w:val="72"/>
        </w:rPr>
      </w:pPr>
    </w:p>
    <w:p>
      <w:pPr>
        <w:spacing w:line="600" w:lineRule="exact"/>
        <w:jc w:val="center"/>
        <w:outlineLvl w:val="0"/>
        <w:rPr>
          <w:rFonts w:ascii="方正小标宋简体" w:hAnsi="宋体" w:eastAsia="方正小标宋简体"/>
          <w:color w:val="000000"/>
          <w:sz w:val="72"/>
          <w:szCs w:val="72"/>
        </w:rPr>
      </w:pPr>
    </w:p>
    <w:p>
      <w:pPr>
        <w:adjustRightInd w:val="0"/>
        <w:snapToGrid w:val="0"/>
        <w:spacing w:line="360" w:lineRule="auto"/>
        <w:jc w:val="center"/>
        <w:outlineLvl w:val="0"/>
        <w:rPr>
          <w:rFonts w:ascii="方正小标宋简体" w:hAnsi="宋体" w:eastAsia="方正小标宋简体"/>
          <w:color w:val="000000"/>
          <w:sz w:val="72"/>
          <w:szCs w:val="72"/>
        </w:rPr>
      </w:pPr>
      <w:bookmarkStart w:id="1" w:name="_Toc15377193"/>
      <w:bookmarkStart w:id="2" w:name="_Toc15378441"/>
      <w:bookmarkStart w:id="3" w:name="_Toc15396475"/>
      <w:bookmarkStart w:id="4" w:name="_Toc15377425"/>
      <w:bookmarkStart w:id="5" w:name="_Toc15396597"/>
      <w:r>
        <w:rPr>
          <w:rFonts w:ascii="黑体" w:hAnsi="黑体" w:eastAsia="黑体"/>
          <w:color w:val="000000"/>
          <w:sz w:val="72"/>
          <w:szCs w:val="72"/>
        </w:rPr>
        <w:t>20</w:t>
      </w:r>
      <w:r>
        <w:rPr>
          <w:rFonts w:hint="eastAsia" w:ascii="黑体" w:hAnsi="黑体" w:eastAsia="黑体"/>
          <w:color w:val="000000"/>
          <w:sz w:val="72"/>
          <w:szCs w:val="72"/>
        </w:rPr>
        <w:t>2</w:t>
      </w:r>
      <w:r>
        <w:rPr>
          <w:rFonts w:hint="eastAsia" w:ascii="黑体" w:hAnsi="黑体" w:eastAsia="黑体"/>
          <w:color w:val="000000"/>
          <w:sz w:val="72"/>
          <w:szCs w:val="72"/>
          <w:lang w:val="en-US" w:eastAsia="zh-CN"/>
        </w:rPr>
        <w:t>1</w:t>
      </w:r>
      <w:r>
        <w:rPr>
          <w:rFonts w:hint="eastAsia" w:ascii="方正小标宋简体" w:hAnsi="宋体" w:eastAsia="方正小标宋简体"/>
          <w:color w:val="000000"/>
          <w:sz w:val="72"/>
          <w:szCs w:val="72"/>
        </w:rPr>
        <w:t>年度</w:t>
      </w:r>
      <w:bookmarkEnd w:id="1"/>
      <w:bookmarkEnd w:id="2"/>
      <w:bookmarkEnd w:id="3"/>
      <w:bookmarkEnd w:id="4"/>
      <w:bookmarkEnd w:id="5"/>
    </w:p>
    <w:p>
      <w:pPr>
        <w:adjustRightInd w:val="0"/>
        <w:snapToGrid w:val="0"/>
        <w:spacing w:line="360" w:lineRule="auto"/>
        <w:jc w:val="center"/>
        <w:outlineLvl w:val="0"/>
        <w:rPr>
          <w:rFonts w:ascii="方正小标宋简体" w:hAnsi="宋体" w:eastAsia="方正小标宋简体"/>
          <w:color w:val="000000"/>
          <w:sz w:val="72"/>
          <w:szCs w:val="72"/>
        </w:rPr>
      </w:pPr>
      <w:bookmarkStart w:id="6" w:name="_Toc15378442"/>
      <w:bookmarkStart w:id="7" w:name="_Toc15377194"/>
      <w:bookmarkStart w:id="8" w:name="_Toc15377426"/>
      <w:bookmarkStart w:id="9" w:name="_Toc15396598"/>
      <w:bookmarkStart w:id="10" w:name="_Toc15396476"/>
      <w:r>
        <w:rPr>
          <w:rFonts w:hint="eastAsia" w:ascii="方正小标宋简体" w:hAnsi="宋体" w:eastAsia="方正小标宋简体"/>
          <w:color w:val="000000"/>
          <w:sz w:val="72"/>
          <w:szCs w:val="72"/>
        </w:rPr>
        <w:t>四川省</w:t>
      </w:r>
      <w:bookmarkEnd w:id="0"/>
      <w:bookmarkStart w:id="11" w:name="_Toc15306268"/>
      <w:r>
        <w:rPr>
          <w:rFonts w:hint="eastAsia" w:ascii="方正小标宋简体" w:hAnsi="宋体" w:eastAsia="方正小标宋简体"/>
          <w:color w:val="000000"/>
          <w:sz w:val="72"/>
          <w:szCs w:val="72"/>
        </w:rPr>
        <w:t>乐山市峨眉山市河湖保护中心（本级）</w:t>
      </w:r>
    </w:p>
    <w:p>
      <w:pPr>
        <w:adjustRightInd w:val="0"/>
        <w:snapToGrid w:val="0"/>
        <w:spacing w:line="360" w:lineRule="auto"/>
        <w:jc w:val="center"/>
        <w:outlineLvl w:val="0"/>
        <w:rPr>
          <w:rFonts w:ascii="方正小标宋简体" w:hAnsi="宋体" w:eastAsia="方正小标宋简体"/>
          <w:color w:val="000000"/>
          <w:sz w:val="72"/>
          <w:szCs w:val="72"/>
        </w:rPr>
      </w:pPr>
      <w:r>
        <w:rPr>
          <w:rFonts w:hint="eastAsia" w:ascii="方正小标宋简体" w:hAnsi="宋体" w:eastAsia="方正小标宋简体"/>
          <w:color w:val="000000"/>
          <w:sz w:val="72"/>
          <w:szCs w:val="72"/>
        </w:rPr>
        <w:t>部门决算</w:t>
      </w:r>
      <w:bookmarkEnd w:id="6"/>
      <w:bookmarkEnd w:id="7"/>
      <w:bookmarkEnd w:id="8"/>
      <w:bookmarkEnd w:id="9"/>
      <w:bookmarkEnd w:id="10"/>
      <w:bookmarkEnd w:id="11"/>
    </w:p>
    <w:p>
      <w:pPr>
        <w:widowControl/>
        <w:jc w:val="center"/>
        <w:rPr>
          <w:rFonts w:ascii="黑体" w:hAnsi="黑体" w:eastAsia="黑体"/>
          <w:color w:val="000000"/>
          <w:sz w:val="48"/>
          <w:szCs w:val="48"/>
        </w:rPr>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pPr>
    </w:p>
    <w:p>
      <w:pPr>
        <w:widowControl/>
        <w:jc w:val="center"/>
        <w:rPr>
          <w:rFonts w:ascii="黑体" w:hAnsi="黑体" w:eastAsia="黑体"/>
          <w:color w:val="000000"/>
          <w:sz w:val="48"/>
          <w:szCs w:val="48"/>
        </w:rPr>
      </w:pPr>
      <w:r>
        <w:rPr>
          <w:rFonts w:hint="eastAsia" w:ascii="黑体" w:hAnsi="黑体" w:eastAsia="黑体"/>
          <w:color w:val="000000"/>
          <w:sz w:val="48"/>
          <w:szCs w:val="48"/>
        </w:rPr>
        <w:t>目录</w:t>
      </w:r>
    </w:p>
    <w:p>
      <w:pPr>
        <w:widowControl/>
        <w:jc w:val="center"/>
        <w:rPr>
          <w:rFonts w:ascii="黑体" w:hAnsi="黑体" w:eastAsia="黑体" w:cstheme="minorBidi"/>
          <w:sz w:val="28"/>
          <w:szCs w:val="28"/>
        </w:rPr>
      </w:pPr>
    </w:p>
    <w:p>
      <w:pPr>
        <w:pStyle w:val="11"/>
      </w:pPr>
      <w:r>
        <w:rPr>
          <w:rFonts w:hint="eastAsia"/>
        </w:rPr>
        <w:t>公开时间：202</w:t>
      </w:r>
      <w:r>
        <w:rPr>
          <w:rFonts w:hint="eastAsia"/>
          <w:lang w:val="en-US" w:eastAsia="zh-CN"/>
        </w:rPr>
        <w:t>1</w:t>
      </w:r>
      <w:r>
        <w:rPr>
          <w:rFonts w:hint="eastAsia"/>
        </w:rPr>
        <w:t>年</w:t>
      </w:r>
      <w:r>
        <w:rPr>
          <w:rFonts w:hint="eastAsia"/>
          <w:lang w:val="en-US" w:eastAsia="zh-CN"/>
        </w:rPr>
        <w:t>10</w:t>
      </w:r>
      <w:r>
        <w:rPr>
          <w:rFonts w:hint="eastAsia"/>
        </w:rPr>
        <w:t>月</w:t>
      </w:r>
      <w:r>
        <w:rPr>
          <w:rFonts w:hint="eastAsia"/>
          <w:lang w:val="en-US" w:eastAsia="zh-CN"/>
        </w:rPr>
        <w:t>20</w:t>
      </w:r>
      <w:r>
        <w:rPr>
          <w:rFonts w:hint="eastAsia"/>
        </w:rPr>
        <w:t>日</w:t>
      </w:r>
    </w:p>
    <w:p/>
    <w:p>
      <w:pPr>
        <w:pStyle w:val="11"/>
        <w:adjustRightInd w:val="0"/>
        <w:snapToGrid w:val="0"/>
        <w:spacing w:before="0" w:line="440" w:lineRule="exact"/>
        <w:jc w:val="left"/>
        <w:rPr>
          <w:rFonts w:cstheme="minorBidi"/>
          <w:sz w:val="24"/>
          <w:szCs w:val="24"/>
        </w:rPr>
      </w:pPr>
      <w:r>
        <w:rPr>
          <w:rFonts w:hint="eastAsia"/>
          <w:sz w:val="24"/>
        </w:rPr>
        <w:t>第一部分部门概况———————————————————————1</w:t>
      </w:r>
    </w:p>
    <w:p>
      <w:pPr>
        <w:pStyle w:val="12"/>
        <w:adjustRightInd w:val="0"/>
        <w:snapToGrid w:val="0"/>
        <w:spacing w:line="440" w:lineRule="exact"/>
        <w:jc w:val="left"/>
        <w:rPr>
          <w:rFonts w:ascii="仿宋" w:hAnsi="仿宋" w:eastAsia="仿宋"/>
          <w:sz w:val="24"/>
        </w:rPr>
      </w:pPr>
      <w:r>
        <w:rPr>
          <w:rFonts w:hint="eastAsia"/>
          <w:sz w:val="24"/>
        </w:rPr>
        <w:t>一、基本职能及主要工作———————————————————1</w:t>
      </w:r>
    </w:p>
    <w:p>
      <w:pPr>
        <w:pStyle w:val="12"/>
        <w:adjustRightInd w:val="0"/>
        <w:snapToGrid w:val="0"/>
        <w:spacing w:line="440" w:lineRule="exact"/>
        <w:jc w:val="left"/>
        <w:rPr>
          <w:rFonts w:ascii="仿宋" w:hAnsi="仿宋" w:eastAsia="仿宋" w:cstheme="minorBidi"/>
          <w:sz w:val="24"/>
        </w:rPr>
      </w:pPr>
      <w:r>
        <w:rPr>
          <w:rFonts w:hint="eastAsia"/>
          <w:sz w:val="24"/>
        </w:rPr>
        <w:t>二、机构设置————————————————————————2</w:t>
      </w:r>
    </w:p>
    <w:p>
      <w:pPr>
        <w:pStyle w:val="11"/>
        <w:adjustRightInd w:val="0"/>
        <w:snapToGrid w:val="0"/>
        <w:spacing w:before="0" w:line="440" w:lineRule="exact"/>
        <w:jc w:val="left"/>
        <w:rPr>
          <w:sz w:val="24"/>
          <w:szCs w:val="24"/>
        </w:rPr>
      </w:pPr>
      <w:r>
        <w:rPr>
          <w:rFonts w:hint="eastAsia"/>
          <w:sz w:val="24"/>
        </w:rPr>
        <w:t>第二部分度部门决算情况说明———————————————————3</w:t>
      </w:r>
    </w:p>
    <w:p>
      <w:pPr>
        <w:pStyle w:val="12"/>
        <w:adjustRightInd w:val="0"/>
        <w:snapToGrid w:val="0"/>
        <w:spacing w:line="440" w:lineRule="exact"/>
        <w:jc w:val="left"/>
        <w:rPr>
          <w:rFonts w:ascii="仿宋" w:hAnsi="仿宋" w:eastAsia="仿宋" w:cstheme="minorBidi"/>
          <w:sz w:val="24"/>
        </w:rPr>
      </w:pPr>
      <w:r>
        <w:rPr>
          <w:rFonts w:hint="eastAsia"/>
          <w:sz w:val="24"/>
        </w:rPr>
        <w:t>一、收入支出决算总体情况说明————————————————3</w:t>
      </w:r>
    </w:p>
    <w:p>
      <w:pPr>
        <w:pStyle w:val="12"/>
        <w:adjustRightInd w:val="0"/>
        <w:snapToGrid w:val="0"/>
        <w:spacing w:line="440" w:lineRule="exact"/>
        <w:jc w:val="left"/>
        <w:rPr>
          <w:rFonts w:ascii="仿宋" w:hAnsi="仿宋" w:eastAsia="仿宋" w:cstheme="minorBidi"/>
          <w:sz w:val="24"/>
        </w:rPr>
      </w:pPr>
      <w:r>
        <w:rPr>
          <w:rFonts w:hint="eastAsia"/>
          <w:sz w:val="24"/>
        </w:rPr>
        <w:t>二、收入决算情况说明————————————————————3</w:t>
      </w:r>
    </w:p>
    <w:p>
      <w:pPr>
        <w:pStyle w:val="12"/>
        <w:adjustRightInd w:val="0"/>
        <w:snapToGrid w:val="0"/>
        <w:spacing w:line="440" w:lineRule="exact"/>
        <w:jc w:val="left"/>
        <w:rPr>
          <w:rFonts w:ascii="仿宋" w:hAnsi="仿宋" w:eastAsia="仿宋" w:cstheme="minorBidi"/>
          <w:sz w:val="24"/>
        </w:rPr>
      </w:pPr>
      <w:r>
        <w:rPr>
          <w:rFonts w:hint="eastAsia"/>
          <w:sz w:val="24"/>
        </w:rPr>
        <w:t>三、支出决算情况说明————————————————————3</w:t>
      </w:r>
    </w:p>
    <w:p>
      <w:pPr>
        <w:pStyle w:val="12"/>
        <w:adjustRightInd w:val="0"/>
        <w:snapToGrid w:val="0"/>
        <w:spacing w:line="440" w:lineRule="exact"/>
        <w:jc w:val="left"/>
        <w:rPr>
          <w:rFonts w:ascii="仿宋" w:hAnsi="仿宋" w:eastAsia="仿宋" w:cstheme="minorBidi"/>
          <w:sz w:val="24"/>
        </w:rPr>
      </w:pPr>
      <w:r>
        <w:rPr>
          <w:rFonts w:hint="eastAsia"/>
          <w:sz w:val="24"/>
        </w:rPr>
        <w:t>四、财政拨款收入支出决算总体情况说明————————————3</w:t>
      </w:r>
    </w:p>
    <w:p>
      <w:pPr>
        <w:pStyle w:val="12"/>
        <w:adjustRightInd w:val="0"/>
        <w:snapToGrid w:val="0"/>
        <w:spacing w:line="440" w:lineRule="exact"/>
        <w:jc w:val="left"/>
        <w:rPr>
          <w:rFonts w:ascii="仿宋" w:hAnsi="仿宋" w:eastAsia="仿宋" w:cstheme="minorBidi"/>
          <w:sz w:val="24"/>
        </w:rPr>
      </w:pPr>
      <w:r>
        <w:rPr>
          <w:rFonts w:hint="eastAsia"/>
          <w:sz w:val="24"/>
        </w:rPr>
        <w:t>五、一般公共预算财政拨款支出决算情况说明——————————4</w:t>
      </w:r>
    </w:p>
    <w:p>
      <w:pPr>
        <w:pStyle w:val="12"/>
        <w:adjustRightInd w:val="0"/>
        <w:snapToGrid w:val="0"/>
        <w:spacing w:line="440" w:lineRule="exact"/>
        <w:jc w:val="left"/>
        <w:rPr>
          <w:rFonts w:ascii="仿宋" w:hAnsi="仿宋" w:eastAsia="仿宋" w:cstheme="minorBidi"/>
          <w:sz w:val="24"/>
        </w:rPr>
      </w:pPr>
      <w:r>
        <w:rPr>
          <w:rFonts w:hint="eastAsia"/>
          <w:sz w:val="24"/>
        </w:rPr>
        <w:t>六、一般公共预算财政拨款基本支出决算情况说明————————5</w:t>
      </w:r>
    </w:p>
    <w:p>
      <w:pPr>
        <w:pStyle w:val="12"/>
        <w:adjustRightInd w:val="0"/>
        <w:snapToGrid w:val="0"/>
        <w:spacing w:line="440" w:lineRule="exact"/>
        <w:jc w:val="left"/>
        <w:rPr>
          <w:rFonts w:ascii="仿宋" w:hAnsi="仿宋" w:eastAsia="仿宋" w:cstheme="minorBidi"/>
          <w:sz w:val="24"/>
        </w:rPr>
      </w:pPr>
      <w:r>
        <w:rPr>
          <w:rFonts w:hint="eastAsia"/>
          <w:sz w:val="24"/>
        </w:rPr>
        <w:t>七、</w:t>
      </w:r>
      <w:r>
        <w:rPr>
          <w:sz w:val="24"/>
        </w:rPr>
        <w:t>“</w:t>
      </w:r>
      <w:r>
        <w:rPr>
          <w:rFonts w:hint="eastAsia"/>
          <w:sz w:val="24"/>
        </w:rPr>
        <w:t>三公”经费财政拨款支出决算情况说明——————————6</w:t>
      </w:r>
    </w:p>
    <w:p>
      <w:pPr>
        <w:pStyle w:val="12"/>
        <w:adjustRightInd w:val="0"/>
        <w:snapToGrid w:val="0"/>
        <w:spacing w:line="440" w:lineRule="exact"/>
        <w:jc w:val="left"/>
        <w:rPr>
          <w:rFonts w:ascii="仿宋" w:hAnsi="仿宋" w:eastAsia="仿宋" w:cstheme="minorBidi"/>
          <w:sz w:val="24"/>
        </w:rPr>
      </w:pPr>
      <w:r>
        <w:rPr>
          <w:rFonts w:hint="eastAsia"/>
          <w:sz w:val="24"/>
        </w:rPr>
        <w:t>八、政府性基金预算支出决算情况说明————————————7</w:t>
      </w:r>
    </w:p>
    <w:p>
      <w:pPr>
        <w:pStyle w:val="12"/>
        <w:adjustRightInd w:val="0"/>
        <w:snapToGrid w:val="0"/>
        <w:spacing w:line="440" w:lineRule="exact"/>
        <w:ind w:leftChars="0"/>
        <w:jc w:val="left"/>
        <w:rPr>
          <w:rFonts w:ascii="仿宋" w:hAnsi="仿宋" w:eastAsia="仿宋"/>
          <w:sz w:val="24"/>
        </w:rPr>
      </w:pPr>
      <w:r>
        <w:rPr>
          <w:rFonts w:hint="eastAsia" w:ascii="仿宋" w:hAnsi="仿宋" w:eastAsia="仿宋"/>
          <w:sz w:val="24"/>
        </w:rPr>
        <w:t>九、</w:t>
      </w:r>
      <w:r>
        <w:rPr>
          <w:sz w:val="24"/>
        </w:rPr>
        <w:t xml:space="preserve"> 国</w:t>
      </w:r>
      <w:r>
        <w:rPr>
          <w:rFonts w:hint="eastAsia"/>
          <w:sz w:val="24"/>
        </w:rPr>
        <w:t>有资本经营预算支出决算情况说明———————————7</w:t>
      </w:r>
    </w:p>
    <w:p>
      <w:pPr>
        <w:adjustRightInd w:val="0"/>
        <w:snapToGrid w:val="0"/>
        <w:spacing w:line="440" w:lineRule="exact"/>
        <w:ind w:firstLine="480" w:firstLineChars="200"/>
        <w:jc w:val="left"/>
        <w:rPr>
          <w:rFonts w:ascii="仿宋" w:hAnsi="仿宋" w:eastAsia="仿宋" w:cstheme="minorBidi"/>
          <w:sz w:val="24"/>
        </w:rPr>
      </w:pPr>
      <w:r>
        <w:rPr>
          <w:rStyle w:val="17"/>
          <w:rFonts w:hint="eastAsia" w:ascii="仿宋" w:hAnsi="仿宋" w:eastAsia="仿宋"/>
          <w:color w:val="000000" w:themeColor="text1"/>
          <w:sz w:val="24"/>
          <w:u w:val="none"/>
        </w:rPr>
        <w:t>十、</w:t>
      </w:r>
      <w:r>
        <w:rPr>
          <w:rFonts w:hint="eastAsia"/>
          <w:sz w:val="24"/>
        </w:rPr>
        <w:t>其他重要事项的情况说明————————————————7</w:t>
      </w:r>
    </w:p>
    <w:p>
      <w:pPr>
        <w:pStyle w:val="11"/>
        <w:adjustRightInd w:val="0"/>
        <w:snapToGrid w:val="0"/>
        <w:spacing w:before="0" w:line="440" w:lineRule="exact"/>
        <w:jc w:val="left"/>
        <w:rPr>
          <w:rFonts w:cstheme="minorBidi"/>
          <w:sz w:val="24"/>
          <w:szCs w:val="24"/>
        </w:rPr>
      </w:pPr>
      <w:r>
        <w:rPr>
          <w:rFonts w:hint="eastAsia"/>
          <w:sz w:val="24"/>
        </w:rPr>
        <w:t>第三部分名词解释———————————————————————17</w:t>
      </w:r>
    </w:p>
    <w:p>
      <w:pPr>
        <w:pStyle w:val="11"/>
        <w:adjustRightInd w:val="0"/>
        <w:snapToGrid w:val="0"/>
        <w:spacing w:before="0" w:line="440" w:lineRule="exact"/>
        <w:jc w:val="left"/>
        <w:rPr>
          <w:rFonts w:cstheme="minorBidi"/>
          <w:sz w:val="24"/>
          <w:szCs w:val="24"/>
        </w:rPr>
      </w:pPr>
      <w:r>
        <w:rPr>
          <w:rFonts w:hint="eastAsia"/>
          <w:sz w:val="24"/>
        </w:rPr>
        <w:t>第四部分附件—————————————————————————20</w:t>
      </w:r>
    </w:p>
    <w:p>
      <w:pPr>
        <w:pStyle w:val="12"/>
        <w:adjustRightInd w:val="0"/>
        <w:snapToGrid w:val="0"/>
        <w:spacing w:line="440" w:lineRule="exact"/>
        <w:jc w:val="left"/>
        <w:rPr>
          <w:rFonts w:hint="eastAsia"/>
          <w:sz w:val="24"/>
        </w:rPr>
      </w:pPr>
      <w:r>
        <w:rPr>
          <w:rFonts w:hint="eastAsia"/>
          <w:sz w:val="24"/>
        </w:rPr>
        <w:t>附件</w:t>
      </w:r>
      <w:r>
        <w:rPr>
          <w:sz w:val="24"/>
        </w:rPr>
        <w:t>1</w:t>
      </w:r>
      <w:r>
        <w:rPr>
          <w:rFonts w:hint="eastAsia"/>
          <w:sz w:val="24"/>
        </w:rPr>
        <w:t>———————————————————————————21</w:t>
      </w:r>
    </w:p>
    <w:p>
      <w:pPr>
        <w:pStyle w:val="12"/>
        <w:adjustRightInd w:val="0"/>
        <w:snapToGrid w:val="0"/>
        <w:spacing w:line="440" w:lineRule="exact"/>
        <w:jc w:val="left"/>
        <w:rPr>
          <w:sz w:val="24"/>
        </w:rPr>
      </w:pPr>
      <w:r>
        <w:rPr>
          <w:rFonts w:hint="eastAsia"/>
          <w:sz w:val="24"/>
        </w:rPr>
        <w:t>附件2———————————————————————————24</w:t>
      </w:r>
    </w:p>
    <w:p>
      <w:pPr>
        <w:pStyle w:val="11"/>
        <w:adjustRightInd w:val="0"/>
        <w:snapToGrid w:val="0"/>
        <w:spacing w:before="0" w:line="440" w:lineRule="exact"/>
        <w:jc w:val="left"/>
        <w:rPr>
          <w:rFonts w:cstheme="minorBidi"/>
          <w:sz w:val="24"/>
          <w:szCs w:val="24"/>
        </w:rPr>
      </w:pPr>
      <w:r>
        <w:rPr>
          <w:rFonts w:hint="eastAsia"/>
          <w:sz w:val="24"/>
        </w:rPr>
        <w:t>第五部分附表—————————————————————————27</w:t>
      </w:r>
    </w:p>
    <w:p>
      <w:pPr>
        <w:pStyle w:val="12"/>
        <w:adjustRightInd w:val="0"/>
        <w:snapToGrid w:val="0"/>
        <w:spacing w:line="440" w:lineRule="exact"/>
        <w:jc w:val="left"/>
        <w:rPr>
          <w:rFonts w:ascii="仿宋" w:hAnsi="仿宋" w:eastAsia="仿宋" w:cstheme="minorBidi"/>
          <w:sz w:val="24"/>
        </w:rPr>
      </w:pPr>
      <w:r>
        <w:rPr>
          <w:rFonts w:hint="eastAsia" w:ascii="仿宋" w:hAnsi="仿宋" w:eastAsia="仿宋"/>
          <w:sz w:val="24"/>
        </w:rPr>
        <w:t>一、</w:t>
      </w:r>
      <w:r>
        <w:rPr>
          <w:rFonts w:hint="eastAsia"/>
          <w:sz w:val="24"/>
        </w:rPr>
        <w:t>收入支出决算总表</w:t>
      </w:r>
    </w:p>
    <w:p>
      <w:pPr>
        <w:pStyle w:val="12"/>
        <w:adjustRightInd w:val="0"/>
        <w:snapToGrid w:val="0"/>
        <w:spacing w:line="440" w:lineRule="exact"/>
        <w:jc w:val="left"/>
        <w:rPr>
          <w:rFonts w:ascii="仿宋" w:hAnsi="仿宋" w:eastAsia="仿宋" w:cstheme="minorBidi"/>
          <w:sz w:val="24"/>
        </w:rPr>
      </w:pPr>
      <w:r>
        <w:rPr>
          <w:rFonts w:hint="eastAsia" w:ascii="仿宋" w:hAnsi="仿宋" w:eastAsia="仿宋"/>
          <w:sz w:val="24"/>
        </w:rPr>
        <w:t>二、</w:t>
      </w:r>
      <w:r>
        <w:rPr>
          <w:rFonts w:hint="eastAsia"/>
          <w:sz w:val="24"/>
        </w:rPr>
        <w:t>收入</w:t>
      </w:r>
      <w:r>
        <w:rPr>
          <w:rFonts w:hint="eastAsia" w:ascii="仿宋" w:hAnsi="仿宋" w:eastAsia="仿宋"/>
          <w:sz w:val="24"/>
        </w:rPr>
        <w:t>决算</w:t>
      </w:r>
      <w:r>
        <w:rPr>
          <w:rFonts w:hint="eastAsia"/>
          <w:sz w:val="24"/>
        </w:rPr>
        <w:t>表</w:t>
      </w:r>
    </w:p>
    <w:p>
      <w:pPr>
        <w:pStyle w:val="12"/>
        <w:adjustRightInd w:val="0"/>
        <w:snapToGrid w:val="0"/>
        <w:spacing w:line="440" w:lineRule="exact"/>
        <w:jc w:val="left"/>
        <w:rPr>
          <w:rFonts w:ascii="仿宋" w:hAnsi="仿宋" w:eastAsia="仿宋" w:cstheme="minorBidi"/>
          <w:sz w:val="24"/>
        </w:rPr>
      </w:pPr>
      <w:r>
        <w:rPr>
          <w:rFonts w:hint="eastAsia" w:ascii="仿宋" w:hAnsi="仿宋" w:eastAsia="仿宋"/>
          <w:sz w:val="24"/>
        </w:rPr>
        <w:t>三、</w:t>
      </w:r>
      <w:r>
        <w:rPr>
          <w:rFonts w:hint="eastAsia"/>
          <w:sz w:val="24"/>
        </w:rPr>
        <w:t>支出</w:t>
      </w:r>
      <w:r>
        <w:rPr>
          <w:rFonts w:hint="eastAsia" w:ascii="仿宋" w:hAnsi="仿宋" w:eastAsia="仿宋"/>
          <w:sz w:val="24"/>
        </w:rPr>
        <w:t>决算</w:t>
      </w:r>
      <w:r>
        <w:rPr>
          <w:rFonts w:hint="eastAsia"/>
          <w:sz w:val="24"/>
        </w:rPr>
        <w:t>表</w:t>
      </w:r>
    </w:p>
    <w:p>
      <w:pPr>
        <w:pStyle w:val="12"/>
        <w:adjustRightInd w:val="0"/>
        <w:snapToGrid w:val="0"/>
        <w:spacing w:line="440" w:lineRule="exact"/>
        <w:jc w:val="left"/>
        <w:rPr>
          <w:rFonts w:ascii="仿宋" w:hAnsi="仿宋" w:eastAsia="仿宋" w:cstheme="minorBidi"/>
          <w:sz w:val="24"/>
        </w:rPr>
      </w:pPr>
      <w:r>
        <w:rPr>
          <w:rFonts w:hint="eastAsia" w:ascii="仿宋" w:hAnsi="仿宋" w:eastAsia="仿宋"/>
          <w:sz w:val="24"/>
        </w:rPr>
        <w:t>四、</w:t>
      </w:r>
      <w:r>
        <w:rPr>
          <w:rFonts w:hint="eastAsia"/>
          <w:sz w:val="24"/>
        </w:rPr>
        <w:t>财政拨款收入支出决算总表</w:t>
      </w:r>
    </w:p>
    <w:p>
      <w:pPr>
        <w:pStyle w:val="12"/>
        <w:adjustRightInd w:val="0"/>
        <w:snapToGrid w:val="0"/>
        <w:spacing w:line="440" w:lineRule="exact"/>
        <w:jc w:val="left"/>
        <w:rPr>
          <w:rFonts w:ascii="仿宋" w:hAnsi="仿宋" w:eastAsia="仿宋"/>
          <w:sz w:val="24"/>
        </w:rPr>
      </w:pPr>
      <w:r>
        <w:rPr>
          <w:rFonts w:hint="eastAsia" w:ascii="仿宋" w:hAnsi="仿宋" w:eastAsia="仿宋"/>
          <w:sz w:val="24"/>
        </w:rPr>
        <w:t>五、财政拨款支出决算明细表</w:t>
      </w:r>
    </w:p>
    <w:p>
      <w:pPr>
        <w:pStyle w:val="12"/>
        <w:adjustRightInd w:val="0"/>
        <w:snapToGrid w:val="0"/>
        <w:spacing w:line="440" w:lineRule="exact"/>
        <w:jc w:val="left"/>
        <w:rPr>
          <w:rFonts w:ascii="仿宋" w:hAnsi="仿宋" w:eastAsia="仿宋" w:cstheme="minorBidi"/>
          <w:sz w:val="24"/>
        </w:rPr>
      </w:pPr>
      <w:r>
        <w:rPr>
          <w:rFonts w:hint="eastAsia" w:ascii="仿宋" w:hAnsi="仿宋" w:eastAsia="仿宋"/>
          <w:sz w:val="24"/>
        </w:rPr>
        <w:t>六、</w:t>
      </w:r>
      <w:r>
        <w:rPr>
          <w:rFonts w:hint="eastAsia"/>
          <w:sz w:val="24"/>
        </w:rPr>
        <w:t>一般公共预算财政拨款支出决算表</w:t>
      </w:r>
    </w:p>
    <w:p>
      <w:pPr>
        <w:pStyle w:val="12"/>
        <w:adjustRightInd w:val="0"/>
        <w:snapToGrid w:val="0"/>
        <w:spacing w:line="440" w:lineRule="exact"/>
        <w:jc w:val="left"/>
        <w:rPr>
          <w:rFonts w:ascii="仿宋" w:hAnsi="仿宋" w:eastAsia="仿宋" w:cstheme="minorBidi"/>
          <w:sz w:val="24"/>
        </w:rPr>
      </w:pPr>
      <w:r>
        <w:rPr>
          <w:rFonts w:hint="eastAsia" w:ascii="仿宋" w:hAnsi="仿宋" w:eastAsia="仿宋"/>
          <w:sz w:val="24"/>
        </w:rPr>
        <w:t>七、</w:t>
      </w:r>
      <w:r>
        <w:rPr>
          <w:rFonts w:hint="eastAsia"/>
          <w:sz w:val="24"/>
        </w:rPr>
        <w:t>一般公共预算财政拨款支出决算明细表</w:t>
      </w:r>
    </w:p>
    <w:p>
      <w:pPr>
        <w:pStyle w:val="12"/>
        <w:adjustRightInd w:val="0"/>
        <w:snapToGrid w:val="0"/>
        <w:spacing w:line="440" w:lineRule="exact"/>
        <w:jc w:val="left"/>
        <w:rPr>
          <w:rFonts w:ascii="仿宋" w:hAnsi="仿宋" w:eastAsia="仿宋"/>
          <w:sz w:val="24"/>
        </w:rPr>
        <w:sectPr>
          <w:footerReference r:id="rId6" w:type="first"/>
          <w:footerReference r:id="rId5" w:type="default"/>
          <w:pgSz w:w="11906" w:h="16838"/>
          <w:pgMar w:top="1440" w:right="1800" w:bottom="1440" w:left="1800" w:header="851" w:footer="992" w:gutter="0"/>
          <w:pgNumType w:start="1"/>
          <w:cols w:space="425" w:num="1"/>
          <w:titlePg/>
          <w:docGrid w:type="lines" w:linePitch="312" w:charSpace="0"/>
        </w:sectPr>
      </w:pPr>
    </w:p>
    <w:p>
      <w:pPr>
        <w:pStyle w:val="12"/>
        <w:adjustRightInd w:val="0"/>
        <w:snapToGrid w:val="0"/>
        <w:spacing w:line="440" w:lineRule="exact"/>
        <w:jc w:val="left"/>
        <w:rPr>
          <w:rFonts w:ascii="仿宋" w:hAnsi="仿宋" w:eastAsia="仿宋" w:cstheme="minorBidi"/>
          <w:sz w:val="24"/>
        </w:rPr>
      </w:pPr>
      <w:r>
        <w:rPr>
          <w:rFonts w:hint="eastAsia" w:ascii="仿宋" w:hAnsi="仿宋" w:eastAsia="仿宋"/>
          <w:sz w:val="24"/>
        </w:rPr>
        <w:t>八、</w:t>
      </w:r>
      <w:r>
        <w:rPr>
          <w:rFonts w:hint="eastAsia"/>
          <w:sz w:val="24"/>
        </w:rPr>
        <w:t>一般公共预算财政拨款基本支出决算表</w:t>
      </w:r>
    </w:p>
    <w:p>
      <w:pPr>
        <w:pStyle w:val="12"/>
        <w:adjustRightInd w:val="0"/>
        <w:snapToGrid w:val="0"/>
        <w:spacing w:line="440" w:lineRule="exact"/>
        <w:jc w:val="left"/>
        <w:rPr>
          <w:rFonts w:ascii="仿宋" w:hAnsi="仿宋" w:eastAsia="仿宋" w:cstheme="minorBidi"/>
          <w:sz w:val="24"/>
        </w:rPr>
      </w:pPr>
      <w:r>
        <w:rPr>
          <w:rFonts w:hint="eastAsia" w:ascii="仿宋" w:hAnsi="仿宋" w:eastAsia="仿宋"/>
          <w:sz w:val="24"/>
        </w:rPr>
        <w:t>九、</w:t>
      </w:r>
      <w:r>
        <w:rPr>
          <w:rFonts w:hint="eastAsia"/>
          <w:sz w:val="24"/>
        </w:rPr>
        <w:t>一般公共预算财政拨款项目支出决算表</w:t>
      </w:r>
    </w:p>
    <w:p>
      <w:pPr>
        <w:pStyle w:val="12"/>
        <w:adjustRightInd w:val="0"/>
        <w:snapToGrid w:val="0"/>
        <w:spacing w:line="440" w:lineRule="exact"/>
        <w:jc w:val="left"/>
        <w:rPr>
          <w:rFonts w:ascii="仿宋" w:hAnsi="仿宋" w:eastAsia="仿宋" w:cstheme="minorBidi"/>
          <w:sz w:val="24"/>
        </w:rPr>
      </w:pPr>
      <w:r>
        <w:rPr>
          <w:rFonts w:hint="eastAsia" w:ascii="仿宋" w:hAnsi="仿宋" w:eastAsia="仿宋"/>
          <w:sz w:val="24"/>
        </w:rPr>
        <w:t>十、</w:t>
      </w:r>
      <w:r>
        <w:rPr>
          <w:rFonts w:hint="eastAsia"/>
          <w:sz w:val="24"/>
        </w:rPr>
        <w:t>一般公共预算财政拨款“三公”经费支出决算表</w:t>
      </w:r>
    </w:p>
    <w:p>
      <w:pPr>
        <w:pStyle w:val="12"/>
        <w:adjustRightInd w:val="0"/>
        <w:snapToGrid w:val="0"/>
        <w:spacing w:line="440" w:lineRule="exact"/>
        <w:jc w:val="left"/>
        <w:rPr>
          <w:rFonts w:ascii="仿宋" w:hAnsi="仿宋" w:eastAsia="仿宋" w:cstheme="minorBidi"/>
          <w:sz w:val="24"/>
        </w:rPr>
      </w:pPr>
      <w:r>
        <w:rPr>
          <w:rFonts w:hint="eastAsia" w:ascii="仿宋" w:hAnsi="仿宋" w:eastAsia="仿宋"/>
          <w:sz w:val="24"/>
        </w:rPr>
        <w:t>十一、</w:t>
      </w:r>
      <w:r>
        <w:rPr>
          <w:rFonts w:hint="eastAsia"/>
          <w:sz w:val="24"/>
        </w:rPr>
        <w:t>政府性基金预算财政拨款收入支出决算表</w:t>
      </w:r>
    </w:p>
    <w:p>
      <w:pPr>
        <w:pStyle w:val="12"/>
        <w:adjustRightInd w:val="0"/>
        <w:snapToGrid w:val="0"/>
        <w:spacing w:line="440" w:lineRule="exact"/>
        <w:jc w:val="left"/>
        <w:rPr>
          <w:rFonts w:ascii="仿宋" w:hAnsi="仿宋" w:eastAsia="仿宋" w:cstheme="minorBidi"/>
          <w:sz w:val="24"/>
        </w:rPr>
      </w:pPr>
      <w:r>
        <w:rPr>
          <w:rFonts w:hint="eastAsia" w:ascii="仿宋" w:hAnsi="仿宋" w:eastAsia="仿宋"/>
          <w:sz w:val="24"/>
        </w:rPr>
        <w:t>十二、</w:t>
      </w:r>
      <w:r>
        <w:rPr>
          <w:rFonts w:hint="eastAsia"/>
          <w:sz w:val="24"/>
        </w:rPr>
        <w:t>政府性基金预算财政拨款“三公”经费支出决算表</w:t>
      </w:r>
    </w:p>
    <w:p>
      <w:pPr>
        <w:pStyle w:val="12"/>
        <w:adjustRightInd w:val="0"/>
        <w:snapToGrid w:val="0"/>
        <w:spacing w:line="440" w:lineRule="exact"/>
        <w:jc w:val="left"/>
        <w:rPr>
          <w:rFonts w:ascii="仿宋" w:hAnsi="仿宋" w:eastAsia="仿宋" w:cstheme="minorBidi"/>
          <w:sz w:val="24"/>
        </w:rPr>
      </w:pPr>
      <w:r>
        <w:rPr>
          <w:rFonts w:hint="eastAsia" w:ascii="仿宋" w:hAnsi="仿宋" w:eastAsia="仿宋"/>
          <w:sz w:val="24"/>
        </w:rPr>
        <w:t>十三、</w:t>
      </w:r>
      <w:r>
        <w:rPr>
          <w:rFonts w:hint="eastAsia"/>
          <w:sz w:val="24"/>
        </w:rPr>
        <w:t>国有资本经营预算支出决算表</w:t>
      </w:r>
    </w:p>
    <w:p>
      <w:pPr>
        <w:pStyle w:val="3"/>
        <w:jc w:val="center"/>
        <w:rPr>
          <w:rFonts w:ascii="黑体" w:hAnsi="黑体" w:eastAsia="黑体"/>
          <w:b w:val="0"/>
        </w:rPr>
      </w:pPr>
      <w:bookmarkStart w:id="12" w:name="_Toc15377196"/>
      <w:bookmarkStart w:id="13" w:name="_Toc15396599"/>
    </w:p>
    <w:p>
      <w:pPr>
        <w:pStyle w:val="3"/>
        <w:jc w:val="center"/>
        <w:rPr>
          <w:rFonts w:ascii="黑体" w:hAnsi="黑体" w:eastAsia="黑体"/>
          <w:b w:val="0"/>
        </w:rPr>
      </w:pPr>
    </w:p>
    <w:p>
      <w:pPr>
        <w:pStyle w:val="3"/>
        <w:jc w:val="center"/>
        <w:rPr>
          <w:rFonts w:ascii="黑体" w:hAnsi="黑体" w:eastAsia="黑体"/>
          <w:b w:val="0"/>
        </w:rPr>
      </w:pPr>
    </w:p>
    <w:p>
      <w:pPr>
        <w:pStyle w:val="3"/>
        <w:jc w:val="center"/>
        <w:rPr>
          <w:rFonts w:ascii="黑体" w:hAnsi="黑体" w:eastAsia="黑体"/>
          <w:b w:val="0"/>
        </w:rPr>
      </w:pPr>
    </w:p>
    <w:p>
      <w:pPr>
        <w:pStyle w:val="3"/>
        <w:jc w:val="center"/>
        <w:rPr>
          <w:rFonts w:ascii="黑体" w:hAnsi="黑体" w:eastAsia="黑体"/>
          <w:b w:val="0"/>
        </w:rPr>
      </w:pPr>
    </w:p>
    <w:p>
      <w:pPr>
        <w:pStyle w:val="3"/>
        <w:rPr>
          <w:rFonts w:ascii="黑体" w:hAnsi="黑体" w:eastAsia="黑体"/>
          <w:b w:val="0"/>
        </w:rPr>
      </w:pPr>
    </w:p>
    <w:p>
      <w:pPr>
        <w:pStyle w:val="3"/>
        <w:jc w:val="center"/>
        <w:rPr>
          <w:rFonts w:ascii="黑体" w:hAnsi="黑体" w:eastAsia="黑体"/>
          <w:b w:val="0"/>
        </w:rPr>
      </w:pPr>
    </w:p>
    <w:p>
      <w:pPr>
        <w:pStyle w:val="3"/>
        <w:rPr>
          <w:rFonts w:ascii="黑体" w:hAnsi="黑体" w:eastAsia="黑体"/>
          <w:b w:val="0"/>
        </w:rPr>
      </w:pPr>
    </w:p>
    <w:p>
      <w:pPr>
        <w:rPr>
          <w:rFonts w:ascii="黑体" w:hAnsi="黑体" w:eastAsia="黑体"/>
        </w:rPr>
      </w:pPr>
    </w:p>
    <w:p>
      <w:pPr>
        <w:pStyle w:val="13"/>
      </w:pPr>
    </w:p>
    <w:p>
      <w:pPr>
        <w:pStyle w:val="3"/>
        <w:jc w:val="center"/>
        <w:rPr>
          <w:rFonts w:ascii="黑体" w:hAnsi="黑体" w:eastAsia="黑体"/>
          <w:b w:val="0"/>
        </w:rPr>
        <w:sectPr>
          <w:footerReference r:id="rId8" w:type="first"/>
          <w:footerReference r:id="rId7" w:type="default"/>
          <w:pgSz w:w="11906" w:h="16838"/>
          <w:pgMar w:top="1440" w:right="1800" w:bottom="1440" w:left="1800" w:header="851" w:footer="992" w:gutter="0"/>
          <w:pgNumType w:start="1"/>
          <w:cols w:space="425" w:num="1"/>
          <w:docGrid w:type="lines" w:linePitch="312" w:charSpace="0"/>
        </w:sectPr>
      </w:pPr>
    </w:p>
    <w:p>
      <w:pPr>
        <w:pStyle w:val="3"/>
        <w:jc w:val="center"/>
        <w:rPr>
          <w:rStyle w:val="26"/>
          <w:rFonts w:ascii="黑体" w:hAnsi="黑体" w:eastAsia="黑体"/>
          <w:b/>
          <w:bCs w:val="0"/>
        </w:rPr>
      </w:pPr>
      <w:r>
        <w:rPr>
          <w:rFonts w:hint="eastAsia" w:ascii="黑体" w:hAnsi="黑体" w:eastAsia="黑体"/>
          <w:b w:val="0"/>
        </w:rPr>
        <w:t xml:space="preserve">第一部分 </w:t>
      </w:r>
      <w:r>
        <w:rPr>
          <w:rStyle w:val="26"/>
          <w:rFonts w:hint="eastAsia" w:ascii="黑体" w:hAnsi="黑体" w:eastAsia="黑体"/>
          <w:b w:val="0"/>
          <w:bCs w:val="0"/>
        </w:rPr>
        <w:t>部门概况</w:t>
      </w:r>
      <w:bookmarkEnd w:id="12"/>
      <w:bookmarkEnd w:id="13"/>
    </w:p>
    <w:p>
      <w:pPr>
        <w:widowControl/>
        <w:jc w:val="left"/>
        <w:rPr>
          <w:rFonts w:ascii="黑体" w:eastAsia="黑体"/>
          <w:color w:val="000000"/>
          <w:sz w:val="32"/>
          <w:szCs w:val="32"/>
        </w:rPr>
      </w:pPr>
    </w:p>
    <w:p>
      <w:pPr>
        <w:pStyle w:val="4"/>
        <w:rPr>
          <w:rStyle w:val="27"/>
          <w:rFonts w:ascii="仿宋" w:hAnsi="仿宋" w:eastAsia="仿宋" w:cs="仿宋"/>
          <w:b w:val="0"/>
          <w:bCs w:val="0"/>
        </w:rPr>
      </w:pPr>
      <w:bookmarkStart w:id="14" w:name="_Toc15377197"/>
      <w:bookmarkStart w:id="15" w:name="_Toc15396600"/>
      <w:r>
        <w:rPr>
          <w:rFonts w:hint="eastAsia" w:ascii="仿宋" w:hAnsi="仿宋" w:eastAsia="仿宋" w:cs="仿宋"/>
          <w:b w:val="0"/>
          <w:color w:val="000000"/>
        </w:rPr>
        <w:t>一、基</w:t>
      </w:r>
      <w:r>
        <w:rPr>
          <w:rStyle w:val="27"/>
          <w:rFonts w:hint="eastAsia" w:ascii="仿宋" w:hAnsi="仿宋" w:eastAsia="仿宋" w:cs="仿宋"/>
          <w:b w:val="0"/>
          <w:bCs w:val="0"/>
        </w:rPr>
        <w:t>本职能及主要工作</w:t>
      </w:r>
      <w:bookmarkEnd w:id="14"/>
      <w:bookmarkEnd w:id="15"/>
    </w:p>
    <w:p>
      <w:pPr>
        <w:pStyle w:val="2"/>
        <w:adjustRightInd w:val="0"/>
        <w:snapToGrid w:val="0"/>
        <w:spacing w:before="93" w:line="600" w:lineRule="exact"/>
        <w:ind w:firstLine="672" w:firstLineChars="210"/>
        <w:outlineLvl w:val="2"/>
        <w:rPr>
          <w:rFonts w:ascii="仿宋" w:hAnsi="仿宋" w:eastAsia="仿宋"/>
          <w:bCs/>
          <w:color w:val="000000"/>
          <w:sz w:val="32"/>
          <w:szCs w:val="32"/>
        </w:rPr>
      </w:pPr>
      <w:bookmarkStart w:id="16" w:name="_Toc15377198"/>
      <w:bookmarkStart w:id="17" w:name="_Toc15378445"/>
      <w:r>
        <w:rPr>
          <w:rFonts w:hint="eastAsia" w:ascii="仿宋" w:hAnsi="仿宋" w:eastAsia="仿宋"/>
          <w:bCs/>
          <w:color w:val="000000"/>
          <w:sz w:val="32"/>
          <w:szCs w:val="32"/>
        </w:rPr>
        <w:t>（一）主要职能。</w:t>
      </w:r>
      <w:bookmarkEnd w:id="16"/>
      <w:bookmarkEnd w:id="17"/>
    </w:p>
    <w:p>
      <w:pPr>
        <w:spacing w:line="560" w:lineRule="atLeast"/>
        <w:ind w:firstLine="560" w:firstLineChars="200"/>
        <w:rPr>
          <w:rFonts w:ascii="仿宋" w:hAnsi="仿宋" w:eastAsia="仿宋" w:cs="仿宋"/>
          <w:sz w:val="28"/>
          <w:szCs w:val="28"/>
        </w:rPr>
      </w:pPr>
      <w:r>
        <w:rPr>
          <w:rFonts w:hint="eastAsia" w:ascii="仿宋" w:hAnsi="仿宋" w:eastAsia="仿宋" w:cs="仿宋"/>
          <w:sz w:val="28"/>
          <w:szCs w:val="28"/>
        </w:rPr>
        <w:t>1、负责全市的市管水利工程正常运行及维护管理.</w:t>
      </w:r>
    </w:p>
    <w:p>
      <w:pPr>
        <w:spacing w:line="560" w:lineRule="atLeast"/>
        <w:ind w:firstLine="560" w:firstLineChars="200"/>
        <w:rPr>
          <w:rFonts w:ascii="仿宋" w:hAnsi="仿宋" w:eastAsia="仿宋" w:cs="仿宋"/>
          <w:sz w:val="28"/>
          <w:szCs w:val="28"/>
        </w:rPr>
      </w:pPr>
      <w:r>
        <w:rPr>
          <w:rFonts w:hint="eastAsia" w:ascii="仿宋" w:hAnsi="仿宋" w:eastAsia="仿宋" w:cs="仿宋"/>
          <w:sz w:val="28"/>
          <w:szCs w:val="28"/>
        </w:rPr>
        <w:t>2、保证全市灌溉面积10.8万亩农田的春灌和岁修工作。</w:t>
      </w:r>
    </w:p>
    <w:p>
      <w:pPr>
        <w:spacing w:line="560" w:lineRule="atLeast"/>
        <w:ind w:firstLine="560" w:firstLineChars="200"/>
        <w:rPr>
          <w:rFonts w:ascii="仿宋" w:hAnsi="仿宋" w:eastAsia="仿宋" w:cs="仿宋"/>
          <w:sz w:val="28"/>
          <w:szCs w:val="28"/>
        </w:rPr>
      </w:pPr>
      <w:r>
        <w:rPr>
          <w:rFonts w:hint="eastAsia" w:ascii="仿宋" w:hAnsi="仿宋" w:eastAsia="仿宋" w:cs="仿宋"/>
          <w:sz w:val="28"/>
          <w:szCs w:val="28"/>
        </w:rPr>
        <w:t>3、保证市管8座水库的正常蓄水.防洪安全工作。</w:t>
      </w:r>
    </w:p>
    <w:p>
      <w:pPr>
        <w:spacing w:line="560" w:lineRule="atLeast"/>
        <w:ind w:firstLine="560" w:firstLineChars="200"/>
        <w:rPr>
          <w:rFonts w:ascii="仿宋" w:hAnsi="仿宋" w:eastAsia="仿宋" w:cs="仿宋"/>
          <w:sz w:val="28"/>
          <w:szCs w:val="28"/>
        </w:rPr>
      </w:pPr>
      <w:r>
        <w:rPr>
          <w:rFonts w:hint="eastAsia" w:ascii="仿宋" w:hAnsi="仿宋" w:eastAsia="仿宋" w:cs="仿宋"/>
          <w:sz w:val="28"/>
          <w:szCs w:val="28"/>
        </w:rPr>
        <w:t>4、负责编制全市水利行业建设项目；负责全市水利工程质量、运行管理、病险整治、综合利用和安全监督管理工作；加强对水利资金的使用进行调节、管理和监督；负责水利行业国有资产的管理。</w:t>
      </w:r>
    </w:p>
    <w:p>
      <w:pPr>
        <w:spacing w:line="600" w:lineRule="exact"/>
        <w:ind w:firstLine="560" w:firstLineChars="200"/>
        <w:rPr>
          <w:rFonts w:ascii="仿宋" w:hAnsi="仿宋" w:eastAsia="仿宋" w:cs="仿宋"/>
          <w:sz w:val="28"/>
          <w:szCs w:val="28"/>
        </w:rPr>
      </w:pPr>
      <w:r>
        <w:rPr>
          <w:rFonts w:hint="eastAsia" w:ascii="仿宋" w:hAnsi="仿宋" w:eastAsia="仿宋" w:cs="仿宋"/>
          <w:sz w:val="28"/>
          <w:szCs w:val="28"/>
        </w:rPr>
        <w:t>5、承办市政府交办的其它事项。</w:t>
      </w:r>
    </w:p>
    <w:p>
      <w:pPr>
        <w:pStyle w:val="2"/>
        <w:adjustRightInd w:val="0"/>
        <w:snapToGrid w:val="0"/>
        <w:spacing w:before="93" w:line="600" w:lineRule="exact"/>
        <w:ind w:firstLine="672" w:firstLineChars="210"/>
        <w:outlineLvl w:val="2"/>
        <w:rPr>
          <w:rFonts w:ascii="仿宋" w:hAnsi="仿宋" w:eastAsia="仿宋"/>
          <w:bCs/>
          <w:color w:val="000000"/>
          <w:sz w:val="32"/>
          <w:szCs w:val="32"/>
        </w:rPr>
      </w:pPr>
      <w:bookmarkStart w:id="18" w:name="_Toc15378446"/>
      <w:bookmarkStart w:id="19" w:name="_Toc15377199"/>
      <w:r>
        <w:rPr>
          <w:rFonts w:hint="eastAsia" w:ascii="仿宋" w:hAnsi="仿宋" w:eastAsia="仿宋"/>
          <w:bCs/>
          <w:color w:val="000000"/>
          <w:sz w:val="32"/>
          <w:szCs w:val="32"/>
        </w:rPr>
        <w:t>（二）</w:t>
      </w:r>
      <w:r>
        <w:rPr>
          <w:rFonts w:ascii="仿宋" w:hAnsi="仿宋" w:eastAsia="仿宋"/>
          <w:bCs/>
          <w:color w:val="000000"/>
          <w:sz w:val="32"/>
          <w:szCs w:val="32"/>
        </w:rPr>
        <w:t>20</w:t>
      </w:r>
      <w:r>
        <w:rPr>
          <w:rFonts w:hint="eastAsia" w:ascii="仿宋" w:hAnsi="仿宋" w:eastAsia="仿宋"/>
          <w:bCs/>
          <w:color w:val="000000"/>
          <w:sz w:val="32"/>
          <w:szCs w:val="32"/>
        </w:rPr>
        <w:t>2</w:t>
      </w:r>
      <w:r>
        <w:rPr>
          <w:rFonts w:hint="eastAsia" w:ascii="仿宋" w:hAnsi="仿宋" w:eastAsia="仿宋"/>
          <w:bCs/>
          <w:color w:val="000000"/>
          <w:sz w:val="32"/>
          <w:szCs w:val="32"/>
          <w:lang w:val="en-US" w:eastAsia="zh-CN"/>
        </w:rPr>
        <w:t>1</w:t>
      </w:r>
      <w:r>
        <w:rPr>
          <w:rFonts w:hint="eastAsia" w:ascii="仿宋" w:hAnsi="仿宋" w:eastAsia="仿宋"/>
          <w:bCs/>
          <w:color w:val="000000"/>
          <w:sz w:val="32"/>
          <w:szCs w:val="32"/>
        </w:rPr>
        <w:t>年重点工作完成情况。</w:t>
      </w:r>
      <w:bookmarkEnd w:id="18"/>
      <w:bookmarkEnd w:id="19"/>
    </w:p>
    <w:p>
      <w:pPr>
        <w:spacing w:line="560" w:lineRule="exact"/>
        <w:ind w:firstLine="562" w:firstLineChars="200"/>
        <w:jc w:val="left"/>
        <w:rPr>
          <w:rFonts w:hint="eastAsia" w:ascii="仿宋" w:hAnsi="仿宋" w:eastAsia="仿宋" w:cs="仿宋"/>
          <w:b/>
          <w:bCs/>
          <w:sz w:val="28"/>
          <w:szCs w:val="28"/>
        </w:rPr>
      </w:pPr>
      <w:bookmarkStart w:id="20" w:name="_Toc15396601"/>
      <w:bookmarkStart w:id="21" w:name="_Toc15377200"/>
      <w:r>
        <w:rPr>
          <w:rFonts w:hint="eastAsia" w:ascii="仿宋" w:hAnsi="仿宋" w:eastAsia="仿宋" w:cs="仿宋"/>
          <w:b/>
          <w:bCs/>
          <w:sz w:val="28"/>
          <w:szCs w:val="28"/>
        </w:rPr>
        <w:t>1、峨眉山市2021年小型水库维修养护项目</w:t>
      </w:r>
    </w:p>
    <w:p>
      <w:pPr>
        <w:spacing w:line="6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峨眉山市2021年小型水库维修养护项目,该项目总投资107.8万元（其中：中央资金100万元，地方配套7.8万元），分两个标段，一标段审定投资26.5507万元，二标段审定投资72.91万元，对全市9座小型水库实施维修养护。项目已于5月启动，目前一标段已完工，二标段正在实施中，预计在今年12月底前完成。</w:t>
      </w:r>
    </w:p>
    <w:p>
      <w:pPr>
        <w:spacing w:line="560" w:lineRule="exact"/>
        <w:ind w:firstLine="562" w:firstLineChars="200"/>
        <w:jc w:val="left"/>
        <w:rPr>
          <w:rFonts w:hint="eastAsia" w:ascii="仿宋" w:hAnsi="仿宋" w:eastAsia="仿宋" w:cs="仿宋"/>
          <w:b/>
          <w:bCs/>
          <w:sz w:val="28"/>
          <w:szCs w:val="28"/>
        </w:rPr>
      </w:pPr>
      <w:r>
        <w:rPr>
          <w:rFonts w:hint="eastAsia" w:ascii="仿宋" w:hAnsi="仿宋" w:eastAsia="仿宋" w:cs="仿宋"/>
          <w:b/>
          <w:bCs/>
          <w:sz w:val="28"/>
          <w:szCs w:val="28"/>
        </w:rPr>
        <w:t>2、2021年度新增地方政府一般债券限额支持保障小型水库安全运行项目（峨眉山市2021年小型水库新增维修养护项目）</w:t>
      </w:r>
    </w:p>
    <w:p>
      <w:pPr>
        <w:spacing w:line="560" w:lineRule="exact"/>
        <w:ind w:firstLine="560" w:firstLineChars="200"/>
        <w:jc w:val="left"/>
        <w:rPr>
          <w:rFonts w:hint="eastAsia" w:ascii="仿宋" w:hAnsi="仿宋" w:eastAsia="仿宋" w:cs="仿宋"/>
          <w:sz w:val="28"/>
          <w:szCs w:val="28"/>
        </w:rPr>
      </w:pPr>
      <w:r>
        <w:rPr>
          <w:rFonts w:hint="eastAsia" w:ascii="仿宋" w:hAnsi="仿宋" w:eastAsia="仿宋" w:cs="仿宋"/>
          <w:sz w:val="28"/>
          <w:szCs w:val="28"/>
        </w:rPr>
        <w:t>该项目一般债资金23万元，用于我市小型水库的维修养护。目前，该项目已基本完工，预计12月中旬全面完成。</w:t>
      </w:r>
    </w:p>
    <w:p>
      <w:pPr>
        <w:spacing w:line="560" w:lineRule="exact"/>
        <w:ind w:firstLine="562" w:firstLineChars="200"/>
        <w:jc w:val="left"/>
        <w:rPr>
          <w:rFonts w:hint="eastAsia" w:ascii="仿宋" w:hAnsi="仿宋" w:eastAsia="仿宋" w:cs="仿宋"/>
          <w:b/>
          <w:bCs/>
          <w:sz w:val="28"/>
          <w:szCs w:val="28"/>
        </w:rPr>
      </w:pPr>
      <w:r>
        <w:rPr>
          <w:rFonts w:hint="eastAsia" w:ascii="仿宋" w:hAnsi="仿宋" w:eastAsia="仿宋" w:cs="仿宋"/>
          <w:b/>
          <w:bCs/>
          <w:sz w:val="28"/>
          <w:szCs w:val="28"/>
        </w:rPr>
        <w:t>3、峨眉山市观音岩水库机电设备维修养护项目</w:t>
      </w:r>
    </w:p>
    <w:p>
      <w:pPr>
        <w:spacing w:line="560" w:lineRule="exact"/>
        <w:ind w:firstLine="560" w:firstLineChars="200"/>
        <w:jc w:val="left"/>
        <w:rPr>
          <w:rFonts w:hint="eastAsia" w:ascii="仿宋" w:hAnsi="仿宋" w:eastAsia="仿宋" w:cs="仿宋"/>
          <w:sz w:val="28"/>
          <w:szCs w:val="28"/>
        </w:rPr>
      </w:pPr>
      <w:r>
        <w:rPr>
          <w:rFonts w:hint="eastAsia" w:ascii="仿宋" w:hAnsi="仿宋" w:eastAsia="仿宋" w:cs="仿宋"/>
          <w:sz w:val="28"/>
          <w:szCs w:val="28"/>
        </w:rPr>
        <w:t>该项目对观音岩水库机电设备进行全面维修养护，项目总投资81.69万元，目前设计已完成并取得批复，正进行项目招投标的工作，该项目争取在今年12月底前完成。</w:t>
      </w:r>
    </w:p>
    <w:p>
      <w:pPr>
        <w:spacing w:line="560" w:lineRule="exact"/>
        <w:ind w:firstLine="562" w:firstLineChars="200"/>
        <w:jc w:val="left"/>
        <w:rPr>
          <w:rFonts w:hint="eastAsia" w:ascii="仿宋" w:hAnsi="仿宋" w:eastAsia="仿宋" w:cs="仿宋"/>
          <w:b/>
          <w:bCs/>
          <w:sz w:val="28"/>
          <w:szCs w:val="28"/>
        </w:rPr>
      </w:pPr>
      <w:r>
        <w:rPr>
          <w:rFonts w:hint="eastAsia" w:ascii="仿宋" w:hAnsi="仿宋" w:eastAsia="仿宋" w:cs="仿宋"/>
          <w:b/>
          <w:bCs/>
          <w:sz w:val="28"/>
          <w:szCs w:val="28"/>
        </w:rPr>
        <w:t>4、峨眉山市灌区提升改造项目（测量）</w:t>
      </w:r>
    </w:p>
    <w:p>
      <w:pPr>
        <w:spacing w:line="560" w:lineRule="exact"/>
        <w:ind w:firstLine="560" w:firstLineChars="200"/>
        <w:jc w:val="left"/>
        <w:rPr>
          <w:rFonts w:ascii="仿宋" w:hAnsi="仿宋" w:eastAsia="仿宋" w:cs="仿宋"/>
          <w:sz w:val="28"/>
          <w:szCs w:val="28"/>
        </w:rPr>
      </w:pPr>
      <w:r>
        <w:rPr>
          <w:rFonts w:hint="eastAsia" w:ascii="仿宋" w:hAnsi="仿宋" w:eastAsia="仿宋" w:cs="仿宋"/>
          <w:sz w:val="28"/>
          <w:szCs w:val="28"/>
        </w:rPr>
        <w:t>该项目对峨眉山市灌区提升改造项目所涉及的干、支渠地形、断面测绘，总投资28.8万元。目前该项目于7月下旬启动，该项目预计在今年12月完成。</w:t>
      </w:r>
    </w:p>
    <w:p>
      <w:pPr>
        <w:spacing w:line="560" w:lineRule="exact"/>
        <w:ind w:firstLine="562" w:firstLineChars="200"/>
        <w:jc w:val="left"/>
        <w:rPr>
          <w:rFonts w:hint="eastAsia" w:ascii="仿宋" w:hAnsi="仿宋" w:eastAsia="仿宋" w:cs="仿宋"/>
          <w:b/>
          <w:bCs/>
          <w:sz w:val="28"/>
          <w:szCs w:val="28"/>
        </w:rPr>
      </w:pPr>
      <w:r>
        <w:rPr>
          <w:rFonts w:hint="eastAsia" w:ascii="仿宋" w:hAnsi="仿宋" w:eastAsia="仿宋" w:cs="仿宋"/>
          <w:b/>
          <w:bCs/>
          <w:sz w:val="28"/>
          <w:szCs w:val="28"/>
        </w:rPr>
        <w:t>5、桂花桥镇庙稿村水渠维修加固项目</w:t>
      </w:r>
    </w:p>
    <w:p>
      <w:pPr>
        <w:spacing w:line="560" w:lineRule="exact"/>
        <w:ind w:firstLine="560" w:firstLineChars="200"/>
        <w:jc w:val="left"/>
        <w:rPr>
          <w:rFonts w:ascii="仿宋" w:hAnsi="仿宋" w:eastAsia="仿宋" w:cs="仿宋"/>
          <w:sz w:val="28"/>
          <w:szCs w:val="28"/>
        </w:rPr>
      </w:pPr>
      <w:r>
        <w:rPr>
          <w:rFonts w:hint="eastAsia" w:ascii="仿宋" w:hAnsi="仿宋" w:eastAsia="仿宋" w:cs="仿宋"/>
          <w:sz w:val="28"/>
          <w:szCs w:val="28"/>
        </w:rPr>
        <w:t>该项目对桂花桥镇庙稿村2、3、5组内约500米垮塌水渠进行维修加固，总投资20万元，该项目已于11月下旬完工。</w:t>
      </w:r>
    </w:p>
    <w:p>
      <w:pPr>
        <w:spacing w:line="560" w:lineRule="exact"/>
        <w:ind w:firstLine="562" w:firstLineChars="200"/>
        <w:jc w:val="left"/>
        <w:rPr>
          <w:rFonts w:hint="eastAsia" w:ascii="仿宋" w:hAnsi="仿宋" w:eastAsia="仿宋" w:cs="仿宋"/>
          <w:b/>
          <w:bCs/>
          <w:sz w:val="28"/>
          <w:szCs w:val="28"/>
        </w:rPr>
      </w:pPr>
      <w:r>
        <w:rPr>
          <w:rFonts w:hint="eastAsia" w:ascii="仿宋" w:hAnsi="仿宋" w:eastAsia="仿宋" w:cs="仿宋"/>
          <w:b/>
          <w:bCs/>
          <w:sz w:val="28"/>
          <w:szCs w:val="28"/>
        </w:rPr>
        <w:t>6、推进渠系整治，全力做好春灌及岁修工作。</w:t>
      </w:r>
    </w:p>
    <w:p>
      <w:pPr>
        <w:spacing w:line="560" w:lineRule="exact"/>
        <w:ind w:firstLine="560" w:firstLineChars="200"/>
        <w:jc w:val="left"/>
        <w:rPr>
          <w:rFonts w:hint="eastAsia" w:ascii="仿宋" w:hAnsi="仿宋" w:eastAsia="仿宋" w:cs="仿宋"/>
          <w:sz w:val="28"/>
          <w:szCs w:val="28"/>
        </w:rPr>
      </w:pPr>
      <w:r>
        <w:rPr>
          <w:rFonts w:hint="eastAsia" w:ascii="仿宋" w:hAnsi="仿宋" w:eastAsia="仿宋" w:cs="仿宋"/>
          <w:sz w:val="28"/>
          <w:szCs w:val="28"/>
        </w:rPr>
        <w:t>完成各水库、塘、冬水田等蓄水保水工作；全市今年投入100万元，完成渠道清淤7万立方，完成干、支渠道岁修约100公里，改善和恢复灌溉面积2.5万亩，提高节水能力60万方。确保全市19.96万亩农田适时栽插，为促进农业增产、农民增收奠定了坚实的基础。</w:t>
      </w:r>
    </w:p>
    <w:p>
      <w:pPr>
        <w:spacing w:line="560" w:lineRule="exact"/>
        <w:ind w:firstLine="562" w:firstLineChars="200"/>
        <w:jc w:val="left"/>
        <w:rPr>
          <w:rFonts w:ascii="仿宋" w:hAnsi="仿宋" w:eastAsia="仿宋" w:cs="仿宋"/>
          <w:b/>
          <w:bCs/>
          <w:sz w:val="28"/>
          <w:szCs w:val="28"/>
        </w:rPr>
      </w:pPr>
      <w:r>
        <w:rPr>
          <w:rFonts w:hint="eastAsia" w:ascii="仿宋" w:hAnsi="仿宋" w:eastAsia="仿宋" w:cs="仿宋"/>
          <w:b/>
          <w:bCs/>
          <w:sz w:val="28"/>
          <w:szCs w:val="28"/>
        </w:rPr>
        <w:t>7、工程项目目前存在的问题</w:t>
      </w:r>
    </w:p>
    <w:p>
      <w:pPr>
        <w:spacing w:line="560" w:lineRule="exact"/>
        <w:ind w:firstLine="560" w:firstLineChars="200"/>
        <w:jc w:val="left"/>
        <w:rPr>
          <w:rFonts w:ascii="仿宋" w:hAnsi="仿宋" w:eastAsia="仿宋" w:cs="仿宋"/>
          <w:sz w:val="28"/>
          <w:szCs w:val="28"/>
        </w:rPr>
      </w:pPr>
      <w:r>
        <w:rPr>
          <w:rFonts w:hint="eastAsia" w:ascii="仿宋" w:hAnsi="仿宋" w:eastAsia="仿宋" w:cs="仿宋"/>
          <w:sz w:val="28"/>
          <w:szCs w:val="28"/>
        </w:rPr>
        <w:t>青衣江乐山灌区2018年度续建配套与节水改造工程（峨眉山片区）工程，该项目业主为四川省青衣江乐山灌区（流域）管理局，资金由峨眉山市人民政府进行支付。该项目于2019年11月通过完工验收，根据财评结果目前尚有工程款185.616万元未支付，材料供应商、农民工已经多次向“心连心”、“信访”反应该问题。</w:t>
      </w:r>
    </w:p>
    <w:p>
      <w:pPr>
        <w:spacing w:line="560" w:lineRule="exact"/>
        <w:ind w:firstLine="562" w:firstLineChars="200"/>
        <w:jc w:val="left"/>
        <w:rPr>
          <w:rFonts w:hint="eastAsia" w:ascii="仿宋" w:hAnsi="仿宋" w:eastAsia="仿宋" w:cs="仿宋"/>
          <w:b/>
          <w:bCs/>
          <w:sz w:val="28"/>
          <w:szCs w:val="28"/>
        </w:rPr>
      </w:pPr>
      <w:r>
        <w:rPr>
          <w:rFonts w:hint="eastAsia" w:ascii="仿宋" w:hAnsi="仿宋" w:eastAsia="仿宋" w:cs="仿宋"/>
          <w:b/>
          <w:bCs/>
          <w:sz w:val="28"/>
          <w:szCs w:val="28"/>
        </w:rPr>
        <w:t>8、“十四五”时期工作</w:t>
      </w:r>
    </w:p>
    <w:p>
      <w:pPr>
        <w:ind w:firstLine="640"/>
        <w:jc w:val="left"/>
        <w:rPr>
          <w:rFonts w:hint="eastAsia" w:ascii="仿宋" w:hAnsi="仿宋" w:eastAsia="仿宋" w:cs="仿宋"/>
          <w:sz w:val="28"/>
          <w:szCs w:val="28"/>
        </w:rPr>
      </w:pPr>
      <w:r>
        <w:rPr>
          <w:rFonts w:hint="eastAsia" w:ascii="仿宋" w:hAnsi="仿宋" w:eastAsia="仿宋" w:cs="仿宋"/>
          <w:sz w:val="28"/>
          <w:szCs w:val="28"/>
        </w:rPr>
        <w:t>“十四五”时间计划配合乐山市水务局完成四川省青衣江流域乐山灌区“十四五”续配配套与现代化改造工程，进一步提高我市水利工程的供水保水能力，解决农业灌溉用水季节性缺水问题。</w:t>
      </w:r>
    </w:p>
    <w:p>
      <w:pPr>
        <w:spacing w:line="560" w:lineRule="exact"/>
        <w:ind w:firstLine="562" w:firstLineChars="200"/>
        <w:jc w:val="left"/>
        <w:rPr>
          <w:rFonts w:hint="eastAsia" w:ascii="仿宋" w:hAnsi="仿宋" w:eastAsia="仿宋" w:cs="仿宋"/>
          <w:b/>
          <w:bCs/>
          <w:sz w:val="28"/>
          <w:szCs w:val="28"/>
        </w:rPr>
      </w:pPr>
      <w:r>
        <w:rPr>
          <w:rFonts w:hint="eastAsia" w:ascii="仿宋" w:hAnsi="仿宋" w:eastAsia="仿宋" w:cs="仿宋"/>
          <w:b/>
          <w:bCs/>
          <w:sz w:val="28"/>
          <w:szCs w:val="28"/>
        </w:rPr>
        <w:t>9、水库运行管理</w:t>
      </w:r>
    </w:p>
    <w:p>
      <w:pPr>
        <w:spacing w:line="560" w:lineRule="exact"/>
        <w:ind w:firstLine="560" w:firstLineChars="200"/>
        <w:jc w:val="left"/>
        <w:rPr>
          <w:rFonts w:eastAsia="仿宋_GB2312"/>
          <w:color w:val="000000"/>
          <w:sz w:val="28"/>
          <w:szCs w:val="28"/>
        </w:rPr>
      </w:pPr>
      <w:r>
        <w:rPr>
          <w:rFonts w:hint="eastAsia" w:ascii="仿宋" w:hAnsi="仿宋" w:eastAsia="仿宋" w:cs="仿宋"/>
          <w:sz w:val="28"/>
          <w:szCs w:val="28"/>
        </w:rPr>
        <w:t xml:space="preserve"> 2021年，</w:t>
      </w:r>
      <w:r>
        <w:rPr>
          <w:rFonts w:hint="eastAsia" w:eastAsia="仿宋_GB2312"/>
          <w:color w:val="000000"/>
          <w:sz w:val="28"/>
          <w:szCs w:val="28"/>
        </w:rPr>
        <w:t>继续探索“以大带小、以点带面”的管理模式，通过观音岩水库（中型水库）管理团队，通过人员、技术、设备等资源的整合，有效提高小型水库运行能力，同时借助2021年小型水库维修养护资金引进社会专业管理机构，水库运行维护责任得到进一步明确、维修养护工作得到有力加强，目前我市已被乐山市推荐参加四川省第二批小型水库体制改革示范县创建工作，创建成功后我市小型水库运管能力将得到进一步提高。</w:t>
      </w:r>
    </w:p>
    <w:p>
      <w:pPr>
        <w:pStyle w:val="4"/>
        <w:rPr>
          <w:rStyle w:val="27"/>
          <w:rFonts w:ascii="仿宋" w:hAnsi="仿宋" w:eastAsia="仿宋" w:cs="仿宋"/>
          <w:b w:val="0"/>
          <w:bCs w:val="0"/>
        </w:rPr>
      </w:pPr>
      <w:r>
        <w:rPr>
          <w:rFonts w:hint="eastAsia" w:ascii="仿宋" w:hAnsi="仿宋" w:eastAsia="仿宋" w:cs="仿宋"/>
          <w:b w:val="0"/>
          <w:color w:val="000000"/>
        </w:rPr>
        <w:t>二、机</w:t>
      </w:r>
      <w:r>
        <w:rPr>
          <w:rStyle w:val="27"/>
          <w:rFonts w:hint="eastAsia" w:ascii="仿宋" w:hAnsi="仿宋" w:eastAsia="仿宋" w:cs="仿宋"/>
          <w:b w:val="0"/>
          <w:bCs w:val="0"/>
        </w:rPr>
        <w:t>构设置</w:t>
      </w:r>
      <w:bookmarkEnd w:id="20"/>
      <w:bookmarkEnd w:id="21"/>
    </w:p>
    <w:p>
      <w:pPr>
        <w:ind w:firstLine="800" w:firstLineChars="250"/>
        <w:rPr>
          <w:rFonts w:ascii="仿宋" w:hAnsi="仿宋" w:eastAsia="仿宋"/>
          <w:sz w:val="32"/>
          <w:szCs w:val="32"/>
        </w:rPr>
      </w:pPr>
      <w:r>
        <w:rPr>
          <w:rFonts w:hint="eastAsia" w:ascii="仿宋" w:hAnsi="仿宋" w:eastAsia="仿宋"/>
          <w:sz w:val="32"/>
          <w:szCs w:val="32"/>
        </w:rPr>
        <w:t>峨眉山市河湖保护中心下属二级单位0个，其中行政单位0个，参照公务员法管理的事业单位</w:t>
      </w:r>
      <w:r>
        <w:rPr>
          <w:rFonts w:hint="eastAsia" w:ascii="仿宋" w:hAnsi="仿宋" w:eastAsia="仿宋"/>
          <w:bCs/>
          <w:sz w:val="32"/>
          <w:szCs w:val="32"/>
        </w:rPr>
        <w:t>0</w:t>
      </w:r>
      <w:r>
        <w:rPr>
          <w:rFonts w:hint="eastAsia" w:ascii="仿宋" w:hAnsi="仿宋" w:eastAsia="仿宋"/>
          <w:sz w:val="32"/>
          <w:szCs w:val="32"/>
        </w:rPr>
        <w:t>个，其他事业单位1个。</w:t>
      </w:r>
    </w:p>
    <w:p>
      <w:pPr>
        <w:pStyle w:val="2"/>
        <w:adjustRightInd w:val="0"/>
        <w:snapToGrid w:val="0"/>
        <w:spacing w:before="93" w:line="600" w:lineRule="exact"/>
        <w:ind w:firstLine="672" w:firstLineChars="210"/>
        <w:rPr>
          <w:rFonts w:ascii="仿宋" w:hAnsi="仿宋" w:eastAsia="仿宋"/>
          <w:color w:val="000000"/>
          <w:sz w:val="32"/>
          <w:szCs w:val="32"/>
        </w:rPr>
      </w:pPr>
      <w:r>
        <w:rPr>
          <w:rFonts w:hint="eastAsia" w:ascii="仿宋" w:hAnsi="仿宋" w:eastAsia="仿宋"/>
          <w:color w:val="000000"/>
          <w:sz w:val="32"/>
          <w:szCs w:val="32"/>
        </w:rPr>
        <w:t>纳入河湖保护中心20</w:t>
      </w:r>
      <w:r>
        <w:rPr>
          <w:rFonts w:hint="eastAsia" w:ascii="仿宋" w:hAnsi="仿宋" w:eastAsia="仿宋"/>
          <w:color w:val="000000"/>
          <w:sz w:val="32"/>
          <w:szCs w:val="32"/>
          <w:lang w:val="en-US" w:eastAsia="zh-CN"/>
        </w:rPr>
        <w:t>21</w:t>
      </w:r>
      <w:r>
        <w:rPr>
          <w:rFonts w:hint="eastAsia" w:ascii="仿宋" w:hAnsi="仿宋" w:eastAsia="仿宋"/>
          <w:color w:val="000000"/>
          <w:sz w:val="32"/>
          <w:szCs w:val="32"/>
        </w:rPr>
        <w:t>年度部门决算编制范围的二级预算单位包括：无。</w:t>
      </w:r>
    </w:p>
    <w:p>
      <w:pPr>
        <w:widowControl/>
        <w:jc w:val="left"/>
        <w:rPr>
          <w:rFonts w:ascii="仿宋" w:hAnsi="仿宋" w:eastAsia="仿宋"/>
          <w:color w:val="000000"/>
          <w:kern w:val="0"/>
          <w:sz w:val="32"/>
          <w:szCs w:val="32"/>
        </w:rPr>
      </w:pPr>
      <w:r>
        <w:rPr>
          <w:rFonts w:ascii="仿宋" w:hAnsi="仿宋" w:eastAsia="仿宋"/>
          <w:color w:val="000000"/>
          <w:sz w:val="32"/>
          <w:szCs w:val="32"/>
        </w:rPr>
        <w:br w:type="page"/>
      </w:r>
    </w:p>
    <w:p>
      <w:pPr>
        <w:pStyle w:val="3"/>
        <w:ind w:right="440"/>
        <w:jc w:val="right"/>
        <w:rPr>
          <w:rStyle w:val="26"/>
          <w:rFonts w:ascii="黑体" w:hAnsi="黑体" w:eastAsia="黑体"/>
          <w:b w:val="0"/>
          <w:bCs w:val="0"/>
        </w:rPr>
      </w:pPr>
      <w:bookmarkStart w:id="22" w:name="_Toc15377204"/>
      <w:bookmarkStart w:id="23" w:name="_Toc15396602"/>
      <w:r>
        <w:rPr>
          <w:rFonts w:hint="eastAsia" w:ascii="黑体" w:hAnsi="黑体" w:eastAsia="黑体"/>
          <w:b w:val="0"/>
          <w:color w:val="000000"/>
        </w:rPr>
        <w:t>第二部分</w:t>
      </w:r>
      <w:r>
        <w:rPr>
          <w:rStyle w:val="26"/>
          <w:rFonts w:hint="eastAsia" w:ascii="黑体" w:hAnsi="黑体" w:eastAsia="黑体"/>
          <w:b w:val="0"/>
          <w:bCs w:val="0"/>
        </w:rPr>
        <w:t>202</w:t>
      </w:r>
      <w:r>
        <w:rPr>
          <w:rStyle w:val="26"/>
          <w:rFonts w:hint="eastAsia" w:ascii="黑体" w:hAnsi="黑体" w:eastAsia="黑体"/>
          <w:b w:val="0"/>
          <w:bCs w:val="0"/>
          <w:lang w:val="en-US" w:eastAsia="zh-CN"/>
        </w:rPr>
        <w:t>1</w:t>
      </w:r>
      <w:r>
        <w:rPr>
          <w:rStyle w:val="26"/>
          <w:rFonts w:hint="eastAsia" w:ascii="黑体" w:hAnsi="黑体" w:eastAsia="黑体"/>
          <w:b w:val="0"/>
          <w:bCs w:val="0"/>
        </w:rPr>
        <w:t>年度部门决算情况说明</w:t>
      </w:r>
      <w:bookmarkEnd w:id="22"/>
      <w:bookmarkEnd w:id="23"/>
    </w:p>
    <w:p/>
    <w:p>
      <w:pPr>
        <w:pStyle w:val="25"/>
        <w:numPr>
          <w:ilvl w:val="0"/>
          <w:numId w:val="1"/>
        </w:numPr>
        <w:spacing w:line="600" w:lineRule="exact"/>
        <w:ind w:firstLineChars="0"/>
        <w:outlineLvl w:val="1"/>
        <w:rPr>
          <w:rStyle w:val="27"/>
          <w:rFonts w:ascii="仿宋" w:hAnsi="仿宋" w:eastAsia="仿宋" w:cs="仿宋"/>
          <w:b w:val="0"/>
        </w:rPr>
      </w:pPr>
      <w:bookmarkStart w:id="24" w:name="_Toc15377205"/>
      <w:bookmarkStart w:id="25" w:name="_Toc15396603"/>
      <w:r>
        <w:rPr>
          <w:rFonts w:hint="eastAsia" w:ascii="仿宋" w:hAnsi="仿宋" w:eastAsia="仿宋" w:cs="仿宋"/>
          <w:color w:val="000000"/>
          <w:sz w:val="32"/>
          <w:szCs w:val="32"/>
        </w:rPr>
        <w:t>收</w:t>
      </w:r>
      <w:r>
        <w:rPr>
          <w:rStyle w:val="27"/>
          <w:rFonts w:hint="eastAsia" w:ascii="仿宋" w:hAnsi="仿宋" w:eastAsia="仿宋" w:cs="仿宋"/>
          <w:b w:val="0"/>
        </w:rPr>
        <w:t>入支出决算总体情况说明</w:t>
      </w:r>
      <w:bookmarkEnd w:id="24"/>
      <w:bookmarkEnd w:id="25"/>
    </w:p>
    <w:p>
      <w:pPr>
        <w:spacing w:line="600" w:lineRule="exact"/>
        <w:ind w:firstLine="560" w:firstLineChars="200"/>
        <w:rPr>
          <w:rFonts w:ascii="仿宋" w:hAnsi="仿宋" w:eastAsia="仿宋"/>
          <w:color w:val="000000"/>
          <w:sz w:val="32"/>
          <w:szCs w:val="32"/>
        </w:rPr>
      </w:pPr>
      <w:r>
        <w:rPr>
          <w:rFonts w:hint="eastAsia" w:ascii="仿宋" w:hAnsi="仿宋" w:eastAsia="仿宋"/>
          <w:color w:val="000000"/>
          <w:sz w:val="28"/>
          <w:szCs w:val="28"/>
        </w:rPr>
        <w:t>202</w:t>
      </w:r>
      <w:r>
        <w:rPr>
          <w:rFonts w:hint="eastAsia" w:ascii="仿宋" w:hAnsi="仿宋" w:eastAsia="仿宋"/>
          <w:color w:val="000000"/>
          <w:sz w:val="28"/>
          <w:szCs w:val="28"/>
          <w:lang w:val="en-US" w:eastAsia="zh-CN"/>
        </w:rPr>
        <w:t>1</w:t>
      </w:r>
      <w:r>
        <w:rPr>
          <w:rFonts w:hint="eastAsia" w:ascii="仿宋" w:hAnsi="仿宋" w:eastAsia="仿宋"/>
          <w:color w:val="000000"/>
          <w:sz w:val="28"/>
          <w:szCs w:val="28"/>
        </w:rPr>
        <w:t>年度收、支总计</w:t>
      </w:r>
      <w:r>
        <w:rPr>
          <w:rFonts w:hint="eastAsia" w:ascii="仿宋" w:hAnsi="仿宋" w:eastAsia="仿宋"/>
          <w:color w:val="000000"/>
          <w:sz w:val="28"/>
          <w:szCs w:val="28"/>
          <w:lang w:val="en-US" w:eastAsia="zh-CN"/>
        </w:rPr>
        <w:t>2752.78</w:t>
      </w:r>
      <w:r>
        <w:rPr>
          <w:rFonts w:hint="eastAsia" w:ascii="仿宋" w:hAnsi="仿宋" w:eastAsia="仿宋"/>
          <w:color w:val="000000"/>
          <w:sz w:val="28"/>
          <w:szCs w:val="28"/>
        </w:rPr>
        <w:t>万元。与20</w:t>
      </w:r>
      <w:r>
        <w:rPr>
          <w:rFonts w:hint="eastAsia" w:ascii="仿宋" w:hAnsi="仿宋" w:eastAsia="仿宋"/>
          <w:color w:val="000000"/>
          <w:sz w:val="28"/>
          <w:szCs w:val="28"/>
          <w:lang w:val="en-US" w:eastAsia="zh-CN"/>
        </w:rPr>
        <w:t>20</w:t>
      </w:r>
      <w:r>
        <w:rPr>
          <w:rFonts w:hint="eastAsia" w:ascii="仿宋" w:hAnsi="仿宋" w:eastAsia="仿宋"/>
          <w:color w:val="000000"/>
          <w:sz w:val="28"/>
          <w:szCs w:val="28"/>
        </w:rPr>
        <w:t>年2584.07万元相比，收、支总计</w:t>
      </w:r>
      <w:r>
        <w:rPr>
          <w:rFonts w:hint="eastAsia" w:ascii="仿宋" w:hAnsi="仿宋" w:eastAsia="仿宋"/>
          <w:color w:val="000000"/>
          <w:sz w:val="28"/>
          <w:szCs w:val="28"/>
          <w:lang w:eastAsia="zh-CN"/>
        </w:rPr>
        <w:t>增加</w:t>
      </w:r>
      <w:r>
        <w:rPr>
          <w:rFonts w:hint="eastAsia" w:ascii="仿宋" w:hAnsi="仿宋" w:eastAsia="仿宋"/>
          <w:color w:val="000000"/>
          <w:sz w:val="28"/>
          <w:szCs w:val="28"/>
          <w:lang w:val="en-US" w:eastAsia="zh-CN"/>
        </w:rPr>
        <w:t>168.71</w:t>
      </w:r>
      <w:r>
        <w:rPr>
          <w:rFonts w:hint="eastAsia" w:ascii="仿宋" w:hAnsi="仿宋" w:eastAsia="仿宋"/>
          <w:color w:val="000000"/>
          <w:sz w:val="28"/>
          <w:szCs w:val="28"/>
        </w:rPr>
        <w:t>万元，</w:t>
      </w:r>
      <w:r>
        <w:rPr>
          <w:rFonts w:hint="eastAsia" w:ascii="仿宋" w:hAnsi="仿宋" w:eastAsia="仿宋"/>
          <w:color w:val="000000"/>
          <w:sz w:val="28"/>
          <w:szCs w:val="28"/>
          <w:lang w:eastAsia="zh-CN"/>
        </w:rPr>
        <w:t>增加</w:t>
      </w:r>
      <w:r>
        <w:rPr>
          <w:rFonts w:hint="eastAsia" w:ascii="仿宋" w:hAnsi="仿宋" w:eastAsia="仿宋"/>
          <w:color w:val="000000"/>
          <w:sz w:val="28"/>
          <w:szCs w:val="28"/>
          <w:lang w:val="en-US" w:eastAsia="zh-CN"/>
        </w:rPr>
        <w:t>6.53</w:t>
      </w:r>
      <w:r>
        <w:rPr>
          <w:rFonts w:ascii="仿宋" w:hAnsi="仿宋" w:eastAsia="仿宋"/>
          <w:color w:val="000000"/>
          <w:sz w:val="28"/>
          <w:szCs w:val="28"/>
        </w:rPr>
        <w:t>%</w:t>
      </w:r>
      <w:r>
        <w:rPr>
          <w:rFonts w:hint="eastAsia" w:ascii="仿宋" w:hAnsi="仿宋" w:eastAsia="仿宋"/>
          <w:color w:val="000000"/>
          <w:sz w:val="28"/>
          <w:szCs w:val="28"/>
        </w:rPr>
        <w:t>。主要变动原因是</w:t>
      </w:r>
      <w:r>
        <w:rPr>
          <w:rFonts w:hint="eastAsia" w:ascii="仿宋" w:hAnsi="仿宋" w:eastAsia="仿宋" w:cs="仿宋"/>
          <w:bCs/>
          <w:color w:val="000000"/>
          <w:sz w:val="28"/>
          <w:szCs w:val="28"/>
        </w:rPr>
        <w:t>各项目资金增减变化</w:t>
      </w:r>
      <w:r>
        <w:rPr>
          <w:rFonts w:hint="eastAsia" w:ascii="仿宋" w:hAnsi="仿宋" w:eastAsia="仿宋"/>
          <w:color w:val="000000"/>
          <w:sz w:val="28"/>
          <w:szCs w:val="28"/>
        </w:rPr>
        <w:t>。</w:t>
      </w:r>
    </w:p>
    <w:p>
      <w:pPr>
        <w:pStyle w:val="25"/>
        <w:numPr>
          <w:ilvl w:val="0"/>
          <w:numId w:val="1"/>
        </w:numPr>
        <w:spacing w:line="600" w:lineRule="exact"/>
        <w:ind w:firstLineChars="0"/>
        <w:outlineLvl w:val="1"/>
        <w:rPr>
          <w:rStyle w:val="27"/>
          <w:rFonts w:ascii="仿宋" w:hAnsi="仿宋" w:eastAsia="仿宋" w:cs="仿宋"/>
          <w:b w:val="0"/>
        </w:rPr>
      </w:pPr>
      <w:bookmarkStart w:id="26" w:name="_Toc15396604"/>
      <w:bookmarkStart w:id="27" w:name="_Toc15377206"/>
      <w:r>
        <w:rPr>
          <w:rFonts w:hint="eastAsia" w:ascii="仿宋" w:hAnsi="仿宋" w:eastAsia="仿宋" w:cs="仿宋"/>
          <w:color w:val="000000"/>
          <w:sz w:val="32"/>
          <w:szCs w:val="32"/>
        </w:rPr>
        <w:t>收</w:t>
      </w:r>
      <w:r>
        <w:rPr>
          <w:rStyle w:val="27"/>
          <w:rFonts w:hint="eastAsia" w:ascii="仿宋" w:hAnsi="仿宋" w:eastAsia="仿宋" w:cs="仿宋"/>
          <w:b w:val="0"/>
        </w:rPr>
        <w:t>入决算情况说明</w:t>
      </w:r>
      <w:bookmarkEnd w:id="26"/>
      <w:bookmarkEnd w:id="27"/>
    </w:p>
    <w:p>
      <w:pPr>
        <w:spacing w:line="600" w:lineRule="exact"/>
        <w:ind w:firstLine="560" w:firstLineChars="200"/>
        <w:outlineLvl w:val="1"/>
        <w:rPr>
          <w:rFonts w:ascii="仿宋" w:hAnsi="仿宋" w:eastAsia="仿宋"/>
          <w:color w:val="000000"/>
          <w:sz w:val="28"/>
          <w:szCs w:val="28"/>
        </w:rPr>
      </w:pPr>
      <w:r>
        <w:rPr>
          <w:rFonts w:ascii="仿宋" w:hAnsi="仿宋" w:eastAsia="仿宋"/>
          <w:color w:val="000000"/>
          <w:sz w:val="28"/>
          <w:szCs w:val="28"/>
        </w:rPr>
        <w:t>20</w:t>
      </w:r>
      <w:r>
        <w:rPr>
          <w:rFonts w:hint="eastAsia" w:ascii="仿宋" w:hAnsi="仿宋" w:eastAsia="仿宋"/>
          <w:color w:val="000000"/>
          <w:sz w:val="28"/>
          <w:szCs w:val="28"/>
        </w:rPr>
        <w:t>2</w:t>
      </w:r>
      <w:r>
        <w:rPr>
          <w:rFonts w:hint="eastAsia" w:ascii="仿宋" w:hAnsi="仿宋" w:eastAsia="仿宋"/>
          <w:color w:val="000000"/>
          <w:sz w:val="28"/>
          <w:szCs w:val="28"/>
          <w:lang w:val="en-US" w:eastAsia="zh-CN"/>
        </w:rPr>
        <w:t>1</w:t>
      </w:r>
      <w:r>
        <w:rPr>
          <w:rFonts w:hint="eastAsia" w:ascii="仿宋" w:hAnsi="仿宋" w:eastAsia="仿宋"/>
          <w:color w:val="000000"/>
          <w:sz w:val="28"/>
          <w:szCs w:val="28"/>
        </w:rPr>
        <w:t>年本年收入合计</w:t>
      </w:r>
      <w:r>
        <w:rPr>
          <w:rFonts w:hint="eastAsia" w:ascii="仿宋" w:hAnsi="仿宋" w:eastAsia="仿宋"/>
          <w:color w:val="000000"/>
          <w:sz w:val="28"/>
          <w:szCs w:val="28"/>
          <w:lang w:val="en-US" w:eastAsia="zh-CN"/>
        </w:rPr>
        <w:t>2581.63</w:t>
      </w:r>
      <w:r>
        <w:rPr>
          <w:rFonts w:hint="eastAsia" w:ascii="仿宋" w:hAnsi="仿宋" w:eastAsia="仿宋"/>
          <w:color w:val="000000"/>
          <w:sz w:val="28"/>
          <w:szCs w:val="28"/>
        </w:rPr>
        <w:t>万元，其中：一般公共预算财政拨款收入</w:t>
      </w:r>
      <w:r>
        <w:rPr>
          <w:rFonts w:hint="eastAsia" w:ascii="仿宋" w:hAnsi="仿宋" w:eastAsia="仿宋"/>
          <w:color w:val="000000"/>
          <w:sz w:val="28"/>
          <w:szCs w:val="28"/>
          <w:lang w:val="en-US" w:eastAsia="zh-CN"/>
        </w:rPr>
        <w:t>635.78</w:t>
      </w:r>
      <w:r>
        <w:rPr>
          <w:rFonts w:hint="eastAsia" w:ascii="仿宋" w:hAnsi="仿宋" w:eastAsia="仿宋"/>
          <w:color w:val="000000"/>
          <w:sz w:val="28"/>
          <w:szCs w:val="28"/>
        </w:rPr>
        <w:t>万元，占</w:t>
      </w:r>
      <w:r>
        <w:rPr>
          <w:rFonts w:hint="eastAsia" w:ascii="仿宋" w:hAnsi="仿宋" w:eastAsia="仿宋"/>
          <w:color w:val="000000"/>
          <w:sz w:val="28"/>
          <w:szCs w:val="28"/>
          <w:lang w:val="en-US" w:eastAsia="zh-CN"/>
        </w:rPr>
        <w:t>24.63</w:t>
      </w:r>
      <w:r>
        <w:rPr>
          <w:rFonts w:ascii="仿宋" w:hAnsi="仿宋" w:eastAsia="仿宋"/>
          <w:color w:val="000000"/>
          <w:sz w:val="28"/>
          <w:szCs w:val="28"/>
        </w:rPr>
        <w:t>%</w:t>
      </w:r>
      <w:r>
        <w:rPr>
          <w:rFonts w:hint="eastAsia" w:ascii="仿宋" w:hAnsi="仿宋" w:eastAsia="仿宋"/>
          <w:color w:val="000000"/>
          <w:sz w:val="28"/>
          <w:szCs w:val="28"/>
        </w:rPr>
        <w:t>；政府性基金预算财政拨款收入</w:t>
      </w:r>
      <w:r>
        <w:rPr>
          <w:rFonts w:hint="eastAsia" w:ascii="仿宋" w:hAnsi="仿宋" w:eastAsia="仿宋"/>
          <w:color w:val="000000"/>
          <w:sz w:val="28"/>
          <w:szCs w:val="28"/>
          <w:lang w:val="en-US" w:eastAsia="zh-CN"/>
        </w:rPr>
        <w:t>1945.86</w:t>
      </w:r>
      <w:r>
        <w:rPr>
          <w:rFonts w:hint="eastAsia" w:ascii="仿宋" w:hAnsi="仿宋" w:eastAsia="仿宋"/>
          <w:color w:val="000000"/>
          <w:sz w:val="28"/>
          <w:szCs w:val="28"/>
        </w:rPr>
        <w:t>万元，占</w:t>
      </w:r>
      <w:r>
        <w:rPr>
          <w:rFonts w:hint="eastAsia" w:ascii="仿宋" w:hAnsi="仿宋" w:eastAsia="仿宋"/>
          <w:color w:val="000000"/>
          <w:sz w:val="28"/>
          <w:szCs w:val="28"/>
          <w:lang w:val="en-US" w:eastAsia="zh-CN"/>
        </w:rPr>
        <w:t>75.37</w:t>
      </w:r>
      <w:r>
        <w:rPr>
          <w:rFonts w:ascii="仿宋" w:hAnsi="仿宋" w:eastAsia="仿宋"/>
          <w:color w:val="000000"/>
          <w:sz w:val="28"/>
          <w:szCs w:val="28"/>
        </w:rPr>
        <w:t>%</w:t>
      </w:r>
      <w:r>
        <w:rPr>
          <w:rFonts w:hint="eastAsia" w:ascii="仿宋" w:hAnsi="仿宋" w:eastAsia="仿宋"/>
          <w:color w:val="000000"/>
          <w:sz w:val="28"/>
          <w:szCs w:val="28"/>
        </w:rPr>
        <w:t>；</w:t>
      </w:r>
      <w:r>
        <w:rPr>
          <w:rFonts w:hint="eastAsia" w:ascii="仿宋" w:hAnsi="仿宋" w:eastAsia="仿宋"/>
          <w:color w:val="000000" w:themeColor="text1"/>
          <w:sz w:val="28"/>
          <w:szCs w:val="28"/>
        </w:rPr>
        <w:t>上级补助收入0</w:t>
      </w:r>
      <w:r>
        <w:rPr>
          <w:rFonts w:hint="eastAsia" w:ascii="仿宋" w:hAnsi="仿宋" w:eastAsia="仿宋"/>
          <w:color w:val="000000"/>
          <w:sz w:val="28"/>
          <w:szCs w:val="28"/>
        </w:rPr>
        <w:t>万元，占0</w:t>
      </w:r>
      <w:r>
        <w:rPr>
          <w:rFonts w:ascii="仿宋" w:hAnsi="仿宋" w:eastAsia="仿宋"/>
          <w:color w:val="000000"/>
          <w:sz w:val="28"/>
          <w:szCs w:val="28"/>
        </w:rPr>
        <w:t>%</w:t>
      </w:r>
      <w:r>
        <w:rPr>
          <w:rFonts w:hint="eastAsia" w:ascii="仿宋" w:hAnsi="仿宋" w:eastAsia="仿宋"/>
          <w:color w:val="000000"/>
          <w:sz w:val="28"/>
          <w:szCs w:val="28"/>
        </w:rPr>
        <w:t>；事业收入0万元，占0</w:t>
      </w:r>
      <w:r>
        <w:rPr>
          <w:rFonts w:ascii="仿宋" w:hAnsi="仿宋" w:eastAsia="仿宋"/>
          <w:color w:val="000000"/>
          <w:sz w:val="28"/>
          <w:szCs w:val="28"/>
        </w:rPr>
        <w:t>%</w:t>
      </w:r>
      <w:r>
        <w:rPr>
          <w:rFonts w:hint="eastAsia" w:ascii="仿宋" w:hAnsi="仿宋" w:eastAsia="仿宋"/>
          <w:color w:val="000000"/>
          <w:sz w:val="28"/>
          <w:szCs w:val="28"/>
        </w:rPr>
        <w:t>；经营收入0万元，占0</w:t>
      </w:r>
      <w:r>
        <w:rPr>
          <w:rFonts w:ascii="仿宋" w:hAnsi="仿宋" w:eastAsia="仿宋"/>
          <w:color w:val="000000"/>
          <w:sz w:val="28"/>
          <w:szCs w:val="28"/>
        </w:rPr>
        <w:t>%</w:t>
      </w:r>
      <w:r>
        <w:rPr>
          <w:rFonts w:hint="eastAsia" w:ascii="仿宋" w:hAnsi="仿宋" w:eastAsia="仿宋"/>
          <w:color w:val="000000"/>
          <w:sz w:val="28"/>
          <w:szCs w:val="28"/>
        </w:rPr>
        <w:t>；附属单位上缴收入0万元，占0</w:t>
      </w:r>
      <w:r>
        <w:rPr>
          <w:rFonts w:ascii="仿宋" w:hAnsi="仿宋" w:eastAsia="仿宋"/>
          <w:color w:val="000000"/>
          <w:sz w:val="28"/>
          <w:szCs w:val="28"/>
        </w:rPr>
        <w:t>%</w:t>
      </w:r>
      <w:r>
        <w:rPr>
          <w:rFonts w:hint="eastAsia" w:ascii="仿宋" w:hAnsi="仿宋" w:eastAsia="仿宋"/>
          <w:color w:val="000000"/>
          <w:sz w:val="28"/>
          <w:szCs w:val="28"/>
        </w:rPr>
        <w:t>；其他收入0万元，占0</w:t>
      </w:r>
      <w:r>
        <w:rPr>
          <w:rFonts w:ascii="仿宋" w:hAnsi="仿宋" w:eastAsia="仿宋"/>
          <w:color w:val="000000"/>
          <w:sz w:val="28"/>
          <w:szCs w:val="28"/>
        </w:rPr>
        <w:t>%</w:t>
      </w:r>
      <w:r>
        <w:rPr>
          <w:rFonts w:hint="eastAsia" w:ascii="仿宋" w:hAnsi="仿宋" w:eastAsia="仿宋"/>
          <w:color w:val="000000"/>
          <w:sz w:val="28"/>
          <w:szCs w:val="28"/>
        </w:rPr>
        <w:t>。</w:t>
      </w:r>
    </w:p>
    <w:p>
      <w:pPr>
        <w:pStyle w:val="25"/>
        <w:numPr>
          <w:ilvl w:val="0"/>
          <w:numId w:val="1"/>
        </w:numPr>
        <w:spacing w:line="600" w:lineRule="exact"/>
        <w:ind w:firstLineChars="0"/>
        <w:outlineLvl w:val="1"/>
        <w:rPr>
          <w:rStyle w:val="27"/>
          <w:rFonts w:ascii="仿宋" w:hAnsi="仿宋" w:eastAsia="仿宋" w:cs="仿宋"/>
          <w:b w:val="0"/>
        </w:rPr>
      </w:pPr>
      <w:bookmarkStart w:id="28" w:name="_Toc15377207"/>
      <w:bookmarkStart w:id="29" w:name="_Toc15396605"/>
      <w:r>
        <w:rPr>
          <w:rStyle w:val="27"/>
          <w:rFonts w:hint="eastAsia" w:ascii="仿宋" w:hAnsi="仿宋" w:eastAsia="仿宋" w:cs="仿宋"/>
          <w:b w:val="0"/>
        </w:rPr>
        <w:t>支出决算情况说明</w:t>
      </w:r>
      <w:bookmarkEnd w:id="28"/>
      <w:bookmarkEnd w:id="29"/>
    </w:p>
    <w:p>
      <w:pPr>
        <w:spacing w:line="600" w:lineRule="exact"/>
        <w:ind w:firstLine="560" w:firstLineChars="200"/>
        <w:outlineLvl w:val="1"/>
        <w:rPr>
          <w:rFonts w:ascii="仿宋" w:hAnsi="仿宋" w:eastAsia="仿宋"/>
          <w:color w:val="000000"/>
          <w:sz w:val="32"/>
          <w:szCs w:val="32"/>
        </w:rPr>
      </w:pPr>
      <w:r>
        <w:rPr>
          <w:rFonts w:ascii="仿宋" w:hAnsi="仿宋" w:eastAsia="仿宋"/>
          <w:color w:val="000000"/>
          <w:sz w:val="28"/>
          <w:szCs w:val="28"/>
        </w:rPr>
        <w:t>20</w:t>
      </w:r>
      <w:r>
        <w:rPr>
          <w:rFonts w:hint="eastAsia" w:ascii="仿宋" w:hAnsi="仿宋" w:eastAsia="仿宋"/>
          <w:color w:val="000000"/>
          <w:sz w:val="28"/>
          <w:szCs w:val="28"/>
        </w:rPr>
        <w:t>2</w:t>
      </w:r>
      <w:r>
        <w:rPr>
          <w:rFonts w:hint="eastAsia" w:ascii="仿宋" w:hAnsi="仿宋" w:eastAsia="仿宋"/>
          <w:color w:val="000000"/>
          <w:sz w:val="28"/>
          <w:szCs w:val="28"/>
          <w:lang w:val="en-US" w:eastAsia="zh-CN"/>
        </w:rPr>
        <w:t>1</w:t>
      </w:r>
      <w:r>
        <w:rPr>
          <w:rFonts w:hint="eastAsia" w:ascii="仿宋" w:hAnsi="仿宋" w:eastAsia="仿宋"/>
          <w:color w:val="000000"/>
          <w:sz w:val="28"/>
          <w:szCs w:val="28"/>
        </w:rPr>
        <w:t>年本年支出合计</w:t>
      </w:r>
      <w:r>
        <w:rPr>
          <w:rFonts w:hint="eastAsia" w:ascii="仿宋" w:hAnsi="仿宋" w:eastAsia="仿宋"/>
          <w:color w:val="000000"/>
          <w:sz w:val="28"/>
          <w:szCs w:val="28"/>
          <w:lang w:val="en-US" w:eastAsia="zh-CN"/>
        </w:rPr>
        <w:t>2752.78</w:t>
      </w:r>
      <w:r>
        <w:rPr>
          <w:rFonts w:hint="eastAsia" w:ascii="仿宋" w:hAnsi="仿宋" w:eastAsia="仿宋"/>
          <w:color w:val="000000"/>
          <w:sz w:val="28"/>
          <w:szCs w:val="28"/>
        </w:rPr>
        <w:t>万元，其中：基本支出53</w:t>
      </w:r>
      <w:r>
        <w:rPr>
          <w:rFonts w:hint="eastAsia" w:ascii="仿宋" w:hAnsi="仿宋" w:eastAsia="仿宋"/>
          <w:color w:val="000000"/>
          <w:sz w:val="28"/>
          <w:szCs w:val="28"/>
          <w:lang w:val="en-US" w:eastAsia="zh-CN"/>
        </w:rPr>
        <w:t>1.29</w:t>
      </w:r>
      <w:r>
        <w:rPr>
          <w:rFonts w:hint="eastAsia" w:ascii="仿宋" w:hAnsi="仿宋" w:eastAsia="仿宋"/>
          <w:color w:val="000000"/>
          <w:sz w:val="28"/>
          <w:szCs w:val="28"/>
        </w:rPr>
        <w:t>万元，占</w:t>
      </w:r>
      <w:r>
        <w:rPr>
          <w:rFonts w:hint="eastAsia" w:ascii="仿宋" w:hAnsi="仿宋" w:eastAsia="仿宋"/>
          <w:color w:val="000000"/>
          <w:sz w:val="28"/>
          <w:szCs w:val="28"/>
          <w:lang w:val="en-US" w:eastAsia="zh-CN"/>
        </w:rPr>
        <w:t>19.3</w:t>
      </w:r>
      <w:r>
        <w:rPr>
          <w:rFonts w:ascii="仿宋" w:hAnsi="仿宋" w:eastAsia="仿宋"/>
          <w:color w:val="000000"/>
          <w:sz w:val="28"/>
          <w:szCs w:val="28"/>
        </w:rPr>
        <w:t>%</w:t>
      </w:r>
      <w:r>
        <w:rPr>
          <w:rFonts w:hint="eastAsia" w:ascii="仿宋" w:hAnsi="仿宋" w:eastAsia="仿宋"/>
          <w:color w:val="000000"/>
          <w:sz w:val="28"/>
          <w:szCs w:val="28"/>
        </w:rPr>
        <w:t>；项目支出</w:t>
      </w:r>
      <w:r>
        <w:rPr>
          <w:rFonts w:hint="eastAsia" w:ascii="仿宋" w:hAnsi="仿宋" w:eastAsia="仿宋"/>
          <w:color w:val="000000"/>
          <w:sz w:val="28"/>
          <w:szCs w:val="28"/>
          <w:lang w:val="en-US" w:eastAsia="zh-CN"/>
        </w:rPr>
        <w:t>2221.5</w:t>
      </w:r>
      <w:r>
        <w:rPr>
          <w:rFonts w:hint="eastAsia" w:ascii="仿宋" w:hAnsi="仿宋" w:eastAsia="仿宋"/>
          <w:color w:val="000000"/>
          <w:sz w:val="28"/>
          <w:szCs w:val="28"/>
        </w:rPr>
        <w:t>万元，占</w:t>
      </w:r>
      <w:r>
        <w:rPr>
          <w:rFonts w:hint="eastAsia" w:ascii="仿宋" w:hAnsi="仿宋" w:eastAsia="仿宋"/>
          <w:color w:val="000000"/>
          <w:sz w:val="28"/>
          <w:szCs w:val="28"/>
          <w:lang w:val="en-US" w:eastAsia="zh-CN"/>
        </w:rPr>
        <w:t>80.7</w:t>
      </w:r>
      <w:r>
        <w:rPr>
          <w:rFonts w:ascii="仿宋" w:hAnsi="仿宋" w:eastAsia="仿宋"/>
          <w:color w:val="000000"/>
          <w:sz w:val="28"/>
          <w:szCs w:val="28"/>
        </w:rPr>
        <w:t>%</w:t>
      </w:r>
      <w:r>
        <w:rPr>
          <w:rFonts w:hint="eastAsia" w:ascii="仿宋" w:hAnsi="仿宋" w:eastAsia="仿宋"/>
          <w:color w:val="000000"/>
          <w:sz w:val="28"/>
          <w:szCs w:val="28"/>
        </w:rPr>
        <w:t>；上缴上级支出0万元，占0</w:t>
      </w:r>
      <w:r>
        <w:rPr>
          <w:rFonts w:ascii="仿宋" w:hAnsi="仿宋" w:eastAsia="仿宋"/>
          <w:color w:val="000000"/>
          <w:sz w:val="28"/>
          <w:szCs w:val="28"/>
        </w:rPr>
        <w:t>%</w:t>
      </w:r>
      <w:r>
        <w:rPr>
          <w:rFonts w:hint="eastAsia" w:ascii="仿宋" w:hAnsi="仿宋" w:eastAsia="仿宋"/>
          <w:color w:val="000000"/>
          <w:sz w:val="28"/>
          <w:szCs w:val="28"/>
        </w:rPr>
        <w:t>；经营支出0万元，占0</w:t>
      </w:r>
      <w:r>
        <w:rPr>
          <w:rFonts w:ascii="仿宋" w:hAnsi="仿宋" w:eastAsia="仿宋"/>
          <w:color w:val="000000"/>
          <w:sz w:val="28"/>
          <w:szCs w:val="28"/>
        </w:rPr>
        <w:t>%</w:t>
      </w:r>
      <w:r>
        <w:rPr>
          <w:rFonts w:hint="eastAsia" w:ascii="仿宋" w:hAnsi="仿宋" w:eastAsia="仿宋"/>
          <w:color w:val="000000"/>
          <w:sz w:val="28"/>
          <w:szCs w:val="28"/>
        </w:rPr>
        <w:t>；对附属单位补助支出0万元，占0</w:t>
      </w:r>
      <w:r>
        <w:rPr>
          <w:rFonts w:ascii="仿宋" w:hAnsi="仿宋" w:eastAsia="仿宋"/>
          <w:color w:val="000000"/>
          <w:sz w:val="28"/>
          <w:szCs w:val="28"/>
        </w:rPr>
        <w:t>%</w:t>
      </w:r>
      <w:r>
        <w:rPr>
          <w:rFonts w:hint="eastAsia" w:ascii="仿宋" w:hAnsi="仿宋" w:eastAsia="仿宋"/>
          <w:color w:val="000000"/>
          <w:sz w:val="28"/>
          <w:szCs w:val="28"/>
        </w:rPr>
        <w:t>。</w:t>
      </w:r>
    </w:p>
    <w:p>
      <w:pPr>
        <w:pStyle w:val="25"/>
        <w:numPr>
          <w:ilvl w:val="0"/>
          <w:numId w:val="1"/>
        </w:numPr>
        <w:spacing w:line="600" w:lineRule="exact"/>
        <w:ind w:firstLineChars="0"/>
        <w:outlineLvl w:val="1"/>
        <w:rPr>
          <w:rStyle w:val="27"/>
          <w:rFonts w:ascii="仿宋" w:hAnsi="仿宋" w:eastAsia="仿宋" w:cs="仿宋"/>
          <w:b w:val="0"/>
        </w:rPr>
      </w:pPr>
      <w:bookmarkStart w:id="30" w:name="_Toc15396606"/>
      <w:bookmarkStart w:id="31" w:name="_Toc15377208"/>
      <w:r>
        <w:rPr>
          <w:rStyle w:val="27"/>
          <w:rFonts w:hint="eastAsia" w:ascii="仿宋" w:hAnsi="仿宋" w:eastAsia="仿宋" w:cs="仿宋"/>
          <w:b w:val="0"/>
        </w:rPr>
        <w:t>财政拨款收入支出决算总体情况说明</w:t>
      </w:r>
      <w:bookmarkEnd w:id="30"/>
      <w:bookmarkEnd w:id="31"/>
    </w:p>
    <w:p>
      <w:pPr>
        <w:spacing w:line="600" w:lineRule="exact"/>
        <w:ind w:firstLine="560" w:firstLineChars="200"/>
        <w:rPr>
          <w:rFonts w:ascii="仿宋" w:hAnsi="仿宋" w:eastAsia="仿宋"/>
          <w:color w:val="000000"/>
          <w:sz w:val="32"/>
          <w:szCs w:val="32"/>
        </w:rPr>
      </w:pPr>
      <w:bookmarkStart w:id="32" w:name="_Toc15396607"/>
      <w:bookmarkStart w:id="33" w:name="_Toc15377209"/>
      <w:r>
        <w:rPr>
          <w:rFonts w:hint="eastAsia" w:ascii="仿宋" w:hAnsi="仿宋" w:eastAsia="仿宋"/>
          <w:color w:val="000000"/>
          <w:sz w:val="28"/>
          <w:szCs w:val="28"/>
        </w:rPr>
        <w:t>202</w:t>
      </w:r>
      <w:r>
        <w:rPr>
          <w:rFonts w:hint="eastAsia" w:ascii="仿宋" w:hAnsi="仿宋" w:eastAsia="仿宋"/>
          <w:color w:val="000000"/>
          <w:sz w:val="28"/>
          <w:szCs w:val="28"/>
          <w:lang w:val="en-US" w:eastAsia="zh-CN"/>
        </w:rPr>
        <w:t>1</w:t>
      </w:r>
      <w:r>
        <w:rPr>
          <w:rFonts w:hint="eastAsia" w:ascii="仿宋" w:hAnsi="仿宋" w:eastAsia="仿宋"/>
          <w:color w:val="000000"/>
          <w:sz w:val="28"/>
          <w:szCs w:val="28"/>
        </w:rPr>
        <w:t>年度收、支总计</w:t>
      </w:r>
      <w:r>
        <w:rPr>
          <w:rFonts w:hint="eastAsia" w:ascii="仿宋" w:hAnsi="仿宋" w:eastAsia="仿宋"/>
          <w:color w:val="000000"/>
          <w:sz w:val="28"/>
          <w:szCs w:val="28"/>
          <w:lang w:val="en-US" w:eastAsia="zh-CN"/>
        </w:rPr>
        <w:t>2752.78</w:t>
      </w:r>
      <w:r>
        <w:rPr>
          <w:rFonts w:hint="eastAsia" w:ascii="仿宋" w:hAnsi="仿宋" w:eastAsia="仿宋"/>
          <w:color w:val="000000"/>
          <w:sz w:val="28"/>
          <w:szCs w:val="28"/>
        </w:rPr>
        <w:t>万元。与20</w:t>
      </w:r>
      <w:r>
        <w:rPr>
          <w:rFonts w:hint="eastAsia" w:ascii="仿宋" w:hAnsi="仿宋" w:eastAsia="仿宋"/>
          <w:color w:val="000000"/>
          <w:sz w:val="28"/>
          <w:szCs w:val="28"/>
          <w:lang w:val="en-US" w:eastAsia="zh-CN"/>
        </w:rPr>
        <w:t>20</w:t>
      </w:r>
      <w:r>
        <w:rPr>
          <w:rFonts w:hint="eastAsia" w:ascii="仿宋" w:hAnsi="仿宋" w:eastAsia="仿宋"/>
          <w:color w:val="000000"/>
          <w:sz w:val="28"/>
          <w:szCs w:val="28"/>
        </w:rPr>
        <w:t>年2584.07万元相比，收、支总计</w:t>
      </w:r>
      <w:r>
        <w:rPr>
          <w:rFonts w:hint="eastAsia" w:ascii="仿宋" w:hAnsi="仿宋" w:eastAsia="仿宋"/>
          <w:color w:val="000000"/>
          <w:sz w:val="28"/>
          <w:szCs w:val="28"/>
          <w:lang w:eastAsia="zh-CN"/>
        </w:rPr>
        <w:t>增加</w:t>
      </w:r>
      <w:r>
        <w:rPr>
          <w:rFonts w:hint="eastAsia" w:ascii="仿宋" w:hAnsi="仿宋" w:eastAsia="仿宋"/>
          <w:color w:val="000000"/>
          <w:sz w:val="28"/>
          <w:szCs w:val="28"/>
          <w:lang w:val="en-US" w:eastAsia="zh-CN"/>
        </w:rPr>
        <w:t>168.71</w:t>
      </w:r>
      <w:r>
        <w:rPr>
          <w:rFonts w:hint="eastAsia" w:ascii="仿宋" w:hAnsi="仿宋" w:eastAsia="仿宋"/>
          <w:color w:val="000000"/>
          <w:sz w:val="28"/>
          <w:szCs w:val="28"/>
        </w:rPr>
        <w:t>万元，</w:t>
      </w:r>
      <w:r>
        <w:rPr>
          <w:rFonts w:hint="eastAsia" w:ascii="仿宋" w:hAnsi="仿宋" w:eastAsia="仿宋"/>
          <w:color w:val="000000"/>
          <w:sz w:val="28"/>
          <w:szCs w:val="28"/>
          <w:lang w:eastAsia="zh-CN"/>
        </w:rPr>
        <w:t>增加</w:t>
      </w:r>
      <w:r>
        <w:rPr>
          <w:rFonts w:hint="eastAsia" w:ascii="仿宋" w:hAnsi="仿宋" w:eastAsia="仿宋"/>
          <w:color w:val="000000"/>
          <w:sz w:val="28"/>
          <w:szCs w:val="28"/>
          <w:lang w:val="en-US" w:eastAsia="zh-CN"/>
        </w:rPr>
        <w:t>6.53</w:t>
      </w:r>
      <w:r>
        <w:rPr>
          <w:rFonts w:ascii="仿宋" w:hAnsi="仿宋" w:eastAsia="仿宋"/>
          <w:color w:val="000000"/>
          <w:sz w:val="28"/>
          <w:szCs w:val="28"/>
        </w:rPr>
        <w:t>%</w:t>
      </w:r>
      <w:r>
        <w:rPr>
          <w:rFonts w:hint="eastAsia" w:ascii="仿宋" w:hAnsi="仿宋" w:eastAsia="仿宋"/>
          <w:color w:val="000000"/>
          <w:sz w:val="28"/>
          <w:szCs w:val="28"/>
        </w:rPr>
        <w:t>。主要变动原因是</w:t>
      </w:r>
      <w:r>
        <w:rPr>
          <w:rFonts w:hint="eastAsia" w:ascii="仿宋" w:hAnsi="仿宋" w:eastAsia="仿宋" w:cs="仿宋"/>
          <w:bCs/>
          <w:color w:val="000000"/>
          <w:sz w:val="28"/>
          <w:szCs w:val="28"/>
        </w:rPr>
        <w:t>各项目资金增减变化</w:t>
      </w:r>
      <w:r>
        <w:rPr>
          <w:rFonts w:hint="eastAsia" w:ascii="仿宋" w:hAnsi="仿宋" w:eastAsia="仿宋"/>
          <w:color w:val="000000"/>
          <w:sz w:val="28"/>
          <w:szCs w:val="28"/>
        </w:rPr>
        <w:t>。</w:t>
      </w:r>
    </w:p>
    <w:p>
      <w:pPr>
        <w:spacing w:line="600" w:lineRule="exact"/>
        <w:ind w:firstLine="640"/>
        <w:rPr>
          <w:rStyle w:val="27"/>
          <w:rFonts w:ascii="仿宋" w:hAnsi="仿宋" w:eastAsia="仿宋" w:cs="仿宋"/>
          <w:b w:val="0"/>
        </w:rPr>
      </w:pPr>
      <w:r>
        <w:rPr>
          <w:rFonts w:hint="eastAsia" w:ascii="仿宋" w:hAnsi="仿宋" w:eastAsia="仿宋" w:cs="仿宋"/>
          <w:color w:val="000000"/>
          <w:sz w:val="32"/>
          <w:szCs w:val="32"/>
        </w:rPr>
        <w:t>五、</w:t>
      </w:r>
      <w:r>
        <w:rPr>
          <w:rFonts w:hint="eastAsia" w:ascii="仿宋" w:hAnsi="仿宋" w:eastAsia="仿宋" w:cs="仿宋"/>
          <w:b/>
          <w:color w:val="000000"/>
          <w:sz w:val="32"/>
          <w:szCs w:val="32"/>
        </w:rPr>
        <w:t>一</w:t>
      </w:r>
      <w:r>
        <w:rPr>
          <w:rStyle w:val="27"/>
          <w:rFonts w:hint="eastAsia" w:ascii="仿宋" w:hAnsi="仿宋" w:eastAsia="仿宋" w:cs="仿宋"/>
          <w:b w:val="0"/>
        </w:rPr>
        <w:t>般公共预算财政拨款支出决算情况说明</w:t>
      </w:r>
      <w:bookmarkEnd w:id="32"/>
      <w:bookmarkEnd w:id="33"/>
    </w:p>
    <w:p>
      <w:pPr>
        <w:spacing w:line="600" w:lineRule="exact"/>
        <w:ind w:firstLine="560" w:firstLineChars="200"/>
        <w:outlineLvl w:val="2"/>
        <w:rPr>
          <w:rFonts w:ascii="仿宋" w:hAnsi="仿宋" w:eastAsia="仿宋" w:cs="仿宋"/>
          <w:bCs/>
          <w:color w:val="000000"/>
          <w:sz w:val="28"/>
          <w:szCs w:val="28"/>
        </w:rPr>
      </w:pPr>
      <w:bookmarkStart w:id="34" w:name="_Toc15377210"/>
      <w:r>
        <w:rPr>
          <w:rFonts w:hint="eastAsia" w:ascii="仿宋" w:hAnsi="仿宋" w:eastAsia="仿宋" w:cs="仿宋"/>
          <w:bCs/>
          <w:color w:val="000000"/>
          <w:sz w:val="28"/>
          <w:szCs w:val="28"/>
        </w:rPr>
        <w:t>（一）一般公共预算财政拨款支出决算总体情况</w:t>
      </w:r>
      <w:bookmarkEnd w:id="34"/>
    </w:p>
    <w:p>
      <w:pPr>
        <w:spacing w:line="560" w:lineRule="atLeast"/>
        <w:ind w:firstLine="560" w:firstLineChars="200"/>
        <w:rPr>
          <w:rFonts w:ascii="仿宋" w:hAnsi="仿宋" w:eastAsia="仿宋" w:cs="仿宋"/>
          <w:bCs/>
          <w:color w:val="000000"/>
          <w:sz w:val="28"/>
          <w:szCs w:val="28"/>
        </w:rPr>
      </w:pPr>
      <w:r>
        <w:rPr>
          <w:rFonts w:hint="eastAsia" w:ascii="仿宋" w:hAnsi="仿宋" w:eastAsia="仿宋" w:cs="仿宋"/>
          <w:bCs/>
          <w:color w:val="000000"/>
          <w:sz w:val="28"/>
          <w:szCs w:val="28"/>
        </w:rPr>
        <w:t>202</w:t>
      </w:r>
      <w:r>
        <w:rPr>
          <w:rFonts w:hint="eastAsia" w:ascii="仿宋" w:hAnsi="仿宋" w:eastAsia="仿宋" w:cs="仿宋"/>
          <w:bCs/>
          <w:color w:val="000000"/>
          <w:sz w:val="28"/>
          <w:szCs w:val="28"/>
          <w:lang w:val="en-US" w:eastAsia="zh-CN"/>
        </w:rPr>
        <w:t>1</w:t>
      </w:r>
      <w:r>
        <w:rPr>
          <w:rFonts w:hint="eastAsia" w:ascii="仿宋" w:hAnsi="仿宋" w:eastAsia="仿宋" w:cs="仿宋"/>
          <w:bCs/>
          <w:color w:val="000000"/>
          <w:sz w:val="28"/>
          <w:szCs w:val="28"/>
        </w:rPr>
        <w:t>年一般公共预算财政拨款支出</w:t>
      </w:r>
      <w:r>
        <w:rPr>
          <w:rFonts w:hint="eastAsia" w:ascii="仿宋" w:hAnsi="仿宋" w:eastAsia="仿宋" w:cs="仿宋"/>
          <w:bCs/>
          <w:color w:val="000000"/>
          <w:sz w:val="28"/>
          <w:szCs w:val="28"/>
          <w:lang w:val="en-US" w:eastAsia="zh-CN"/>
        </w:rPr>
        <w:t>806.92</w:t>
      </w:r>
      <w:r>
        <w:rPr>
          <w:rFonts w:hint="eastAsia" w:ascii="仿宋" w:hAnsi="仿宋" w:eastAsia="仿宋" w:cs="仿宋"/>
          <w:bCs/>
          <w:color w:val="000000"/>
          <w:sz w:val="28"/>
          <w:szCs w:val="28"/>
        </w:rPr>
        <w:t>万元，占本年支出合计的</w:t>
      </w:r>
      <w:r>
        <w:rPr>
          <w:rFonts w:hint="eastAsia" w:ascii="仿宋" w:hAnsi="仿宋" w:eastAsia="仿宋" w:cs="仿宋"/>
          <w:bCs/>
          <w:color w:val="000000"/>
          <w:sz w:val="28"/>
          <w:szCs w:val="28"/>
          <w:lang w:val="en-US" w:eastAsia="zh-CN"/>
        </w:rPr>
        <w:t>29.31</w:t>
      </w:r>
      <w:r>
        <w:rPr>
          <w:rFonts w:hint="eastAsia" w:ascii="仿宋" w:hAnsi="仿宋" w:eastAsia="仿宋" w:cs="仿宋"/>
          <w:bCs/>
          <w:color w:val="000000"/>
          <w:sz w:val="28"/>
          <w:szCs w:val="28"/>
        </w:rPr>
        <w:t>%。与20</w:t>
      </w:r>
      <w:r>
        <w:rPr>
          <w:rFonts w:hint="eastAsia" w:ascii="仿宋" w:hAnsi="仿宋" w:eastAsia="仿宋" w:cs="仿宋"/>
          <w:bCs/>
          <w:color w:val="000000"/>
          <w:sz w:val="28"/>
          <w:szCs w:val="28"/>
          <w:lang w:val="en-US" w:eastAsia="zh-CN"/>
        </w:rPr>
        <w:t>20</w:t>
      </w:r>
      <w:r>
        <w:rPr>
          <w:rFonts w:hint="eastAsia" w:ascii="仿宋" w:hAnsi="仿宋" w:eastAsia="仿宋" w:cs="仿宋"/>
          <w:bCs/>
          <w:color w:val="000000"/>
          <w:sz w:val="28"/>
          <w:szCs w:val="28"/>
        </w:rPr>
        <w:t>年相比，一般公共预算财政拨款减少</w:t>
      </w:r>
      <w:r>
        <w:rPr>
          <w:rFonts w:hint="eastAsia" w:ascii="仿宋" w:hAnsi="仿宋" w:eastAsia="仿宋" w:cs="仿宋"/>
          <w:bCs/>
          <w:color w:val="000000"/>
          <w:sz w:val="28"/>
          <w:szCs w:val="28"/>
          <w:lang w:val="en-US" w:eastAsia="zh-CN"/>
        </w:rPr>
        <w:t>86.07</w:t>
      </w:r>
      <w:r>
        <w:rPr>
          <w:rFonts w:hint="eastAsia" w:ascii="仿宋" w:hAnsi="仿宋" w:eastAsia="仿宋" w:cs="仿宋"/>
          <w:bCs/>
          <w:color w:val="000000"/>
          <w:sz w:val="28"/>
          <w:szCs w:val="28"/>
        </w:rPr>
        <w:t>万元，下降</w:t>
      </w:r>
      <w:r>
        <w:rPr>
          <w:rFonts w:hint="eastAsia" w:ascii="仿宋" w:hAnsi="仿宋" w:eastAsia="仿宋" w:cs="仿宋"/>
          <w:bCs/>
          <w:color w:val="000000"/>
          <w:sz w:val="28"/>
          <w:szCs w:val="28"/>
          <w:lang w:val="en-US" w:eastAsia="zh-CN"/>
        </w:rPr>
        <w:t>9.64</w:t>
      </w:r>
      <w:r>
        <w:rPr>
          <w:rFonts w:hint="eastAsia" w:ascii="仿宋" w:hAnsi="仿宋" w:eastAsia="仿宋" w:cs="仿宋"/>
          <w:bCs/>
          <w:color w:val="000000"/>
          <w:sz w:val="28"/>
          <w:szCs w:val="28"/>
        </w:rPr>
        <w:t>%。主要变动原因是各项目资金增减变化。</w:t>
      </w:r>
    </w:p>
    <w:p>
      <w:pPr>
        <w:spacing w:line="600" w:lineRule="exact"/>
        <w:ind w:firstLine="560" w:firstLineChars="200"/>
        <w:outlineLvl w:val="2"/>
        <w:rPr>
          <w:rFonts w:ascii="仿宋" w:hAnsi="仿宋" w:eastAsia="仿宋" w:cs="仿宋"/>
          <w:bCs/>
          <w:color w:val="000000"/>
          <w:sz w:val="28"/>
          <w:szCs w:val="28"/>
        </w:rPr>
      </w:pPr>
      <w:bookmarkStart w:id="35" w:name="_Toc15377211"/>
      <w:r>
        <w:rPr>
          <w:rFonts w:hint="eastAsia" w:ascii="仿宋" w:hAnsi="仿宋" w:eastAsia="仿宋" w:cs="仿宋"/>
          <w:bCs/>
          <w:color w:val="000000"/>
          <w:sz w:val="28"/>
          <w:szCs w:val="28"/>
        </w:rPr>
        <w:t>（二）一般公共预算财政拨款支出决算结构情况</w:t>
      </w:r>
      <w:bookmarkEnd w:id="35"/>
    </w:p>
    <w:p>
      <w:pPr>
        <w:spacing w:line="600" w:lineRule="exact"/>
        <w:ind w:firstLine="640"/>
        <w:rPr>
          <w:rFonts w:ascii="仿宋" w:hAnsi="仿宋" w:eastAsia="仿宋" w:cs="仿宋"/>
          <w:bCs/>
          <w:color w:val="000000" w:themeColor="text1"/>
          <w:sz w:val="28"/>
          <w:szCs w:val="28"/>
        </w:rPr>
      </w:pPr>
      <w:r>
        <w:rPr>
          <w:rFonts w:hint="eastAsia" w:ascii="仿宋" w:hAnsi="仿宋" w:eastAsia="仿宋" w:cs="仿宋"/>
          <w:bCs/>
          <w:color w:val="000000"/>
          <w:sz w:val="28"/>
          <w:szCs w:val="28"/>
        </w:rPr>
        <w:t>202</w:t>
      </w:r>
      <w:r>
        <w:rPr>
          <w:rFonts w:hint="eastAsia" w:ascii="仿宋" w:hAnsi="仿宋" w:eastAsia="仿宋" w:cs="仿宋"/>
          <w:bCs/>
          <w:color w:val="000000"/>
          <w:sz w:val="28"/>
          <w:szCs w:val="28"/>
          <w:lang w:val="en-US" w:eastAsia="zh-CN"/>
        </w:rPr>
        <w:t>1</w:t>
      </w:r>
      <w:r>
        <w:rPr>
          <w:rFonts w:hint="eastAsia" w:ascii="仿宋" w:hAnsi="仿宋" w:eastAsia="仿宋" w:cs="仿宋"/>
          <w:bCs/>
          <w:color w:val="000000"/>
          <w:sz w:val="28"/>
          <w:szCs w:val="28"/>
        </w:rPr>
        <w:t>年一般公共预算财</w:t>
      </w:r>
      <w:r>
        <w:rPr>
          <w:rFonts w:hint="eastAsia" w:ascii="仿宋" w:hAnsi="仿宋" w:eastAsia="仿宋" w:cs="仿宋"/>
          <w:bCs/>
          <w:color w:val="000000" w:themeColor="text1"/>
          <w:sz w:val="28"/>
          <w:szCs w:val="28"/>
        </w:rPr>
        <w:t>政拨款支出</w:t>
      </w:r>
      <w:r>
        <w:rPr>
          <w:rFonts w:hint="eastAsia" w:ascii="仿宋" w:hAnsi="仿宋" w:eastAsia="仿宋" w:cs="仿宋"/>
          <w:bCs/>
          <w:color w:val="000000"/>
          <w:sz w:val="28"/>
          <w:szCs w:val="28"/>
          <w:lang w:val="en-US" w:eastAsia="zh-CN"/>
        </w:rPr>
        <w:t>806.92</w:t>
      </w:r>
      <w:r>
        <w:rPr>
          <w:rFonts w:hint="eastAsia" w:ascii="仿宋" w:hAnsi="仿宋" w:eastAsia="仿宋" w:cs="仿宋"/>
          <w:bCs/>
          <w:color w:val="000000" w:themeColor="text1"/>
          <w:sz w:val="28"/>
          <w:szCs w:val="28"/>
        </w:rPr>
        <w:t>万元，主要用于以下方面:一般公共服务支出0.00万元，占0.00%；教育支出0.00万元，占0.00%；科学技术支出0.00万元，占0.00%；文化旅游体育与传媒支出0.00万元，占0.00%；社会保障和就业支出支出</w:t>
      </w:r>
      <w:r>
        <w:rPr>
          <w:rFonts w:hint="eastAsia" w:ascii="仿宋" w:hAnsi="仿宋" w:eastAsia="仿宋" w:cs="仿宋"/>
          <w:bCs/>
          <w:color w:val="000000" w:themeColor="text1"/>
          <w:sz w:val="28"/>
          <w:szCs w:val="28"/>
          <w:lang w:val="en-US" w:eastAsia="zh-CN"/>
        </w:rPr>
        <w:t>83.72</w:t>
      </w:r>
      <w:r>
        <w:rPr>
          <w:rFonts w:hint="eastAsia" w:ascii="仿宋" w:hAnsi="仿宋" w:eastAsia="仿宋" w:cs="仿宋"/>
          <w:bCs/>
          <w:color w:val="000000" w:themeColor="text1"/>
          <w:sz w:val="28"/>
          <w:szCs w:val="28"/>
        </w:rPr>
        <w:t>万元，占</w:t>
      </w:r>
      <w:r>
        <w:rPr>
          <w:rFonts w:hint="eastAsia" w:ascii="仿宋" w:hAnsi="仿宋" w:eastAsia="仿宋" w:cs="仿宋"/>
          <w:bCs/>
          <w:color w:val="000000" w:themeColor="text1"/>
          <w:sz w:val="28"/>
          <w:szCs w:val="28"/>
          <w:lang w:val="en-US" w:eastAsia="zh-CN"/>
        </w:rPr>
        <w:t>10.37</w:t>
      </w:r>
      <w:r>
        <w:rPr>
          <w:rFonts w:hint="eastAsia" w:ascii="仿宋" w:hAnsi="仿宋" w:eastAsia="仿宋" w:cs="仿宋"/>
          <w:bCs/>
          <w:color w:val="000000" w:themeColor="text1"/>
          <w:sz w:val="28"/>
          <w:szCs w:val="28"/>
        </w:rPr>
        <w:t>%；卫生健康支出1</w:t>
      </w:r>
      <w:r>
        <w:rPr>
          <w:rFonts w:hint="eastAsia" w:ascii="仿宋" w:hAnsi="仿宋" w:eastAsia="仿宋" w:cs="仿宋"/>
          <w:bCs/>
          <w:color w:val="000000" w:themeColor="text1"/>
          <w:sz w:val="28"/>
          <w:szCs w:val="28"/>
          <w:lang w:val="en-US" w:eastAsia="zh-CN"/>
        </w:rPr>
        <w:t>2.0</w:t>
      </w:r>
      <w:r>
        <w:rPr>
          <w:rFonts w:hint="eastAsia" w:ascii="仿宋" w:hAnsi="仿宋" w:eastAsia="仿宋" w:cs="仿宋"/>
          <w:bCs/>
          <w:color w:val="000000" w:themeColor="text1"/>
          <w:sz w:val="28"/>
          <w:szCs w:val="28"/>
        </w:rPr>
        <w:t>9万元, 占1.50%；节能环保支出0.00万元，占0.00%；城乡社区支出0万元，占0%；农林水支出</w:t>
      </w:r>
      <w:r>
        <w:rPr>
          <w:rFonts w:hint="eastAsia" w:ascii="仿宋" w:hAnsi="仿宋" w:eastAsia="仿宋" w:cs="仿宋"/>
          <w:bCs/>
          <w:color w:val="000000" w:themeColor="text1"/>
          <w:sz w:val="28"/>
          <w:szCs w:val="28"/>
          <w:lang w:val="en-US" w:eastAsia="zh-CN"/>
        </w:rPr>
        <w:t>672.88</w:t>
      </w:r>
      <w:r>
        <w:rPr>
          <w:rFonts w:hint="eastAsia" w:ascii="仿宋" w:hAnsi="仿宋" w:eastAsia="仿宋" w:cs="仿宋"/>
          <w:bCs/>
          <w:color w:val="000000" w:themeColor="text1"/>
          <w:sz w:val="28"/>
          <w:szCs w:val="28"/>
        </w:rPr>
        <w:t>万元，占8</w:t>
      </w:r>
      <w:r>
        <w:rPr>
          <w:rFonts w:hint="eastAsia" w:ascii="仿宋" w:hAnsi="仿宋" w:eastAsia="仿宋" w:cs="仿宋"/>
          <w:bCs/>
          <w:color w:val="000000" w:themeColor="text1"/>
          <w:sz w:val="28"/>
          <w:szCs w:val="28"/>
          <w:lang w:val="en-US" w:eastAsia="zh-CN"/>
        </w:rPr>
        <w:t>3.39</w:t>
      </w:r>
      <w:r>
        <w:rPr>
          <w:rFonts w:hint="eastAsia" w:ascii="仿宋" w:hAnsi="仿宋" w:eastAsia="仿宋" w:cs="仿宋"/>
          <w:bCs/>
          <w:color w:val="000000" w:themeColor="text1"/>
          <w:sz w:val="28"/>
          <w:szCs w:val="28"/>
        </w:rPr>
        <w:t>%；交通运输支出0.00万元，占0.00%；资源勘探信息等支出0.00万元，占0.00%；商业服务业等支出0.00万元，占0.00%；金融支出0.00%；国土海洋气象等支出0.00万元，占0.00%；住房保障支出</w:t>
      </w:r>
      <w:r>
        <w:rPr>
          <w:rFonts w:hint="eastAsia" w:ascii="仿宋" w:hAnsi="仿宋" w:eastAsia="仿宋" w:cs="仿宋"/>
          <w:bCs/>
          <w:color w:val="000000" w:themeColor="text1"/>
          <w:sz w:val="28"/>
          <w:szCs w:val="28"/>
          <w:lang w:val="en-US" w:eastAsia="zh-CN"/>
        </w:rPr>
        <w:t>38..24</w:t>
      </w:r>
      <w:r>
        <w:rPr>
          <w:rFonts w:hint="eastAsia" w:ascii="仿宋" w:hAnsi="仿宋" w:eastAsia="仿宋" w:cs="仿宋"/>
          <w:bCs/>
          <w:color w:val="000000" w:themeColor="text1"/>
          <w:sz w:val="28"/>
          <w:szCs w:val="28"/>
        </w:rPr>
        <w:t>万元，占4.</w:t>
      </w:r>
      <w:r>
        <w:rPr>
          <w:rFonts w:hint="eastAsia" w:ascii="仿宋" w:hAnsi="仿宋" w:eastAsia="仿宋" w:cs="仿宋"/>
          <w:bCs/>
          <w:color w:val="000000" w:themeColor="text1"/>
          <w:sz w:val="28"/>
          <w:szCs w:val="28"/>
          <w:lang w:val="en-US" w:eastAsia="zh-CN"/>
        </w:rPr>
        <w:t>74</w:t>
      </w:r>
      <w:r>
        <w:rPr>
          <w:rFonts w:hint="eastAsia" w:ascii="仿宋" w:hAnsi="仿宋" w:eastAsia="仿宋" w:cs="仿宋"/>
          <w:bCs/>
          <w:color w:val="000000" w:themeColor="text1"/>
          <w:sz w:val="28"/>
          <w:szCs w:val="28"/>
        </w:rPr>
        <w:t>%；粮油物资储备支出0.00万元，占0.00%；其他支出0.00万元，占0.00%；债务还本支出）0.00万元，占0.00%；债务付息支出0.00万元，占0.00%；债务付息支出0.00万元，占0.00%。</w:t>
      </w:r>
    </w:p>
    <w:p>
      <w:pPr>
        <w:spacing w:line="600" w:lineRule="exact"/>
        <w:ind w:firstLine="560" w:firstLineChars="200"/>
        <w:outlineLvl w:val="2"/>
        <w:rPr>
          <w:rFonts w:ascii="仿宋" w:hAnsi="仿宋" w:eastAsia="仿宋" w:cs="仿宋"/>
          <w:bCs/>
          <w:color w:val="000000"/>
          <w:sz w:val="28"/>
          <w:szCs w:val="28"/>
        </w:rPr>
      </w:pPr>
      <w:r>
        <w:rPr>
          <w:rFonts w:hint="eastAsia" w:ascii="仿宋" w:hAnsi="仿宋" w:eastAsia="仿宋" w:cs="仿宋"/>
          <w:bCs/>
          <w:color w:val="000000"/>
          <w:sz w:val="28"/>
          <w:szCs w:val="28"/>
        </w:rPr>
        <w:t>（三）一般公共预算财政拨款支出决算具体情况</w:t>
      </w:r>
    </w:p>
    <w:p>
      <w:pPr>
        <w:spacing w:line="600" w:lineRule="exact"/>
        <w:ind w:firstLine="560" w:firstLineChars="200"/>
        <w:outlineLvl w:val="2"/>
        <w:rPr>
          <w:rFonts w:ascii="仿宋" w:hAnsi="仿宋" w:eastAsia="仿宋" w:cs="仿宋"/>
          <w:bCs/>
          <w:color w:val="FF0000"/>
          <w:sz w:val="28"/>
          <w:szCs w:val="28"/>
        </w:rPr>
      </w:pPr>
      <w:r>
        <w:rPr>
          <w:rFonts w:hint="eastAsia" w:ascii="仿宋" w:hAnsi="仿宋" w:eastAsia="仿宋" w:cs="仿宋"/>
          <w:bCs/>
          <w:color w:val="000000" w:themeColor="text1"/>
          <w:sz w:val="28"/>
          <w:szCs w:val="28"/>
        </w:rPr>
        <w:t>202</w:t>
      </w:r>
      <w:r>
        <w:rPr>
          <w:rFonts w:hint="eastAsia" w:ascii="仿宋" w:hAnsi="仿宋" w:eastAsia="仿宋" w:cs="仿宋"/>
          <w:bCs/>
          <w:color w:val="000000" w:themeColor="text1"/>
          <w:sz w:val="28"/>
          <w:szCs w:val="28"/>
          <w:lang w:val="en-US" w:eastAsia="zh-CN"/>
        </w:rPr>
        <w:t>1</w:t>
      </w:r>
      <w:r>
        <w:rPr>
          <w:rFonts w:hint="eastAsia" w:ascii="仿宋" w:hAnsi="仿宋" w:eastAsia="仿宋" w:cs="仿宋"/>
          <w:bCs/>
          <w:color w:val="000000" w:themeColor="text1"/>
          <w:sz w:val="28"/>
          <w:szCs w:val="28"/>
        </w:rPr>
        <w:t>年一般公共预算支出决算数为</w:t>
      </w:r>
      <w:r>
        <w:rPr>
          <w:rFonts w:hint="eastAsia" w:ascii="仿宋" w:hAnsi="仿宋" w:eastAsia="仿宋" w:cs="仿宋"/>
          <w:bCs/>
          <w:color w:val="000000"/>
          <w:sz w:val="28"/>
          <w:szCs w:val="28"/>
          <w:lang w:val="en-US" w:eastAsia="zh-CN"/>
        </w:rPr>
        <w:t>806.92</w:t>
      </w:r>
      <w:r>
        <w:rPr>
          <w:rFonts w:hint="eastAsia" w:ascii="仿宋" w:hAnsi="仿宋" w:eastAsia="仿宋" w:cs="仿宋"/>
          <w:bCs/>
          <w:color w:val="000000" w:themeColor="text1"/>
          <w:sz w:val="28"/>
          <w:szCs w:val="28"/>
        </w:rPr>
        <w:t>万元，</w:t>
      </w:r>
      <w:r>
        <w:rPr>
          <w:rStyle w:val="16"/>
          <w:rFonts w:hint="eastAsia" w:ascii="仿宋" w:hAnsi="仿宋" w:eastAsia="仿宋" w:cs="仿宋"/>
          <w:b w:val="0"/>
          <w:bCs/>
          <w:color w:val="000000" w:themeColor="text1"/>
          <w:sz w:val="28"/>
          <w:szCs w:val="28"/>
        </w:rPr>
        <w:t>完成</w:t>
      </w:r>
      <w:r>
        <w:rPr>
          <w:rStyle w:val="16"/>
          <w:rFonts w:hint="eastAsia" w:ascii="仿宋" w:hAnsi="仿宋" w:eastAsia="仿宋" w:cs="仿宋"/>
          <w:b w:val="0"/>
          <w:bCs/>
          <w:color w:val="000000"/>
          <w:sz w:val="28"/>
          <w:szCs w:val="28"/>
        </w:rPr>
        <w:t>预算100%</w:t>
      </w:r>
      <w:r>
        <w:rPr>
          <w:rFonts w:hint="eastAsia" w:ascii="仿宋" w:hAnsi="仿宋" w:eastAsia="仿宋" w:cs="仿宋"/>
          <w:bCs/>
          <w:color w:val="000000"/>
          <w:sz w:val="28"/>
          <w:szCs w:val="28"/>
        </w:rPr>
        <w:t>，</w:t>
      </w:r>
      <w:r>
        <w:rPr>
          <w:rFonts w:hint="eastAsia" w:ascii="仿宋" w:hAnsi="仿宋" w:eastAsia="仿宋" w:cs="仿宋"/>
          <w:bCs/>
          <w:color w:val="333333"/>
          <w:sz w:val="28"/>
          <w:szCs w:val="28"/>
        </w:rPr>
        <w:t>与预算数持平。</w:t>
      </w:r>
      <w:r>
        <w:rPr>
          <w:rStyle w:val="16"/>
          <w:rFonts w:hint="eastAsia" w:ascii="仿宋" w:hAnsi="仿宋" w:eastAsia="仿宋" w:cs="仿宋"/>
          <w:b w:val="0"/>
          <w:bCs/>
          <w:color w:val="000000"/>
          <w:sz w:val="28"/>
          <w:szCs w:val="28"/>
        </w:rPr>
        <w:t>其中：</w:t>
      </w:r>
    </w:p>
    <w:p>
      <w:pPr>
        <w:spacing w:line="580" w:lineRule="exact"/>
        <w:ind w:firstLine="560" w:firstLineChars="200"/>
        <w:jc w:val="left"/>
        <w:rPr>
          <w:rFonts w:ascii="仿宋" w:hAnsi="仿宋" w:eastAsia="仿宋" w:cs="仿宋"/>
          <w:bCs/>
          <w:color w:val="333333"/>
          <w:sz w:val="28"/>
          <w:szCs w:val="28"/>
        </w:rPr>
      </w:pPr>
      <w:r>
        <w:rPr>
          <w:rFonts w:hint="eastAsia" w:ascii="仿宋" w:hAnsi="仿宋" w:eastAsia="仿宋" w:cs="仿宋"/>
          <w:bCs/>
          <w:color w:val="000000"/>
          <w:sz w:val="28"/>
          <w:szCs w:val="28"/>
        </w:rPr>
        <w:t>1、社会保障和就业支出（208）20</w:t>
      </w:r>
      <w:r>
        <w:rPr>
          <w:rFonts w:hint="eastAsia" w:ascii="仿宋" w:hAnsi="仿宋" w:eastAsia="仿宋" w:cs="仿宋"/>
          <w:bCs/>
          <w:color w:val="000000"/>
          <w:sz w:val="28"/>
          <w:szCs w:val="28"/>
          <w:lang w:val="en-US" w:eastAsia="zh-CN"/>
        </w:rPr>
        <w:t>21</w:t>
      </w:r>
      <w:r>
        <w:rPr>
          <w:rFonts w:hint="eastAsia" w:ascii="仿宋" w:hAnsi="仿宋" w:eastAsia="仿宋" w:cs="仿宋"/>
          <w:bCs/>
          <w:color w:val="000000"/>
          <w:sz w:val="28"/>
          <w:szCs w:val="28"/>
        </w:rPr>
        <w:t>年决算数为</w:t>
      </w:r>
      <w:r>
        <w:rPr>
          <w:rFonts w:hint="eastAsia" w:ascii="仿宋" w:hAnsi="仿宋" w:eastAsia="仿宋" w:cs="仿宋"/>
          <w:bCs/>
          <w:color w:val="000000" w:themeColor="text1"/>
          <w:sz w:val="28"/>
          <w:szCs w:val="28"/>
          <w:lang w:val="en-US" w:eastAsia="zh-CN"/>
        </w:rPr>
        <w:t>83.72</w:t>
      </w:r>
      <w:r>
        <w:rPr>
          <w:rFonts w:hint="eastAsia" w:ascii="仿宋" w:hAnsi="仿宋" w:eastAsia="仿宋" w:cs="仿宋"/>
          <w:bCs/>
          <w:color w:val="000000"/>
          <w:sz w:val="28"/>
          <w:szCs w:val="28"/>
        </w:rPr>
        <w:t>万元，完成预算100%，</w:t>
      </w:r>
      <w:r>
        <w:rPr>
          <w:rFonts w:hint="eastAsia" w:ascii="仿宋" w:hAnsi="仿宋" w:eastAsia="仿宋" w:cs="仿宋"/>
          <w:bCs/>
          <w:color w:val="333333"/>
          <w:sz w:val="28"/>
          <w:szCs w:val="28"/>
        </w:rPr>
        <w:t>与预算数持平。其中：</w:t>
      </w:r>
    </w:p>
    <w:p>
      <w:pPr>
        <w:spacing w:line="580" w:lineRule="exact"/>
        <w:ind w:firstLine="560" w:firstLineChars="200"/>
        <w:rPr>
          <w:rFonts w:ascii="仿宋" w:hAnsi="仿宋" w:eastAsia="仿宋" w:cs="仿宋"/>
          <w:bCs/>
          <w:color w:val="333333"/>
          <w:sz w:val="28"/>
          <w:szCs w:val="28"/>
        </w:rPr>
      </w:pPr>
      <w:r>
        <w:rPr>
          <w:rFonts w:hint="eastAsia" w:ascii="仿宋" w:hAnsi="仿宋" w:eastAsia="仿宋" w:cs="仿宋"/>
          <w:bCs/>
          <w:color w:val="000000"/>
          <w:sz w:val="28"/>
          <w:szCs w:val="28"/>
        </w:rPr>
        <w:t>机关事业单位基本养老保险缴费支出（2080505）202</w:t>
      </w:r>
      <w:r>
        <w:rPr>
          <w:rFonts w:hint="eastAsia" w:ascii="仿宋" w:hAnsi="仿宋" w:eastAsia="仿宋" w:cs="仿宋"/>
          <w:bCs/>
          <w:color w:val="000000"/>
          <w:sz w:val="28"/>
          <w:szCs w:val="28"/>
          <w:lang w:val="en-US" w:eastAsia="zh-CN"/>
        </w:rPr>
        <w:t>1</w:t>
      </w:r>
      <w:r>
        <w:rPr>
          <w:rFonts w:hint="eastAsia" w:ascii="仿宋" w:hAnsi="仿宋" w:eastAsia="仿宋" w:cs="仿宋"/>
          <w:bCs/>
          <w:color w:val="000000"/>
          <w:sz w:val="28"/>
          <w:szCs w:val="28"/>
        </w:rPr>
        <w:t>年决算数为3</w:t>
      </w:r>
      <w:r>
        <w:rPr>
          <w:rFonts w:hint="eastAsia" w:ascii="仿宋" w:hAnsi="仿宋" w:eastAsia="仿宋" w:cs="仿宋"/>
          <w:bCs/>
          <w:color w:val="000000"/>
          <w:sz w:val="28"/>
          <w:szCs w:val="28"/>
          <w:lang w:val="en-US" w:eastAsia="zh-CN"/>
        </w:rPr>
        <w:t>1.17</w:t>
      </w:r>
      <w:r>
        <w:rPr>
          <w:rFonts w:hint="eastAsia" w:ascii="仿宋" w:hAnsi="仿宋" w:eastAsia="仿宋" w:cs="仿宋"/>
          <w:bCs/>
          <w:color w:val="000000"/>
          <w:sz w:val="28"/>
          <w:szCs w:val="28"/>
        </w:rPr>
        <w:t>万元，完成预算100%，</w:t>
      </w:r>
      <w:r>
        <w:rPr>
          <w:rFonts w:hint="eastAsia" w:ascii="仿宋" w:hAnsi="仿宋" w:eastAsia="仿宋" w:cs="仿宋"/>
          <w:bCs/>
          <w:color w:val="333333"/>
          <w:sz w:val="28"/>
          <w:szCs w:val="28"/>
        </w:rPr>
        <w:t>与预算数持平。</w:t>
      </w:r>
    </w:p>
    <w:p>
      <w:pPr>
        <w:spacing w:line="580" w:lineRule="exact"/>
        <w:ind w:firstLine="560" w:firstLineChars="200"/>
        <w:rPr>
          <w:rFonts w:ascii="仿宋" w:hAnsi="仿宋" w:eastAsia="仿宋" w:cs="仿宋"/>
          <w:bCs/>
          <w:color w:val="333333"/>
          <w:sz w:val="28"/>
          <w:szCs w:val="28"/>
        </w:rPr>
      </w:pPr>
      <w:r>
        <w:rPr>
          <w:rFonts w:hint="eastAsia" w:ascii="仿宋" w:hAnsi="仿宋" w:eastAsia="仿宋" w:cs="仿宋"/>
          <w:bCs/>
          <w:color w:val="000000"/>
          <w:sz w:val="28"/>
          <w:szCs w:val="28"/>
        </w:rPr>
        <w:t>机关事业单位职业年金缴费支出（2080506</w:t>
      </w:r>
      <w:r>
        <w:rPr>
          <w:rStyle w:val="16"/>
          <w:rFonts w:hint="eastAsia" w:ascii="仿宋" w:hAnsi="仿宋" w:eastAsia="仿宋" w:cs="仿宋"/>
          <w:b w:val="0"/>
          <w:bCs/>
          <w:color w:val="000000"/>
          <w:sz w:val="28"/>
          <w:szCs w:val="28"/>
        </w:rPr>
        <w:t>）</w:t>
      </w:r>
      <w:r>
        <w:rPr>
          <w:rFonts w:hint="eastAsia" w:ascii="仿宋" w:hAnsi="仿宋" w:eastAsia="仿宋" w:cs="仿宋"/>
          <w:bCs/>
          <w:color w:val="000000"/>
          <w:sz w:val="28"/>
          <w:szCs w:val="28"/>
        </w:rPr>
        <w:t>202</w:t>
      </w:r>
      <w:r>
        <w:rPr>
          <w:rFonts w:hint="eastAsia" w:ascii="仿宋" w:hAnsi="仿宋" w:eastAsia="仿宋" w:cs="仿宋"/>
          <w:bCs/>
          <w:color w:val="000000"/>
          <w:sz w:val="28"/>
          <w:szCs w:val="28"/>
          <w:lang w:val="en-US" w:eastAsia="zh-CN"/>
        </w:rPr>
        <w:t>1</w:t>
      </w:r>
      <w:r>
        <w:rPr>
          <w:rFonts w:hint="eastAsia" w:ascii="仿宋" w:hAnsi="仿宋" w:eastAsia="仿宋" w:cs="仿宋"/>
          <w:bCs/>
          <w:color w:val="000000"/>
          <w:sz w:val="28"/>
          <w:szCs w:val="28"/>
        </w:rPr>
        <w:t>年决算数为</w:t>
      </w:r>
      <w:r>
        <w:rPr>
          <w:rFonts w:hint="eastAsia" w:ascii="仿宋" w:hAnsi="仿宋" w:eastAsia="仿宋" w:cs="仿宋"/>
          <w:bCs/>
          <w:color w:val="000000"/>
          <w:sz w:val="28"/>
          <w:szCs w:val="28"/>
          <w:lang w:val="en-US" w:eastAsia="zh-CN"/>
        </w:rPr>
        <w:t>16.88</w:t>
      </w:r>
      <w:r>
        <w:rPr>
          <w:rFonts w:hint="eastAsia" w:ascii="仿宋" w:hAnsi="仿宋" w:eastAsia="仿宋" w:cs="仿宋"/>
          <w:bCs/>
          <w:color w:val="000000"/>
          <w:sz w:val="28"/>
          <w:szCs w:val="28"/>
        </w:rPr>
        <w:t>万元，完成预算100%，</w:t>
      </w:r>
      <w:r>
        <w:rPr>
          <w:rFonts w:hint="eastAsia" w:ascii="仿宋" w:hAnsi="仿宋" w:eastAsia="仿宋" w:cs="仿宋"/>
          <w:bCs/>
          <w:color w:val="333333"/>
          <w:sz w:val="28"/>
          <w:szCs w:val="28"/>
        </w:rPr>
        <w:t>与预算数持平。</w:t>
      </w:r>
    </w:p>
    <w:p>
      <w:pPr>
        <w:spacing w:line="580" w:lineRule="exact"/>
        <w:ind w:firstLine="560" w:firstLineChars="200"/>
        <w:rPr>
          <w:rFonts w:ascii="仿宋" w:hAnsi="仿宋" w:eastAsia="仿宋" w:cs="仿宋"/>
          <w:bCs/>
          <w:color w:val="000000"/>
          <w:sz w:val="28"/>
          <w:szCs w:val="28"/>
        </w:rPr>
      </w:pPr>
      <w:r>
        <w:rPr>
          <w:rFonts w:hint="eastAsia" w:ascii="仿宋" w:hAnsi="仿宋" w:eastAsia="仿宋" w:cs="仿宋"/>
          <w:bCs/>
          <w:color w:val="000000"/>
          <w:sz w:val="28"/>
          <w:szCs w:val="28"/>
        </w:rPr>
        <w:t>死亡抚恤（2080801）202</w:t>
      </w:r>
      <w:r>
        <w:rPr>
          <w:rFonts w:hint="eastAsia" w:ascii="仿宋" w:hAnsi="仿宋" w:eastAsia="仿宋" w:cs="仿宋"/>
          <w:bCs/>
          <w:color w:val="000000"/>
          <w:sz w:val="28"/>
          <w:szCs w:val="28"/>
          <w:lang w:val="en-US" w:eastAsia="zh-CN"/>
        </w:rPr>
        <w:t>1</w:t>
      </w:r>
      <w:r>
        <w:rPr>
          <w:rFonts w:hint="eastAsia" w:ascii="仿宋" w:hAnsi="仿宋" w:eastAsia="仿宋" w:cs="仿宋"/>
          <w:bCs/>
          <w:color w:val="000000"/>
          <w:sz w:val="28"/>
          <w:szCs w:val="28"/>
        </w:rPr>
        <w:t>年决算数为</w:t>
      </w:r>
      <w:r>
        <w:rPr>
          <w:rFonts w:hint="eastAsia" w:ascii="仿宋" w:hAnsi="仿宋" w:eastAsia="仿宋" w:cs="仿宋"/>
          <w:bCs/>
          <w:color w:val="000000"/>
          <w:sz w:val="28"/>
          <w:szCs w:val="28"/>
          <w:lang w:val="en-US" w:eastAsia="zh-CN"/>
        </w:rPr>
        <w:t>5.87</w:t>
      </w:r>
      <w:r>
        <w:rPr>
          <w:rFonts w:hint="eastAsia" w:ascii="仿宋" w:hAnsi="仿宋" w:eastAsia="仿宋" w:cs="仿宋"/>
          <w:bCs/>
          <w:color w:val="000000"/>
          <w:sz w:val="28"/>
          <w:szCs w:val="28"/>
        </w:rPr>
        <w:t>万元，年初无预算,该经费为退休职工丁的安葬费和抚恤金。</w:t>
      </w:r>
    </w:p>
    <w:p>
      <w:pPr>
        <w:spacing w:line="560" w:lineRule="atLeast"/>
        <w:ind w:firstLine="560" w:firstLineChars="200"/>
        <w:rPr>
          <w:rFonts w:hint="eastAsia" w:ascii="仿宋" w:hAnsi="仿宋" w:eastAsia="仿宋" w:cs="仿宋"/>
          <w:sz w:val="28"/>
          <w:szCs w:val="28"/>
        </w:rPr>
      </w:pPr>
      <w:r>
        <w:rPr>
          <w:rFonts w:hint="eastAsia" w:ascii="仿宋" w:hAnsi="仿宋" w:eastAsia="仿宋" w:cs="仿宋"/>
          <w:bCs/>
          <w:color w:val="000000"/>
          <w:kern w:val="0"/>
          <w:sz w:val="28"/>
          <w:szCs w:val="28"/>
        </w:rPr>
        <w:t>其他</w:t>
      </w:r>
      <w:r>
        <w:rPr>
          <w:rFonts w:hint="eastAsia" w:ascii="仿宋" w:hAnsi="仿宋" w:eastAsia="仿宋" w:cs="仿宋"/>
          <w:bCs/>
          <w:color w:val="000000"/>
          <w:kern w:val="0"/>
          <w:sz w:val="28"/>
          <w:szCs w:val="28"/>
          <w:lang w:eastAsia="zh-CN"/>
        </w:rPr>
        <w:t>社会保障和就业</w:t>
      </w:r>
      <w:r>
        <w:rPr>
          <w:rFonts w:hint="eastAsia" w:ascii="仿宋" w:hAnsi="仿宋" w:eastAsia="仿宋" w:cs="仿宋"/>
          <w:bCs/>
          <w:color w:val="000000"/>
          <w:kern w:val="0"/>
          <w:sz w:val="28"/>
          <w:szCs w:val="28"/>
        </w:rPr>
        <w:t>支出（208</w:t>
      </w:r>
      <w:r>
        <w:rPr>
          <w:rFonts w:hint="eastAsia" w:ascii="仿宋" w:hAnsi="仿宋" w:eastAsia="仿宋" w:cs="仿宋"/>
          <w:bCs/>
          <w:color w:val="000000"/>
          <w:kern w:val="0"/>
          <w:sz w:val="28"/>
          <w:szCs w:val="28"/>
          <w:lang w:val="en-US" w:eastAsia="zh-CN"/>
        </w:rPr>
        <w:t>9999</w:t>
      </w:r>
      <w:r>
        <w:rPr>
          <w:rStyle w:val="16"/>
          <w:rFonts w:hint="eastAsia" w:ascii="仿宋" w:hAnsi="仿宋" w:eastAsia="仿宋" w:cs="仿宋"/>
          <w:b w:val="0"/>
          <w:bCs/>
          <w:color w:val="000000"/>
          <w:sz w:val="28"/>
          <w:szCs w:val="28"/>
        </w:rPr>
        <w:t>）</w:t>
      </w:r>
      <w:r>
        <w:rPr>
          <w:rFonts w:hint="eastAsia" w:ascii="仿宋" w:hAnsi="仿宋" w:eastAsia="仿宋" w:cs="仿宋"/>
          <w:bCs/>
          <w:color w:val="000000"/>
          <w:sz w:val="28"/>
          <w:szCs w:val="28"/>
        </w:rPr>
        <w:t>202</w:t>
      </w:r>
      <w:r>
        <w:rPr>
          <w:rFonts w:hint="eastAsia" w:ascii="仿宋" w:hAnsi="仿宋" w:eastAsia="仿宋" w:cs="仿宋"/>
          <w:bCs/>
          <w:color w:val="000000"/>
          <w:sz w:val="28"/>
          <w:szCs w:val="28"/>
          <w:lang w:val="en-US" w:eastAsia="zh-CN"/>
        </w:rPr>
        <w:t>1</w:t>
      </w:r>
      <w:r>
        <w:rPr>
          <w:rFonts w:hint="eastAsia" w:ascii="仿宋" w:hAnsi="仿宋" w:eastAsia="仿宋" w:cs="仿宋"/>
          <w:bCs/>
          <w:color w:val="000000"/>
          <w:sz w:val="28"/>
          <w:szCs w:val="28"/>
        </w:rPr>
        <w:t>年决算数为</w:t>
      </w:r>
      <w:r>
        <w:rPr>
          <w:rFonts w:hint="eastAsia" w:ascii="仿宋" w:hAnsi="仿宋" w:eastAsia="仿宋" w:cs="仿宋"/>
          <w:bCs/>
          <w:color w:val="000000"/>
          <w:sz w:val="28"/>
          <w:szCs w:val="28"/>
          <w:lang w:val="en-US" w:eastAsia="zh-CN"/>
        </w:rPr>
        <w:t>29.8</w:t>
      </w:r>
      <w:r>
        <w:rPr>
          <w:rFonts w:hint="eastAsia" w:ascii="仿宋" w:hAnsi="仿宋" w:eastAsia="仿宋" w:cs="仿宋"/>
          <w:bCs/>
          <w:color w:val="000000"/>
          <w:sz w:val="28"/>
          <w:szCs w:val="28"/>
        </w:rPr>
        <w:t>万元，完成预算100%，</w:t>
      </w:r>
      <w:r>
        <w:rPr>
          <w:rFonts w:hint="eastAsia" w:ascii="仿宋" w:hAnsi="仿宋" w:eastAsia="仿宋" w:cs="仿宋"/>
          <w:bCs/>
          <w:color w:val="333333"/>
          <w:sz w:val="28"/>
          <w:szCs w:val="28"/>
        </w:rPr>
        <w:t>与预算数持平</w:t>
      </w:r>
      <w:r>
        <w:rPr>
          <w:rFonts w:hint="eastAsia" w:ascii="仿宋" w:hAnsi="仿宋" w:eastAsia="仿宋" w:cs="仿宋"/>
          <w:bCs/>
          <w:color w:val="333333"/>
          <w:sz w:val="30"/>
          <w:szCs w:val="30"/>
        </w:rPr>
        <w:t>。</w:t>
      </w:r>
    </w:p>
    <w:p>
      <w:pPr>
        <w:spacing w:line="580" w:lineRule="exact"/>
        <w:ind w:firstLine="560" w:firstLineChars="200"/>
        <w:jc w:val="left"/>
        <w:rPr>
          <w:rFonts w:ascii="仿宋" w:hAnsi="仿宋" w:eastAsia="仿宋" w:cs="仿宋"/>
          <w:bCs/>
          <w:color w:val="333333"/>
          <w:sz w:val="28"/>
          <w:szCs w:val="28"/>
        </w:rPr>
      </w:pPr>
      <w:r>
        <w:rPr>
          <w:rFonts w:hint="eastAsia" w:ascii="仿宋" w:hAnsi="仿宋" w:eastAsia="仿宋" w:cs="仿宋"/>
          <w:bCs/>
          <w:color w:val="000000"/>
          <w:sz w:val="28"/>
          <w:szCs w:val="28"/>
        </w:rPr>
        <w:t>2、卫生健康支出(210)202</w:t>
      </w:r>
      <w:r>
        <w:rPr>
          <w:rFonts w:hint="eastAsia" w:ascii="仿宋" w:hAnsi="仿宋" w:eastAsia="仿宋" w:cs="仿宋"/>
          <w:bCs/>
          <w:color w:val="000000"/>
          <w:sz w:val="28"/>
          <w:szCs w:val="28"/>
          <w:lang w:val="en-US" w:eastAsia="zh-CN"/>
        </w:rPr>
        <w:t>1</w:t>
      </w:r>
      <w:r>
        <w:rPr>
          <w:rFonts w:hint="eastAsia" w:ascii="仿宋" w:hAnsi="仿宋" w:eastAsia="仿宋" w:cs="仿宋"/>
          <w:bCs/>
          <w:color w:val="000000"/>
          <w:sz w:val="28"/>
          <w:szCs w:val="28"/>
        </w:rPr>
        <w:t>年决算数为</w:t>
      </w:r>
      <w:r>
        <w:rPr>
          <w:rFonts w:hint="eastAsia" w:ascii="仿宋" w:hAnsi="仿宋" w:eastAsia="仿宋" w:cs="仿宋"/>
          <w:bCs/>
          <w:color w:val="000000"/>
          <w:sz w:val="28"/>
          <w:szCs w:val="28"/>
          <w:lang w:val="en-US" w:eastAsia="zh-CN"/>
        </w:rPr>
        <w:t>12.09</w:t>
      </w:r>
      <w:r>
        <w:rPr>
          <w:rFonts w:hint="eastAsia" w:ascii="仿宋" w:hAnsi="仿宋" w:eastAsia="仿宋" w:cs="仿宋"/>
          <w:bCs/>
          <w:color w:val="000000"/>
          <w:sz w:val="28"/>
          <w:szCs w:val="28"/>
        </w:rPr>
        <w:t>万元，完成预算100%，</w:t>
      </w:r>
      <w:r>
        <w:rPr>
          <w:rFonts w:hint="eastAsia" w:ascii="仿宋" w:hAnsi="仿宋" w:eastAsia="仿宋" w:cs="仿宋"/>
          <w:bCs/>
          <w:color w:val="333333"/>
          <w:sz w:val="28"/>
          <w:szCs w:val="28"/>
        </w:rPr>
        <w:t>与预算数持平。其中：</w:t>
      </w:r>
    </w:p>
    <w:p>
      <w:pPr>
        <w:spacing w:line="580" w:lineRule="exact"/>
        <w:ind w:firstLine="560" w:firstLineChars="200"/>
        <w:jc w:val="left"/>
        <w:rPr>
          <w:rStyle w:val="16"/>
          <w:rFonts w:ascii="仿宋" w:hAnsi="仿宋" w:eastAsia="仿宋" w:cs="仿宋"/>
          <w:b w:val="0"/>
          <w:bCs/>
          <w:color w:val="000000"/>
          <w:sz w:val="28"/>
          <w:szCs w:val="28"/>
        </w:rPr>
      </w:pPr>
      <w:r>
        <w:rPr>
          <w:rFonts w:hint="eastAsia" w:ascii="仿宋" w:hAnsi="仿宋" w:eastAsia="仿宋" w:cs="仿宋"/>
          <w:bCs/>
          <w:color w:val="000000"/>
          <w:sz w:val="28"/>
          <w:szCs w:val="28"/>
        </w:rPr>
        <w:t>事业单位医疗（2101102）202</w:t>
      </w:r>
      <w:r>
        <w:rPr>
          <w:rFonts w:hint="eastAsia" w:ascii="仿宋" w:hAnsi="仿宋" w:eastAsia="仿宋" w:cs="仿宋"/>
          <w:bCs/>
          <w:color w:val="000000"/>
          <w:sz w:val="28"/>
          <w:szCs w:val="28"/>
          <w:lang w:val="en-US" w:eastAsia="zh-CN"/>
        </w:rPr>
        <w:t>1</w:t>
      </w:r>
      <w:r>
        <w:rPr>
          <w:rFonts w:hint="eastAsia" w:ascii="仿宋" w:hAnsi="仿宋" w:eastAsia="仿宋" w:cs="仿宋"/>
          <w:bCs/>
          <w:color w:val="000000"/>
          <w:sz w:val="28"/>
          <w:szCs w:val="28"/>
        </w:rPr>
        <w:t>年决算数为</w:t>
      </w:r>
      <w:r>
        <w:rPr>
          <w:rFonts w:hint="eastAsia" w:ascii="仿宋" w:hAnsi="仿宋" w:eastAsia="仿宋" w:cs="仿宋"/>
          <w:bCs/>
          <w:color w:val="000000"/>
          <w:sz w:val="28"/>
          <w:szCs w:val="28"/>
          <w:lang w:val="en-US" w:eastAsia="zh-CN"/>
        </w:rPr>
        <w:t>12.09</w:t>
      </w:r>
      <w:r>
        <w:rPr>
          <w:rFonts w:hint="eastAsia" w:ascii="仿宋" w:hAnsi="仿宋" w:eastAsia="仿宋" w:cs="仿宋"/>
          <w:bCs/>
          <w:color w:val="000000"/>
          <w:sz w:val="28"/>
          <w:szCs w:val="28"/>
        </w:rPr>
        <w:t>万元，完成预算100%，</w:t>
      </w:r>
      <w:r>
        <w:rPr>
          <w:rFonts w:hint="eastAsia" w:ascii="仿宋" w:hAnsi="仿宋" w:eastAsia="仿宋" w:cs="仿宋"/>
          <w:bCs/>
          <w:color w:val="333333"/>
          <w:sz w:val="28"/>
          <w:szCs w:val="28"/>
        </w:rPr>
        <w:t>与预算数持平。</w:t>
      </w:r>
    </w:p>
    <w:p>
      <w:pPr>
        <w:spacing w:line="600" w:lineRule="exact"/>
        <w:ind w:firstLine="560" w:firstLineChars="200"/>
        <w:rPr>
          <w:rFonts w:ascii="仿宋" w:hAnsi="仿宋" w:eastAsia="仿宋" w:cs="仿宋"/>
          <w:bCs/>
          <w:color w:val="000000"/>
          <w:sz w:val="28"/>
          <w:szCs w:val="28"/>
        </w:rPr>
      </w:pPr>
      <w:r>
        <w:rPr>
          <w:rFonts w:hint="eastAsia" w:ascii="仿宋" w:hAnsi="仿宋" w:eastAsia="仿宋" w:cs="仿宋"/>
          <w:bCs/>
          <w:color w:val="000000"/>
          <w:sz w:val="28"/>
          <w:szCs w:val="28"/>
        </w:rPr>
        <w:t>3、农林水支出(213)202</w:t>
      </w:r>
      <w:r>
        <w:rPr>
          <w:rFonts w:hint="eastAsia" w:ascii="仿宋" w:hAnsi="仿宋" w:eastAsia="仿宋" w:cs="仿宋"/>
          <w:bCs/>
          <w:color w:val="000000"/>
          <w:sz w:val="28"/>
          <w:szCs w:val="28"/>
          <w:lang w:val="en-US" w:eastAsia="zh-CN"/>
        </w:rPr>
        <w:t>1</w:t>
      </w:r>
      <w:r>
        <w:rPr>
          <w:rFonts w:hint="eastAsia" w:ascii="仿宋" w:hAnsi="仿宋" w:eastAsia="仿宋" w:cs="仿宋"/>
          <w:bCs/>
          <w:color w:val="000000"/>
          <w:sz w:val="28"/>
          <w:szCs w:val="28"/>
        </w:rPr>
        <w:t>年决算数为</w:t>
      </w:r>
      <w:r>
        <w:rPr>
          <w:rFonts w:hint="eastAsia" w:ascii="仿宋" w:hAnsi="仿宋" w:eastAsia="仿宋" w:cs="仿宋"/>
          <w:bCs/>
          <w:color w:val="000000"/>
          <w:sz w:val="28"/>
          <w:szCs w:val="28"/>
          <w:lang w:val="en-US" w:eastAsia="zh-CN"/>
        </w:rPr>
        <w:t>672.88</w:t>
      </w:r>
      <w:r>
        <w:rPr>
          <w:rFonts w:hint="eastAsia" w:ascii="仿宋" w:hAnsi="仿宋" w:eastAsia="仿宋" w:cs="仿宋"/>
          <w:bCs/>
          <w:color w:val="000000"/>
          <w:sz w:val="28"/>
          <w:szCs w:val="28"/>
        </w:rPr>
        <w:t>万元，完成预算</w:t>
      </w:r>
      <w:r>
        <w:rPr>
          <w:rFonts w:hint="eastAsia" w:ascii="仿宋" w:hAnsi="仿宋" w:eastAsia="仿宋" w:cs="仿宋"/>
          <w:bCs/>
          <w:color w:val="000000"/>
          <w:sz w:val="28"/>
          <w:szCs w:val="28"/>
          <w:lang w:val="en-US" w:eastAsia="zh-CN"/>
        </w:rPr>
        <w:t>201.86</w:t>
      </w:r>
      <w:r>
        <w:rPr>
          <w:rFonts w:hint="eastAsia" w:ascii="仿宋" w:hAnsi="仿宋" w:eastAsia="仿宋" w:cs="仿宋"/>
          <w:bCs/>
          <w:color w:val="000000"/>
          <w:sz w:val="28"/>
          <w:szCs w:val="28"/>
        </w:rPr>
        <w:t>%，</w:t>
      </w:r>
      <w:r>
        <w:rPr>
          <w:rStyle w:val="16"/>
          <w:rFonts w:hint="eastAsia" w:ascii="仿宋" w:hAnsi="仿宋" w:eastAsia="仿宋" w:cs="仿宋"/>
          <w:b w:val="0"/>
          <w:bCs/>
          <w:color w:val="000000"/>
          <w:sz w:val="28"/>
          <w:szCs w:val="28"/>
        </w:rPr>
        <w:t>决算数</w:t>
      </w:r>
      <w:r>
        <w:rPr>
          <w:rStyle w:val="16"/>
          <w:rFonts w:hint="eastAsia" w:ascii="仿宋" w:hAnsi="仿宋" w:eastAsia="仿宋" w:cs="仿宋"/>
          <w:b w:val="0"/>
          <w:bCs/>
          <w:color w:val="000000"/>
          <w:sz w:val="28"/>
          <w:szCs w:val="28"/>
          <w:lang w:eastAsia="zh-CN"/>
        </w:rPr>
        <w:t>大</w:t>
      </w:r>
      <w:r>
        <w:rPr>
          <w:rStyle w:val="16"/>
          <w:rFonts w:hint="eastAsia" w:ascii="仿宋" w:hAnsi="仿宋" w:eastAsia="仿宋" w:cs="仿宋"/>
          <w:b w:val="0"/>
          <w:bCs/>
          <w:color w:val="000000"/>
          <w:sz w:val="28"/>
          <w:szCs w:val="28"/>
        </w:rPr>
        <w:t>于预算数的主要原因是项目实施</w:t>
      </w:r>
      <w:r>
        <w:rPr>
          <w:rStyle w:val="16"/>
          <w:rFonts w:hint="eastAsia" w:ascii="仿宋" w:hAnsi="仿宋" w:eastAsia="仿宋" w:cs="仿宋"/>
          <w:b w:val="0"/>
          <w:bCs/>
          <w:color w:val="000000"/>
          <w:sz w:val="28"/>
          <w:szCs w:val="28"/>
          <w:lang w:eastAsia="zh-CN"/>
        </w:rPr>
        <w:t>在</w:t>
      </w:r>
      <w:r>
        <w:rPr>
          <w:rStyle w:val="16"/>
          <w:rFonts w:hint="eastAsia" w:ascii="仿宋" w:hAnsi="仿宋" w:eastAsia="仿宋" w:cs="仿宋"/>
          <w:b w:val="0"/>
          <w:bCs/>
          <w:color w:val="000000"/>
          <w:sz w:val="28"/>
          <w:szCs w:val="28"/>
          <w:lang w:val="en-US" w:eastAsia="zh-CN"/>
        </w:rPr>
        <w:t>2021年完工，代上年支付项目款项增加</w:t>
      </w:r>
      <w:r>
        <w:rPr>
          <w:rFonts w:hint="eastAsia"/>
        </w:rPr>
        <w:t>。</w:t>
      </w:r>
      <w:r>
        <w:rPr>
          <w:rFonts w:hint="eastAsia" w:ascii="仿宋" w:hAnsi="仿宋" w:eastAsia="仿宋" w:cs="仿宋"/>
          <w:bCs/>
          <w:color w:val="000000"/>
          <w:sz w:val="28"/>
          <w:szCs w:val="28"/>
        </w:rPr>
        <w:t>其中：</w:t>
      </w:r>
    </w:p>
    <w:p>
      <w:pPr>
        <w:spacing w:line="580" w:lineRule="exact"/>
        <w:ind w:firstLine="560" w:firstLineChars="200"/>
        <w:rPr>
          <w:rFonts w:ascii="仿宋" w:hAnsi="仿宋" w:eastAsia="仿宋" w:cs="仿宋"/>
          <w:bCs/>
          <w:color w:val="333333"/>
          <w:sz w:val="28"/>
          <w:szCs w:val="28"/>
        </w:rPr>
      </w:pPr>
      <w:r>
        <w:rPr>
          <w:rFonts w:hint="eastAsia" w:ascii="仿宋" w:hAnsi="仿宋" w:eastAsia="仿宋" w:cs="仿宋"/>
          <w:bCs/>
          <w:color w:val="000000"/>
          <w:kern w:val="0"/>
          <w:sz w:val="28"/>
          <w:szCs w:val="28"/>
        </w:rPr>
        <w:t>水利行业业务管理（2130304</w:t>
      </w:r>
      <w:r>
        <w:rPr>
          <w:rStyle w:val="16"/>
          <w:rFonts w:hint="eastAsia" w:ascii="仿宋" w:hAnsi="仿宋" w:eastAsia="仿宋" w:cs="仿宋"/>
          <w:b w:val="0"/>
          <w:bCs/>
          <w:color w:val="000000"/>
          <w:sz w:val="28"/>
          <w:szCs w:val="28"/>
        </w:rPr>
        <w:t>）</w:t>
      </w:r>
      <w:r>
        <w:rPr>
          <w:rFonts w:hint="eastAsia" w:ascii="仿宋" w:hAnsi="仿宋" w:eastAsia="仿宋" w:cs="仿宋"/>
          <w:bCs/>
          <w:color w:val="000000"/>
          <w:sz w:val="28"/>
          <w:szCs w:val="28"/>
        </w:rPr>
        <w:t>202</w:t>
      </w:r>
      <w:r>
        <w:rPr>
          <w:rFonts w:hint="eastAsia" w:ascii="仿宋" w:hAnsi="仿宋" w:eastAsia="仿宋" w:cs="仿宋"/>
          <w:bCs/>
          <w:color w:val="000000"/>
          <w:sz w:val="28"/>
          <w:szCs w:val="28"/>
          <w:lang w:val="en-US" w:eastAsia="zh-CN"/>
        </w:rPr>
        <w:t>1</w:t>
      </w:r>
      <w:r>
        <w:rPr>
          <w:rFonts w:hint="eastAsia" w:ascii="仿宋" w:hAnsi="仿宋" w:eastAsia="仿宋" w:cs="仿宋"/>
          <w:bCs/>
          <w:color w:val="000000"/>
          <w:sz w:val="28"/>
          <w:szCs w:val="28"/>
        </w:rPr>
        <w:t>年决算数为</w:t>
      </w:r>
      <w:r>
        <w:rPr>
          <w:rFonts w:hint="eastAsia" w:ascii="仿宋" w:hAnsi="仿宋" w:eastAsia="仿宋" w:cs="仿宋"/>
          <w:bCs/>
          <w:color w:val="000000"/>
          <w:sz w:val="28"/>
          <w:szCs w:val="28"/>
          <w:lang w:val="en-US" w:eastAsia="zh-CN"/>
        </w:rPr>
        <w:t>397.24</w:t>
      </w:r>
      <w:r>
        <w:rPr>
          <w:rFonts w:hint="eastAsia" w:ascii="仿宋" w:hAnsi="仿宋" w:eastAsia="仿宋" w:cs="仿宋"/>
          <w:bCs/>
          <w:color w:val="000000"/>
          <w:sz w:val="28"/>
          <w:szCs w:val="28"/>
        </w:rPr>
        <w:t>万元，完成预算100%，</w:t>
      </w:r>
      <w:r>
        <w:rPr>
          <w:rFonts w:hint="eastAsia" w:ascii="仿宋" w:hAnsi="仿宋" w:eastAsia="仿宋" w:cs="仿宋"/>
          <w:bCs/>
          <w:color w:val="333333"/>
          <w:sz w:val="28"/>
          <w:szCs w:val="28"/>
        </w:rPr>
        <w:t>与预算数持平。</w:t>
      </w:r>
    </w:p>
    <w:p>
      <w:pPr>
        <w:spacing w:line="560" w:lineRule="atLeast"/>
        <w:ind w:firstLine="560" w:firstLineChars="200"/>
        <w:rPr>
          <w:rFonts w:hint="eastAsia" w:ascii="仿宋" w:hAnsi="仿宋" w:eastAsia="仿宋" w:cs="仿宋"/>
          <w:bCs/>
          <w:color w:val="333333"/>
          <w:sz w:val="28"/>
          <w:szCs w:val="28"/>
        </w:rPr>
      </w:pPr>
      <w:r>
        <w:rPr>
          <w:rFonts w:hint="eastAsia" w:ascii="仿宋" w:hAnsi="仿宋" w:eastAsia="仿宋" w:cs="仿宋"/>
          <w:bCs/>
          <w:color w:val="000000"/>
          <w:kern w:val="0"/>
          <w:sz w:val="28"/>
          <w:szCs w:val="28"/>
        </w:rPr>
        <w:t>水利</w:t>
      </w:r>
      <w:r>
        <w:rPr>
          <w:rFonts w:hint="eastAsia" w:ascii="仿宋" w:hAnsi="仿宋" w:eastAsia="仿宋" w:cs="仿宋"/>
          <w:bCs/>
          <w:color w:val="000000"/>
          <w:kern w:val="0"/>
          <w:sz w:val="28"/>
          <w:szCs w:val="28"/>
          <w:lang w:eastAsia="zh-CN"/>
        </w:rPr>
        <w:t>工程运行与维护</w:t>
      </w:r>
      <w:r>
        <w:rPr>
          <w:rFonts w:hint="eastAsia" w:ascii="仿宋" w:hAnsi="仿宋" w:eastAsia="仿宋" w:cs="仿宋"/>
          <w:bCs/>
          <w:color w:val="000000"/>
          <w:kern w:val="0"/>
          <w:sz w:val="28"/>
          <w:szCs w:val="28"/>
        </w:rPr>
        <w:t>（213030</w:t>
      </w:r>
      <w:r>
        <w:rPr>
          <w:rFonts w:hint="eastAsia" w:ascii="仿宋" w:hAnsi="仿宋" w:eastAsia="仿宋" w:cs="仿宋"/>
          <w:bCs/>
          <w:color w:val="000000"/>
          <w:kern w:val="0"/>
          <w:sz w:val="28"/>
          <w:szCs w:val="28"/>
          <w:lang w:val="en-US" w:eastAsia="zh-CN"/>
        </w:rPr>
        <w:t>6</w:t>
      </w:r>
      <w:r>
        <w:rPr>
          <w:rStyle w:val="16"/>
          <w:rFonts w:hint="eastAsia" w:ascii="仿宋" w:hAnsi="仿宋" w:eastAsia="仿宋" w:cs="仿宋"/>
          <w:b w:val="0"/>
          <w:bCs/>
          <w:color w:val="000000"/>
          <w:sz w:val="28"/>
          <w:szCs w:val="28"/>
        </w:rPr>
        <w:t>）</w:t>
      </w:r>
      <w:r>
        <w:rPr>
          <w:rFonts w:hint="eastAsia" w:ascii="仿宋" w:hAnsi="仿宋" w:eastAsia="仿宋" w:cs="仿宋"/>
          <w:bCs/>
          <w:color w:val="000000"/>
          <w:sz w:val="28"/>
          <w:szCs w:val="28"/>
        </w:rPr>
        <w:t>202</w:t>
      </w:r>
      <w:r>
        <w:rPr>
          <w:rFonts w:hint="eastAsia" w:ascii="仿宋" w:hAnsi="仿宋" w:eastAsia="仿宋" w:cs="仿宋"/>
          <w:bCs/>
          <w:color w:val="000000"/>
          <w:sz w:val="28"/>
          <w:szCs w:val="28"/>
          <w:lang w:val="en-US" w:eastAsia="zh-CN"/>
        </w:rPr>
        <w:t>1</w:t>
      </w:r>
      <w:r>
        <w:rPr>
          <w:rFonts w:hint="eastAsia" w:ascii="仿宋" w:hAnsi="仿宋" w:eastAsia="仿宋" w:cs="仿宋"/>
          <w:bCs/>
          <w:color w:val="000000"/>
          <w:sz w:val="28"/>
          <w:szCs w:val="28"/>
        </w:rPr>
        <w:t>年决算数为</w:t>
      </w:r>
      <w:r>
        <w:rPr>
          <w:rFonts w:hint="eastAsia" w:ascii="仿宋" w:hAnsi="仿宋" w:eastAsia="仿宋" w:cs="仿宋"/>
          <w:bCs/>
          <w:color w:val="000000"/>
          <w:sz w:val="28"/>
          <w:szCs w:val="28"/>
          <w:lang w:val="en-US" w:eastAsia="zh-CN"/>
        </w:rPr>
        <w:t>82</w:t>
      </w:r>
      <w:r>
        <w:rPr>
          <w:rFonts w:hint="eastAsia" w:ascii="仿宋" w:hAnsi="仿宋" w:eastAsia="仿宋" w:cs="仿宋"/>
          <w:bCs/>
          <w:color w:val="000000"/>
          <w:sz w:val="28"/>
          <w:szCs w:val="28"/>
        </w:rPr>
        <w:t>万元，完成预算100.00%，</w:t>
      </w:r>
      <w:r>
        <w:rPr>
          <w:rFonts w:hint="eastAsia" w:ascii="仿宋" w:hAnsi="仿宋" w:eastAsia="仿宋" w:cs="仿宋"/>
          <w:bCs/>
          <w:color w:val="333333"/>
          <w:sz w:val="28"/>
          <w:szCs w:val="28"/>
        </w:rPr>
        <w:t>与预算数持平。</w:t>
      </w:r>
    </w:p>
    <w:p>
      <w:pPr>
        <w:spacing w:line="560" w:lineRule="atLeast"/>
        <w:ind w:firstLine="560" w:firstLineChars="200"/>
        <w:rPr>
          <w:rStyle w:val="16"/>
          <w:rFonts w:hint="eastAsia" w:ascii="仿宋" w:hAnsi="仿宋" w:eastAsia="仿宋" w:cs="仿宋"/>
          <w:b w:val="0"/>
          <w:bCs/>
          <w:color w:val="000000"/>
          <w:sz w:val="28"/>
          <w:szCs w:val="28"/>
          <w:lang w:val="en-US" w:eastAsia="zh-CN"/>
        </w:rPr>
      </w:pPr>
      <w:r>
        <w:rPr>
          <w:rStyle w:val="16"/>
          <w:rFonts w:hint="eastAsia" w:ascii="仿宋" w:hAnsi="仿宋" w:eastAsia="仿宋" w:cs="仿宋"/>
          <w:b w:val="0"/>
          <w:color w:val="000000"/>
          <w:sz w:val="28"/>
          <w:szCs w:val="28"/>
        </w:rPr>
        <w:t>其他水利支出（2130399）</w:t>
      </w:r>
      <w:r>
        <w:rPr>
          <w:rFonts w:hint="eastAsia" w:ascii="仿宋" w:hAnsi="仿宋" w:eastAsia="仿宋" w:cs="仿宋"/>
          <w:color w:val="000000"/>
          <w:sz w:val="28"/>
          <w:szCs w:val="28"/>
        </w:rPr>
        <w:t>202</w:t>
      </w:r>
      <w:r>
        <w:rPr>
          <w:rFonts w:hint="eastAsia" w:ascii="仿宋" w:hAnsi="仿宋" w:eastAsia="仿宋" w:cs="仿宋"/>
          <w:color w:val="000000"/>
          <w:sz w:val="28"/>
          <w:szCs w:val="28"/>
          <w:lang w:val="en-US" w:eastAsia="zh-CN"/>
        </w:rPr>
        <w:t>1</w:t>
      </w:r>
      <w:r>
        <w:rPr>
          <w:rFonts w:hint="eastAsia" w:ascii="仿宋" w:hAnsi="仿宋" w:eastAsia="仿宋" w:cs="仿宋"/>
          <w:color w:val="000000"/>
          <w:sz w:val="28"/>
          <w:szCs w:val="28"/>
        </w:rPr>
        <w:t>年决算数为</w:t>
      </w:r>
      <w:r>
        <w:rPr>
          <w:rFonts w:hint="eastAsia" w:ascii="仿宋" w:hAnsi="仿宋" w:eastAsia="仿宋" w:cs="仿宋"/>
          <w:color w:val="000000"/>
          <w:sz w:val="28"/>
          <w:szCs w:val="28"/>
          <w:lang w:val="en-US" w:eastAsia="zh-CN"/>
        </w:rPr>
        <w:t>193.64</w:t>
      </w:r>
      <w:r>
        <w:rPr>
          <w:rFonts w:hint="eastAsia" w:ascii="仿宋" w:hAnsi="仿宋" w:eastAsia="仿宋" w:cs="仿宋"/>
          <w:color w:val="000000"/>
          <w:sz w:val="28"/>
          <w:szCs w:val="28"/>
        </w:rPr>
        <w:t>万元，</w:t>
      </w:r>
      <w:r>
        <w:rPr>
          <w:rFonts w:hint="eastAsia" w:ascii="仿宋" w:hAnsi="仿宋" w:eastAsia="仿宋" w:cs="仿宋"/>
          <w:bCs/>
          <w:color w:val="000000"/>
          <w:sz w:val="28"/>
          <w:szCs w:val="28"/>
        </w:rPr>
        <w:t>完成预算</w:t>
      </w:r>
      <w:r>
        <w:rPr>
          <w:rFonts w:hint="eastAsia" w:ascii="仿宋" w:hAnsi="仿宋" w:eastAsia="仿宋" w:cs="仿宋"/>
          <w:bCs/>
          <w:color w:val="000000"/>
          <w:sz w:val="28"/>
          <w:szCs w:val="28"/>
          <w:lang w:val="en-US" w:eastAsia="zh-CN"/>
        </w:rPr>
        <w:t>201.86</w:t>
      </w:r>
      <w:r>
        <w:rPr>
          <w:rFonts w:hint="eastAsia" w:ascii="仿宋" w:hAnsi="仿宋" w:eastAsia="仿宋" w:cs="仿宋"/>
          <w:bCs/>
          <w:color w:val="000000"/>
          <w:sz w:val="28"/>
          <w:szCs w:val="28"/>
        </w:rPr>
        <w:t>%，</w:t>
      </w:r>
      <w:r>
        <w:rPr>
          <w:rStyle w:val="16"/>
          <w:rFonts w:hint="eastAsia" w:ascii="仿宋" w:hAnsi="仿宋" w:eastAsia="仿宋" w:cs="仿宋"/>
          <w:b w:val="0"/>
          <w:bCs/>
          <w:color w:val="000000"/>
          <w:sz w:val="28"/>
          <w:szCs w:val="28"/>
        </w:rPr>
        <w:t>决算数</w:t>
      </w:r>
      <w:r>
        <w:rPr>
          <w:rStyle w:val="16"/>
          <w:rFonts w:hint="eastAsia" w:ascii="仿宋" w:hAnsi="仿宋" w:eastAsia="仿宋" w:cs="仿宋"/>
          <w:b w:val="0"/>
          <w:bCs/>
          <w:color w:val="000000"/>
          <w:sz w:val="28"/>
          <w:szCs w:val="28"/>
          <w:lang w:eastAsia="zh-CN"/>
        </w:rPr>
        <w:t>大</w:t>
      </w:r>
      <w:r>
        <w:rPr>
          <w:rStyle w:val="16"/>
          <w:rFonts w:hint="eastAsia" w:ascii="仿宋" w:hAnsi="仿宋" w:eastAsia="仿宋" w:cs="仿宋"/>
          <w:b w:val="0"/>
          <w:bCs/>
          <w:color w:val="000000"/>
          <w:sz w:val="28"/>
          <w:szCs w:val="28"/>
        </w:rPr>
        <w:t>于预算数的主要原因是项目实施</w:t>
      </w:r>
      <w:r>
        <w:rPr>
          <w:rStyle w:val="16"/>
          <w:rFonts w:hint="eastAsia" w:ascii="仿宋" w:hAnsi="仿宋" w:eastAsia="仿宋" w:cs="仿宋"/>
          <w:b w:val="0"/>
          <w:bCs/>
          <w:color w:val="000000"/>
          <w:sz w:val="28"/>
          <w:szCs w:val="28"/>
          <w:lang w:eastAsia="zh-CN"/>
        </w:rPr>
        <w:t>在</w:t>
      </w:r>
      <w:r>
        <w:rPr>
          <w:rStyle w:val="16"/>
          <w:rFonts w:hint="eastAsia" w:ascii="仿宋" w:hAnsi="仿宋" w:eastAsia="仿宋" w:cs="仿宋"/>
          <w:b w:val="0"/>
          <w:bCs/>
          <w:color w:val="000000"/>
          <w:sz w:val="28"/>
          <w:szCs w:val="28"/>
          <w:lang w:val="en-US" w:eastAsia="zh-CN"/>
        </w:rPr>
        <w:t>2021年完工，代上年支付项目款项增加。</w:t>
      </w:r>
    </w:p>
    <w:p>
      <w:pPr>
        <w:spacing w:line="580" w:lineRule="exact"/>
        <w:ind w:firstLine="560" w:firstLineChars="200"/>
        <w:rPr>
          <w:rFonts w:ascii="仿宋" w:hAnsi="仿宋" w:eastAsia="仿宋" w:cs="仿宋"/>
          <w:bCs/>
          <w:color w:val="404040"/>
          <w:sz w:val="28"/>
          <w:szCs w:val="28"/>
        </w:rPr>
      </w:pPr>
      <w:r>
        <w:rPr>
          <w:rFonts w:hint="eastAsia" w:ascii="仿宋" w:hAnsi="仿宋" w:eastAsia="仿宋" w:cs="仿宋"/>
          <w:bCs/>
          <w:color w:val="000000"/>
          <w:sz w:val="28"/>
          <w:szCs w:val="28"/>
        </w:rPr>
        <w:t>4、住房保障支出(221)202</w:t>
      </w:r>
      <w:r>
        <w:rPr>
          <w:rFonts w:hint="eastAsia" w:ascii="仿宋" w:hAnsi="仿宋" w:eastAsia="仿宋" w:cs="仿宋"/>
          <w:bCs/>
          <w:color w:val="000000"/>
          <w:sz w:val="28"/>
          <w:szCs w:val="28"/>
          <w:lang w:val="en-US" w:eastAsia="zh-CN"/>
        </w:rPr>
        <w:t>1</w:t>
      </w:r>
      <w:r>
        <w:rPr>
          <w:rFonts w:hint="eastAsia" w:ascii="仿宋" w:hAnsi="仿宋" w:eastAsia="仿宋" w:cs="仿宋"/>
          <w:bCs/>
          <w:color w:val="000000"/>
          <w:sz w:val="28"/>
          <w:szCs w:val="28"/>
        </w:rPr>
        <w:t>年决算数为38.</w:t>
      </w:r>
      <w:r>
        <w:rPr>
          <w:rFonts w:hint="eastAsia" w:ascii="仿宋" w:hAnsi="仿宋" w:eastAsia="仿宋" w:cs="仿宋"/>
          <w:bCs/>
          <w:color w:val="000000"/>
          <w:sz w:val="28"/>
          <w:szCs w:val="28"/>
          <w:lang w:val="en-US" w:eastAsia="zh-CN"/>
        </w:rPr>
        <w:t>24</w:t>
      </w:r>
      <w:r>
        <w:rPr>
          <w:rFonts w:hint="eastAsia" w:ascii="仿宋" w:hAnsi="仿宋" w:eastAsia="仿宋" w:cs="仿宋"/>
          <w:bCs/>
          <w:color w:val="000000"/>
          <w:sz w:val="28"/>
          <w:szCs w:val="28"/>
        </w:rPr>
        <w:t>万元，完成预算100.00%，</w:t>
      </w:r>
      <w:r>
        <w:rPr>
          <w:rFonts w:hint="eastAsia" w:ascii="仿宋" w:hAnsi="仿宋" w:eastAsia="仿宋" w:cs="仿宋"/>
          <w:bCs/>
          <w:color w:val="333333"/>
          <w:sz w:val="28"/>
          <w:szCs w:val="28"/>
        </w:rPr>
        <w:t>与预算数持平。其中：</w:t>
      </w:r>
    </w:p>
    <w:p>
      <w:pPr>
        <w:spacing w:line="580" w:lineRule="exact"/>
        <w:ind w:firstLine="560" w:firstLineChars="200"/>
        <w:rPr>
          <w:rFonts w:ascii="仿宋" w:hAnsi="仿宋" w:eastAsia="仿宋" w:cs="仿宋"/>
          <w:bCs/>
          <w:color w:val="000000"/>
          <w:sz w:val="28"/>
          <w:szCs w:val="28"/>
        </w:rPr>
      </w:pPr>
      <w:r>
        <w:rPr>
          <w:rFonts w:hint="eastAsia" w:ascii="仿宋" w:hAnsi="仿宋" w:eastAsia="仿宋" w:cs="仿宋"/>
          <w:bCs/>
          <w:color w:val="000000"/>
          <w:sz w:val="28"/>
          <w:szCs w:val="28"/>
        </w:rPr>
        <w:t>住房公积金（2210201）20</w:t>
      </w:r>
      <w:r>
        <w:rPr>
          <w:rFonts w:hint="eastAsia" w:ascii="仿宋" w:hAnsi="仿宋" w:eastAsia="仿宋" w:cs="仿宋"/>
          <w:bCs/>
          <w:color w:val="000000"/>
          <w:sz w:val="28"/>
          <w:szCs w:val="28"/>
          <w:lang w:val="en-US" w:eastAsia="zh-CN"/>
        </w:rPr>
        <w:t>21</w:t>
      </w:r>
      <w:r>
        <w:rPr>
          <w:rFonts w:hint="eastAsia" w:ascii="仿宋" w:hAnsi="仿宋" w:eastAsia="仿宋" w:cs="仿宋"/>
          <w:bCs/>
          <w:color w:val="000000"/>
          <w:sz w:val="28"/>
          <w:szCs w:val="28"/>
        </w:rPr>
        <w:t>年决算数为38.</w:t>
      </w:r>
      <w:r>
        <w:rPr>
          <w:rFonts w:hint="eastAsia" w:ascii="仿宋" w:hAnsi="仿宋" w:eastAsia="仿宋" w:cs="仿宋"/>
          <w:bCs/>
          <w:color w:val="000000"/>
          <w:sz w:val="28"/>
          <w:szCs w:val="28"/>
          <w:lang w:val="en-US" w:eastAsia="zh-CN"/>
        </w:rPr>
        <w:t>24万</w:t>
      </w:r>
      <w:r>
        <w:rPr>
          <w:rFonts w:hint="eastAsia" w:ascii="仿宋" w:hAnsi="仿宋" w:eastAsia="仿宋" w:cs="仿宋"/>
          <w:bCs/>
          <w:color w:val="000000"/>
          <w:sz w:val="28"/>
          <w:szCs w:val="28"/>
        </w:rPr>
        <w:t>元，完成预算100.00%，</w:t>
      </w:r>
      <w:r>
        <w:rPr>
          <w:rFonts w:hint="eastAsia" w:ascii="仿宋" w:hAnsi="仿宋" w:eastAsia="仿宋" w:cs="仿宋"/>
          <w:bCs/>
          <w:color w:val="333333"/>
          <w:sz w:val="28"/>
          <w:szCs w:val="28"/>
        </w:rPr>
        <w:t>与预算数持平。</w:t>
      </w:r>
    </w:p>
    <w:p>
      <w:pPr>
        <w:tabs>
          <w:tab w:val="right" w:pos="8306"/>
        </w:tabs>
        <w:spacing w:line="600" w:lineRule="exact"/>
        <w:ind w:firstLine="640"/>
        <w:outlineLvl w:val="1"/>
        <w:rPr>
          <w:rStyle w:val="27"/>
          <w:rFonts w:ascii="仿宋" w:hAnsi="仿宋" w:eastAsia="仿宋" w:cs="仿宋"/>
          <w:b w:val="0"/>
          <w:sz w:val="28"/>
          <w:szCs w:val="28"/>
        </w:rPr>
      </w:pPr>
      <w:bookmarkStart w:id="36" w:name="_Toc15396608"/>
      <w:bookmarkStart w:id="37" w:name="_Toc15377214"/>
      <w:r>
        <w:rPr>
          <w:rFonts w:hint="eastAsia" w:ascii="仿宋" w:hAnsi="仿宋" w:eastAsia="仿宋" w:cs="仿宋"/>
          <w:bCs/>
          <w:color w:val="000000"/>
          <w:sz w:val="28"/>
          <w:szCs w:val="28"/>
        </w:rPr>
        <w:t>六、一</w:t>
      </w:r>
      <w:r>
        <w:rPr>
          <w:rStyle w:val="27"/>
          <w:rFonts w:hint="eastAsia" w:ascii="仿宋" w:hAnsi="仿宋" w:eastAsia="仿宋" w:cs="仿宋"/>
          <w:b w:val="0"/>
          <w:sz w:val="28"/>
          <w:szCs w:val="28"/>
        </w:rPr>
        <w:t>般公共预算财政拨款基本支出决算情况说明</w:t>
      </w:r>
      <w:bookmarkEnd w:id="36"/>
      <w:bookmarkEnd w:id="37"/>
      <w:r>
        <w:rPr>
          <w:rStyle w:val="27"/>
          <w:rFonts w:hint="eastAsia" w:ascii="仿宋" w:hAnsi="仿宋" w:eastAsia="仿宋" w:cs="仿宋"/>
          <w:b w:val="0"/>
          <w:sz w:val="28"/>
          <w:szCs w:val="28"/>
        </w:rPr>
        <w:tab/>
      </w:r>
    </w:p>
    <w:p>
      <w:pPr>
        <w:spacing w:line="600" w:lineRule="exact"/>
        <w:ind w:firstLine="645"/>
        <w:rPr>
          <w:rFonts w:ascii="仿宋" w:hAnsi="仿宋" w:eastAsia="仿宋" w:cs="仿宋"/>
          <w:bCs/>
          <w:color w:val="000000"/>
          <w:sz w:val="28"/>
          <w:szCs w:val="28"/>
        </w:rPr>
      </w:pPr>
      <w:r>
        <w:rPr>
          <w:rFonts w:hint="eastAsia" w:ascii="仿宋" w:hAnsi="仿宋" w:eastAsia="仿宋" w:cs="仿宋"/>
          <w:bCs/>
          <w:color w:val="000000"/>
          <w:sz w:val="28"/>
          <w:szCs w:val="28"/>
        </w:rPr>
        <w:t>202</w:t>
      </w:r>
      <w:r>
        <w:rPr>
          <w:rFonts w:hint="eastAsia" w:ascii="仿宋" w:hAnsi="仿宋" w:eastAsia="仿宋" w:cs="仿宋"/>
          <w:bCs/>
          <w:color w:val="000000"/>
          <w:sz w:val="28"/>
          <w:szCs w:val="28"/>
          <w:lang w:val="en-US" w:eastAsia="zh-CN"/>
        </w:rPr>
        <w:t>1</w:t>
      </w:r>
      <w:r>
        <w:rPr>
          <w:rFonts w:hint="eastAsia" w:ascii="仿宋" w:hAnsi="仿宋" w:eastAsia="仿宋" w:cs="仿宋"/>
          <w:bCs/>
          <w:color w:val="000000"/>
          <w:sz w:val="28"/>
          <w:szCs w:val="28"/>
        </w:rPr>
        <w:t>年一般公共预算财政拨款基本支出5</w:t>
      </w:r>
      <w:r>
        <w:rPr>
          <w:rFonts w:hint="eastAsia" w:ascii="仿宋" w:hAnsi="仿宋" w:eastAsia="仿宋" w:cs="仿宋"/>
          <w:bCs/>
          <w:color w:val="000000"/>
          <w:sz w:val="28"/>
          <w:szCs w:val="28"/>
          <w:lang w:val="en-US" w:eastAsia="zh-CN"/>
        </w:rPr>
        <w:t>31.29</w:t>
      </w:r>
      <w:r>
        <w:rPr>
          <w:rFonts w:hint="eastAsia" w:ascii="仿宋" w:hAnsi="仿宋" w:eastAsia="仿宋" w:cs="仿宋"/>
          <w:bCs/>
          <w:color w:val="000000"/>
          <w:sz w:val="28"/>
          <w:szCs w:val="28"/>
        </w:rPr>
        <w:t>万元，其中：</w:t>
      </w:r>
    </w:p>
    <w:p>
      <w:pPr>
        <w:spacing w:line="600" w:lineRule="exact"/>
        <w:ind w:firstLine="645"/>
        <w:rPr>
          <w:rFonts w:ascii="仿宋" w:hAnsi="仿宋" w:eastAsia="仿宋" w:cs="仿宋"/>
          <w:bCs/>
          <w:color w:val="000000"/>
          <w:sz w:val="28"/>
          <w:szCs w:val="28"/>
        </w:rPr>
      </w:pPr>
      <w:r>
        <w:rPr>
          <w:rFonts w:hint="eastAsia" w:ascii="仿宋" w:hAnsi="仿宋" w:eastAsia="仿宋" w:cs="仿宋"/>
          <w:bCs/>
          <w:color w:val="000000"/>
          <w:sz w:val="28"/>
          <w:szCs w:val="28"/>
        </w:rPr>
        <w:t>人员经费493.</w:t>
      </w:r>
      <w:r>
        <w:rPr>
          <w:rFonts w:hint="eastAsia" w:ascii="仿宋" w:hAnsi="仿宋" w:eastAsia="仿宋" w:cs="仿宋"/>
          <w:bCs/>
          <w:color w:val="000000"/>
          <w:sz w:val="28"/>
          <w:szCs w:val="28"/>
          <w:lang w:val="en-US" w:eastAsia="zh-CN"/>
        </w:rPr>
        <w:t>25</w:t>
      </w:r>
      <w:r>
        <w:rPr>
          <w:rFonts w:hint="eastAsia" w:ascii="仿宋" w:hAnsi="仿宋" w:eastAsia="仿宋" w:cs="仿宋"/>
          <w:bCs/>
          <w:color w:val="000000"/>
          <w:sz w:val="28"/>
          <w:szCs w:val="28"/>
        </w:rPr>
        <w:t>万元，主要包括：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r>
        <w:rPr>
          <w:rFonts w:hint="eastAsia" w:ascii="仿宋" w:hAnsi="仿宋" w:eastAsia="仿宋" w:cs="仿宋"/>
          <w:bCs/>
          <w:color w:val="000000"/>
          <w:sz w:val="28"/>
          <w:szCs w:val="28"/>
        </w:rPr>
        <w:br w:type="textWrapping"/>
      </w:r>
      <w:r>
        <w:rPr>
          <w:rFonts w:hint="eastAsia" w:ascii="仿宋" w:hAnsi="仿宋" w:eastAsia="仿宋" w:cs="仿宋"/>
          <w:bCs/>
          <w:color w:val="000000"/>
          <w:sz w:val="28"/>
          <w:szCs w:val="28"/>
        </w:rPr>
        <w:t>　　日常公用经</w:t>
      </w:r>
      <w:r>
        <w:rPr>
          <w:rFonts w:hint="eastAsia" w:ascii="仿宋" w:hAnsi="仿宋" w:eastAsia="仿宋" w:cs="仿宋"/>
          <w:bCs/>
          <w:color w:val="000000"/>
          <w:sz w:val="28"/>
          <w:szCs w:val="28"/>
          <w:lang w:val="en-US" w:eastAsia="zh-CN"/>
        </w:rPr>
        <w:t>38.04</w:t>
      </w:r>
      <w:r>
        <w:rPr>
          <w:rFonts w:hint="eastAsia" w:ascii="仿宋" w:hAnsi="仿宋" w:eastAsia="仿宋" w:cs="仿宋"/>
          <w:bCs/>
          <w:color w:val="000000"/>
          <w:sz w:val="28"/>
          <w:szCs w:val="28"/>
        </w:rPr>
        <w:t>万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pPr>
        <w:spacing w:line="600" w:lineRule="exact"/>
        <w:ind w:firstLine="640"/>
        <w:outlineLvl w:val="1"/>
        <w:rPr>
          <w:rStyle w:val="27"/>
          <w:rFonts w:ascii="仿宋" w:hAnsi="仿宋" w:eastAsia="仿宋" w:cs="仿宋"/>
          <w:b w:val="0"/>
        </w:rPr>
      </w:pPr>
      <w:bookmarkStart w:id="38" w:name="_Toc15377215"/>
      <w:bookmarkStart w:id="39" w:name="_Toc15396609"/>
      <w:r>
        <w:rPr>
          <w:rFonts w:hint="eastAsia" w:ascii="仿宋" w:hAnsi="仿宋" w:eastAsia="仿宋" w:cs="仿宋"/>
          <w:color w:val="000000"/>
          <w:sz w:val="32"/>
          <w:szCs w:val="32"/>
        </w:rPr>
        <w:t>七、</w:t>
      </w:r>
      <w:r>
        <w:rPr>
          <w:rStyle w:val="27"/>
          <w:rFonts w:hint="eastAsia" w:ascii="仿宋" w:hAnsi="仿宋" w:eastAsia="仿宋" w:cs="仿宋"/>
        </w:rPr>
        <w:t>“</w:t>
      </w:r>
      <w:r>
        <w:rPr>
          <w:rStyle w:val="27"/>
          <w:rFonts w:hint="eastAsia" w:ascii="仿宋" w:hAnsi="仿宋" w:eastAsia="仿宋" w:cs="仿宋"/>
          <w:b w:val="0"/>
        </w:rPr>
        <w:t>三公”经费财政拨款支出决算情况说明</w:t>
      </w:r>
      <w:bookmarkEnd w:id="38"/>
      <w:bookmarkEnd w:id="39"/>
    </w:p>
    <w:p>
      <w:pPr>
        <w:spacing w:line="600" w:lineRule="exact"/>
        <w:ind w:firstLine="640"/>
        <w:outlineLvl w:val="2"/>
        <w:rPr>
          <w:rFonts w:ascii="仿宋" w:hAnsi="仿宋" w:eastAsia="仿宋" w:cs="仿宋"/>
          <w:bCs/>
          <w:color w:val="000000"/>
          <w:sz w:val="28"/>
          <w:szCs w:val="28"/>
        </w:rPr>
      </w:pPr>
      <w:bookmarkStart w:id="40" w:name="_Toc15377216"/>
      <w:r>
        <w:rPr>
          <w:rFonts w:hint="eastAsia" w:ascii="仿宋" w:hAnsi="仿宋" w:eastAsia="仿宋" w:cs="仿宋"/>
          <w:bCs/>
          <w:color w:val="000000"/>
          <w:sz w:val="28"/>
          <w:szCs w:val="28"/>
        </w:rPr>
        <w:t>（一）“三公”经费财政拨款支出决算总体情况说明</w:t>
      </w:r>
      <w:bookmarkEnd w:id="40"/>
    </w:p>
    <w:p>
      <w:pPr>
        <w:spacing w:line="560" w:lineRule="atLeast"/>
        <w:ind w:firstLine="640"/>
        <w:rPr>
          <w:rFonts w:ascii="宋体" w:hAnsi="宋体" w:cs="宋体"/>
          <w:color w:val="000000"/>
          <w:sz w:val="30"/>
          <w:szCs w:val="30"/>
        </w:rPr>
      </w:pPr>
      <w:r>
        <w:rPr>
          <w:rFonts w:hint="eastAsia" w:ascii="仿宋" w:hAnsi="仿宋" w:eastAsia="仿宋" w:cs="仿宋"/>
          <w:bCs/>
          <w:color w:val="000000"/>
          <w:sz w:val="28"/>
          <w:szCs w:val="28"/>
        </w:rPr>
        <w:t>202</w:t>
      </w:r>
      <w:r>
        <w:rPr>
          <w:rFonts w:hint="eastAsia" w:ascii="仿宋" w:hAnsi="仿宋" w:eastAsia="仿宋" w:cs="仿宋"/>
          <w:bCs/>
          <w:color w:val="000000"/>
          <w:sz w:val="28"/>
          <w:szCs w:val="28"/>
          <w:lang w:val="en-US" w:eastAsia="zh-CN"/>
        </w:rPr>
        <w:t>1</w:t>
      </w:r>
      <w:r>
        <w:rPr>
          <w:rFonts w:hint="eastAsia" w:ascii="仿宋" w:hAnsi="仿宋" w:eastAsia="仿宋" w:cs="仿宋"/>
          <w:bCs/>
          <w:color w:val="000000"/>
          <w:sz w:val="28"/>
          <w:szCs w:val="28"/>
        </w:rPr>
        <w:t>年“三公”经费财政拨款支出决算为</w:t>
      </w:r>
      <w:r>
        <w:rPr>
          <w:rFonts w:hint="eastAsia" w:ascii="仿宋" w:hAnsi="仿宋" w:eastAsia="仿宋" w:cs="仿宋"/>
          <w:bCs/>
          <w:color w:val="000000"/>
          <w:sz w:val="28"/>
          <w:szCs w:val="28"/>
          <w:lang w:val="en-US" w:eastAsia="zh-CN"/>
        </w:rPr>
        <w:t>7.18</w:t>
      </w:r>
      <w:r>
        <w:rPr>
          <w:rFonts w:hint="eastAsia" w:ascii="仿宋" w:hAnsi="仿宋" w:eastAsia="仿宋" w:cs="仿宋"/>
          <w:bCs/>
          <w:color w:val="000000"/>
          <w:sz w:val="28"/>
          <w:szCs w:val="28"/>
        </w:rPr>
        <w:t>万元，完成预算</w:t>
      </w:r>
      <w:r>
        <w:rPr>
          <w:rFonts w:hint="eastAsia" w:ascii="仿宋" w:hAnsi="仿宋" w:eastAsia="仿宋" w:cs="仿宋"/>
          <w:bCs/>
          <w:color w:val="000000"/>
          <w:sz w:val="28"/>
          <w:szCs w:val="28"/>
          <w:lang w:val="en-US" w:eastAsia="zh-CN"/>
        </w:rPr>
        <w:t>39.89</w:t>
      </w:r>
      <w:r>
        <w:rPr>
          <w:rFonts w:hint="eastAsia" w:ascii="仿宋" w:hAnsi="仿宋" w:eastAsia="仿宋" w:cs="仿宋"/>
          <w:bCs/>
          <w:color w:val="000000"/>
          <w:sz w:val="28"/>
          <w:szCs w:val="28"/>
        </w:rPr>
        <w:t>%，决算数小于预算数的主要原因是厉行节俭，打紧安排。</w:t>
      </w:r>
    </w:p>
    <w:p>
      <w:pPr>
        <w:spacing w:line="600" w:lineRule="exact"/>
        <w:ind w:firstLine="640"/>
        <w:outlineLvl w:val="2"/>
        <w:rPr>
          <w:rFonts w:ascii="仿宋" w:hAnsi="仿宋" w:eastAsia="仿宋" w:cs="仿宋"/>
          <w:bCs/>
          <w:color w:val="000000"/>
          <w:sz w:val="28"/>
          <w:szCs w:val="28"/>
        </w:rPr>
      </w:pPr>
      <w:bookmarkStart w:id="41" w:name="_Toc15377217"/>
      <w:r>
        <w:rPr>
          <w:rFonts w:hint="eastAsia" w:ascii="仿宋" w:hAnsi="仿宋" w:eastAsia="仿宋" w:cs="仿宋"/>
          <w:bCs/>
          <w:color w:val="000000"/>
          <w:sz w:val="28"/>
          <w:szCs w:val="28"/>
        </w:rPr>
        <w:t>（二）“三公”经费财政拨款支出决算具体情况说明</w:t>
      </w:r>
      <w:bookmarkEnd w:id="41"/>
    </w:p>
    <w:p>
      <w:pPr>
        <w:spacing w:line="600" w:lineRule="exact"/>
        <w:ind w:firstLine="640"/>
        <w:rPr>
          <w:rFonts w:ascii="仿宋" w:hAnsi="仿宋" w:eastAsia="仿宋" w:cs="仿宋"/>
          <w:color w:val="000000"/>
          <w:sz w:val="28"/>
          <w:szCs w:val="28"/>
        </w:rPr>
      </w:pPr>
      <w:r>
        <w:rPr>
          <w:rFonts w:hint="eastAsia" w:ascii="仿宋" w:hAnsi="仿宋" w:eastAsia="仿宋" w:cs="仿宋"/>
          <w:bCs/>
          <w:color w:val="000000"/>
          <w:sz w:val="28"/>
          <w:szCs w:val="28"/>
        </w:rPr>
        <w:t>202</w:t>
      </w:r>
      <w:r>
        <w:rPr>
          <w:rFonts w:hint="eastAsia" w:ascii="仿宋" w:hAnsi="仿宋" w:eastAsia="仿宋" w:cs="仿宋"/>
          <w:bCs/>
          <w:color w:val="000000"/>
          <w:sz w:val="28"/>
          <w:szCs w:val="28"/>
          <w:lang w:val="en-US" w:eastAsia="zh-CN"/>
        </w:rPr>
        <w:t>1</w:t>
      </w:r>
      <w:r>
        <w:rPr>
          <w:rFonts w:hint="eastAsia" w:ascii="仿宋" w:hAnsi="仿宋" w:eastAsia="仿宋" w:cs="仿宋"/>
          <w:bCs/>
          <w:color w:val="000000"/>
          <w:sz w:val="28"/>
          <w:szCs w:val="28"/>
        </w:rPr>
        <w:t>年“三公”经费财政拨款支出决算</w:t>
      </w:r>
      <w:r>
        <w:rPr>
          <w:rFonts w:hint="eastAsia" w:ascii="仿宋" w:hAnsi="仿宋" w:eastAsia="仿宋" w:cs="仿宋"/>
          <w:color w:val="000000"/>
          <w:kern w:val="0"/>
          <w:sz w:val="28"/>
          <w:szCs w:val="28"/>
        </w:rPr>
        <w:t>总数7.18万元，</w:t>
      </w:r>
      <w:r>
        <w:rPr>
          <w:rFonts w:hint="eastAsia" w:ascii="仿宋" w:hAnsi="仿宋" w:eastAsia="仿宋" w:cs="仿宋"/>
          <w:bCs/>
          <w:color w:val="000000"/>
          <w:sz w:val="28"/>
          <w:szCs w:val="28"/>
        </w:rPr>
        <w:t>因公出国（境）费支出决算0万元，占0%；公务用车购置及运行维护费支出决</w:t>
      </w:r>
      <w:r>
        <w:rPr>
          <w:rFonts w:hint="eastAsia" w:ascii="仿宋" w:hAnsi="仿宋" w:eastAsia="仿宋" w:cs="仿宋"/>
          <w:color w:val="000000"/>
          <w:sz w:val="28"/>
          <w:szCs w:val="28"/>
        </w:rPr>
        <w:t>算</w:t>
      </w:r>
      <w:r>
        <w:rPr>
          <w:rFonts w:hint="eastAsia" w:ascii="仿宋" w:hAnsi="仿宋" w:eastAsia="仿宋" w:cs="仿宋"/>
          <w:color w:val="000000"/>
          <w:sz w:val="28"/>
          <w:szCs w:val="28"/>
          <w:lang w:val="en-US" w:eastAsia="zh-CN"/>
        </w:rPr>
        <w:t>6.53</w:t>
      </w:r>
      <w:r>
        <w:rPr>
          <w:rFonts w:hint="eastAsia" w:ascii="仿宋" w:hAnsi="仿宋" w:eastAsia="仿宋" w:cs="仿宋"/>
          <w:color w:val="000000"/>
          <w:sz w:val="28"/>
          <w:szCs w:val="28"/>
        </w:rPr>
        <w:t>万元，占</w:t>
      </w:r>
      <w:r>
        <w:rPr>
          <w:rFonts w:hint="eastAsia" w:ascii="仿宋" w:hAnsi="仿宋" w:eastAsia="仿宋" w:cs="仿宋"/>
          <w:color w:val="000000"/>
          <w:sz w:val="28"/>
          <w:szCs w:val="28"/>
          <w:lang w:val="en-US" w:eastAsia="zh-CN"/>
        </w:rPr>
        <w:t>36.27</w:t>
      </w:r>
      <w:r>
        <w:rPr>
          <w:rFonts w:hint="eastAsia" w:ascii="仿宋" w:hAnsi="仿宋" w:eastAsia="仿宋" w:cs="仿宋"/>
          <w:color w:val="000000"/>
          <w:sz w:val="28"/>
          <w:szCs w:val="28"/>
        </w:rPr>
        <w:t>%；公务接待费支出决算0.</w:t>
      </w:r>
      <w:r>
        <w:rPr>
          <w:rFonts w:hint="eastAsia" w:ascii="仿宋" w:hAnsi="仿宋" w:eastAsia="仿宋" w:cs="仿宋"/>
          <w:color w:val="000000"/>
          <w:sz w:val="28"/>
          <w:szCs w:val="28"/>
          <w:lang w:val="en-US" w:eastAsia="zh-CN"/>
        </w:rPr>
        <w:t>65</w:t>
      </w:r>
      <w:r>
        <w:rPr>
          <w:rFonts w:hint="eastAsia" w:ascii="仿宋" w:hAnsi="仿宋" w:eastAsia="仿宋" w:cs="仿宋"/>
          <w:color w:val="000000"/>
          <w:sz w:val="28"/>
          <w:szCs w:val="28"/>
        </w:rPr>
        <w:t>万元，占</w:t>
      </w:r>
      <w:r>
        <w:rPr>
          <w:rFonts w:hint="eastAsia" w:ascii="仿宋" w:hAnsi="仿宋" w:eastAsia="仿宋" w:cs="仿宋"/>
          <w:color w:val="000000"/>
          <w:sz w:val="28"/>
          <w:szCs w:val="28"/>
          <w:lang w:val="en-US" w:eastAsia="zh-CN"/>
        </w:rPr>
        <w:t>3.61</w:t>
      </w:r>
      <w:r>
        <w:rPr>
          <w:rFonts w:hint="eastAsia" w:ascii="仿宋" w:hAnsi="仿宋" w:eastAsia="仿宋" w:cs="仿宋"/>
          <w:color w:val="000000"/>
          <w:sz w:val="28"/>
          <w:szCs w:val="28"/>
        </w:rPr>
        <w:t>%。具体情况如下：</w:t>
      </w:r>
    </w:p>
    <w:p>
      <w:pPr>
        <w:spacing w:line="600" w:lineRule="exact"/>
        <w:ind w:firstLine="640"/>
        <w:rPr>
          <w:rFonts w:ascii="仿宋" w:hAnsi="仿宋" w:eastAsia="仿宋" w:cs="仿宋"/>
          <w:color w:val="000000"/>
          <w:sz w:val="28"/>
          <w:szCs w:val="28"/>
        </w:rPr>
      </w:pPr>
      <w:r>
        <w:rPr>
          <w:rFonts w:hint="eastAsia" w:ascii="仿宋" w:hAnsi="仿宋" w:eastAsia="仿宋" w:cs="仿宋"/>
          <w:color w:val="000000"/>
          <w:sz w:val="28"/>
          <w:szCs w:val="28"/>
        </w:rPr>
        <w:t>1.因公出国（境）经费支出0万元，完成预算0%。全年安排因公出国（境）团组0次，出国（境）0人。因公出国（境）支出决算比20</w:t>
      </w:r>
      <w:r>
        <w:rPr>
          <w:rFonts w:hint="eastAsia" w:ascii="仿宋" w:hAnsi="仿宋" w:eastAsia="仿宋" w:cs="仿宋"/>
          <w:color w:val="000000"/>
          <w:sz w:val="28"/>
          <w:szCs w:val="28"/>
          <w:lang w:val="en-US" w:eastAsia="zh-CN"/>
        </w:rPr>
        <w:t>20</w:t>
      </w:r>
      <w:r>
        <w:rPr>
          <w:rFonts w:hint="eastAsia" w:ascii="仿宋" w:hAnsi="仿宋" w:eastAsia="仿宋" w:cs="仿宋"/>
          <w:color w:val="000000"/>
          <w:sz w:val="28"/>
          <w:szCs w:val="28"/>
        </w:rPr>
        <w:t>年增加/减少0万元，增长/下降0%。</w:t>
      </w:r>
    </w:p>
    <w:p>
      <w:pPr>
        <w:spacing w:line="600" w:lineRule="exact"/>
        <w:ind w:firstLine="640"/>
        <w:rPr>
          <w:rFonts w:ascii="仿宋" w:hAnsi="仿宋" w:eastAsia="仿宋" w:cs="仿宋"/>
          <w:color w:val="000000"/>
          <w:sz w:val="28"/>
          <w:szCs w:val="28"/>
        </w:rPr>
      </w:pPr>
      <w:r>
        <w:rPr>
          <w:rFonts w:hint="eastAsia" w:ascii="仿宋" w:hAnsi="仿宋" w:eastAsia="仿宋" w:cs="仿宋"/>
          <w:color w:val="000000"/>
          <w:sz w:val="28"/>
          <w:szCs w:val="28"/>
        </w:rPr>
        <w:t>2.公务用车购置及运行维护费支出</w:t>
      </w:r>
      <w:r>
        <w:rPr>
          <w:rFonts w:hint="eastAsia" w:ascii="仿宋" w:hAnsi="仿宋" w:eastAsia="仿宋" w:cs="仿宋"/>
          <w:color w:val="000000"/>
          <w:sz w:val="28"/>
          <w:szCs w:val="28"/>
          <w:lang w:val="en-US" w:eastAsia="zh-CN"/>
        </w:rPr>
        <w:t>6.53</w:t>
      </w:r>
      <w:r>
        <w:rPr>
          <w:rFonts w:hint="eastAsia" w:ascii="仿宋" w:hAnsi="仿宋" w:eastAsia="仿宋" w:cs="仿宋"/>
          <w:color w:val="000000"/>
          <w:sz w:val="28"/>
          <w:szCs w:val="28"/>
        </w:rPr>
        <w:t>万元,完成预算</w:t>
      </w:r>
      <w:r>
        <w:rPr>
          <w:rFonts w:hint="eastAsia" w:ascii="仿宋" w:hAnsi="仿宋" w:eastAsia="仿宋" w:cs="仿宋"/>
          <w:color w:val="000000"/>
          <w:sz w:val="28"/>
          <w:szCs w:val="28"/>
          <w:lang w:val="en-US" w:eastAsia="zh-CN"/>
        </w:rPr>
        <w:t>36.27</w:t>
      </w:r>
      <w:r>
        <w:rPr>
          <w:rFonts w:hint="eastAsia" w:ascii="仿宋" w:hAnsi="仿宋" w:eastAsia="仿宋" w:cs="仿宋"/>
          <w:color w:val="000000"/>
          <w:sz w:val="28"/>
          <w:szCs w:val="28"/>
        </w:rPr>
        <w:t>%。公务用车购置及运行维护费支出决算比20</w:t>
      </w:r>
      <w:r>
        <w:rPr>
          <w:rFonts w:hint="eastAsia" w:ascii="仿宋" w:hAnsi="仿宋" w:eastAsia="仿宋" w:cs="仿宋"/>
          <w:color w:val="000000"/>
          <w:sz w:val="28"/>
          <w:szCs w:val="28"/>
          <w:lang w:val="en-US" w:eastAsia="zh-CN"/>
        </w:rPr>
        <w:t>20</w:t>
      </w:r>
      <w:r>
        <w:rPr>
          <w:rFonts w:hint="eastAsia" w:ascii="仿宋" w:hAnsi="仿宋" w:eastAsia="仿宋" w:cs="仿宋"/>
          <w:color w:val="000000"/>
          <w:sz w:val="28"/>
          <w:szCs w:val="28"/>
          <w:lang w:eastAsia="zh-CN"/>
        </w:rPr>
        <w:t>增加</w:t>
      </w:r>
      <w:r>
        <w:rPr>
          <w:rFonts w:hint="eastAsia" w:ascii="仿宋" w:hAnsi="仿宋" w:eastAsia="仿宋" w:cs="仿宋"/>
          <w:color w:val="000000"/>
          <w:sz w:val="28"/>
          <w:szCs w:val="28"/>
          <w:lang w:val="en-US" w:eastAsia="zh-CN"/>
        </w:rPr>
        <w:t>5.63</w:t>
      </w:r>
      <w:r>
        <w:rPr>
          <w:rFonts w:hint="eastAsia" w:ascii="仿宋" w:hAnsi="仿宋" w:eastAsia="仿宋" w:cs="仿宋"/>
          <w:color w:val="000000"/>
          <w:sz w:val="28"/>
          <w:szCs w:val="28"/>
        </w:rPr>
        <w:t>万元，</w:t>
      </w:r>
      <w:r>
        <w:rPr>
          <w:rFonts w:hint="eastAsia" w:ascii="仿宋" w:hAnsi="仿宋" w:eastAsia="仿宋" w:cs="仿宋"/>
          <w:color w:val="000000"/>
          <w:sz w:val="28"/>
          <w:szCs w:val="28"/>
          <w:lang w:eastAsia="zh-CN"/>
        </w:rPr>
        <w:t>增加</w:t>
      </w:r>
      <w:r>
        <w:rPr>
          <w:rFonts w:hint="eastAsia" w:ascii="仿宋" w:hAnsi="仿宋" w:eastAsia="仿宋" w:cs="仿宋"/>
          <w:color w:val="000000"/>
          <w:sz w:val="28"/>
          <w:szCs w:val="28"/>
          <w:lang w:val="en-US" w:eastAsia="zh-CN"/>
        </w:rPr>
        <w:t>525.55</w:t>
      </w:r>
      <w:r>
        <w:rPr>
          <w:rFonts w:hint="eastAsia" w:ascii="仿宋" w:hAnsi="仿宋" w:eastAsia="仿宋" w:cs="仿宋"/>
          <w:color w:val="000000"/>
          <w:sz w:val="28"/>
          <w:szCs w:val="28"/>
        </w:rPr>
        <w:t>%</w:t>
      </w: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lang w:val="en-US" w:eastAsia="zh-CN"/>
        </w:rPr>
        <w:t>2021年度支出增加</w:t>
      </w:r>
      <w:r>
        <w:rPr>
          <w:rFonts w:hint="eastAsia" w:ascii="仿宋" w:hAnsi="仿宋" w:eastAsia="仿宋" w:cs="仿宋"/>
          <w:color w:val="000000"/>
          <w:kern w:val="0"/>
          <w:sz w:val="28"/>
          <w:szCs w:val="28"/>
        </w:rPr>
        <w:t>主要原因为增加了一辆公务用车</w:t>
      </w:r>
      <w:r>
        <w:rPr>
          <w:rFonts w:hint="eastAsia" w:ascii="仿宋" w:hAnsi="仿宋" w:eastAsia="仿宋" w:cs="仿宋"/>
          <w:color w:val="000000"/>
          <w:sz w:val="28"/>
          <w:szCs w:val="28"/>
        </w:rPr>
        <w:t>。</w:t>
      </w:r>
    </w:p>
    <w:p>
      <w:pPr>
        <w:spacing w:line="600" w:lineRule="exact"/>
        <w:ind w:firstLine="640"/>
        <w:rPr>
          <w:rFonts w:ascii="仿宋" w:hAnsi="仿宋" w:eastAsia="仿宋" w:cs="仿宋"/>
          <w:color w:val="000000"/>
          <w:sz w:val="28"/>
          <w:szCs w:val="28"/>
        </w:rPr>
      </w:pPr>
      <w:r>
        <w:rPr>
          <w:rFonts w:hint="eastAsia" w:ascii="仿宋" w:hAnsi="仿宋" w:eastAsia="仿宋" w:cs="仿宋"/>
          <w:color w:val="000000"/>
          <w:sz w:val="28"/>
          <w:szCs w:val="28"/>
        </w:rPr>
        <w:t>其中：公务用车购置支出0万元。全年按规定更新购置公务用车0辆，金额0元。截至202</w:t>
      </w:r>
      <w:r>
        <w:rPr>
          <w:rFonts w:hint="eastAsia" w:ascii="仿宋" w:hAnsi="仿宋" w:eastAsia="仿宋" w:cs="仿宋"/>
          <w:color w:val="000000"/>
          <w:sz w:val="28"/>
          <w:szCs w:val="28"/>
          <w:lang w:val="en-US" w:eastAsia="zh-CN"/>
        </w:rPr>
        <w:t>1</w:t>
      </w:r>
      <w:r>
        <w:rPr>
          <w:rFonts w:hint="eastAsia" w:ascii="仿宋" w:hAnsi="仿宋" w:eastAsia="仿宋" w:cs="仿宋"/>
          <w:color w:val="000000"/>
          <w:sz w:val="28"/>
          <w:szCs w:val="28"/>
        </w:rPr>
        <w:t>年12月底，单位共有公务用车2辆，其中：主要领导干部用车0辆、机要通信用车0辆、应急保障用车0辆、 执法执勤用车0辆、其他用车2辆。</w:t>
      </w:r>
    </w:p>
    <w:p>
      <w:pPr>
        <w:spacing w:line="600" w:lineRule="exact"/>
        <w:ind w:firstLine="640"/>
        <w:rPr>
          <w:rFonts w:ascii="仿宋" w:hAnsi="仿宋" w:eastAsia="仿宋" w:cs="仿宋"/>
          <w:color w:val="000000"/>
          <w:sz w:val="28"/>
          <w:szCs w:val="28"/>
        </w:rPr>
      </w:pPr>
      <w:r>
        <w:rPr>
          <w:rFonts w:hint="eastAsia" w:ascii="仿宋" w:hAnsi="仿宋" w:eastAsia="仿宋" w:cs="仿宋"/>
          <w:color w:val="000000"/>
          <w:sz w:val="28"/>
          <w:szCs w:val="28"/>
        </w:rPr>
        <w:t>公务用车运行维护费支出</w:t>
      </w:r>
      <w:r>
        <w:rPr>
          <w:rFonts w:hint="eastAsia" w:ascii="仿宋" w:hAnsi="仿宋" w:eastAsia="仿宋" w:cs="仿宋"/>
          <w:color w:val="000000"/>
          <w:sz w:val="28"/>
          <w:szCs w:val="28"/>
          <w:lang w:val="en-US" w:eastAsia="zh-CN"/>
        </w:rPr>
        <w:t>6.53</w:t>
      </w:r>
      <w:r>
        <w:rPr>
          <w:rFonts w:hint="eastAsia" w:ascii="仿宋" w:hAnsi="仿宋" w:eastAsia="仿宋" w:cs="仿宋"/>
          <w:color w:val="000000"/>
          <w:sz w:val="28"/>
          <w:szCs w:val="28"/>
        </w:rPr>
        <w:t>万元。主要用于办公、巡查水库等所需的公务用车燃料费、维修费、过路过桥费、保险费等支出。</w:t>
      </w:r>
    </w:p>
    <w:p>
      <w:pPr>
        <w:spacing w:line="600" w:lineRule="exact"/>
        <w:ind w:firstLine="640"/>
        <w:rPr>
          <w:rFonts w:ascii="仿宋" w:hAnsi="仿宋" w:eastAsia="仿宋" w:cs="仿宋"/>
          <w:color w:val="000000"/>
          <w:sz w:val="28"/>
          <w:szCs w:val="28"/>
        </w:rPr>
      </w:pPr>
      <w:r>
        <w:rPr>
          <w:rFonts w:hint="eastAsia" w:ascii="仿宋" w:hAnsi="仿宋" w:eastAsia="仿宋" w:cs="仿宋"/>
          <w:color w:val="000000"/>
          <w:sz w:val="28"/>
          <w:szCs w:val="28"/>
        </w:rPr>
        <w:t>3.公务接待费支出</w:t>
      </w:r>
      <w:r>
        <w:rPr>
          <w:rFonts w:hint="eastAsia" w:ascii="仿宋" w:hAnsi="仿宋" w:eastAsia="仿宋" w:cs="仿宋"/>
          <w:color w:val="000000"/>
          <w:sz w:val="28"/>
          <w:szCs w:val="28"/>
          <w:lang w:val="en-US" w:eastAsia="zh-CN"/>
        </w:rPr>
        <w:t>0.65</w:t>
      </w:r>
      <w:r>
        <w:rPr>
          <w:rFonts w:hint="eastAsia" w:ascii="仿宋" w:hAnsi="仿宋" w:eastAsia="仿宋" w:cs="仿宋"/>
          <w:color w:val="000000"/>
          <w:sz w:val="28"/>
          <w:szCs w:val="28"/>
        </w:rPr>
        <w:t>万元，完成预算</w:t>
      </w:r>
      <w:r>
        <w:rPr>
          <w:rFonts w:hint="eastAsia" w:ascii="仿宋" w:hAnsi="仿宋" w:eastAsia="仿宋" w:cs="仿宋"/>
          <w:color w:val="000000"/>
          <w:sz w:val="28"/>
          <w:szCs w:val="28"/>
          <w:lang w:val="en-US" w:eastAsia="zh-CN"/>
        </w:rPr>
        <w:t>3.61</w:t>
      </w:r>
      <w:r>
        <w:rPr>
          <w:rFonts w:hint="eastAsia" w:ascii="仿宋" w:hAnsi="仿宋" w:eastAsia="仿宋" w:cs="仿宋"/>
          <w:color w:val="000000"/>
          <w:sz w:val="28"/>
          <w:szCs w:val="28"/>
        </w:rPr>
        <w:t>%</w:t>
      </w:r>
      <w:r>
        <w:rPr>
          <w:rFonts w:hint="eastAsia" w:ascii="仿宋" w:hAnsi="仿宋" w:eastAsia="仿宋" w:cs="仿宋"/>
          <w:sz w:val="28"/>
          <w:szCs w:val="28"/>
        </w:rPr>
        <w:t>。</w:t>
      </w:r>
      <w:r>
        <w:rPr>
          <w:rFonts w:hint="eastAsia" w:ascii="仿宋" w:hAnsi="仿宋" w:eastAsia="仿宋" w:cs="仿宋"/>
          <w:color w:val="000000"/>
          <w:sz w:val="28"/>
          <w:szCs w:val="28"/>
        </w:rPr>
        <w:t>公务接待费支出决算比20</w:t>
      </w:r>
      <w:r>
        <w:rPr>
          <w:rFonts w:hint="eastAsia" w:ascii="仿宋" w:hAnsi="仿宋" w:eastAsia="仿宋" w:cs="仿宋"/>
          <w:color w:val="000000"/>
          <w:sz w:val="28"/>
          <w:szCs w:val="28"/>
          <w:lang w:val="en-US" w:eastAsia="zh-CN"/>
        </w:rPr>
        <w:t>20</w:t>
      </w:r>
      <w:r>
        <w:rPr>
          <w:rFonts w:hint="eastAsia" w:ascii="仿宋" w:hAnsi="仿宋" w:eastAsia="仿宋" w:cs="仿宋"/>
          <w:color w:val="000000"/>
          <w:sz w:val="28"/>
          <w:szCs w:val="28"/>
        </w:rPr>
        <w:t>年增加0.</w:t>
      </w:r>
      <w:r>
        <w:rPr>
          <w:rFonts w:hint="eastAsia" w:ascii="仿宋" w:hAnsi="仿宋" w:eastAsia="仿宋" w:cs="仿宋"/>
          <w:color w:val="000000"/>
          <w:sz w:val="28"/>
          <w:szCs w:val="28"/>
          <w:lang w:val="en-US" w:eastAsia="zh-CN"/>
        </w:rPr>
        <w:t>33</w:t>
      </w:r>
      <w:r>
        <w:rPr>
          <w:rFonts w:hint="eastAsia" w:ascii="仿宋" w:hAnsi="仿宋" w:eastAsia="仿宋" w:cs="仿宋"/>
          <w:color w:val="000000"/>
          <w:sz w:val="28"/>
          <w:szCs w:val="28"/>
        </w:rPr>
        <w:t>万元，增长</w:t>
      </w:r>
      <w:r>
        <w:rPr>
          <w:rFonts w:hint="eastAsia" w:ascii="仿宋" w:hAnsi="仿宋" w:eastAsia="仿宋" w:cs="仿宋"/>
          <w:color w:val="000000"/>
          <w:sz w:val="28"/>
          <w:szCs w:val="28"/>
          <w:lang w:val="en-US" w:eastAsia="zh-CN"/>
        </w:rPr>
        <w:t>100</w:t>
      </w:r>
      <w:r>
        <w:rPr>
          <w:rFonts w:hint="eastAsia" w:ascii="仿宋" w:hAnsi="仿宋" w:eastAsia="仿宋" w:cs="仿宋"/>
          <w:color w:val="000000"/>
          <w:sz w:val="28"/>
          <w:szCs w:val="28"/>
        </w:rPr>
        <w:t>%。主要原因是202</w:t>
      </w:r>
      <w:r>
        <w:rPr>
          <w:rFonts w:hint="eastAsia" w:ascii="仿宋" w:hAnsi="仿宋" w:eastAsia="仿宋" w:cs="仿宋"/>
          <w:color w:val="000000"/>
          <w:sz w:val="28"/>
          <w:szCs w:val="28"/>
          <w:lang w:val="en-US" w:eastAsia="zh-CN"/>
        </w:rPr>
        <w:t>1</w:t>
      </w:r>
      <w:r>
        <w:rPr>
          <w:rFonts w:hint="eastAsia" w:ascii="仿宋" w:hAnsi="仿宋" w:eastAsia="仿宋" w:cs="仿宋"/>
          <w:color w:val="000000"/>
          <w:sz w:val="28"/>
          <w:szCs w:val="28"/>
        </w:rPr>
        <w:t>年有多个项目验收等接待开销：</w:t>
      </w:r>
    </w:p>
    <w:p>
      <w:pPr>
        <w:spacing w:line="600" w:lineRule="exact"/>
        <w:ind w:firstLine="640"/>
        <w:rPr>
          <w:rFonts w:ascii="仿宋" w:hAnsi="仿宋" w:eastAsia="仿宋" w:cs="仿宋"/>
          <w:color w:val="000000"/>
          <w:sz w:val="28"/>
          <w:szCs w:val="28"/>
        </w:rPr>
      </w:pPr>
      <w:r>
        <w:rPr>
          <w:rFonts w:hint="eastAsia" w:ascii="仿宋" w:hAnsi="仿宋" w:eastAsia="仿宋" w:cs="仿宋"/>
          <w:color w:val="000000"/>
          <w:sz w:val="28"/>
          <w:szCs w:val="28"/>
        </w:rPr>
        <w:t>国内公务接待支出0.</w:t>
      </w:r>
      <w:r>
        <w:rPr>
          <w:rFonts w:hint="eastAsia" w:ascii="仿宋" w:hAnsi="仿宋" w:eastAsia="仿宋" w:cs="仿宋"/>
          <w:color w:val="000000"/>
          <w:sz w:val="28"/>
          <w:szCs w:val="28"/>
          <w:lang w:val="en-US" w:eastAsia="zh-CN"/>
        </w:rPr>
        <w:t>65</w:t>
      </w:r>
      <w:r>
        <w:rPr>
          <w:rFonts w:hint="eastAsia" w:ascii="仿宋" w:hAnsi="仿宋" w:eastAsia="仿宋" w:cs="仿宋"/>
          <w:color w:val="000000"/>
          <w:sz w:val="28"/>
          <w:szCs w:val="28"/>
        </w:rPr>
        <w:t>万元，主要用于执行公务用餐费等。</w:t>
      </w:r>
      <w:r>
        <w:rPr>
          <w:rFonts w:hint="eastAsia" w:ascii="仿宋" w:hAnsi="仿宋" w:eastAsia="仿宋" w:cs="仿宋"/>
          <w:color w:val="000000"/>
          <w:kern w:val="0"/>
          <w:sz w:val="28"/>
          <w:szCs w:val="28"/>
        </w:rPr>
        <w:t>接待接待批次7次，接待人次83人次，无外事接待</w:t>
      </w:r>
      <w:r>
        <w:rPr>
          <w:rFonts w:hint="eastAsia" w:ascii="仿宋" w:hAnsi="仿宋" w:eastAsia="仿宋" w:cs="仿宋"/>
          <w:color w:val="000000"/>
          <w:sz w:val="28"/>
          <w:szCs w:val="28"/>
        </w:rPr>
        <w:t>，共计支出0.</w:t>
      </w:r>
      <w:r>
        <w:rPr>
          <w:rFonts w:hint="eastAsia" w:ascii="仿宋" w:hAnsi="仿宋" w:eastAsia="仿宋" w:cs="仿宋"/>
          <w:color w:val="000000"/>
          <w:sz w:val="28"/>
          <w:szCs w:val="28"/>
          <w:lang w:val="en-US" w:eastAsia="zh-CN"/>
        </w:rPr>
        <w:t>65</w:t>
      </w:r>
      <w:r>
        <w:rPr>
          <w:rFonts w:hint="eastAsia" w:ascii="仿宋" w:hAnsi="仿宋" w:eastAsia="仿宋" w:cs="仿宋"/>
          <w:color w:val="000000"/>
          <w:sz w:val="28"/>
          <w:szCs w:val="28"/>
        </w:rPr>
        <w:t>万元，具体内容包括：省水利厅对“引青进峨”河湖库连通工程项目督查餐费，乐山市水务局对我单位进行防汛检查餐费、省水利厅对我单位进行防汛检查餐费，防汛演练餐费、水库除险加固督查餐费，共计0.</w:t>
      </w:r>
      <w:r>
        <w:rPr>
          <w:rFonts w:hint="eastAsia" w:ascii="仿宋" w:hAnsi="仿宋" w:eastAsia="仿宋" w:cs="仿宋"/>
          <w:color w:val="000000"/>
          <w:sz w:val="28"/>
          <w:szCs w:val="28"/>
          <w:lang w:val="en-US" w:eastAsia="zh-CN"/>
        </w:rPr>
        <w:t>65</w:t>
      </w:r>
      <w:r>
        <w:rPr>
          <w:rFonts w:hint="eastAsia" w:ascii="仿宋" w:hAnsi="仿宋" w:eastAsia="仿宋" w:cs="仿宋"/>
          <w:color w:val="000000"/>
          <w:sz w:val="28"/>
          <w:szCs w:val="28"/>
        </w:rPr>
        <w:t>万元。</w:t>
      </w:r>
    </w:p>
    <w:p>
      <w:pPr>
        <w:spacing w:line="600" w:lineRule="exact"/>
        <w:ind w:firstLine="640"/>
        <w:rPr>
          <w:rFonts w:ascii="仿宋" w:hAnsi="仿宋" w:eastAsia="仿宋" w:cs="仿宋"/>
          <w:color w:val="000000"/>
          <w:sz w:val="28"/>
          <w:szCs w:val="28"/>
        </w:rPr>
      </w:pPr>
      <w:r>
        <w:rPr>
          <w:rFonts w:hint="eastAsia" w:ascii="仿宋" w:hAnsi="仿宋" w:eastAsia="仿宋" w:cs="仿宋"/>
          <w:color w:val="000000"/>
          <w:sz w:val="28"/>
          <w:szCs w:val="28"/>
        </w:rPr>
        <w:t>外事接待支出0万元，外事接待0批次，0人，共计支出0万元。</w:t>
      </w:r>
      <w:bookmarkStart w:id="42" w:name="_Toc15377218"/>
      <w:bookmarkStart w:id="43" w:name="_Toc15396610"/>
    </w:p>
    <w:p>
      <w:pPr>
        <w:spacing w:line="600" w:lineRule="exact"/>
        <w:ind w:firstLine="640"/>
        <w:rPr>
          <w:rFonts w:ascii="仿宋" w:hAnsi="仿宋" w:eastAsia="仿宋" w:cs="仿宋"/>
          <w:b/>
          <w:bCs/>
          <w:color w:val="000000"/>
          <w:sz w:val="32"/>
          <w:szCs w:val="32"/>
        </w:rPr>
      </w:pPr>
      <w:r>
        <w:rPr>
          <w:rFonts w:hint="eastAsia" w:ascii="仿宋" w:hAnsi="仿宋" w:eastAsia="仿宋" w:cs="仿宋"/>
          <w:color w:val="000000"/>
          <w:sz w:val="32"/>
          <w:szCs w:val="32"/>
        </w:rPr>
        <w:t>八、</w:t>
      </w:r>
      <w:r>
        <w:rPr>
          <w:rFonts w:hint="eastAsia" w:ascii="仿宋" w:hAnsi="仿宋" w:eastAsia="仿宋" w:cs="仿宋"/>
          <w:bCs/>
          <w:color w:val="000000"/>
          <w:sz w:val="32"/>
          <w:szCs w:val="32"/>
        </w:rPr>
        <w:t>政府性基金预算支出决算情况说明</w:t>
      </w:r>
      <w:bookmarkEnd w:id="42"/>
      <w:bookmarkEnd w:id="43"/>
    </w:p>
    <w:p>
      <w:pPr>
        <w:spacing w:line="600" w:lineRule="exact"/>
        <w:ind w:firstLine="640"/>
        <w:rPr>
          <w:rFonts w:ascii="仿宋" w:hAnsi="仿宋" w:eastAsia="仿宋" w:cs="仿宋"/>
          <w:color w:val="000000"/>
          <w:sz w:val="28"/>
          <w:szCs w:val="28"/>
        </w:rPr>
      </w:pPr>
      <w:r>
        <w:rPr>
          <w:rFonts w:hint="eastAsia" w:ascii="仿宋" w:hAnsi="仿宋" w:eastAsia="仿宋" w:cs="仿宋"/>
          <w:color w:val="000000"/>
          <w:sz w:val="28"/>
          <w:szCs w:val="28"/>
        </w:rPr>
        <w:t>202</w:t>
      </w:r>
      <w:r>
        <w:rPr>
          <w:rFonts w:hint="eastAsia" w:ascii="仿宋" w:hAnsi="仿宋" w:eastAsia="仿宋" w:cs="仿宋"/>
          <w:color w:val="000000"/>
          <w:sz w:val="28"/>
          <w:szCs w:val="28"/>
          <w:lang w:val="en-US" w:eastAsia="zh-CN"/>
        </w:rPr>
        <w:t>1</w:t>
      </w:r>
      <w:r>
        <w:rPr>
          <w:rFonts w:hint="eastAsia" w:ascii="仿宋" w:hAnsi="仿宋" w:eastAsia="仿宋" w:cs="仿宋"/>
          <w:color w:val="000000"/>
          <w:sz w:val="28"/>
          <w:szCs w:val="28"/>
        </w:rPr>
        <w:t>年政府性基金预算拨款支出1</w:t>
      </w:r>
      <w:r>
        <w:rPr>
          <w:rFonts w:hint="eastAsia" w:ascii="仿宋" w:hAnsi="仿宋" w:eastAsia="仿宋" w:cs="仿宋"/>
          <w:color w:val="000000"/>
          <w:sz w:val="28"/>
          <w:szCs w:val="28"/>
          <w:lang w:val="en-US" w:eastAsia="zh-CN"/>
        </w:rPr>
        <w:t>945.86</w:t>
      </w:r>
      <w:r>
        <w:rPr>
          <w:rFonts w:hint="eastAsia" w:ascii="仿宋" w:hAnsi="仿宋" w:eastAsia="仿宋" w:cs="仿宋"/>
          <w:color w:val="000000"/>
          <w:sz w:val="28"/>
          <w:szCs w:val="28"/>
        </w:rPr>
        <w:t>万元。</w:t>
      </w:r>
    </w:p>
    <w:p>
      <w:pPr>
        <w:spacing w:line="600" w:lineRule="exact"/>
        <w:ind w:firstLine="640"/>
        <w:rPr>
          <w:rFonts w:ascii="仿宋" w:hAnsi="仿宋" w:eastAsia="仿宋" w:cs="仿宋"/>
          <w:color w:val="000000"/>
          <w:sz w:val="32"/>
          <w:szCs w:val="32"/>
        </w:rPr>
      </w:pPr>
      <w:bookmarkStart w:id="44" w:name="_Toc15377219"/>
      <w:bookmarkStart w:id="45" w:name="_Toc15396611"/>
      <w:r>
        <w:rPr>
          <w:rFonts w:hint="eastAsia" w:ascii="仿宋" w:hAnsi="仿宋" w:eastAsia="仿宋" w:cs="仿宋"/>
          <w:color w:val="000000"/>
          <w:sz w:val="32"/>
          <w:szCs w:val="32"/>
        </w:rPr>
        <w:t>九、国有资本经营预算支出决算情况说明</w:t>
      </w:r>
      <w:bookmarkEnd w:id="44"/>
      <w:bookmarkEnd w:id="45"/>
    </w:p>
    <w:p>
      <w:pPr>
        <w:spacing w:line="600" w:lineRule="exact"/>
        <w:ind w:firstLine="640"/>
        <w:rPr>
          <w:rFonts w:ascii="仿宋" w:hAnsi="仿宋" w:eastAsia="仿宋" w:cs="仿宋"/>
          <w:color w:val="000000"/>
          <w:sz w:val="28"/>
          <w:szCs w:val="28"/>
        </w:rPr>
      </w:pPr>
      <w:r>
        <w:rPr>
          <w:rFonts w:hint="eastAsia" w:ascii="仿宋" w:hAnsi="仿宋" w:eastAsia="仿宋" w:cs="仿宋"/>
          <w:color w:val="000000"/>
          <w:sz w:val="28"/>
          <w:szCs w:val="28"/>
        </w:rPr>
        <w:t>202</w:t>
      </w:r>
      <w:r>
        <w:rPr>
          <w:rFonts w:hint="eastAsia" w:ascii="仿宋" w:hAnsi="仿宋" w:eastAsia="仿宋" w:cs="仿宋"/>
          <w:color w:val="000000"/>
          <w:sz w:val="28"/>
          <w:szCs w:val="28"/>
          <w:lang w:val="en-US" w:eastAsia="zh-CN"/>
        </w:rPr>
        <w:t>1</w:t>
      </w:r>
      <w:r>
        <w:rPr>
          <w:rFonts w:hint="eastAsia" w:ascii="仿宋" w:hAnsi="仿宋" w:eastAsia="仿宋" w:cs="仿宋"/>
          <w:color w:val="000000"/>
          <w:sz w:val="28"/>
          <w:szCs w:val="28"/>
        </w:rPr>
        <w:t>年国有资本经营预算拨款支出0万元。</w:t>
      </w:r>
    </w:p>
    <w:p>
      <w:pPr>
        <w:spacing w:line="600" w:lineRule="exact"/>
        <w:ind w:firstLine="640"/>
        <w:rPr>
          <w:rFonts w:ascii="仿宋" w:hAnsi="仿宋" w:eastAsia="仿宋" w:cs="仿宋"/>
          <w:color w:val="000000"/>
          <w:sz w:val="32"/>
          <w:szCs w:val="32"/>
        </w:rPr>
      </w:pPr>
      <w:bookmarkStart w:id="46" w:name="_Toc15377221"/>
      <w:bookmarkStart w:id="47" w:name="_Toc15396612"/>
      <w:r>
        <w:rPr>
          <w:rFonts w:hint="eastAsia" w:ascii="仿宋" w:hAnsi="仿宋" w:eastAsia="仿宋" w:cs="仿宋"/>
          <w:color w:val="000000"/>
          <w:sz w:val="32"/>
          <w:szCs w:val="32"/>
        </w:rPr>
        <w:t>十、其他重要事项的情况说明</w:t>
      </w:r>
      <w:bookmarkEnd w:id="46"/>
      <w:bookmarkEnd w:id="47"/>
    </w:p>
    <w:p>
      <w:pPr>
        <w:spacing w:line="600" w:lineRule="exact"/>
        <w:ind w:firstLine="640"/>
        <w:rPr>
          <w:rFonts w:ascii="仿宋" w:hAnsi="仿宋" w:eastAsia="仿宋"/>
          <w:color w:val="000000"/>
          <w:sz w:val="28"/>
          <w:szCs w:val="28"/>
        </w:rPr>
      </w:pPr>
      <w:bookmarkStart w:id="48" w:name="_Toc15377222"/>
      <w:r>
        <w:rPr>
          <w:rFonts w:hint="eastAsia" w:ascii="仿宋" w:hAnsi="仿宋" w:eastAsia="仿宋"/>
          <w:color w:val="000000"/>
          <w:sz w:val="28"/>
          <w:szCs w:val="28"/>
        </w:rPr>
        <w:t>（一）机关运行经费支出情况</w:t>
      </w:r>
      <w:bookmarkEnd w:id="48"/>
    </w:p>
    <w:p>
      <w:pPr>
        <w:spacing w:line="600" w:lineRule="exact"/>
        <w:ind w:firstLine="640"/>
        <w:rPr>
          <w:rFonts w:ascii="仿宋" w:hAnsi="仿宋" w:eastAsia="仿宋"/>
          <w:color w:val="000000"/>
          <w:sz w:val="28"/>
          <w:szCs w:val="28"/>
        </w:rPr>
      </w:pPr>
      <w:r>
        <w:rPr>
          <w:rFonts w:ascii="仿宋" w:hAnsi="仿宋" w:eastAsia="仿宋"/>
          <w:color w:val="000000"/>
          <w:sz w:val="28"/>
          <w:szCs w:val="28"/>
        </w:rPr>
        <w:t>20</w:t>
      </w:r>
      <w:r>
        <w:rPr>
          <w:rFonts w:hint="eastAsia" w:ascii="仿宋" w:hAnsi="仿宋" w:eastAsia="仿宋"/>
          <w:color w:val="000000"/>
          <w:sz w:val="28"/>
          <w:szCs w:val="28"/>
        </w:rPr>
        <w:t>2</w:t>
      </w:r>
      <w:r>
        <w:rPr>
          <w:rFonts w:hint="eastAsia" w:ascii="仿宋" w:hAnsi="仿宋" w:eastAsia="仿宋"/>
          <w:color w:val="000000"/>
          <w:sz w:val="28"/>
          <w:szCs w:val="28"/>
          <w:lang w:val="en-US" w:eastAsia="zh-CN"/>
        </w:rPr>
        <w:t>1</w:t>
      </w:r>
      <w:r>
        <w:rPr>
          <w:rFonts w:hint="eastAsia" w:ascii="仿宋" w:hAnsi="仿宋" w:eastAsia="仿宋"/>
          <w:color w:val="000000"/>
          <w:sz w:val="28"/>
          <w:szCs w:val="28"/>
        </w:rPr>
        <w:t>年，河湖保护中心运行经费支出</w:t>
      </w:r>
      <w:r>
        <w:rPr>
          <w:rFonts w:hint="eastAsia" w:ascii="仿宋" w:hAnsi="仿宋" w:eastAsia="仿宋"/>
          <w:color w:val="000000"/>
          <w:sz w:val="28"/>
          <w:szCs w:val="28"/>
          <w:lang w:val="en-US" w:eastAsia="zh-CN"/>
        </w:rPr>
        <w:t>38.04</w:t>
      </w:r>
      <w:r>
        <w:rPr>
          <w:rFonts w:hint="eastAsia" w:ascii="仿宋" w:hAnsi="仿宋" w:eastAsia="仿宋"/>
          <w:color w:val="000000"/>
          <w:sz w:val="28"/>
          <w:szCs w:val="28"/>
        </w:rPr>
        <w:t>万元，比</w:t>
      </w:r>
      <w:r>
        <w:rPr>
          <w:rFonts w:ascii="仿宋" w:hAnsi="仿宋" w:eastAsia="仿宋"/>
          <w:color w:val="000000"/>
          <w:sz w:val="28"/>
          <w:szCs w:val="28"/>
        </w:rPr>
        <w:t>20</w:t>
      </w:r>
      <w:r>
        <w:rPr>
          <w:rFonts w:hint="eastAsia" w:ascii="仿宋" w:hAnsi="仿宋" w:eastAsia="仿宋"/>
          <w:color w:val="000000"/>
          <w:sz w:val="28"/>
          <w:szCs w:val="28"/>
          <w:lang w:val="en-US" w:eastAsia="zh-CN"/>
        </w:rPr>
        <w:t>20</w:t>
      </w:r>
      <w:r>
        <w:rPr>
          <w:rFonts w:hint="eastAsia" w:ascii="仿宋" w:hAnsi="仿宋" w:eastAsia="仿宋"/>
          <w:color w:val="000000"/>
          <w:sz w:val="28"/>
          <w:szCs w:val="28"/>
        </w:rPr>
        <w:t>年减少</w:t>
      </w:r>
      <w:r>
        <w:rPr>
          <w:rFonts w:hint="eastAsia" w:ascii="仿宋" w:hAnsi="仿宋" w:eastAsia="仿宋"/>
          <w:color w:val="000000"/>
          <w:sz w:val="28"/>
          <w:szCs w:val="28"/>
          <w:lang w:val="en-US" w:eastAsia="zh-CN"/>
        </w:rPr>
        <w:t>5.01</w:t>
      </w:r>
      <w:r>
        <w:rPr>
          <w:rFonts w:hint="eastAsia" w:ascii="仿宋" w:hAnsi="仿宋" w:eastAsia="仿宋"/>
          <w:color w:val="000000"/>
          <w:sz w:val="28"/>
          <w:szCs w:val="28"/>
        </w:rPr>
        <w:t>万元，减少</w:t>
      </w:r>
      <w:r>
        <w:rPr>
          <w:rFonts w:hint="eastAsia" w:ascii="仿宋" w:hAnsi="仿宋" w:eastAsia="仿宋"/>
          <w:color w:val="000000"/>
          <w:sz w:val="28"/>
          <w:szCs w:val="28"/>
          <w:lang w:val="en-US" w:eastAsia="zh-CN"/>
        </w:rPr>
        <w:t>11.65</w:t>
      </w:r>
      <w:r>
        <w:rPr>
          <w:rFonts w:ascii="仿宋" w:hAnsi="仿宋" w:eastAsia="仿宋"/>
          <w:color w:val="000000"/>
          <w:sz w:val="28"/>
          <w:szCs w:val="28"/>
        </w:rPr>
        <w:t>%</w:t>
      </w:r>
      <w:r>
        <w:rPr>
          <w:rFonts w:hint="eastAsia" w:ascii="仿宋" w:hAnsi="仿宋" w:eastAsia="仿宋"/>
          <w:color w:val="000000"/>
          <w:sz w:val="28"/>
          <w:szCs w:val="28"/>
        </w:rPr>
        <w:t>。主要原因是工程项目劳务费减少。</w:t>
      </w:r>
    </w:p>
    <w:p>
      <w:pPr>
        <w:spacing w:line="600" w:lineRule="exact"/>
        <w:ind w:firstLine="560" w:firstLineChars="200"/>
        <w:rPr>
          <w:rFonts w:ascii="仿宋" w:hAnsi="仿宋" w:eastAsia="仿宋"/>
          <w:color w:val="000000"/>
          <w:sz w:val="28"/>
          <w:szCs w:val="28"/>
        </w:rPr>
      </w:pPr>
      <w:bookmarkStart w:id="49" w:name="_Toc15377223"/>
      <w:r>
        <w:rPr>
          <w:rFonts w:hint="eastAsia" w:ascii="仿宋" w:hAnsi="仿宋" w:eastAsia="仿宋"/>
          <w:color w:val="000000"/>
          <w:sz w:val="28"/>
          <w:szCs w:val="28"/>
        </w:rPr>
        <w:t>（二）政府采购支出情况</w:t>
      </w:r>
      <w:bookmarkEnd w:id="49"/>
    </w:p>
    <w:p>
      <w:pPr>
        <w:spacing w:line="600" w:lineRule="exact"/>
        <w:ind w:firstLine="560" w:firstLineChars="200"/>
        <w:rPr>
          <w:rFonts w:ascii="仿宋" w:hAnsi="仿宋" w:eastAsia="仿宋"/>
          <w:color w:val="000000"/>
          <w:sz w:val="28"/>
          <w:szCs w:val="28"/>
        </w:rPr>
      </w:pPr>
      <w:r>
        <w:rPr>
          <w:rFonts w:ascii="仿宋" w:hAnsi="仿宋" w:eastAsia="仿宋"/>
          <w:color w:val="000000"/>
          <w:sz w:val="28"/>
          <w:szCs w:val="28"/>
        </w:rPr>
        <w:t>20</w:t>
      </w:r>
      <w:r>
        <w:rPr>
          <w:rFonts w:hint="eastAsia" w:ascii="仿宋" w:hAnsi="仿宋" w:eastAsia="仿宋"/>
          <w:color w:val="000000"/>
          <w:sz w:val="28"/>
          <w:szCs w:val="28"/>
        </w:rPr>
        <w:t>2</w:t>
      </w:r>
      <w:r>
        <w:rPr>
          <w:rFonts w:hint="eastAsia" w:ascii="仿宋" w:hAnsi="仿宋" w:eastAsia="仿宋"/>
          <w:color w:val="000000"/>
          <w:sz w:val="28"/>
          <w:szCs w:val="28"/>
          <w:lang w:val="en-US" w:eastAsia="zh-CN"/>
        </w:rPr>
        <w:t>1</w:t>
      </w:r>
      <w:r>
        <w:rPr>
          <w:rFonts w:hint="eastAsia" w:ascii="仿宋" w:hAnsi="仿宋" w:eastAsia="仿宋"/>
          <w:color w:val="000000"/>
          <w:sz w:val="28"/>
          <w:szCs w:val="28"/>
        </w:rPr>
        <w:t>年，河湖保护中心政府采购支出总额0.00万元，其中：政府采购货物支出0.00万元、政府采购工程支出0.00万元、政府采购服务支出0.00万元。</w:t>
      </w:r>
    </w:p>
    <w:p>
      <w:pPr>
        <w:spacing w:line="600" w:lineRule="exact"/>
        <w:ind w:firstLine="640"/>
        <w:rPr>
          <w:rFonts w:ascii="仿宋" w:hAnsi="仿宋" w:eastAsia="仿宋"/>
          <w:color w:val="000000"/>
          <w:sz w:val="28"/>
          <w:szCs w:val="28"/>
        </w:rPr>
      </w:pPr>
      <w:bookmarkStart w:id="50" w:name="_Toc15377224"/>
      <w:r>
        <w:rPr>
          <w:rFonts w:hint="eastAsia" w:ascii="仿宋" w:hAnsi="仿宋" w:eastAsia="仿宋"/>
          <w:color w:val="000000"/>
          <w:sz w:val="28"/>
          <w:szCs w:val="28"/>
        </w:rPr>
        <w:t>（三）国有资产占有使用情况</w:t>
      </w:r>
      <w:bookmarkEnd w:id="50"/>
    </w:p>
    <w:p>
      <w:pPr>
        <w:spacing w:line="600" w:lineRule="exact"/>
        <w:ind w:firstLine="640"/>
        <w:rPr>
          <w:rFonts w:ascii="仿宋" w:hAnsi="仿宋" w:eastAsia="仿宋"/>
          <w:color w:val="000000"/>
          <w:sz w:val="28"/>
          <w:szCs w:val="28"/>
        </w:rPr>
      </w:pPr>
      <w:r>
        <w:rPr>
          <w:rFonts w:hint="eastAsia" w:ascii="仿宋" w:hAnsi="仿宋" w:eastAsia="仿宋"/>
          <w:color w:val="000000"/>
          <w:sz w:val="28"/>
          <w:szCs w:val="28"/>
        </w:rPr>
        <w:t>截至</w:t>
      </w:r>
      <w:r>
        <w:rPr>
          <w:rFonts w:ascii="仿宋" w:hAnsi="仿宋" w:eastAsia="仿宋"/>
          <w:color w:val="000000"/>
          <w:sz w:val="28"/>
          <w:szCs w:val="28"/>
        </w:rPr>
        <w:t>20</w:t>
      </w:r>
      <w:r>
        <w:rPr>
          <w:rFonts w:hint="eastAsia" w:ascii="仿宋" w:hAnsi="仿宋" w:eastAsia="仿宋"/>
          <w:color w:val="000000"/>
          <w:sz w:val="28"/>
          <w:szCs w:val="28"/>
        </w:rPr>
        <w:t>2</w:t>
      </w:r>
      <w:r>
        <w:rPr>
          <w:rFonts w:hint="eastAsia" w:ascii="仿宋" w:hAnsi="仿宋" w:eastAsia="仿宋"/>
          <w:color w:val="000000"/>
          <w:sz w:val="28"/>
          <w:szCs w:val="28"/>
          <w:lang w:val="en-US" w:eastAsia="zh-CN"/>
        </w:rPr>
        <w:t>1</w:t>
      </w:r>
      <w:r>
        <w:rPr>
          <w:rFonts w:hint="eastAsia" w:ascii="仿宋" w:hAnsi="仿宋" w:eastAsia="仿宋"/>
          <w:color w:val="000000"/>
          <w:sz w:val="28"/>
          <w:szCs w:val="28"/>
        </w:rPr>
        <w:t>年</w:t>
      </w:r>
      <w:r>
        <w:rPr>
          <w:rFonts w:ascii="仿宋" w:hAnsi="仿宋" w:eastAsia="仿宋"/>
          <w:color w:val="000000"/>
          <w:sz w:val="28"/>
          <w:szCs w:val="28"/>
        </w:rPr>
        <w:t>12</w:t>
      </w:r>
      <w:r>
        <w:rPr>
          <w:rFonts w:hint="eastAsia" w:ascii="仿宋" w:hAnsi="仿宋" w:eastAsia="仿宋"/>
          <w:color w:val="000000"/>
          <w:sz w:val="28"/>
          <w:szCs w:val="28"/>
        </w:rPr>
        <w:t>月</w:t>
      </w:r>
      <w:r>
        <w:rPr>
          <w:rFonts w:ascii="仿宋" w:hAnsi="仿宋" w:eastAsia="仿宋"/>
          <w:color w:val="000000"/>
          <w:sz w:val="28"/>
          <w:szCs w:val="28"/>
        </w:rPr>
        <w:t>31</w:t>
      </w:r>
      <w:r>
        <w:rPr>
          <w:rFonts w:hint="eastAsia" w:ascii="仿宋" w:hAnsi="仿宋" w:eastAsia="仿宋"/>
          <w:color w:val="000000"/>
          <w:sz w:val="28"/>
          <w:szCs w:val="28"/>
        </w:rPr>
        <w:t>日，峨眉山市河湖保护中心共有车辆2辆，其中：主要领导干部用车0辆、机要通信用车0辆、应急保障用车0辆、其他用车2辆，其他用车主要是用于</w:t>
      </w:r>
      <w:r>
        <w:rPr>
          <w:rFonts w:hint="eastAsia" w:ascii="仿宋" w:hAnsi="仿宋" w:eastAsia="仿宋" w:cs="仿宋"/>
          <w:color w:val="000000"/>
          <w:sz w:val="28"/>
          <w:szCs w:val="28"/>
        </w:rPr>
        <w:t>防汛等日常公务及项目建设。</w:t>
      </w:r>
      <w:r>
        <w:rPr>
          <w:rFonts w:hint="eastAsia" w:ascii="仿宋" w:hAnsi="仿宋" w:eastAsia="仿宋"/>
          <w:color w:val="000000"/>
          <w:sz w:val="28"/>
          <w:szCs w:val="28"/>
        </w:rPr>
        <w:t>单价</w:t>
      </w:r>
      <w:r>
        <w:rPr>
          <w:rFonts w:ascii="仿宋" w:hAnsi="仿宋" w:eastAsia="仿宋"/>
          <w:color w:val="000000"/>
          <w:sz w:val="28"/>
          <w:szCs w:val="28"/>
        </w:rPr>
        <w:t>50</w:t>
      </w:r>
      <w:r>
        <w:rPr>
          <w:rFonts w:hint="eastAsia" w:ascii="仿宋" w:hAnsi="仿宋" w:eastAsia="仿宋"/>
          <w:color w:val="000000"/>
          <w:sz w:val="28"/>
          <w:szCs w:val="28"/>
        </w:rPr>
        <w:t>万元以上通用设备0台（套），单价</w:t>
      </w:r>
      <w:r>
        <w:rPr>
          <w:rFonts w:ascii="仿宋" w:hAnsi="仿宋" w:eastAsia="仿宋"/>
          <w:color w:val="000000"/>
          <w:sz w:val="28"/>
          <w:szCs w:val="28"/>
        </w:rPr>
        <w:t>100</w:t>
      </w:r>
      <w:r>
        <w:rPr>
          <w:rFonts w:hint="eastAsia" w:ascii="仿宋" w:hAnsi="仿宋" w:eastAsia="仿宋"/>
          <w:color w:val="000000"/>
          <w:sz w:val="28"/>
          <w:szCs w:val="28"/>
        </w:rPr>
        <w:t>万元以上专用设备0台（套）。</w:t>
      </w:r>
    </w:p>
    <w:p>
      <w:pPr>
        <w:spacing w:line="600" w:lineRule="exact"/>
        <w:ind w:firstLine="640"/>
        <w:rPr>
          <w:rFonts w:ascii="仿宋" w:hAnsi="仿宋" w:eastAsia="仿宋"/>
          <w:color w:val="000000"/>
          <w:sz w:val="28"/>
          <w:szCs w:val="28"/>
        </w:rPr>
      </w:pPr>
      <w:r>
        <w:rPr>
          <w:rFonts w:hint="eastAsia" w:ascii="仿宋" w:hAnsi="仿宋" w:eastAsia="仿宋"/>
          <w:color w:val="000000"/>
          <w:sz w:val="28"/>
          <w:szCs w:val="28"/>
        </w:rPr>
        <w:t>（四）预算绩效管理情况。</w:t>
      </w:r>
    </w:p>
    <w:p>
      <w:pPr>
        <w:spacing w:line="600" w:lineRule="exact"/>
        <w:ind w:firstLine="640"/>
        <w:rPr>
          <w:rFonts w:ascii="仿宋" w:hAnsi="仿宋" w:eastAsia="仿宋"/>
          <w:color w:val="000000"/>
          <w:sz w:val="28"/>
          <w:szCs w:val="28"/>
        </w:rPr>
      </w:pPr>
      <w:r>
        <w:rPr>
          <w:rFonts w:hint="eastAsia" w:ascii="仿宋" w:hAnsi="仿宋" w:eastAsia="仿宋"/>
          <w:color w:val="000000"/>
          <w:sz w:val="28"/>
          <w:szCs w:val="28"/>
        </w:rPr>
        <w:t>根据预算绩效管理要求，本单位在年初预算编制阶段，组织对202</w:t>
      </w:r>
      <w:r>
        <w:rPr>
          <w:rFonts w:hint="eastAsia" w:ascii="仿宋" w:hAnsi="仿宋" w:eastAsia="仿宋"/>
          <w:color w:val="000000"/>
          <w:sz w:val="28"/>
          <w:szCs w:val="28"/>
          <w:lang w:val="en-US" w:eastAsia="zh-CN"/>
        </w:rPr>
        <w:t>1</w:t>
      </w:r>
      <w:r>
        <w:rPr>
          <w:rFonts w:hint="eastAsia" w:ascii="仿宋" w:hAnsi="仿宋" w:eastAsia="仿宋"/>
          <w:color w:val="000000"/>
          <w:sz w:val="28"/>
          <w:szCs w:val="28"/>
        </w:rPr>
        <w:t>年春灌岁修、202</w:t>
      </w:r>
      <w:r>
        <w:rPr>
          <w:rFonts w:hint="eastAsia" w:ascii="仿宋" w:hAnsi="仿宋" w:eastAsia="仿宋"/>
          <w:color w:val="000000"/>
          <w:sz w:val="28"/>
          <w:szCs w:val="28"/>
          <w:lang w:val="en-US" w:eastAsia="zh-CN"/>
        </w:rPr>
        <w:t>1</w:t>
      </w:r>
      <w:r>
        <w:rPr>
          <w:rFonts w:hint="eastAsia" w:ascii="仿宋" w:hAnsi="仿宋" w:eastAsia="仿宋"/>
          <w:color w:val="000000"/>
          <w:sz w:val="28"/>
          <w:szCs w:val="28"/>
        </w:rPr>
        <w:t>年观音岩水库船舶运行经费、202</w:t>
      </w:r>
      <w:r>
        <w:rPr>
          <w:rFonts w:hint="eastAsia" w:ascii="仿宋" w:hAnsi="仿宋" w:eastAsia="仿宋"/>
          <w:color w:val="000000"/>
          <w:sz w:val="28"/>
          <w:szCs w:val="28"/>
          <w:lang w:val="en-US" w:eastAsia="zh-CN"/>
        </w:rPr>
        <w:t>1</w:t>
      </w:r>
      <w:r>
        <w:rPr>
          <w:rFonts w:hint="eastAsia" w:ascii="仿宋" w:hAnsi="仿宋" w:eastAsia="仿宋"/>
          <w:color w:val="000000"/>
          <w:sz w:val="28"/>
          <w:szCs w:val="28"/>
        </w:rPr>
        <w:t>年峨眉河大坝运行费、202</w:t>
      </w:r>
      <w:r>
        <w:rPr>
          <w:rFonts w:hint="eastAsia" w:ascii="仿宋" w:hAnsi="仿宋" w:eastAsia="仿宋"/>
          <w:color w:val="000000"/>
          <w:sz w:val="28"/>
          <w:szCs w:val="28"/>
          <w:lang w:val="en-US" w:eastAsia="zh-CN"/>
        </w:rPr>
        <w:t>1</w:t>
      </w:r>
      <w:r>
        <w:rPr>
          <w:rFonts w:hint="eastAsia" w:ascii="仿宋" w:hAnsi="仿宋" w:eastAsia="仿宋"/>
          <w:color w:val="000000"/>
          <w:sz w:val="28"/>
          <w:szCs w:val="28"/>
        </w:rPr>
        <w:t>年观音岩水库土地租金、</w:t>
      </w:r>
      <w:r>
        <w:rPr>
          <w:rFonts w:hint="eastAsia" w:ascii="仿宋" w:hAnsi="仿宋" w:eastAsia="仿宋"/>
          <w:color w:val="000000"/>
          <w:sz w:val="28"/>
          <w:szCs w:val="28"/>
          <w:lang w:eastAsia="zh-CN"/>
        </w:rPr>
        <w:t>“引青进峨”河湖库连通工程运行管理费</w:t>
      </w:r>
      <w:r>
        <w:rPr>
          <w:rFonts w:hint="eastAsia" w:ascii="仿宋" w:hAnsi="仿宋" w:eastAsia="仿宋"/>
          <w:color w:val="000000"/>
          <w:sz w:val="28"/>
          <w:szCs w:val="28"/>
        </w:rPr>
        <w:t>等相关经费开展了预算事前绩效评估，对5个项目编制了绩效目标，预算执行过程中，选取5个项目开展绩效监控，年终执行完毕后，对5个项目开展了绩效目标完成情况自评。</w:t>
      </w:r>
    </w:p>
    <w:p>
      <w:pPr>
        <w:spacing w:line="600" w:lineRule="exact"/>
        <w:ind w:firstLine="640"/>
        <w:rPr>
          <w:rFonts w:hint="eastAsia" w:ascii="仿宋" w:hAnsi="仿宋" w:eastAsia="仿宋"/>
          <w:color w:val="000000"/>
          <w:sz w:val="28"/>
          <w:szCs w:val="28"/>
        </w:rPr>
      </w:pPr>
      <w:r>
        <w:rPr>
          <w:rFonts w:hint="eastAsia" w:ascii="仿宋" w:hAnsi="仿宋" w:eastAsia="仿宋"/>
          <w:color w:val="000000"/>
          <w:sz w:val="28"/>
          <w:szCs w:val="28"/>
        </w:rPr>
        <w:t>本部门按要求对202</w:t>
      </w:r>
      <w:r>
        <w:rPr>
          <w:rFonts w:hint="eastAsia" w:ascii="仿宋" w:hAnsi="仿宋" w:eastAsia="仿宋"/>
          <w:color w:val="000000"/>
          <w:sz w:val="28"/>
          <w:szCs w:val="28"/>
          <w:lang w:val="en-US" w:eastAsia="zh-CN"/>
        </w:rPr>
        <w:t>1</w:t>
      </w:r>
      <w:r>
        <w:rPr>
          <w:rFonts w:hint="eastAsia" w:ascii="仿宋" w:hAnsi="仿宋" w:eastAsia="仿宋"/>
          <w:color w:val="000000"/>
          <w:sz w:val="28"/>
          <w:szCs w:val="28"/>
        </w:rPr>
        <w:t>年部门整体支出开展绩效自评，从评价情况来看整体执行较好。</w:t>
      </w:r>
    </w:p>
    <w:p>
      <w:pPr>
        <w:spacing w:line="600" w:lineRule="exact"/>
        <w:ind w:firstLine="640"/>
        <w:rPr>
          <w:rFonts w:ascii="仿宋" w:hAnsi="仿宋" w:eastAsia="仿宋"/>
          <w:color w:val="000000"/>
          <w:sz w:val="28"/>
          <w:szCs w:val="28"/>
        </w:rPr>
      </w:pPr>
      <w:r>
        <w:rPr>
          <w:rFonts w:hint="eastAsia" w:ascii="仿宋" w:hAnsi="仿宋" w:eastAsia="仿宋"/>
          <w:color w:val="000000"/>
          <w:sz w:val="28"/>
          <w:szCs w:val="28"/>
        </w:rPr>
        <w:t>1.项目绩效目标完成情况。</w:t>
      </w:r>
      <w:r>
        <w:rPr>
          <w:rFonts w:hint="eastAsia" w:ascii="仿宋" w:hAnsi="仿宋" w:eastAsia="仿宋"/>
          <w:color w:val="000000"/>
          <w:sz w:val="28"/>
          <w:szCs w:val="28"/>
        </w:rPr>
        <w:br w:type="textWrapping"/>
      </w:r>
      <w:r>
        <w:rPr>
          <w:rFonts w:hint="eastAsia" w:ascii="仿宋" w:hAnsi="仿宋" w:eastAsia="仿宋"/>
          <w:color w:val="000000"/>
          <w:sz w:val="28"/>
          <w:szCs w:val="28"/>
        </w:rPr>
        <w:t xml:space="preserve">    本部门在202</w:t>
      </w:r>
      <w:r>
        <w:rPr>
          <w:rFonts w:hint="eastAsia" w:ascii="仿宋" w:hAnsi="仿宋" w:eastAsia="仿宋"/>
          <w:color w:val="000000"/>
          <w:sz w:val="28"/>
          <w:szCs w:val="28"/>
          <w:lang w:val="en-US" w:eastAsia="zh-CN"/>
        </w:rPr>
        <w:t>1</w:t>
      </w:r>
      <w:r>
        <w:rPr>
          <w:rFonts w:hint="eastAsia" w:ascii="仿宋" w:hAnsi="仿宋" w:eastAsia="仿宋"/>
          <w:color w:val="000000"/>
          <w:sz w:val="28"/>
          <w:szCs w:val="28"/>
        </w:rPr>
        <w:t>年度部门决算中反映“202</w:t>
      </w:r>
      <w:r>
        <w:rPr>
          <w:rFonts w:hint="eastAsia" w:ascii="仿宋" w:hAnsi="仿宋" w:eastAsia="仿宋"/>
          <w:color w:val="000000"/>
          <w:sz w:val="28"/>
          <w:szCs w:val="28"/>
          <w:lang w:val="en-US" w:eastAsia="zh-CN"/>
        </w:rPr>
        <w:t>1</w:t>
      </w:r>
      <w:r>
        <w:rPr>
          <w:rFonts w:hint="eastAsia" w:ascii="仿宋" w:hAnsi="仿宋" w:eastAsia="仿宋"/>
          <w:color w:val="000000"/>
          <w:sz w:val="28"/>
          <w:szCs w:val="28"/>
        </w:rPr>
        <w:t>年观音岩水库船舶运行费</w:t>
      </w:r>
      <w:r>
        <w:rPr>
          <w:rFonts w:ascii="仿宋" w:hAnsi="仿宋" w:eastAsia="仿宋"/>
          <w:color w:val="000000"/>
          <w:sz w:val="28"/>
          <w:szCs w:val="28"/>
        </w:rPr>
        <w:t>”</w:t>
      </w:r>
      <w:r>
        <w:rPr>
          <w:rFonts w:hint="eastAsia" w:ascii="仿宋" w:hAnsi="仿宋" w:eastAsia="仿宋"/>
          <w:color w:val="000000"/>
          <w:sz w:val="28"/>
          <w:szCs w:val="28"/>
        </w:rPr>
        <w:t>“ 202</w:t>
      </w:r>
      <w:r>
        <w:rPr>
          <w:rFonts w:hint="eastAsia" w:ascii="仿宋" w:hAnsi="仿宋" w:eastAsia="仿宋"/>
          <w:color w:val="000000"/>
          <w:sz w:val="28"/>
          <w:szCs w:val="28"/>
          <w:lang w:val="en-US" w:eastAsia="zh-CN"/>
        </w:rPr>
        <w:t>1</w:t>
      </w:r>
      <w:r>
        <w:rPr>
          <w:rFonts w:hint="eastAsia" w:ascii="仿宋" w:hAnsi="仿宋" w:eastAsia="仿宋"/>
          <w:color w:val="000000"/>
          <w:sz w:val="28"/>
          <w:szCs w:val="28"/>
        </w:rPr>
        <w:t>年峨眉河大坝运行费</w:t>
      </w:r>
      <w:r>
        <w:rPr>
          <w:rFonts w:ascii="仿宋" w:hAnsi="仿宋" w:eastAsia="仿宋"/>
          <w:color w:val="000000"/>
          <w:sz w:val="28"/>
          <w:szCs w:val="28"/>
        </w:rPr>
        <w:t>”</w:t>
      </w:r>
      <w:r>
        <w:rPr>
          <w:rFonts w:hint="eastAsia" w:ascii="仿宋" w:hAnsi="仿宋" w:eastAsia="仿宋"/>
          <w:color w:val="000000"/>
          <w:sz w:val="28"/>
          <w:szCs w:val="28"/>
        </w:rPr>
        <w:t xml:space="preserve"> “202</w:t>
      </w:r>
      <w:r>
        <w:rPr>
          <w:rFonts w:hint="eastAsia" w:ascii="仿宋" w:hAnsi="仿宋" w:eastAsia="仿宋"/>
          <w:color w:val="000000"/>
          <w:sz w:val="28"/>
          <w:szCs w:val="28"/>
          <w:lang w:val="en-US" w:eastAsia="zh-CN"/>
        </w:rPr>
        <w:t>1</w:t>
      </w:r>
      <w:r>
        <w:rPr>
          <w:rFonts w:hint="eastAsia" w:ascii="仿宋" w:hAnsi="仿宋" w:eastAsia="仿宋"/>
          <w:color w:val="000000"/>
          <w:sz w:val="28"/>
          <w:szCs w:val="28"/>
        </w:rPr>
        <w:t>年观音岩水库土地租金”“202</w:t>
      </w:r>
      <w:r>
        <w:rPr>
          <w:rFonts w:hint="eastAsia" w:ascii="仿宋" w:hAnsi="仿宋" w:eastAsia="仿宋"/>
          <w:color w:val="000000"/>
          <w:sz w:val="28"/>
          <w:szCs w:val="28"/>
          <w:lang w:val="en-US" w:eastAsia="zh-CN"/>
        </w:rPr>
        <w:t>1</w:t>
      </w:r>
      <w:r>
        <w:rPr>
          <w:rFonts w:hint="eastAsia" w:ascii="仿宋" w:hAnsi="仿宋" w:eastAsia="仿宋"/>
          <w:color w:val="000000"/>
          <w:sz w:val="28"/>
          <w:szCs w:val="28"/>
        </w:rPr>
        <w:t>年春灌岁修”</w:t>
      </w:r>
      <w:r>
        <w:rPr>
          <w:rFonts w:hint="eastAsia" w:ascii="仿宋" w:hAnsi="仿宋" w:eastAsia="仿宋"/>
          <w:color w:val="000000"/>
          <w:sz w:val="28"/>
          <w:szCs w:val="28"/>
          <w:lang w:eastAsia="zh-CN"/>
        </w:rPr>
        <w:t>、“引青进峨”河湖库连通工程运行管理费</w:t>
      </w:r>
      <w:r>
        <w:rPr>
          <w:rFonts w:hint="eastAsia" w:ascii="仿宋" w:hAnsi="仿宋" w:eastAsia="仿宋"/>
          <w:color w:val="000000"/>
          <w:sz w:val="28"/>
          <w:szCs w:val="28"/>
        </w:rPr>
        <w:t>等5个项目绩效目标实际完成情况。</w:t>
      </w:r>
    </w:p>
    <w:p>
      <w:pPr>
        <w:spacing w:line="600" w:lineRule="exact"/>
        <w:ind w:firstLine="640"/>
        <w:rPr>
          <w:rFonts w:ascii="仿宋" w:hAnsi="仿宋" w:eastAsia="仿宋"/>
          <w:color w:val="000000"/>
          <w:sz w:val="28"/>
          <w:szCs w:val="28"/>
        </w:rPr>
      </w:pPr>
      <w:r>
        <w:rPr>
          <w:rFonts w:hint="eastAsia" w:ascii="仿宋" w:hAnsi="仿宋" w:eastAsia="仿宋"/>
          <w:color w:val="000000"/>
          <w:sz w:val="28"/>
          <w:szCs w:val="28"/>
        </w:rPr>
        <w:t>（1）202</w:t>
      </w:r>
      <w:r>
        <w:rPr>
          <w:rFonts w:hint="eastAsia" w:ascii="仿宋" w:hAnsi="仿宋" w:eastAsia="仿宋"/>
          <w:color w:val="000000"/>
          <w:sz w:val="28"/>
          <w:szCs w:val="28"/>
          <w:lang w:val="en-US" w:eastAsia="zh-CN"/>
        </w:rPr>
        <w:t>1</w:t>
      </w:r>
      <w:r>
        <w:rPr>
          <w:rFonts w:hint="eastAsia" w:ascii="仿宋" w:hAnsi="仿宋" w:eastAsia="仿宋"/>
          <w:color w:val="000000"/>
          <w:sz w:val="28"/>
          <w:szCs w:val="28"/>
        </w:rPr>
        <w:t>年观音岩水库船舶运行项目绩效目标完成情况综述。项目全年预算数16万元，执行数为16万元，完成预算的100%。通过项目实施，保障库区居民正常生产生活，发现的主要问题：船只不足，运送村民不及时。下一步改进措施：增加船只和船员数量。</w:t>
      </w:r>
    </w:p>
    <w:p>
      <w:pPr>
        <w:spacing w:line="600" w:lineRule="exact"/>
        <w:ind w:firstLine="640"/>
        <w:rPr>
          <w:rFonts w:ascii="仿宋" w:hAnsi="仿宋" w:eastAsia="仿宋"/>
          <w:color w:val="000000"/>
          <w:sz w:val="28"/>
          <w:szCs w:val="28"/>
        </w:rPr>
      </w:pPr>
      <w:r>
        <w:rPr>
          <w:rFonts w:hint="eastAsia" w:ascii="仿宋" w:hAnsi="仿宋" w:eastAsia="仿宋"/>
          <w:color w:val="000000"/>
          <w:sz w:val="28"/>
          <w:szCs w:val="28"/>
        </w:rPr>
        <w:t>（2）202</w:t>
      </w:r>
      <w:r>
        <w:rPr>
          <w:rFonts w:hint="eastAsia" w:ascii="仿宋" w:hAnsi="仿宋" w:eastAsia="仿宋"/>
          <w:color w:val="000000"/>
          <w:sz w:val="28"/>
          <w:szCs w:val="28"/>
          <w:lang w:val="en-US" w:eastAsia="zh-CN"/>
        </w:rPr>
        <w:t>1</w:t>
      </w:r>
      <w:r>
        <w:rPr>
          <w:rFonts w:hint="eastAsia" w:ascii="仿宋" w:hAnsi="仿宋" w:eastAsia="仿宋"/>
          <w:color w:val="000000"/>
          <w:sz w:val="28"/>
          <w:szCs w:val="28"/>
        </w:rPr>
        <w:t>年峨眉河大坝运行费项目绩效目标完成情况综述。项目全年预算数15万元，执行数为15万元，完成预算的100%。通过项目实施，确保峨眉河下游及灌区人民群众生命财产安全，发现的主要问题：受经济环境影响，资金下拨困难。下一步改进措施：增加实际补贴金额。</w:t>
      </w:r>
    </w:p>
    <w:p>
      <w:pPr>
        <w:spacing w:line="600" w:lineRule="exact"/>
        <w:ind w:firstLine="640"/>
        <w:rPr>
          <w:rFonts w:ascii="仿宋" w:hAnsi="仿宋" w:eastAsia="仿宋"/>
          <w:color w:val="000000"/>
          <w:sz w:val="28"/>
          <w:szCs w:val="28"/>
        </w:rPr>
      </w:pPr>
      <w:r>
        <w:rPr>
          <w:rFonts w:hint="eastAsia" w:ascii="仿宋" w:hAnsi="仿宋" w:eastAsia="仿宋"/>
          <w:color w:val="000000"/>
          <w:sz w:val="28"/>
          <w:szCs w:val="28"/>
        </w:rPr>
        <w:t>（3）202</w:t>
      </w:r>
      <w:r>
        <w:rPr>
          <w:rFonts w:hint="eastAsia" w:ascii="仿宋" w:hAnsi="仿宋" w:eastAsia="仿宋"/>
          <w:color w:val="000000"/>
          <w:sz w:val="28"/>
          <w:szCs w:val="28"/>
          <w:lang w:val="en-US" w:eastAsia="zh-CN"/>
        </w:rPr>
        <w:t>1</w:t>
      </w:r>
      <w:r>
        <w:rPr>
          <w:rFonts w:hint="eastAsia" w:ascii="仿宋" w:hAnsi="仿宋" w:eastAsia="仿宋"/>
          <w:color w:val="000000"/>
          <w:sz w:val="28"/>
          <w:szCs w:val="28"/>
        </w:rPr>
        <w:t>年观音岩水库土地租金项目绩效目标完成情况综述。项目全年预算数31万元，执行数为31万元，完成预算的100%。通过项目实施，确保观音岩水库占用村民土地补贴到位，发现的主要问题：无。下一步改进措施：无。</w:t>
      </w:r>
    </w:p>
    <w:p>
      <w:pPr>
        <w:spacing w:line="600" w:lineRule="exact"/>
        <w:ind w:firstLine="640"/>
        <w:rPr>
          <w:rFonts w:ascii="仿宋" w:hAnsi="仿宋" w:eastAsia="仿宋"/>
          <w:color w:val="000000"/>
          <w:sz w:val="32"/>
          <w:szCs w:val="32"/>
        </w:rPr>
      </w:pPr>
      <w:r>
        <w:rPr>
          <w:rFonts w:hint="eastAsia" w:ascii="仿宋" w:hAnsi="仿宋" w:eastAsia="仿宋"/>
          <w:color w:val="000000"/>
          <w:sz w:val="28"/>
          <w:szCs w:val="28"/>
        </w:rPr>
        <w:t>（4）202</w:t>
      </w:r>
      <w:r>
        <w:rPr>
          <w:rFonts w:hint="eastAsia" w:ascii="仿宋" w:hAnsi="仿宋" w:eastAsia="仿宋"/>
          <w:color w:val="000000"/>
          <w:sz w:val="28"/>
          <w:szCs w:val="28"/>
          <w:lang w:val="en-US" w:eastAsia="zh-CN"/>
        </w:rPr>
        <w:t>1</w:t>
      </w:r>
      <w:r>
        <w:rPr>
          <w:rFonts w:hint="eastAsia" w:ascii="仿宋" w:hAnsi="仿宋" w:eastAsia="仿宋"/>
          <w:color w:val="000000"/>
          <w:sz w:val="28"/>
          <w:szCs w:val="28"/>
        </w:rPr>
        <w:t>年春灌岁修项目绩效目标完成情况综述。项目全年预算数1</w:t>
      </w:r>
      <w:r>
        <w:rPr>
          <w:rFonts w:hint="eastAsia" w:ascii="仿宋" w:hAnsi="仿宋" w:eastAsia="仿宋"/>
          <w:color w:val="000000"/>
          <w:sz w:val="28"/>
          <w:szCs w:val="28"/>
          <w:lang w:val="en-US" w:eastAsia="zh-CN"/>
        </w:rPr>
        <w:t>00</w:t>
      </w:r>
      <w:r>
        <w:rPr>
          <w:rFonts w:hint="eastAsia" w:ascii="仿宋" w:hAnsi="仿宋" w:eastAsia="仿宋"/>
          <w:color w:val="000000"/>
          <w:sz w:val="28"/>
          <w:szCs w:val="28"/>
        </w:rPr>
        <w:t>万元，执行数为</w:t>
      </w:r>
      <w:r>
        <w:rPr>
          <w:rFonts w:hint="eastAsia" w:ascii="仿宋" w:hAnsi="仿宋" w:eastAsia="仿宋"/>
          <w:color w:val="000000"/>
          <w:sz w:val="28"/>
          <w:szCs w:val="28"/>
          <w:lang w:val="en-US" w:eastAsia="zh-CN"/>
        </w:rPr>
        <w:t>20.86</w:t>
      </w:r>
      <w:r>
        <w:rPr>
          <w:rFonts w:hint="eastAsia" w:ascii="仿宋" w:hAnsi="仿宋" w:eastAsia="仿宋"/>
          <w:color w:val="000000"/>
          <w:sz w:val="28"/>
          <w:szCs w:val="28"/>
        </w:rPr>
        <w:t>万元，完成预算的</w:t>
      </w:r>
      <w:r>
        <w:rPr>
          <w:rFonts w:hint="eastAsia" w:ascii="仿宋" w:hAnsi="仿宋" w:eastAsia="仿宋"/>
          <w:color w:val="000000"/>
          <w:sz w:val="28"/>
          <w:szCs w:val="28"/>
          <w:lang w:val="en-US" w:eastAsia="zh-CN"/>
        </w:rPr>
        <w:t>20.86</w:t>
      </w:r>
      <w:r>
        <w:rPr>
          <w:rFonts w:hint="eastAsia" w:ascii="仿宋" w:hAnsi="仿宋" w:eastAsia="仿宋"/>
          <w:color w:val="000000"/>
          <w:sz w:val="28"/>
          <w:szCs w:val="28"/>
        </w:rPr>
        <w:t>%。通过项目实施，保障全市农田春季灌溉，及各渠道水库正常送水，确保全市各乡镇春灌顺利进行。</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w:t>
      </w:r>
      <w:r>
        <w:rPr>
          <w:rFonts w:hint="eastAsia" w:ascii="仿宋_GB2312" w:hAnsi="仿宋_GB2312" w:eastAsia="仿宋_GB2312" w:cs="仿宋_GB2312"/>
          <w:sz w:val="32"/>
          <w:szCs w:val="32"/>
          <w:lang w:eastAsia="zh-CN"/>
        </w:rPr>
        <w:t>“</w:t>
      </w:r>
      <w:r>
        <w:rPr>
          <w:rFonts w:hint="eastAsia" w:ascii="仿宋" w:hAnsi="仿宋" w:eastAsia="仿宋"/>
          <w:color w:val="000000"/>
          <w:sz w:val="28"/>
          <w:szCs w:val="28"/>
          <w:lang w:eastAsia="zh-CN"/>
        </w:rPr>
        <w:t>引青进峨”河湖库连通工程运行管理费</w:t>
      </w:r>
      <w:r>
        <w:rPr>
          <w:rFonts w:hint="eastAsia" w:ascii="仿宋" w:hAnsi="仿宋" w:eastAsia="仿宋"/>
          <w:color w:val="000000"/>
          <w:sz w:val="28"/>
          <w:szCs w:val="28"/>
        </w:rPr>
        <w:t>完成情况综述。项目全年预算数</w:t>
      </w:r>
      <w:r>
        <w:rPr>
          <w:rFonts w:hint="eastAsia" w:ascii="仿宋" w:hAnsi="仿宋" w:eastAsia="仿宋"/>
          <w:color w:val="000000"/>
          <w:sz w:val="28"/>
          <w:szCs w:val="28"/>
          <w:lang w:val="en-US" w:eastAsia="zh-CN"/>
        </w:rPr>
        <w:t>20</w:t>
      </w:r>
      <w:r>
        <w:rPr>
          <w:rFonts w:hint="eastAsia" w:ascii="仿宋" w:hAnsi="仿宋" w:eastAsia="仿宋"/>
          <w:color w:val="000000"/>
          <w:sz w:val="28"/>
          <w:szCs w:val="28"/>
        </w:rPr>
        <w:t>万元，执行数为</w:t>
      </w:r>
      <w:r>
        <w:rPr>
          <w:rFonts w:hint="eastAsia" w:ascii="仿宋" w:hAnsi="仿宋" w:eastAsia="仿宋"/>
          <w:color w:val="000000"/>
          <w:sz w:val="28"/>
          <w:szCs w:val="28"/>
          <w:lang w:val="en-US" w:eastAsia="zh-CN"/>
        </w:rPr>
        <w:t>20</w:t>
      </w:r>
      <w:r>
        <w:rPr>
          <w:rFonts w:hint="eastAsia" w:ascii="仿宋" w:hAnsi="仿宋" w:eastAsia="仿宋"/>
          <w:color w:val="000000"/>
          <w:sz w:val="28"/>
          <w:szCs w:val="28"/>
        </w:rPr>
        <w:t>万元，完成预算的</w:t>
      </w:r>
      <w:r>
        <w:rPr>
          <w:rFonts w:hint="eastAsia" w:ascii="仿宋" w:hAnsi="仿宋" w:eastAsia="仿宋"/>
          <w:color w:val="000000"/>
          <w:sz w:val="28"/>
          <w:szCs w:val="28"/>
          <w:lang w:val="en-US" w:eastAsia="zh-CN"/>
        </w:rPr>
        <w:t>100</w:t>
      </w:r>
      <w:r>
        <w:rPr>
          <w:rFonts w:hint="eastAsia" w:ascii="仿宋" w:hAnsi="仿宋" w:eastAsia="仿宋"/>
          <w:color w:val="000000"/>
          <w:sz w:val="28"/>
          <w:szCs w:val="28"/>
        </w:rPr>
        <w:t>%。通过项目实施落实该项目涉及片区</w:t>
      </w:r>
      <w:r>
        <w:rPr>
          <w:rFonts w:hint="eastAsia" w:ascii="仿宋" w:hAnsi="仿宋" w:eastAsia="仿宋"/>
          <w:color w:val="000000"/>
          <w:sz w:val="28"/>
          <w:szCs w:val="28"/>
          <w:lang w:eastAsia="zh-CN"/>
        </w:rPr>
        <w:t>电费、水费、维修费待足额</w:t>
      </w:r>
      <w:r>
        <w:rPr>
          <w:rFonts w:hint="eastAsia" w:ascii="仿宋" w:hAnsi="仿宋" w:eastAsia="仿宋"/>
          <w:color w:val="000000"/>
          <w:sz w:val="28"/>
          <w:szCs w:val="28"/>
        </w:rPr>
        <w:t>到位。</w:t>
      </w:r>
    </w:p>
    <w:p>
      <w:pPr>
        <w:spacing w:line="580" w:lineRule="exact"/>
        <w:rPr>
          <w:rFonts w:ascii="仿宋_GB2312" w:hAnsi="仿宋_GB2312" w:eastAsia="仿宋_GB2312" w:cs="仿宋_GB2312"/>
          <w:sz w:val="32"/>
          <w:szCs w:val="32"/>
        </w:rPr>
      </w:pPr>
    </w:p>
    <w:p>
      <w:pPr>
        <w:pStyle w:val="13"/>
        <w:rPr>
          <w:rFonts w:ascii="仿宋_GB2312" w:hAnsi="仿宋_GB2312" w:eastAsia="仿宋_GB2312" w:cs="仿宋_GB2312"/>
        </w:rPr>
      </w:pPr>
    </w:p>
    <w:p>
      <w:pPr>
        <w:pStyle w:val="13"/>
        <w:rPr>
          <w:rFonts w:ascii="仿宋_GB2312" w:hAnsi="仿宋_GB2312" w:eastAsia="仿宋_GB2312" w:cs="仿宋_GB2312"/>
        </w:rPr>
      </w:pPr>
    </w:p>
    <w:p>
      <w:pPr>
        <w:pStyle w:val="13"/>
        <w:rPr>
          <w:rFonts w:ascii="仿宋_GB2312" w:hAnsi="仿宋_GB2312" w:eastAsia="仿宋_GB2312" w:cs="仿宋_GB2312"/>
        </w:rPr>
      </w:pPr>
    </w:p>
    <w:p>
      <w:pPr>
        <w:pStyle w:val="13"/>
        <w:rPr>
          <w:rFonts w:ascii="仿宋_GB2312" w:hAnsi="仿宋_GB2312" w:eastAsia="仿宋_GB2312" w:cs="仿宋_GB2312"/>
        </w:rPr>
      </w:pPr>
    </w:p>
    <w:p>
      <w:pPr>
        <w:pStyle w:val="13"/>
        <w:rPr>
          <w:rFonts w:ascii="仿宋_GB2312" w:hAnsi="仿宋_GB2312" w:eastAsia="仿宋_GB2312" w:cs="仿宋_GB2312"/>
        </w:rPr>
      </w:pPr>
    </w:p>
    <w:p>
      <w:pPr>
        <w:pStyle w:val="13"/>
        <w:rPr>
          <w:rFonts w:ascii="仿宋_GB2312" w:hAnsi="仿宋_GB2312" w:eastAsia="仿宋_GB2312" w:cs="仿宋_GB2312"/>
        </w:rPr>
      </w:pPr>
    </w:p>
    <w:p>
      <w:pPr>
        <w:pStyle w:val="13"/>
        <w:rPr>
          <w:rFonts w:ascii="仿宋_GB2312" w:hAnsi="仿宋_GB2312" w:eastAsia="仿宋_GB2312" w:cs="仿宋_GB2312"/>
        </w:rPr>
      </w:pPr>
    </w:p>
    <w:p>
      <w:pPr>
        <w:pStyle w:val="13"/>
        <w:rPr>
          <w:rFonts w:hint="eastAsia" w:ascii="仿宋_GB2312" w:hAnsi="仿宋_GB2312" w:eastAsia="仿宋_GB2312" w:cs="仿宋_GB2312"/>
        </w:rPr>
      </w:pPr>
    </w:p>
    <w:p>
      <w:pPr>
        <w:pStyle w:val="13"/>
        <w:rPr>
          <w:rFonts w:hint="eastAsia" w:ascii="仿宋_GB2312" w:hAnsi="仿宋_GB2312" w:eastAsia="仿宋_GB2312" w:cs="仿宋_GB2312"/>
        </w:rPr>
      </w:pPr>
    </w:p>
    <w:p>
      <w:pPr>
        <w:pStyle w:val="13"/>
        <w:rPr>
          <w:rFonts w:ascii="仿宋_GB2312" w:hAnsi="仿宋_GB2312" w:eastAsia="仿宋_GB2312" w:cs="仿宋_GB2312"/>
        </w:rPr>
      </w:pPr>
    </w:p>
    <w:tbl>
      <w:tblPr>
        <w:tblStyle w:val="14"/>
        <w:tblpPr w:leftFromText="180" w:rightFromText="180" w:vertAnchor="text" w:horzAnchor="page" w:tblpXSpec="center" w:tblpY="423"/>
        <w:tblOverlap w:val="never"/>
        <w:tblW w:w="9960" w:type="dxa"/>
        <w:jc w:val="center"/>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Layout w:type="fixed"/>
        <w:tblCellMar>
          <w:top w:w="0" w:type="dxa"/>
          <w:left w:w="0" w:type="dxa"/>
          <w:bottom w:w="0" w:type="dxa"/>
          <w:right w:w="0" w:type="dxa"/>
        </w:tblCellMar>
      </w:tblPr>
      <w:tblGrid>
        <w:gridCol w:w="390"/>
        <w:gridCol w:w="1367"/>
        <w:gridCol w:w="1025"/>
        <w:gridCol w:w="2392"/>
        <w:gridCol w:w="2394"/>
        <w:gridCol w:w="2392"/>
      </w:tblGrid>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0" w:type="dxa"/>
            <w:bottom w:w="0" w:type="dxa"/>
            <w:right w:w="0" w:type="dxa"/>
          </w:tblCellMar>
        </w:tblPrEx>
        <w:trPr>
          <w:trHeight w:val="1034" w:hRule="atLeast"/>
          <w:jc w:val="center"/>
        </w:trPr>
        <w:tc>
          <w:tcPr>
            <w:tcW w:w="9960" w:type="dxa"/>
            <w:gridSpan w:val="6"/>
            <w:tcBorders>
              <w:top w:val="nil"/>
              <w:left w:val="nil"/>
              <w:right w:val="nil"/>
            </w:tcBorders>
            <w:tcMar>
              <w:top w:w="15" w:type="dxa"/>
              <w:left w:w="15" w:type="dxa"/>
              <w:right w:w="15" w:type="dxa"/>
            </w:tcMar>
            <w:vAlign w:val="center"/>
          </w:tcPr>
          <w:p>
            <w:pPr>
              <w:widowControl/>
              <w:jc w:val="center"/>
              <w:textAlignment w:val="center"/>
              <w:rPr>
                <w:rFonts w:ascii="宋体" w:hAnsi="宋体" w:cs="宋体"/>
                <w:color w:val="000000"/>
                <w:sz w:val="36"/>
                <w:szCs w:val="36"/>
              </w:rPr>
            </w:pPr>
            <w:r>
              <w:rPr>
                <w:rFonts w:hint="eastAsia" w:ascii="宋体" w:hAnsi="宋体" w:cs="宋体"/>
                <w:b/>
                <w:bCs/>
                <w:color w:val="000000"/>
                <w:kern w:val="0"/>
                <w:sz w:val="36"/>
                <w:szCs w:val="36"/>
              </w:rPr>
              <w:t>项目绩效目标完成情况表</w:t>
            </w:r>
            <w:r>
              <w:rPr>
                <w:rFonts w:hint="eastAsia" w:ascii="宋体" w:hAnsi="宋体" w:cs="宋体"/>
                <w:color w:val="000000"/>
                <w:kern w:val="0"/>
                <w:sz w:val="36"/>
                <w:szCs w:val="36"/>
              </w:rPr>
              <w:t>(202</w:t>
            </w:r>
            <w:r>
              <w:rPr>
                <w:rFonts w:hint="eastAsia" w:ascii="宋体" w:hAnsi="宋体" w:cs="宋体"/>
                <w:color w:val="000000"/>
                <w:kern w:val="0"/>
                <w:sz w:val="36"/>
                <w:szCs w:val="36"/>
                <w:lang w:val="en-US" w:eastAsia="zh-CN"/>
              </w:rPr>
              <w:t>1</w:t>
            </w:r>
            <w:r>
              <w:rPr>
                <w:rFonts w:hint="eastAsia" w:ascii="宋体" w:hAnsi="宋体" w:cs="宋体"/>
                <w:color w:val="000000"/>
                <w:kern w:val="0"/>
                <w:sz w:val="36"/>
                <w:szCs w:val="36"/>
              </w:rPr>
              <w:t>年度)</w:t>
            </w: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0" w:type="dxa"/>
            <w:bottom w:w="0" w:type="dxa"/>
            <w:right w:w="0" w:type="dxa"/>
          </w:tblCellMar>
        </w:tblPrEx>
        <w:trPr>
          <w:trHeight w:val="276" w:hRule="atLeast"/>
          <w:jc w:val="center"/>
        </w:trPr>
        <w:tc>
          <w:tcPr>
            <w:tcW w:w="2782" w:type="dxa"/>
            <w:gridSpan w:val="3"/>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项目名称</w:t>
            </w:r>
          </w:p>
        </w:tc>
        <w:tc>
          <w:tcPr>
            <w:tcW w:w="7178" w:type="dxa"/>
            <w:gridSpan w:val="3"/>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202</w:t>
            </w:r>
            <w:r>
              <w:rPr>
                <w:rFonts w:hint="eastAsia" w:ascii="宋体" w:hAnsi="宋体" w:cs="宋体"/>
                <w:color w:val="000000"/>
                <w:kern w:val="0"/>
                <w:sz w:val="24"/>
                <w:lang w:val="en-US" w:eastAsia="zh-CN"/>
              </w:rPr>
              <w:t>1</w:t>
            </w:r>
            <w:r>
              <w:rPr>
                <w:rFonts w:hint="eastAsia" w:ascii="宋体" w:hAnsi="宋体" w:cs="宋体"/>
                <w:color w:val="000000"/>
                <w:kern w:val="0"/>
                <w:sz w:val="24"/>
              </w:rPr>
              <w:t>年观音岩水库船舶运行经费</w:t>
            </w: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0" w:type="dxa"/>
            <w:bottom w:w="0" w:type="dxa"/>
            <w:right w:w="0" w:type="dxa"/>
          </w:tblCellMar>
        </w:tblPrEx>
        <w:trPr>
          <w:trHeight w:val="276" w:hRule="atLeast"/>
          <w:jc w:val="center"/>
        </w:trPr>
        <w:tc>
          <w:tcPr>
            <w:tcW w:w="2782" w:type="dxa"/>
            <w:gridSpan w:val="3"/>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预算单位</w:t>
            </w:r>
          </w:p>
        </w:tc>
        <w:tc>
          <w:tcPr>
            <w:tcW w:w="7178" w:type="dxa"/>
            <w:gridSpan w:val="3"/>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峨眉山市河湖保护中心</w:t>
            </w: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0" w:type="dxa"/>
            <w:bottom w:w="0" w:type="dxa"/>
            <w:right w:w="0" w:type="dxa"/>
          </w:tblCellMar>
        </w:tblPrEx>
        <w:trPr>
          <w:trHeight w:val="276" w:hRule="atLeast"/>
          <w:jc w:val="center"/>
        </w:trPr>
        <w:tc>
          <w:tcPr>
            <w:tcW w:w="390" w:type="dxa"/>
            <w:vMerge w:val="restart"/>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预算执行情况(万元)</w:t>
            </w:r>
          </w:p>
        </w:tc>
        <w:tc>
          <w:tcPr>
            <w:tcW w:w="2392" w:type="dxa"/>
            <w:gridSpan w:val="2"/>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预算数:</w:t>
            </w:r>
          </w:p>
        </w:tc>
        <w:tc>
          <w:tcPr>
            <w:tcW w:w="2392" w:type="dxa"/>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16</w:t>
            </w:r>
          </w:p>
        </w:tc>
        <w:tc>
          <w:tcPr>
            <w:tcW w:w="2394" w:type="dxa"/>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执行数:</w:t>
            </w:r>
          </w:p>
        </w:tc>
        <w:tc>
          <w:tcPr>
            <w:tcW w:w="2392" w:type="dxa"/>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16</w:t>
            </w: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0" w:type="dxa"/>
            <w:bottom w:w="0" w:type="dxa"/>
            <w:right w:w="0" w:type="dxa"/>
          </w:tblCellMar>
        </w:tblPrEx>
        <w:trPr>
          <w:trHeight w:val="276" w:hRule="atLeast"/>
          <w:jc w:val="center"/>
        </w:trPr>
        <w:tc>
          <w:tcPr>
            <w:tcW w:w="390" w:type="dxa"/>
            <w:vMerge w:val="continue"/>
            <w:tcMar>
              <w:top w:w="15" w:type="dxa"/>
              <w:left w:w="15" w:type="dxa"/>
              <w:right w:w="15" w:type="dxa"/>
            </w:tcMar>
            <w:vAlign w:val="center"/>
          </w:tcPr>
          <w:p>
            <w:pPr>
              <w:jc w:val="center"/>
              <w:rPr>
                <w:rFonts w:ascii="宋体" w:hAnsi="宋体" w:cs="宋体"/>
                <w:color w:val="000000"/>
                <w:sz w:val="24"/>
              </w:rPr>
            </w:pPr>
          </w:p>
        </w:tc>
        <w:tc>
          <w:tcPr>
            <w:tcW w:w="2392" w:type="dxa"/>
            <w:gridSpan w:val="2"/>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392" w:type="dxa"/>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16</w:t>
            </w:r>
          </w:p>
        </w:tc>
        <w:tc>
          <w:tcPr>
            <w:tcW w:w="2394" w:type="dxa"/>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392" w:type="dxa"/>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16</w:t>
            </w: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0" w:type="dxa"/>
            <w:bottom w:w="0" w:type="dxa"/>
            <w:right w:w="0" w:type="dxa"/>
          </w:tblCellMar>
        </w:tblPrEx>
        <w:trPr>
          <w:trHeight w:val="2115" w:hRule="atLeast"/>
          <w:jc w:val="center"/>
        </w:trPr>
        <w:tc>
          <w:tcPr>
            <w:tcW w:w="390" w:type="dxa"/>
            <w:vMerge w:val="continue"/>
            <w:tcMar>
              <w:top w:w="15" w:type="dxa"/>
              <w:left w:w="15" w:type="dxa"/>
              <w:right w:w="15" w:type="dxa"/>
            </w:tcMar>
            <w:vAlign w:val="center"/>
          </w:tcPr>
          <w:p>
            <w:pPr>
              <w:jc w:val="center"/>
              <w:rPr>
                <w:rFonts w:ascii="宋体" w:hAnsi="宋体" w:cs="宋体"/>
                <w:color w:val="000000"/>
                <w:sz w:val="24"/>
              </w:rPr>
            </w:pPr>
          </w:p>
        </w:tc>
        <w:tc>
          <w:tcPr>
            <w:tcW w:w="2392" w:type="dxa"/>
            <w:gridSpan w:val="2"/>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392" w:type="dxa"/>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0</w:t>
            </w:r>
          </w:p>
        </w:tc>
        <w:tc>
          <w:tcPr>
            <w:tcW w:w="2394" w:type="dxa"/>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392" w:type="dxa"/>
            <w:tcMar>
              <w:top w:w="15" w:type="dxa"/>
              <w:left w:w="15" w:type="dxa"/>
              <w:right w:w="15" w:type="dxa"/>
            </w:tcMar>
            <w:vAlign w:val="center"/>
          </w:tcPr>
          <w:p>
            <w:pPr>
              <w:jc w:val="center"/>
              <w:rPr>
                <w:rFonts w:ascii="宋体" w:hAnsi="宋体" w:cs="宋体"/>
                <w:color w:val="000000"/>
                <w:sz w:val="24"/>
              </w:rPr>
            </w:pPr>
            <w:r>
              <w:rPr>
                <w:rFonts w:hint="eastAsia" w:ascii="宋体" w:hAnsi="宋体" w:cs="宋体"/>
                <w:color w:val="000000"/>
                <w:sz w:val="24"/>
              </w:rPr>
              <w:t>0</w:t>
            </w: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0" w:type="dxa"/>
            <w:bottom w:w="0" w:type="dxa"/>
            <w:right w:w="0" w:type="dxa"/>
          </w:tblCellMar>
        </w:tblPrEx>
        <w:trPr>
          <w:trHeight w:val="276" w:hRule="atLeast"/>
          <w:jc w:val="center"/>
        </w:trPr>
        <w:tc>
          <w:tcPr>
            <w:tcW w:w="390" w:type="dxa"/>
            <w:vMerge w:val="restart"/>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年度目标完成情况</w:t>
            </w:r>
          </w:p>
        </w:tc>
        <w:tc>
          <w:tcPr>
            <w:tcW w:w="4784" w:type="dxa"/>
            <w:gridSpan w:val="3"/>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预期目标</w:t>
            </w:r>
          </w:p>
        </w:tc>
        <w:tc>
          <w:tcPr>
            <w:tcW w:w="4786" w:type="dxa"/>
            <w:gridSpan w:val="2"/>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实际完成目标</w:t>
            </w: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0" w:type="dxa"/>
            <w:bottom w:w="0" w:type="dxa"/>
            <w:right w:w="0" w:type="dxa"/>
          </w:tblCellMar>
        </w:tblPrEx>
        <w:trPr>
          <w:trHeight w:val="2760" w:hRule="atLeast"/>
          <w:jc w:val="center"/>
        </w:trPr>
        <w:tc>
          <w:tcPr>
            <w:tcW w:w="390" w:type="dxa"/>
            <w:vMerge w:val="continue"/>
            <w:tcMar>
              <w:top w:w="15" w:type="dxa"/>
              <w:left w:w="15" w:type="dxa"/>
              <w:right w:w="15" w:type="dxa"/>
            </w:tcMar>
            <w:vAlign w:val="center"/>
          </w:tcPr>
          <w:p>
            <w:pPr>
              <w:jc w:val="center"/>
              <w:rPr>
                <w:rFonts w:ascii="宋体" w:hAnsi="宋体" w:cs="宋体"/>
                <w:color w:val="000000"/>
                <w:sz w:val="24"/>
              </w:rPr>
            </w:pPr>
          </w:p>
        </w:tc>
        <w:tc>
          <w:tcPr>
            <w:tcW w:w="4784" w:type="dxa"/>
            <w:gridSpan w:val="3"/>
            <w:tcMar>
              <w:top w:w="15" w:type="dxa"/>
              <w:left w:w="15" w:type="dxa"/>
              <w:right w:w="15" w:type="dxa"/>
            </w:tcMar>
            <w:vAlign w:val="center"/>
          </w:tcPr>
          <w:p>
            <w:pPr>
              <w:pStyle w:val="25"/>
              <w:widowControl/>
              <w:numPr>
                <w:ilvl w:val="0"/>
                <w:numId w:val="2"/>
              </w:numPr>
              <w:ind w:firstLineChars="0"/>
              <w:jc w:val="center"/>
              <w:textAlignment w:val="center"/>
              <w:rPr>
                <w:rFonts w:ascii="宋体" w:hAnsi="宋体" w:cs="宋体"/>
                <w:color w:val="000000"/>
                <w:sz w:val="24"/>
              </w:rPr>
            </w:pPr>
            <w:r>
              <w:rPr>
                <w:rFonts w:hint="eastAsia" w:ascii="宋体" w:hAnsi="宋体" w:cs="宋体"/>
                <w:color w:val="000000"/>
                <w:sz w:val="24"/>
              </w:rPr>
              <w:t>保障库区居民正常生产生活</w:t>
            </w:r>
          </w:p>
          <w:p>
            <w:pPr>
              <w:pStyle w:val="25"/>
              <w:widowControl/>
              <w:numPr>
                <w:ilvl w:val="0"/>
                <w:numId w:val="2"/>
              </w:numPr>
              <w:ind w:firstLineChars="0"/>
              <w:jc w:val="center"/>
              <w:textAlignment w:val="center"/>
              <w:rPr>
                <w:rFonts w:ascii="宋体" w:hAnsi="宋体" w:cs="宋体"/>
                <w:color w:val="000000"/>
                <w:sz w:val="24"/>
              </w:rPr>
            </w:pPr>
            <w:r>
              <w:rPr>
                <w:rFonts w:hint="eastAsia" w:ascii="宋体" w:hAnsi="宋体" w:cs="宋体"/>
                <w:color w:val="000000"/>
                <w:sz w:val="24"/>
              </w:rPr>
              <w:t>持续为库区居民提供方便。</w:t>
            </w:r>
          </w:p>
          <w:p>
            <w:pPr>
              <w:pStyle w:val="25"/>
              <w:widowControl/>
              <w:numPr>
                <w:ilvl w:val="0"/>
                <w:numId w:val="2"/>
              </w:numPr>
              <w:ind w:firstLineChars="0"/>
              <w:jc w:val="center"/>
              <w:textAlignment w:val="center"/>
              <w:rPr>
                <w:rFonts w:ascii="宋体" w:hAnsi="宋体" w:cs="宋体"/>
                <w:color w:val="000000"/>
                <w:sz w:val="24"/>
              </w:rPr>
            </w:pPr>
            <w:r>
              <w:rPr>
                <w:rFonts w:hint="eastAsia" w:ascii="宋体" w:hAnsi="宋体" w:cs="宋体"/>
                <w:color w:val="000000"/>
                <w:sz w:val="24"/>
              </w:rPr>
              <w:t>保障船舶安全运行</w:t>
            </w:r>
          </w:p>
        </w:tc>
        <w:tc>
          <w:tcPr>
            <w:tcW w:w="4786" w:type="dxa"/>
            <w:gridSpan w:val="2"/>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1、保障库区居民正常生产生活</w:t>
            </w:r>
          </w:p>
          <w:p>
            <w:pPr>
              <w:widowControl/>
              <w:jc w:val="center"/>
              <w:textAlignment w:val="center"/>
              <w:rPr>
                <w:rFonts w:ascii="宋体" w:hAnsi="宋体" w:cs="宋体"/>
                <w:color w:val="000000"/>
                <w:sz w:val="24"/>
              </w:rPr>
            </w:pPr>
            <w:r>
              <w:rPr>
                <w:rFonts w:hint="eastAsia" w:ascii="宋体" w:hAnsi="宋体" w:cs="宋体"/>
                <w:color w:val="000000"/>
                <w:sz w:val="24"/>
              </w:rPr>
              <w:t>2、持续为库区居民提供方便。</w:t>
            </w:r>
          </w:p>
          <w:p>
            <w:pPr>
              <w:widowControl/>
              <w:jc w:val="center"/>
              <w:textAlignment w:val="center"/>
              <w:rPr>
                <w:rFonts w:ascii="宋体" w:hAnsi="宋体" w:cs="宋体"/>
                <w:color w:val="000000"/>
                <w:sz w:val="24"/>
              </w:rPr>
            </w:pPr>
            <w:r>
              <w:rPr>
                <w:rFonts w:hint="eastAsia" w:ascii="宋体" w:hAnsi="宋体" w:cs="宋体"/>
                <w:color w:val="000000"/>
                <w:sz w:val="24"/>
              </w:rPr>
              <w:t>3、保障船舶安全运行</w:t>
            </w: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0" w:type="dxa"/>
            <w:bottom w:w="0" w:type="dxa"/>
            <w:right w:w="0" w:type="dxa"/>
          </w:tblCellMar>
        </w:tblPrEx>
        <w:trPr>
          <w:trHeight w:val="832" w:hRule="atLeast"/>
          <w:jc w:val="center"/>
        </w:trPr>
        <w:tc>
          <w:tcPr>
            <w:tcW w:w="390" w:type="dxa"/>
            <w:vMerge w:val="restart"/>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绩效指标完成情况</w:t>
            </w:r>
          </w:p>
        </w:tc>
        <w:tc>
          <w:tcPr>
            <w:tcW w:w="1367" w:type="dxa"/>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一级指标</w:t>
            </w:r>
          </w:p>
        </w:tc>
        <w:tc>
          <w:tcPr>
            <w:tcW w:w="1025" w:type="dxa"/>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二级指标</w:t>
            </w:r>
          </w:p>
        </w:tc>
        <w:tc>
          <w:tcPr>
            <w:tcW w:w="2392" w:type="dxa"/>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三级指标</w:t>
            </w:r>
          </w:p>
        </w:tc>
        <w:tc>
          <w:tcPr>
            <w:tcW w:w="2394" w:type="dxa"/>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预期指标值(包含数字及文字描述)</w:t>
            </w:r>
          </w:p>
        </w:tc>
        <w:tc>
          <w:tcPr>
            <w:tcW w:w="2392" w:type="dxa"/>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实际完成指标值(包含数字及文字描述)</w:t>
            </w: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0" w:type="dxa"/>
            <w:bottom w:w="0" w:type="dxa"/>
            <w:right w:w="0" w:type="dxa"/>
          </w:tblCellMar>
        </w:tblPrEx>
        <w:trPr>
          <w:trHeight w:val="953" w:hRule="atLeast"/>
          <w:jc w:val="center"/>
        </w:trPr>
        <w:tc>
          <w:tcPr>
            <w:tcW w:w="390" w:type="dxa"/>
            <w:vMerge w:val="continue"/>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完成指标</w:t>
            </w:r>
          </w:p>
        </w:tc>
        <w:tc>
          <w:tcPr>
            <w:tcW w:w="2392" w:type="dxa"/>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时间进度</w:t>
            </w:r>
          </w:p>
        </w:tc>
        <w:tc>
          <w:tcPr>
            <w:tcW w:w="2394" w:type="dxa"/>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当年拨付完毕</w:t>
            </w:r>
          </w:p>
        </w:tc>
        <w:tc>
          <w:tcPr>
            <w:tcW w:w="2392" w:type="dxa"/>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100%</w:t>
            </w: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0" w:type="dxa"/>
            <w:bottom w:w="0" w:type="dxa"/>
            <w:right w:w="0" w:type="dxa"/>
          </w:tblCellMar>
        </w:tblPrEx>
        <w:trPr>
          <w:trHeight w:val="862" w:hRule="atLeast"/>
          <w:jc w:val="center"/>
        </w:trPr>
        <w:tc>
          <w:tcPr>
            <w:tcW w:w="390" w:type="dxa"/>
            <w:vMerge w:val="continue"/>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效益指标</w:t>
            </w:r>
          </w:p>
        </w:tc>
        <w:tc>
          <w:tcPr>
            <w:tcW w:w="1025" w:type="dxa"/>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时效指标</w:t>
            </w:r>
          </w:p>
        </w:tc>
        <w:tc>
          <w:tcPr>
            <w:tcW w:w="2392" w:type="dxa"/>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社会效益</w:t>
            </w:r>
          </w:p>
        </w:tc>
        <w:tc>
          <w:tcPr>
            <w:tcW w:w="2394" w:type="dxa"/>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出行方便程度</w:t>
            </w:r>
          </w:p>
        </w:tc>
        <w:tc>
          <w:tcPr>
            <w:tcW w:w="2392" w:type="dxa"/>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优</w:t>
            </w: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0" w:type="dxa"/>
            <w:bottom w:w="0" w:type="dxa"/>
            <w:right w:w="0" w:type="dxa"/>
          </w:tblCellMar>
        </w:tblPrEx>
        <w:trPr>
          <w:trHeight w:val="735" w:hRule="atLeast"/>
          <w:jc w:val="center"/>
        </w:trPr>
        <w:tc>
          <w:tcPr>
            <w:tcW w:w="390" w:type="dxa"/>
            <w:vMerge w:val="continue"/>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满意度指标</w:t>
            </w:r>
          </w:p>
        </w:tc>
        <w:tc>
          <w:tcPr>
            <w:tcW w:w="1025" w:type="dxa"/>
            <w:tcMar>
              <w:top w:w="15" w:type="dxa"/>
              <w:left w:w="15" w:type="dxa"/>
              <w:right w:w="15" w:type="dxa"/>
            </w:tcMar>
            <w:vAlign w:val="center"/>
          </w:tcPr>
          <w:p>
            <w:pPr>
              <w:widowControl/>
              <w:textAlignment w:val="center"/>
              <w:rPr>
                <w:rFonts w:ascii="宋体" w:hAnsi="宋体" w:cs="宋体"/>
                <w:color w:val="000000"/>
                <w:sz w:val="24"/>
              </w:rPr>
            </w:pPr>
            <w:r>
              <w:rPr>
                <w:rFonts w:hint="eastAsia" w:ascii="宋体" w:hAnsi="宋体" w:cs="宋体"/>
                <w:color w:val="000000"/>
                <w:sz w:val="24"/>
              </w:rPr>
              <w:t>群众满意度</w:t>
            </w:r>
          </w:p>
        </w:tc>
        <w:tc>
          <w:tcPr>
            <w:tcW w:w="2392" w:type="dxa"/>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方便程度</w:t>
            </w:r>
          </w:p>
        </w:tc>
        <w:tc>
          <w:tcPr>
            <w:tcW w:w="2394" w:type="dxa"/>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满意程度</w:t>
            </w:r>
          </w:p>
        </w:tc>
        <w:tc>
          <w:tcPr>
            <w:tcW w:w="2392" w:type="dxa"/>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优</w:t>
            </w:r>
          </w:p>
        </w:tc>
      </w:tr>
    </w:tbl>
    <w:tbl>
      <w:tblPr>
        <w:tblStyle w:val="14"/>
        <w:tblpPr w:leftFromText="180" w:rightFromText="180" w:vertAnchor="text" w:horzAnchor="page" w:tblpX="1390" w:tblpY="-69"/>
        <w:tblOverlap w:val="never"/>
        <w:tblW w:w="9960" w:type="dxa"/>
        <w:jc w:val="center"/>
        <w:tblLayout w:type="fixed"/>
        <w:tblCellMar>
          <w:top w:w="0" w:type="dxa"/>
          <w:left w:w="0" w:type="dxa"/>
          <w:bottom w:w="0" w:type="dxa"/>
          <w:right w:w="0" w:type="dxa"/>
        </w:tblCellMar>
      </w:tblPr>
      <w:tblGrid>
        <w:gridCol w:w="390"/>
        <w:gridCol w:w="1367"/>
        <w:gridCol w:w="1025"/>
        <w:gridCol w:w="2392"/>
        <w:gridCol w:w="2394"/>
        <w:gridCol w:w="2392"/>
      </w:tblGrid>
      <w:tr>
        <w:tblPrEx>
          <w:tblCellMar>
            <w:top w:w="0" w:type="dxa"/>
            <w:left w:w="0" w:type="dxa"/>
            <w:bottom w:w="0" w:type="dxa"/>
            <w:right w:w="0" w:type="dxa"/>
          </w:tblCellMar>
        </w:tblPrEx>
        <w:trPr>
          <w:trHeight w:val="90" w:hRule="atLeast"/>
          <w:jc w:val="center"/>
        </w:trPr>
        <w:tc>
          <w:tcPr>
            <w:tcW w:w="9960" w:type="dxa"/>
            <w:gridSpan w:val="6"/>
            <w:tcBorders>
              <w:top w:val="nil"/>
              <w:left w:val="nil"/>
              <w:bottom w:val="nil"/>
              <w:right w:val="nil"/>
            </w:tcBorders>
            <w:tcMar>
              <w:top w:w="15" w:type="dxa"/>
              <w:left w:w="15" w:type="dxa"/>
              <w:right w:w="15" w:type="dxa"/>
            </w:tcMar>
            <w:vAlign w:val="center"/>
          </w:tcPr>
          <w:p>
            <w:pPr>
              <w:widowControl/>
              <w:jc w:val="center"/>
              <w:textAlignment w:val="center"/>
              <w:rPr>
                <w:rFonts w:ascii="宋体" w:hAnsi="宋体" w:cs="宋体"/>
                <w:color w:val="000000"/>
                <w:sz w:val="36"/>
                <w:szCs w:val="36"/>
              </w:rPr>
            </w:pPr>
            <w:r>
              <w:rPr>
                <w:rFonts w:hint="eastAsia" w:ascii="宋体" w:hAnsi="宋体" w:cs="宋体"/>
                <w:b/>
                <w:bCs/>
                <w:color w:val="000000"/>
                <w:kern w:val="0"/>
                <w:sz w:val="36"/>
                <w:szCs w:val="36"/>
              </w:rPr>
              <w:t>项目绩效目标完成情况表</w:t>
            </w:r>
            <w:r>
              <w:rPr>
                <w:rFonts w:hint="eastAsia" w:ascii="宋体" w:hAnsi="宋体" w:cs="宋体"/>
                <w:color w:val="000000"/>
                <w:kern w:val="0"/>
                <w:sz w:val="36"/>
                <w:szCs w:val="36"/>
              </w:rPr>
              <w:t>(202</w:t>
            </w:r>
            <w:r>
              <w:rPr>
                <w:rFonts w:hint="eastAsia" w:ascii="宋体" w:hAnsi="宋体" w:cs="宋体"/>
                <w:color w:val="000000"/>
                <w:kern w:val="0"/>
                <w:sz w:val="36"/>
                <w:szCs w:val="36"/>
                <w:lang w:val="en-US" w:eastAsia="zh-CN"/>
              </w:rPr>
              <w:t>1</w:t>
            </w:r>
            <w:r>
              <w:rPr>
                <w:rFonts w:hint="eastAsia" w:ascii="宋体" w:hAnsi="宋体" w:cs="宋体"/>
                <w:color w:val="000000"/>
                <w:kern w:val="0"/>
                <w:sz w:val="36"/>
                <w:szCs w:val="36"/>
              </w:rPr>
              <w:t xml:space="preserve"> 年度)</w:t>
            </w:r>
          </w:p>
        </w:tc>
      </w:tr>
      <w:tr>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项目名称</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202</w:t>
            </w:r>
            <w:r>
              <w:rPr>
                <w:rFonts w:hint="eastAsia" w:ascii="宋体" w:hAnsi="宋体" w:cs="宋体"/>
                <w:color w:val="000000"/>
                <w:kern w:val="0"/>
                <w:sz w:val="24"/>
                <w:lang w:val="en-US" w:eastAsia="zh-CN"/>
              </w:rPr>
              <w:t>1</w:t>
            </w:r>
            <w:r>
              <w:rPr>
                <w:rFonts w:hint="eastAsia" w:ascii="宋体" w:hAnsi="宋体" w:cs="宋体"/>
                <w:color w:val="000000"/>
                <w:kern w:val="0"/>
                <w:sz w:val="24"/>
              </w:rPr>
              <w:t>年峨眉河大坝运行费</w:t>
            </w:r>
          </w:p>
        </w:tc>
      </w:tr>
      <w:tr>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预算单位</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峨眉山市河湖保护中心</w:t>
            </w:r>
          </w:p>
        </w:tc>
      </w:tr>
      <w:tr>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预算执行情况(万元)</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15</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执行数: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15</w:t>
            </w:r>
          </w:p>
        </w:tc>
      </w:tr>
      <w:tr>
        <w:tblPrEx>
          <w:tblCellMar>
            <w:top w:w="0" w:type="dxa"/>
            <w:left w:w="0" w:type="dxa"/>
            <w:bottom w:w="0" w:type="dxa"/>
            <w:right w:w="0" w:type="dxa"/>
          </w:tblCellMar>
        </w:tblPrEx>
        <w:trPr>
          <w:trHeight w:val="276"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15</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15</w:t>
            </w:r>
          </w:p>
        </w:tc>
      </w:tr>
      <w:tr>
        <w:tblPrEx>
          <w:tblCellMar>
            <w:top w:w="0" w:type="dxa"/>
            <w:left w:w="0" w:type="dxa"/>
            <w:bottom w:w="0" w:type="dxa"/>
            <w:right w:w="0" w:type="dxa"/>
          </w:tblCellMar>
        </w:tblPrEx>
        <w:trPr>
          <w:trHeight w:val="1511"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0</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r>
              <w:rPr>
                <w:rFonts w:hint="eastAsia" w:ascii="宋体" w:hAnsi="宋体" w:cs="宋体"/>
                <w:color w:val="000000"/>
                <w:sz w:val="24"/>
              </w:rPr>
              <w:t>0</w:t>
            </w:r>
          </w:p>
        </w:tc>
      </w:tr>
      <w:tr>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年度目标完成情况</w:t>
            </w: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预期目标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实际完成目标</w:t>
            </w:r>
          </w:p>
        </w:tc>
      </w:tr>
      <w:tr>
        <w:tblPrEx>
          <w:tblCellMar>
            <w:top w:w="0" w:type="dxa"/>
            <w:left w:w="0" w:type="dxa"/>
            <w:bottom w:w="0" w:type="dxa"/>
            <w:right w:w="0" w:type="dxa"/>
          </w:tblCellMar>
        </w:tblPrEx>
        <w:trPr>
          <w:trHeight w:val="1159"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确保峨眉河下游及灌区群众生命财产安全；保障峨眉河大坝正常运行并持续为防洪调度提供条件。</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确保峨眉河下游及灌区群众生命财产安全；保障峨眉河大坝正常运行并持续为防洪调度提供条件。</w:t>
            </w:r>
          </w:p>
        </w:tc>
      </w:tr>
      <w:tr>
        <w:tblPrEx>
          <w:tblCellMar>
            <w:top w:w="0" w:type="dxa"/>
            <w:left w:w="0" w:type="dxa"/>
            <w:bottom w:w="0" w:type="dxa"/>
            <w:right w:w="0" w:type="dxa"/>
          </w:tblCellMar>
        </w:tblPrEx>
        <w:trPr>
          <w:trHeight w:val="1042" w:hRule="atLeast"/>
          <w:jc w:val="center"/>
        </w:trPr>
        <w:tc>
          <w:tcPr>
            <w:tcW w:w="390"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绩效指标完成情况</w:t>
            </w: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一级指标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二级指标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三级指标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预期指标值(包含数字及文字描述)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实际完成指标值(包含数字及文字描述)</w:t>
            </w:r>
          </w:p>
        </w:tc>
      </w:tr>
      <w:tr>
        <w:tblPrEx>
          <w:tblCellMar>
            <w:top w:w="0" w:type="dxa"/>
            <w:left w:w="0" w:type="dxa"/>
            <w:bottom w:w="0" w:type="dxa"/>
            <w:right w:w="0" w:type="dxa"/>
          </w:tblCellMar>
        </w:tblPrEx>
        <w:trPr>
          <w:trHeight w:val="953"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完成指标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质量指标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当年拨付完毕</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100%</w:t>
            </w:r>
          </w:p>
        </w:tc>
      </w:tr>
      <w:tr>
        <w:tblPrEx>
          <w:tblCellMar>
            <w:top w:w="0" w:type="dxa"/>
            <w:left w:w="0" w:type="dxa"/>
            <w:bottom w:w="0" w:type="dxa"/>
            <w:right w:w="0" w:type="dxa"/>
          </w:tblCellMar>
        </w:tblPrEx>
        <w:trPr>
          <w:trHeight w:val="1297"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社会效益</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可持续指标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时效指标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100%</w:t>
            </w:r>
          </w:p>
        </w:tc>
      </w:tr>
      <w:tr>
        <w:tblPrEx>
          <w:tblCellMar>
            <w:top w:w="0" w:type="dxa"/>
            <w:left w:w="0" w:type="dxa"/>
            <w:bottom w:w="0" w:type="dxa"/>
            <w:right w:w="0" w:type="dxa"/>
          </w:tblCellMar>
        </w:tblPrEx>
        <w:trPr>
          <w:trHeight w:val="1048" w:hRule="atLeast"/>
          <w:jc w:val="center"/>
        </w:trPr>
        <w:tc>
          <w:tcPr>
            <w:tcW w:w="390"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满意度指标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社会满意度指标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安全度指标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满意程度</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优</w:t>
            </w:r>
          </w:p>
        </w:tc>
      </w:tr>
    </w:tbl>
    <w:tbl>
      <w:tblPr>
        <w:tblStyle w:val="14"/>
        <w:tblpPr w:leftFromText="180" w:rightFromText="180" w:vertAnchor="text" w:horzAnchor="page" w:tblpX="1639" w:tblpY="90"/>
        <w:tblOverlap w:val="never"/>
        <w:tblW w:w="996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90"/>
        <w:gridCol w:w="1367"/>
        <w:gridCol w:w="1025"/>
        <w:gridCol w:w="2392"/>
        <w:gridCol w:w="2394"/>
        <w:gridCol w:w="239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34" w:hRule="atLeast"/>
          <w:jc w:val="center"/>
        </w:trPr>
        <w:tc>
          <w:tcPr>
            <w:tcW w:w="9960" w:type="dxa"/>
            <w:gridSpan w:val="6"/>
            <w:tcBorders>
              <w:top w:val="nil"/>
              <w:left w:val="nil"/>
              <w:right w:val="nil"/>
            </w:tcBorders>
            <w:tcMar>
              <w:top w:w="15" w:type="dxa"/>
              <w:left w:w="15" w:type="dxa"/>
              <w:right w:w="15" w:type="dxa"/>
            </w:tcMar>
            <w:vAlign w:val="center"/>
          </w:tcPr>
          <w:p>
            <w:pPr>
              <w:widowControl/>
              <w:jc w:val="center"/>
              <w:textAlignment w:val="center"/>
              <w:rPr>
                <w:rFonts w:ascii="宋体" w:hAnsi="宋体" w:cs="宋体"/>
                <w:color w:val="000000"/>
                <w:sz w:val="36"/>
                <w:szCs w:val="36"/>
              </w:rPr>
            </w:pPr>
            <w:r>
              <w:rPr>
                <w:rFonts w:hint="eastAsia" w:ascii="宋体" w:hAnsi="宋体" w:cs="宋体"/>
                <w:b/>
                <w:bCs/>
                <w:color w:val="000000"/>
                <w:kern w:val="0"/>
                <w:sz w:val="36"/>
                <w:szCs w:val="36"/>
              </w:rPr>
              <w:t>项目绩效目标完成情况表</w:t>
            </w:r>
            <w:r>
              <w:rPr>
                <w:rFonts w:hint="eastAsia" w:ascii="宋体" w:hAnsi="宋体" w:cs="宋体"/>
                <w:color w:val="000000"/>
                <w:kern w:val="0"/>
                <w:sz w:val="36"/>
                <w:szCs w:val="36"/>
              </w:rPr>
              <w:t>(202</w:t>
            </w:r>
            <w:r>
              <w:rPr>
                <w:rFonts w:hint="eastAsia" w:ascii="宋体" w:hAnsi="宋体" w:cs="宋体"/>
                <w:color w:val="000000"/>
                <w:kern w:val="0"/>
                <w:sz w:val="36"/>
                <w:szCs w:val="36"/>
                <w:lang w:val="en-US" w:eastAsia="zh-CN"/>
              </w:rPr>
              <w:t>1</w:t>
            </w:r>
            <w:r>
              <w:rPr>
                <w:rFonts w:hint="eastAsia" w:ascii="宋体" w:hAnsi="宋体" w:cs="宋体"/>
                <w:color w:val="000000"/>
                <w:kern w:val="0"/>
                <w:sz w:val="36"/>
                <w:szCs w:val="36"/>
              </w:rPr>
              <w:t>年度)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6" w:hRule="atLeast"/>
          <w:jc w:val="center"/>
        </w:trPr>
        <w:tc>
          <w:tcPr>
            <w:tcW w:w="2782" w:type="dxa"/>
            <w:gridSpan w:val="3"/>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项目名称</w:t>
            </w:r>
          </w:p>
        </w:tc>
        <w:tc>
          <w:tcPr>
            <w:tcW w:w="7178" w:type="dxa"/>
            <w:gridSpan w:val="3"/>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202</w:t>
            </w:r>
            <w:r>
              <w:rPr>
                <w:rFonts w:hint="eastAsia" w:ascii="宋体" w:hAnsi="宋体" w:cs="宋体"/>
                <w:color w:val="000000"/>
                <w:kern w:val="0"/>
                <w:sz w:val="24"/>
                <w:lang w:val="en-US" w:eastAsia="zh-CN"/>
              </w:rPr>
              <w:t>1</w:t>
            </w:r>
            <w:r>
              <w:rPr>
                <w:rFonts w:hint="eastAsia" w:ascii="宋体" w:hAnsi="宋体" w:cs="宋体"/>
                <w:color w:val="000000"/>
                <w:kern w:val="0"/>
                <w:sz w:val="24"/>
              </w:rPr>
              <w:t>年春灌岁修经费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6" w:hRule="atLeast"/>
          <w:jc w:val="center"/>
        </w:trPr>
        <w:tc>
          <w:tcPr>
            <w:tcW w:w="2782" w:type="dxa"/>
            <w:gridSpan w:val="3"/>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预算单位</w:t>
            </w:r>
          </w:p>
        </w:tc>
        <w:tc>
          <w:tcPr>
            <w:tcW w:w="7178" w:type="dxa"/>
            <w:gridSpan w:val="3"/>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峨眉山市河湖保护中心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6" w:hRule="atLeast"/>
          <w:jc w:val="center"/>
        </w:trPr>
        <w:tc>
          <w:tcPr>
            <w:tcW w:w="390" w:type="dxa"/>
            <w:vMerge w:val="restart"/>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预算执行情况(万元)</w:t>
            </w:r>
          </w:p>
        </w:tc>
        <w:tc>
          <w:tcPr>
            <w:tcW w:w="2392" w:type="dxa"/>
            <w:gridSpan w:val="2"/>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预算数:</w:t>
            </w:r>
          </w:p>
        </w:tc>
        <w:tc>
          <w:tcPr>
            <w:tcW w:w="2392" w:type="dxa"/>
            <w:tcMar>
              <w:top w:w="15" w:type="dxa"/>
              <w:left w:w="15"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rPr>
              <w:t>1</w:t>
            </w:r>
            <w:r>
              <w:rPr>
                <w:rFonts w:hint="eastAsia" w:ascii="宋体" w:hAnsi="宋体" w:cs="宋体"/>
                <w:color w:val="000000"/>
                <w:sz w:val="24"/>
                <w:lang w:val="en-US" w:eastAsia="zh-CN"/>
              </w:rPr>
              <w:t>00</w:t>
            </w:r>
          </w:p>
        </w:tc>
        <w:tc>
          <w:tcPr>
            <w:tcW w:w="2394" w:type="dxa"/>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执行数:</w:t>
            </w:r>
          </w:p>
        </w:tc>
        <w:tc>
          <w:tcPr>
            <w:tcW w:w="2392" w:type="dxa"/>
            <w:tcMar>
              <w:top w:w="15" w:type="dxa"/>
              <w:left w:w="15"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20.86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6" w:hRule="atLeast"/>
          <w:jc w:val="center"/>
        </w:trPr>
        <w:tc>
          <w:tcPr>
            <w:tcW w:w="390" w:type="dxa"/>
            <w:vMerge w:val="continue"/>
            <w:tcMar>
              <w:top w:w="15" w:type="dxa"/>
              <w:left w:w="15" w:type="dxa"/>
              <w:right w:w="15" w:type="dxa"/>
            </w:tcMar>
            <w:vAlign w:val="center"/>
          </w:tcPr>
          <w:p>
            <w:pPr>
              <w:jc w:val="center"/>
              <w:rPr>
                <w:rFonts w:ascii="宋体" w:hAnsi="宋体" w:cs="宋体"/>
                <w:color w:val="000000"/>
                <w:sz w:val="24"/>
              </w:rPr>
            </w:pPr>
          </w:p>
        </w:tc>
        <w:tc>
          <w:tcPr>
            <w:tcW w:w="2392" w:type="dxa"/>
            <w:gridSpan w:val="2"/>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392" w:type="dxa"/>
            <w:tcMar>
              <w:top w:w="15" w:type="dxa"/>
              <w:left w:w="15"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100</w:t>
            </w:r>
          </w:p>
        </w:tc>
        <w:tc>
          <w:tcPr>
            <w:tcW w:w="2394" w:type="dxa"/>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392" w:type="dxa"/>
            <w:tcMar>
              <w:top w:w="15" w:type="dxa"/>
              <w:left w:w="15"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20.86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11" w:hRule="atLeast"/>
          <w:jc w:val="center"/>
        </w:trPr>
        <w:tc>
          <w:tcPr>
            <w:tcW w:w="390" w:type="dxa"/>
            <w:vMerge w:val="continue"/>
            <w:tcMar>
              <w:top w:w="15" w:type="dxa"/>
              <w:left w:w="15" w:type="dxa"/>
              <w:right w:w="15" w:type="dxa"/>
            </w:tcMar>
            <w:vAlign w:val="center"/>
          </w:tcPr>
          <w:p>
            <w:pPr>
              <w:jc w:val="center"/>
              <w:rPr>
                <w:rFonts w:ascii="宋体" w:hAnsi="宋体" w:cs="宋体"/>
                <w:color w:val="000000"/>
                <w:sz w:val="24"/>
              </w:rPr>
            </w:pPr>
          </w:p>
        </w:tc>
        <w:tc>
          <w:tcPr>
            <w:tcW w:w="2392" w:type="dxa"/>
            <w:gridSpan w:val="2"/>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392" w:type="dxa"/>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0</w:t>
            </w:r>
          </w:p>
        </w:tc>
        <w:tc>
          <w:tcPr>
            <w:tcW w:w="2394" w:type="dxa"/>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392" w:type="dxa"/>
            <w:tcMar>
              <w:top w:w="15" w:type="dxa"/>
              <w:left w:w="15" w:type="dxa"/>
              <w:right w:w="15" w:type="dxa"/>
            </w:tcMar>
            <w:vAlign w:val="center"/>
          </w:tcPr>
          <w:p>
            <w:pPr>
              <w:jc w:val="center"/>
              <w:rPr>
                <w:rFonts w:ascii="宋体" w:hAnsi="宋体" w:cs="宋体"/>
                <w:color w:val="000000"/>
                <w:sz w:val="24"/>
              </w:rPr>
            </w:pPr>
            <w:r>
              <w:rPr>
                <w:rFonts w:hint="eastAsia" w:ascii="宋体" w:hAnsi="宋体" w:cs="宋体"/>
                <w:color w:val="000000"/>
                <w:sz w:val="24"/>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6" w:hRule="atLeast"/>
          <w:jc w:val="center"/>
        </w:trPr>
        <w:tc>
          <w:tcPr>
            <w:tcW w:w="390" w:type="dxa"/>
            <w:vMerge w:val="restart"/>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年度目标完成情况</w:t>
            </w:r>
          </w:p>
        </w:tc>
        <w:tc>
          <w:tcPr>
            <w:tcW w:w="4784" w:type="dxa"/>
            <w:gridSpan w:val="3"/>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预期目标</w:t>
            </w:r>
          </w:p>
        </w:tc>
        <w:tc>
          <w:tcPr>
            <w:tcW w:w="4786" w:type="dxa"/>
            <w:gridSpan w:val="2"/>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实际完成目标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25" w:hRule="atLeast"/>
          <w:jc w:val="center"/>
        </w:trPr>
        <w:tc>
          <w:tcPr>
            <w:tcW w:w="390" w:type="dxa"/>
            <w:vMerge w:val="continue"/>
            <w:tcMar>
              <w:top w:w="15" w:type="dxa"/>
              <w:left w:w="15" w:type="dxa"/>
              <w:right w:w="15" w:type="dxa"/>
            </w:tcMar>
            <w:vAlign w:val="center"/>
          </w:tcPr>
          <w:p>
            <w:pPr>
              <w:jc w:val="center"/>
              <w:rPr>
                <w:rFonts w:ascii="宋体" w:hAnsi="宋体" w:cs="宋体"/>
                <w:color w:val="000000"/>
                <w:sz w:val="24"/>
              </w:rPr>
            </w:pPr>
          </w:p>
        </w:tc>
        <w:tc>
          <w:tcPr>
            <w:tcW w:w="4784" w:type="dxa"/>
            <w:gridSpan w:val="3"/>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保障全市农田春季灌溉，及各渠道水库正常送水，确保全市各乡镇春灌顺利进行。</w:t>
            </w:r>
          </w:p>
        </w:tc>
        <w:tc>
          <w:tcPr>
            <w:tcW w:w="4786" w:type="dxa"/>
            <w:gridSpan w:val="2"/>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保障全市农田春季灌溉，及各渠道水库正常送水，确保全市各乡镇春灌顺利进行。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2" w:hRule="atLeast"/>
          <w:jc w:val="center"/>
        </w:trPr>
        <w:tc>
          <w:tcPr>
            <w:tcW w:w="390" w:type="dxa"/>
            <w:vMerge w:val="restart"/>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绩效指标完成情况</w:t>
            </w:r>
          </w:p>
        </w:tc>
        <w:tc>
          <w:tcPr>
            <w:tcW w:w="1367" w:type="dxa"/>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一级指标</w:t>
            </w:r>
          </w:p>
        </w:tc>
        <w:tc>
          <w:tcPr>
            <w:tcW w:w="1025" w:type="dxa"/>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二级指标</w:t>
            </w:r>
          </w:p>
        </w:tc>
        <w:tc>
          <w:tcPr>
            <w:tcW w:w="2392" w:type="dxa"/>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三级指标</w:t>
            </w:r>
          </w:p>
        </w:tc>
        <w:tc>
          <w:tcPr>
            <w:tcW w:w="2394" w:type="dxa"/>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预期指标值(包含数字及文字描述)</w:t>
            </w:r>
          </w:p>
        </w:tc>
        <w:tc>
          <w:tcPr>
            <w:tcW w:w="2392" w:type="dxa"/>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实际完成指标值(包含数字及文字描述)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3" w:hRule="atLeast"/>
          <w:jc w:val="center"/>
        </w:trPr>
        <w:tc>
          <w:tcPr>
            <w:tcW w:w="390" w:type="dxa"/>
            <w:vMerge w:val="continue"/>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数量指标</w:t>
            </w:r>
          </w:p>
        </w:tc>
        <w:tc>
          <w:tcPr>
            <w:tcW w:w="2392" w:type="dxa"/>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质量指标</w:t>
            </w:r>
          </w:p>
        </w:tc>
        <w:tc>
          <w:tcPr>
            <w:tcW w:w="2394" w:type="dxa"/>
            <w:tcMar>
              <w:top w:w="15" w:type="dxa"/>
              <w:left w:w="15"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20.86</w:t>
            </w:r>
          </w:p>
        </w:tc>
        <w:tc>
          <w:tcPr>
            <w:tcW w:w="2392" w:type="dxa"/>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lang w:val="en-US" w:eastAsia="zh-CN"/>
              </w:rPr>
              <w:t>20.86</w:t>
            </w:r>
            <w:r>
              <w:rPr>
                <w:rFonts w:hint="eastAsia" w:ascii="宋体" w:hAnsi="宋体" w:cs="宋体"/>
                <w:color w:val="000000"/>
                <w:sz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1" w:hRule="atLeast"/>
          <w:jc w:val="center"/>
        </w:trPr>
        <w:tc>
          <w:tcPr>
            <w:tcW w:w="390" w:type="dxa"/>
            <w:vMerge w:val="continue"/>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bottom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效益指标</w:t>
            </w:r>
          </w:p>
        </w:tc>
        <w:tc>
          <w:tcPr>
            <w:tcW w:w="1025" w:type="dxa"/>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经济效益</w:t>
            </w:r>
          </w:p>
        </w:tc>
        <w:tc>
          <w:tcPr>
            <w:tcW w:w="2392" w:type="dxa"/>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社会效益</w:t>
            </w:r>
          </w:p>
        </w:tc>
        <w:tc>
          <w:tcPr>
            <w:tcW w:w="2394" w:type="dxa"/>
            <w:tcBorders>
              <w:bottom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生态效益指标</w:t>
            </w:r>
          </w:p>
        </w:tc>
        <w:tc>
          <w:tcPr>
            <w:tcW w:w="2392" w:type="dxa"/>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8" w:hRule="atLeast"/>
          <w:jc w:val="center"/>
        </w:trPr>
        <w:tc>
          <w:tcPr>
            <w:tcW w:w="390" w:type="dxa"/>
            <w:vMerge w:val="continue"/>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bottom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满意度指标</w:t>
            </w:r>
          </w:p>
        </w:tc>
        <w:tc>
          <w:tcPr>
            <w:tcW w:w="1025" w:type="dxa"/>
            <w:tcBorders>
              <w:bottom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完成指标</w:t>
            </w:r>
          </w:p>
        </w:tc>
        <w:tc>
          <w:tcPr>
            <w:tcW w:w="2392" w:type="dxa"/>
            <w:tcBorders>
              <w:bottom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社会满意度指标</w:t>
            </w:r>
          </w:p>
        </w:tc>
        <w:tc>
          <w:tcPr>
            <w:tcW w:w="2394" w:type="dxa"/>
            <w:tcBorders>
              <w:bottom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满意程度</w:t>
            </w:r>
          </w:p>
        </w:tc>
        <w:tc>
          <w:tcPr>
            <w:tcW w:w="2392" w:type="dxa"/>
            <w:tcBorders>
              <w:bottom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优</w:t>
            </w:r>
          </w:p>
        </w:tc>
      </w:tr>
    </w:tbl>
    <w:tbl>
      <w:tblPr>
        <w:tblStyle w:val="14"/>
        <w:tblpPr w:leftFromText="180" w:rightFromText="180" w:vertAnchor="text" w:horzAnchor="page" w:tblpX="1465" w:tblpY="120"/>
        <w:tblOverlap w:val="never"/>
        <w:tblW w:w="9972" w:type="dxa"/>
        <w:jc w:val="center"/>
        <w:tblLayout w:type="fixed"/>
        <w:tblCellMar>
          <w:top w:w="0" w:type="dxa"/>
          <w:left w:w="0" w:type="dxa"/>
          <w:bottom w:w="0" w:type="dxa"/>
          <w:right w:w="0" w:type="dxa"/>
        </w:tblCellMar>
      </w:tblPr>
      <w:tblGrid>
        <w:gridCol w:w="390"/>
        <w:gridCol w:w="1369"/>
        <w:gridCol w:w="1026"/>
        <w:gridCol w:w="2395"/>
        <w:gridCol w:w="2397"/>
        <w:gridCol w:w="2395"/>
      </w:tblGrid>
      <w:tr>
        <w:tblPrEx>
          <w:tblCellMar>
            <w:top w:w="0" w:type="dxa"/>
            <w:left w:w="0" w:type="dxa"/>
            <w:bottom w:w="0" w:type="dxa"/>
            <w:right w:w="0" w:type="dxa"/>
          </w:tblCellMar>
        </w:tblPrEx>
        <w:trPr>
          <w:trHeight w:val="1053" w:hRule="atLeast"/>
          <w:jc w:val="center"/>
        </w:trPr>
        <w:tc>
          <w:tcPr>
            <w:tcW w:w="9972" w:type="dxa"/>
            <w:gridSpan w:val="6"/>
            <w:tcBorders>
              <w:top w:val="nil"/>
              <w:left w:val="nil"/>
              <w:bottom w:val="nil"/>
              <w:right w:val="nil"/>
            </w:tcBorders>
            <w:tcMar>
              <w:top w:w="15" w:type="dxa"/>
              <w:left w:w="15" w:type="dxa"/>
              <w:right w:w="15" w:type="dxa"/>
            </w:tcMar>
            <w:vAlign w:val="center"/>
          </w:tcPr>
          <w:p>
            <w:pPr>
              <w:widowControl/>
              <w:jc w:val="center"/>
              <w:textAlignment w:val="center"/>
              <w:rPr>
                <w:rFonts w:ascii="宋体" w:hAnsi="宋体" w:cs="宋体"/>
                <w:color w:val="000000"/>
                <w:sz w:val="36"/>
                <w:szCs w:val="36"/>
              </w:rPr>
            </w:pPr>
            <w:r>
              <w:rPr>
                <w:rFonts w:hint="eastAsia" w:ascii="宋体" w:hAnsi="宋体" w:cs="宋体"/>
                <w:b/>
                <w:bCs/>
                <w:color w:val="000000"/>
                <w:kern w:val="0"/>
                <w:sz w:val="36"/>
                <w:szCs w:val="36"/>
              </w:rPr>
              <w:t>项目绩效目标完成情况表</w:t>
            </w:r>
            <w:r>
              <w:rPr>
                <w:rFonts w:hint="eastAsia" w:ascii="宋体" w:hAnsi="宋体" w:cs="宋体"/>
                <w:color w:val="000000"/>
                <w:kern w:val="0"/>
                <w:sz w:val="36"/>
                <w:szCs w:val="36"/>
              </w:rPr>
              <w:t>(202</w:t>
            </w:r>
            <w:r>
              <w:rPr>
                <w:rFonts w:hint="eastAsia" w:ascii="宋体" w:hAnsi="宋体" w:cs="宋体"/>
                <w:color w:val="000000"/>
                <w:kern w:val="0"/>
                <w:sz w:val="36"/>
                <w:szCs w:val="36"/>
                <w:lang w:val="en-US" w:eastAsia="zh-CN"/>
              </w:rPr>
              <w:t>1</w:t>
            </w:r>
            <w:r>
              <w:rPr>
                <w:rFonts w:hint="eastAsia" w:ascii="宋体" w:hAnsi="宋体" w:cs="宋体"/>
                <w:color w:val="000000"/>
                <w:kern w:val="0"/>
                <w:sz w:val="36"/>
                <w:szCs w:val="36"/>
              </w:rPr>
              <w:t>年度)</w:t>
            </w:r>
          </w:p>
        </w:tc>
      </w:tr>
      <w:tr>
        <w:tblPrEx>
          <w:tblCellMar>
            <w:top w:w="0" w:type="dxa"/>
            <w:left w:w="0" w:type="dxa"/>
            <w:bottom w:w="0" w:type="dxa"/>
            <w:right w:w="0" w:type="dxa"/>
          </w:tblCellMar>
        </w:tblPrEx>
        <w:trPr>
          <w:trHeight w:val="281" w:hRule="atLeast"/>
          <w:jc w:val="center"/>
        </w:trPr>
        <w:tc>
          <w:tcPr>
            <w:tcW w:w="2785"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项目名称</w:t>
            </w:r>
          </w:p>
        </w:tc>
        <w:tc>
          <w:tcPr>
            <w:tcW w:w="7187"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202</w:t>
            </w:r>
            <w:r>
              <w:rPr>
                <w:rFonts w:hint="eastAsia" w:ascii="宋体" w:hAnsi="宋体" w:cs="宋体"/>
                <w:color w:val="000000"/>
                <w:kern w:val="0"/>
                <w:sz w:val="24"/>
                <w:lang w:val="en-US" w:eastAsia="zh-CN"/>
              </w:rPr>
              <w:t>1</w:t>
            </w:r>
            <w:r>
              <w:rPr>
                <w:rFonts w:hint="eastAsia" w:ascii="宋体" w:hAnsi="宋体" w:cs="宋体"/>
                <w:color w:val="000000"/>
                <w:kern w:val="0"/>
                <w:sz w:val="24"/>
              </w:rPr>
              <w:t>年观音岩水库土地租金</w:t>
            </w:r>
          </w:p>
        </w:tc>
      </w:tr>
      <w:tr>
        <w:tblPrEx>
          <w:tblCellMar>
            <w:top w:w="0" w:type="dxa"/>
            <w:left w:w="0" w:type="dxa"/>
            <w:bottom w:w="0" w:type="dxa"/>
            <w:right w:w="0" w:type="dxa"/>
          </w:tblCellMar>
        </w:tblPrEx>
        <w:trPr>
          <w:trHeight w:val="281" w:hRule="atLeast"/>
          <w:jc w:val="center"/>
        </w:trPr>
        <w:tc>
          <w:tcPr>
            <w:tcW w:w="2785"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预算单位</w:t>
            </w:r>
          </w:p>
        </w:tc>
        <w:tc>
          <w:tcPr>
            <w:tcW w:w="7187"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峨眉山市河湖保护中心</w:t>
            </w:r>
          </w:p>
        </w:tc>
      </w:tr>
      <w:tr>
        <w:tblPrEx>
          <w:tblCellMar>
            <w:top w:w="0" w:type="dxa"/>
            <w:left w:w="0" w:type="dxa"/>
            <w:bottom w:w="0" w:type="dxa"/>
            <w:right w:w="0" w:type="dxa"/>
          </w:tblCellMar>
        </w:tblPrEx>
        <w:trPr>
          <w:trHeight w:val="281"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预算执行情况(万元)</w:t>
            </w:r>
          </w:p>
        </w:tc>
        <w:tc>
          <w:tcPr>
            <w:tcW w:w="239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预算数:</w:t>
            </w:r>
          </w:p>
        </w:tc>
        <w:tc>
          <w:tcPr>
            <w:tcW w:w="23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31</w:t>
            </w:r>
          </w:p>
        </w:tc>
        <w:tc>
          <w:tcPr>
            <w:tcW w:w="239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执行数:</w:t>
            </w:r>
          </w:p>
        </w:tc>
        <w:tc>
          <w:tcPr>
            <w:tcW w:w="23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31</w:t>
            </w:r>
          </w:p>
        </w:tc>
      </w:tr>
      <w:tr>
        <w:tblPrEx>
          <w:tblCellMar>
            <w:top w:w="0" w:type="dxa"/>
            <w:left w:w="0" w:type="dxa"/>
            <w:bottom w:w="0" w:type="dxa"/>
            <w:right w:w="0" w:type="dxa"/>
          </w:tblCellMar>
        </w:tblPrEx>
        <w:trPr>
          <w:trHeight w:val="281"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p>
        </w:tc>
        <w:tc>
          <w:tcPr>
            <w:tcW w:w="239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3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31</w:t>
            </w:r>
          </w:p>
        </w:tc>
        <w:tc>
          <w:tcPr>
            <w:tcW w:w="239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3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31</w:t>
            </w:r>
          </w:p>
        </w:tc>
      </w:tr>
      <w:tr>
        <w:tblPrEx>
          <w:tblCellMar>
            <w:top w:w="0" w:type="dxa"/>
            <w:left w:w="0" w:type="dxa"/>
            <w:bottom w:w="0" w:type="dxa"/>
            <w:right w:w="0" w:type="dxa"/>
          </w:tblCellMar>
        </w:tblPrEx>
        <w:trPr>
          <w:trHeight w:val="1539"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p>
        </w:tc>
        <w:tc>
          <w:tcPr>
            <w:tcW w:w="239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3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0</w:t>
            </w:r>
          </w:p>
        </w:tc>
        <w:tc>
          <w:tcPr>
            <w:tcW w:w="239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3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r>
              <w:rPr>
                <w:rFonts w:hint="eastAsia" w:ascii="宋体" w:hAnsi="宋体" w:cs="宋体"/>
                <w:color w:val="000000"/>
                <w:sz w:val="24"/>
              </w:rPr>
              <w:t>0</w:t>
            </w:r>
          </w:p>
        </w:tc>
      </w:tr>
      <w:tr>
        <w:tblPrEx>
          <w:tblCellMar>
            <w:top w:w="0" w:type="dxa"/>
            <w:left w:w="0" w:type="dxa"/>
            <w:bottom w:w="0" w:type="dxa"/>
            <w:right w:w="0" w:type="dxa"/>
          </w:tblCellMar>
        </w:tblPrEx>
        <w:trPr>
          <w:trHeight w:val="281"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年度目标完成情况</w:t>
            </w:r>
          </w:p>
        </w:tc>
        <w:tc>
          <w:tcPr>
            <w:tcW w:w="4790"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预期目标</w:t>
            </w:r>
          </w:p>
        </w:tc>
        <w:tc>
          <w:tcPr>
            <w:tcW w:w="47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实际完成目标</w:t>
            </w:r>
          </w:p>
        </w:tc>
      </w:tr>
      <w:tr>
        <w:tblPrEx>
          <w:tblCellMar>
            <w:top w:w="0" w:type="dxa"/>
            <w:left w:w="0" w:type="dxa"/>
            <w:bottom w:w="0" w:type="dxa"/>
            <w:right w:w="0" w:type="dxa"/>
          </w:tblCellMar>
        </w:tblPrEx>
        <w:trPr>
          <w:trHeight w:val="1181"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p>
        </w:tc>
        <w:tc>
          <w:tcPr>
            <w:tcW w:w="4790"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按时拨付土地租金，确保观音岩水库占用村民土地补偿到位，保障水库正常运行。</w:t>
            </w:r>
          </w:p>
        </w:tc>
        <w:tc>
          <w:tcPr>
            <w:tcW w:w="47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按时拨付土地租金，确保观音岩水库占用村民土地补偿到位，保障水库正常运行。</w:t>
            </w:r>
          </w:p>
        </w:tc>
      </w:tr>
      <w:tr>
        <w:tblPrEx>
          <w:tblCellMar>
            <w:top w:w="0" w:type="dxa"/>
            <w:left w:w="0" w:type="dxa"/>
            <w:bottom w:w="0" w:type="dxa"/>
            <w:right w:w="0" w:type="dxa"/>
          </w:tblCellMar>
        </w:tblPrEx>
        <w:trPr>
          <w:trHeight w:val="1061" w:hRule="atLeast"/>
          <w:jc w:val="center"/>
        </w:trPr>
        <w:tc>
          <w:tcPr>
            <w:tcW w:w="390"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绩效指标完成情况</w:t>
            </w:r>
          </w:p>
        </w:tc>
        <w:tc>
          <w:tcPr>
            <w:tcW w:w="13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一级指标</w:t>
            </w:r>
          </w:p>
        </w:tc>
        <w:tc>
          <w:tcPr>
            <w:tcW w:w="10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二级指标</w:t>
            </w:r>
          </w:p>
        </w:tc>
        <w:tc>
          <w:tcPr>
            <w:tcW w:w="23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三级指标</w:t>
            </w:r>
          </w:p>
        </w:tc>
        <w:tc>
          <w:tcPr>
            <w:tcW w:w="239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预期指标值(包含数字及文字描述)</w:t>
            </w:r>
          </w:p>
        </w:tc>
        <w:tc>
          <w:tcPr>
            <w:tcW w:w="23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实际完成指标值(包含数字及文字描述)</w:t>
            </w:r>
          </w:p>
        </w:tc>
      </w:tr>
      <w:tr>
        <w:tblPrEx>
          <w:tblCellMar>
            <w:top w:w="0" w:type="dxa"/>
            <w:left w:w="0" w:type="dxa"/>
            <w:bottom w:w="0" w:type="dxa"/>
            <w:right w:w="0" w:type="dxa"/>
          </w:tblCellMar>
        </w:tblPrEx>
        <w:trPr>
          <w:trHeight w:val="726"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成本指标</w:t>
            </w:r>
          </w:p>
        </w:tc>
        <w:tc>
          <w:tcPr>
            <w:tcW w:w="23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时效指标</w:t>
            </w:r>
          </w:p>
        </w:tc>
        <w:tc>
          <w:tcPr>
            <w:tcW w:w="239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当年拨付完毕</w:t>
            </w:r>
          </w:p>
        </w:tc>
        <w:tc>
          <w:tcPr>
            <w:tcW w:w="23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100%</w:t>
            </w:r>
          </w:p>
        </w:tc>
      </w:tr>
      <w:tr>
        <w:tblPrEx>
          <w:tblCellMar>
            <w:top w:w="0" w:type="dxa"/>
            <w:left w:w="0" w:type="dxa"/>
            <w:bottom w:w="0" w:type="dxa"/>
            <w:right w:w="0" w:type="dxa"/>
          </w:tblCellMar>
        </w:tblPrEx>
        <w:trPr>
          <w:trHeight w:val="855"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效益指标</w:t>
            </w:r>
          </w:p>
        </w:tc>
        <w:tc>
          <w:tcPr>
            <w:tcW w:w="10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社会效益</w:t>
            </w:r>
          </w:p>
        </w:tc>
        <w:tc>
          <w:tcPr>
            <w:tcW w:w="23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经济效益指标</w:t>
            </w:r>
          </w:p>
        </w:tc>
        <w:tc>
          <w:tcPr>
            <w:tcW w:w="239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可持续性指标</w:t>
            </w:r>
          </w:p>
        </w:tc>
        <w:tc>
          <w:tcPr>
            <w:tcW w:w="23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100%</w:t>
            </w:r>
          </w:p>
        </w:tc>
      </w:tr>
      <w:tr>
        <w:tblPrEx>
          <w:tblCellMar>
            <w:top w:w="0" w:type="dxa"/>
            <w:left w:w="0" w:type="dxa"/>
            <w:bottom w:w="0" w:type="dxa"/>
            <w:right w:w="0" w:type="dxa"/>
          </w:tblCellMar>
        </w:tblPrEx>
        <w:trPr>
          <w:trHeight w:val="1148" w:hRule="atLeast"/>
          <w:jc w:val="center"/>
        </w:trPr>
        <w:tc>
          <w:tcPr>
            <w:tcW w:w="390"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满意度指标</w:t>
            </w:r>
          </w:p>
        </w:tc>
        <w:tc>
          <w:tcPr>
            <w:tcW w:w="10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社会满意度指标</w:t>
            </w:r>
          </w:p>
        </w:tc>
        <w:tc>
          <w:tcPr>
            <w:tcW w:w="23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执行情况指标</w:t>
            </w:r>
          </w:p>
        </w:tc>
        <w:tc>
          <w:tcPr>
            <w:tcW w:w="239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满意程度</w:t>
            </w:r>
          </w:p>
        </w:tc>
        <w:tc>
          <w:tcPr>
            <w:tcW w:w="23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优</w:t>
            </w:r>
          </w:p>
        </w:tc>
      </w:tr>
    </w:tbl>
    <w:tbl>
      <w:tblPr>
        <w:tblStyle w:val="14"/>
        <w:tblpPr w:leftFromText="180" w:rightFromText="180" w:vertAnchor="text" w:horzAnchor="page" w:tblpX="1504" w:tblpY="117"/>
        <w:tblOverlap w:val="never"/>
        <w:tblW w:w="9960" w:type="dxa"/>
        <w:jc w:val="center"/>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Layout w:type="fixed"/>
        <w:tblCellMar>
          <w:top w:w="0" w:type="dxa"/>
          <w:left w:w="0" w:type="dxa"/>
          <w:bottom w:w="0" w:type="dxa"/>
          <w:right w:w="0" w:type="dxa"/>
        </w:tblCellMar>
      </w:tblPr>
      <w:tblGrid>
        <w:gridCol w:w="390"/>
        <w:gridCol w:w="1367"/>
        <w:gridCol w:w="1025"/>
        <w:gridCol w:w="2392"/>
        <w:gridCol w:w="2394"/>
        <w:gridCol w:w="2392"/>
      </w:tblGrid>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0" w:type="dxa"/>
            <w:bottom w:w="0" w:type="dxa"/>
            <w:right w:w="0" w:type="dxa"/>
          </w:tblCellMar>
        </w:tblPrEx>
        <w:trPr>
          <w:trHeight w:val="1034" w:hRule="atLeast"/>
          <w:jc w:val="center"/>
        </w:trPr>
        <w:tc>
          <w:tcPr>
            <w:tcW w:w="9960" w:type="dxa"/>
            <w:gridSpan w:val="6"/>
            <w:tcBorders>
              <w:top w:val="nil"/>
              <w:left w:val="nil"/>
              <w:bottom w:val="single" w:color="000000" w:sz="6" w:space="0"/>
              <w:right w:val="nil"/>
            </w:tcBorders>
            <w:tcMar>
              <w:top w:w="15" w:type="dxa"/>
              <w:left w:w="15" w:type="dxa"/>
              <w:right w:w="15" w:type="dxa"/>
            </w:tcMar>
            <w:vAlign w:val="center"/>
          </w:tcPr>
          <w:p>
            <w:pPr>
              <w:widowControl/>
              <w:jc w:val="center"/>
              <w:textAlignment w:val="center"/>
              <w:rPr>
                <w:rFonts w:ascii="宋体" w:hAnsi="宋体" w:cs="宋体"/>
                <w:color w:val="000000"/>
                <w:sz w:val="36"/>
                <w:szCs w:val="36"/>
              </w:rPr>
            </w:pPr>
            <w:r>
              <w:rPr>
                <w:rFonts w:hint="eastAsia" w:ascii="宋体" w:hAnsi="宋体" w:cs="宋体"/>
                <w:b/>
                <w:bCs/>
                <w:color w:val="000000"/>
                <w:kern w:val="0"/>
                <w:sz w:val="36"/>
                <w:szCs w:val="36"/>
              </w:rPr>
              <w:t>项目绩效目标完成情况表</w:t>
            </w:r>
            <w:r>
              <w:rPr>
                <w:rFonts w:hint="eastAsia" w:ascii="宋体" w:hAnsi="宋体" w:cs="宋体"/>
                <w:color w:val="000000"/>
                <w:kern w:val="0"/>
                <w:sz w:val="36"/>
                <w:szCs w:val="36"/>
              </w:rPr>
              <w:t>(202</w:t>
            </w:r>
            <w:r>
              <w:rPr>
                <w:rFonts w:hint="eastAsia" w:ascii="宋体" w:hAnsi="宋体" w:cs="宋体"/>
                <w:color w:val="000000"/>
                <w:kern w:val="0"/>
                <w:sz w:val="36"/>
                <w:szCs w:val="36"/>
                <w:lang w:val="en-US" w:eastAsia="zh-CN"/>
              </w:rPr>
              <w:t>1</w:t>
            </w:r>
            <w:r>
              <w:rPr>
                <w:rFonts w:hint="eastAsia" w:ascii="宋体" w:hAnsi="宋体" w:cs="宋体"/>
                <w:color w:val="000000"/>
                <w:kern w:val="0"/>
                <w:sz w:val="36"/>
                <w:szCs w:val="36"/>
              </w:rPr>
              <w:t xml:space="preserve"> 年度)</w:t>
            </w: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0" w:type="dxa"/>
            <w:bottom w:w="0" w:type="dxa"/>
            <w:right w:w="0" w:type="dxa"/>
          </w:tblCellMar>
        </w:tblPrEx>
        <w:trPr>
          <w:trHeight w:val="276" w:hRule="atLeast"/>
          <w:jc w:val="center"/>
        </w:trPr>
        <w:tc>
          <w:tcPr>
            <w:tcW w:w="2782" w:type="dxa"/>
            <w:gridSpan w:val="3"/>
            <w:tcBorders>
              <w:top w:val="single" w:color="000000" w:sz="6" w:space="0"/>
              <w:bottom w:val="single" w:color="000000" w:sz="6" w:space="0"/>
              <w:right w:val="single" w:color="000000" w:sz="6"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项目名称</w:t>
            </w:r>
          </w:p>
        </w:tc>
        <w:tc>
          <w:tcPr>
            <w:tcW w:w="7178" w:type="dxa"/>
            <w:gridSpan w:val="3"/>
            <w:tcBorders>
              <w:top w:val="single" w:color="000000" w:sz="6" w:space="0"/>
              <w:left w:val="single" w:color="000000" w:sz="6" w:space="0"/>
              <w:bottom w:val="single" w:color="000000" w:sz="6"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仿宋_GB2312" w:hAnsi="仿宋_GB2312" w:eastAsia="仿宋_GB2312" w:cs="仿宋_GB2312"/>
                <w:sz w:val="32"/>
                <w:szCs w:val="32"/>
                <w:lang w:eastAsia="zh-CN"/>
              </w:rPr>
              <w:t>“</w:t>
            </w:r>
            <w:r>
              <w:rPr>
                <w:rFonts w:hint="eastAsia" w:ascii="仿宋" w:hAnsi="仿宋" w:eastAsia="仿宋"/>
                <w:color w:val="000000"/>
                <w:sz w:val="28"/>
                <w:szCs w:val="28"/>
                <w:lang w:eastAsia="zh-CN"/>
              </w:rPr>
              <w:t>引青进峨”河湖库连通工程运行管理费</w:t>
            </w: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0" w:type="dxa"/>
            <w:bottom w:w="0" w:type="dxa"/>
            <w:right w:w="0" w:type="dxa"/>
          </w:tblCellMar>
        </w:tblPrEx>
        <w:trPr>
          <w:trHeight w:val="276" w:hRule="atLeast"/>
          <w:jc w:val="center"/>
        </w:trPr>
        <w:tc>
          <w:tcPr>
            <w:tcW w:w="2782" w:type="dxa"/>
            <w:gridSpan w:val="3"/>
            <w:tcBorders>
              <w:top w:val="single" w:color="000000" w:sz="6" w:space="0"/>
              <w:bottom w:val="single" w:color="000000" w:sz="6" w:space="0"/>
              <w:right w:val="single" w:color="000000" w:sz="6"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预算单位</w:t>
            </w:r>
          </w:p>
        </w:tc>
        <w:tc>
          <w:tcPr>
            <w:tcW w:w="7178" w:type="dxa"/>
            <w:gridSpan w:val="3"/>
            <w:tcBorders>
              <w:top w:val="single" w:color="000000" w:sz="6" w:space="0"/>
              <w:left w:val="single" w:color="000000" w:sz="6" w:space="0"/>
              <w:bottom w:val="single" w:color="000000" w:sz="6"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峨眉山市河湖保护中心</w:t>
            </w: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0" w:type="dxa"/>
            <w:bottom w:w="0" w:type="dxa"/>
            <w:right w:w="0" w:type="dxa"/>
          </w:tblCellMar>
        </w:tblPrEx>
        <w:trPr>
          <w:trHeight w:val="276" w:hRule="atLeast"/>
          <w:jc w:val="center"/>
        </w:trPr>
        <w:tc>
          <w:tcPr>
            <w:tcW w:w="390" w:type="dxa"/>
            <w:vMerge w:val="restart"/>
            <w:tcBorders>
              <w:top w:val="single" w:color="000000" w:sz="6" w:space="0"/>
              <w:bottom w:val="single" w:color="000000" w:sz="6" w:space="0"/>
              <w:right w:val="single" w:color="000000" w:sz="6"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预算执行情况(万元)</w:t>
            </w:r>
          </w:p>
        </w:tc>
        <w:tc>
          <w:tcPr>
            <w:tcW w:w="2392" w:type="dxa"/>
            <w:gridSpan w:val="2"/>
            <w:tcBorders>
              <w:top w:val="single" w:color="000000" w:sz="6" w:space="0"/>
              <w:left w:val="single" w:color="000000" w:sz="6" w:space="0"/>
              <w:bottom w:val="single" w:color="000000" w:sz="6" w:space="0"/>
              <w:right w:val="single" w:color="000000" w:sz="6"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预算数:</w:t>
            </w:r>
          </w:p>
        </w:tc>
        <w:tc>
          <w:tcPr>
            <w:tcW w:w="2392" w:type="dxa"/>
            <w:tcBorders>
              <w:top w:val="single" w:color="000000" w:sz="6" w:space="0"/>
              <w:left w:val="single" w:color="000000" w:sz="6" w:space="0"/>
              <w:bottom w:val="single" w:color="000000" w:sz="6" w:space="0"/>
              <w:right w:val="single" w:color="000000" w:sz="6" w:space="0"/>
            </w:tcBorders>
            <w:tcMar>
              <w:top w:w="15" w:type="dxa"/>
              <w:left w:w="15"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20</w:t>
            </w:r>
          </w:p>
        </w:tc>
        <w:tc>
          <w:tcPr>
            <w:tcW w:w="2394" w:type="dxa"/>
            <w:tcBorders>
              <w:top w:val="single" w:color="000000" w:sz="6" w:space="0"/>
              <w:left w:val="single" w:color="000000" w:sz="6" w:space="0"/>
              <w:bottom w:val="single" w:color="000000" w:sz="6" w:space="0"/>
              <w:right w:val="single" w:color="000000" w:sz="6"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执行数:</w:t>
            </w:r>
          </w:p>
        </w:tc>
        <w:tc>
          <w:tcPr>
            <w:tcW w:w="2392" w:type="dxa"/>
            <w:tcBorders>
              <w:top w:val="single" w:color="000000" w:sz="6" w:space="0"/>
              <w:left w:val="single" w:color="000000" w:sz="6" w:space="0"/>
              <w:bottom w:val="single" w:color="000000" w:sz="6" w:space="0"/>
            </w:tcBorders>
            <w:tcMar>
              <w:top w:w="15" w:type="dxa"/>
              <w:left w:w="15"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20</w:t>
            </w: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0" w:type="dxa"/>
            <w:bottom w:w="0" w:type="dxa"/>
            <w:right w:w="0" w:type="dxa"/>
          </w:tblCellMar>
        </w:tblPrEx>
        <w:trPr>
          <w:trHeight w:val="276" w:hRule="atLeast"/>
          <w:jc w:val="center"/>
        </w:trPr>
        <w:tc>
          <w:tcPr>
            <w:tcW w:w="390" w:type="dxa"/>
            <w:vMerge w:val="continue"/>
            <w:tcBorders>
              <w:top w:val="single" w:color="000000" w:sz="6" w:space="0"/>
              <w:bottom w:val="single" w:color="000000" w:sz="6" w:space="0"/>
              <w:right w:val="single" w:color="000000" w:sz="6" w:space="0"/>
            </w:tcBorders>
            <w:tcMar>
              <w:top w:w="15" w:type="dxa"/>
              <w:left w:w="15" w:type="dxa"/>
              <w:right w:w="15" w:type="dxa"/>
            </w:tcMar>
            <w:vAlign w:val="center"/>
          </w:tcPr>
          <w:p>
            <w:pPr>
              <w:jc w:val="center"/>
              <w:rPr>
                <w:rFonts w:ascii="宋体" w:hAnsi="宋体" w:cs="宋体"/>
                <w:color w:val="000000"/>
                <w:sz w:val="24"/>
              </w:rPr>
            </w:pPr>
          </w:p>
        </w:tc>
        <w:tc>
          <w:tcPr>
            <w:tcW w:w="2392" w:type="dxa"/>
            <w:gridSpan w:val="2"/>
            <w:tcBorders>
              <w:top w:val="single" w:color="000000" w:sz="6" w:space="0"/>
              <w:left w:val="single" w:color="000000" w:sz="6" w:space="0"/>
              <w:bottom w:val="single" w:color="000000" w:sz="6" w:space="0"/>
              <w:right w:val="single" w:color="000000" w:sz="6"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392" w:type="dxa"/>
            <w:tcBorders>
              <w:top w:val="single" w:color="000000" w:sz="6" w:space="0"/>
              <w:left w:val="single" w:color="000000" w:sz="6" w:space="0"/>
              <w:bottom w:val="single" w:color="000000" w:sz="6" w:space="0"/>
              <w:right w:val="single" w:color="000000" w:sz="6" w:space="0"/>
            </w:tcBorders>
            <w:tcMar>
              <w:top w:w="15" w:type="dxa"/>
              <w:left w:w="15"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20</w:t>
            </w:r>
          </w:p>
        </w:tc>
        <w:tc>
          <w:tcPr>
            <w:tcW w:w="2394" w:type="dxa"/>
            <w:tcBorders>
              <w:top w:val="single" w:color="000000" w:sz="6" w:space="0"/>
              <w:left w:val="single" w:color="000000" w:sz="6" w:space="0"/>
              <w:bottom w:val="single" w:color="000000" w:sz="6" w:space="0"/>
              <w:right w:val="single" w:color="000000" w:sz="6"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392" w:type="dxa"/>
            <w:tcBorders>
              <w:top w:val="single" w:color="000000" w:sz="6" w:space="0"/>
              <w:left w:val="single" w:color="000000" w:sz="6" w:space="0"/>
              <w:bottom w:val="single" w:color="000000" w:sz="6" w:space="0"/>
            </w:tcBorders>
            <w:tcMar>
              <w:top w:w="15" w:type="dxa"/>
              <w:left w:w="15"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20</w:t>
            </w: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0" w:type="dxa"/>
            <w:bottom w:w="0" w:type="dxa"/>
            <w:right w:w="0" w:type="dxa"/>
          </w:tblCellMar>
        </w:tblPrEx>
        <w:trPr>
          <w:trHeight w:val="1511" w:hRule="atLeast"/>
          <w:jc w:val="center"/>
        </w:trPr>
        <w:tc>
          <w:tcPr>
            <w:tcW w:w="390" w:type="dxa"/>
            <w:vMerge w:val="continue"/>
            <w:tcBorders>
              <w:top w:val="single" w:color="000000" w:sz="6" w:space="0"/>
              <w:bottom w:val="single" w:color="000000" w:sz="6" w:space="0"/>
              <w:right w:val="single" w:color="000000" w:sz="6" w:space="0"/>
            </w:tcBorders>
            <w:tcMar>
              <w:top w:w="15" w:type="dxa"/>
              <w:left w:w="15" w:type="dxa"/>
              <w:right w:w="15" w:type="dxa"/>
            </w:tcMar>
            <w:vAlign w:val="center"/>
          </w:tcPr>
          <w:p>
            <w:pPr>
              <w:jc w:val="center"/>
              <w:rPr>
                <w:rFonts w:ascii="宋体" w:hAnsi="宋体" w:cs="宋体"/>
                <w:color w:val="000000"/>
                <w:sz w:val="24"/>
              </w:rPr>
            </w:pPr>
          </w:p>
        </w:tc>
        <w:tc>
          <w:tcPr>
            <w:tcW w:w="2392" w:type="dxa"/>
            <w:gridSpan w:val="2"/>
            <w:tcBorders>
              <w:top w:val="single" w:color="000000" w:sz="6" w:space="0"/>
              <w:left w:val="single" w:color="000000" w:sz="6" w:space="0"/>
              <w:bottom w:val="single" w:color="000000" w:sz="6" w:space="0"/>
              <w:right w:val="single" w:color="000000" w:sz="6"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392" w:type="dxa"/>
            <w:tcBorders>
              <w:top w:val="single" w:color="000000" w:sz="6" w:space="0"/>
              <w:left w:val="single" w:color="000000" w:sz="6" w:space="0"/>
              <w:bottom w:val="single" w:color="000000" w:sz="6" w:space="0"/>
              <w:right w:val="single" w:color="000000" w:sz="6"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0</w:t>
            </w:r>
          </w:p>
        </w:tc>
        <w:tc>
          <w:tcPr>
            <w:tcW w:w="2394" w:type="dxa"/>
            <w:tcBorders>
              <w:top w:val="single" w:color="000000" w:sz="6" w:space="0"/>
              <w:left w:val="single" w:color="000000" w:sz="6" w:space="0"/>
              <w:bottom w:val="single" w:color="000000" w:sz="6" w:space="0"/>
              <w:right w:val="single" w:color="000000" w:sz="6"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392" w:type="dxa"/>
            <w:tcBorders>
              <w:top w:val="single" w:color="000000" w:sz="6" w:space="0"/>
              <w:left w:val="single" w:color="000000" w:sz="6" w:space="0"/>
              <w:bottom w:val="single" w:color="000000" w:sz="6" w:space="0"/>
            </w:tcBorders>
            <w:tcMar>
              <w:top w:w="15" w:type="dxa"/>
              <w:left w:w="15" w:type="dxa"/>
              <w:right w:w="15" w:type="dxa"/>
            </w:tcMar>
            <w:vAlign w:val="center"/>
          </w:tcPr>
          <w:p>
            <w:pPr>
              <w:jc w:val="center"/>
              <w:rPr>
                <w:rFonts w:ascii="宋体" w:hAnsi="宋体" w:cs="宋体"/>
                <w:color w:val="000000"/>
                <w:sz w:val="24"/>
              </w:rPr>
            </w:pPr>
            <w:r>
              <w:rPr>
                <w:rFonts w:hint="eastAsia" w:ascii="宋体" w:hAnsi="宋体" w:cs="宋体"/>
                <w:color w:val="000000"/>
                <w:sz w:val="24"/>
              </w:rPr>
              <w:t>0</w:t>
            </w: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0" w:type="dxa"/>
            <w:bottom w:w="0" w:type="dxa"/>
            <w:right w:w="0" w:type="dxa"/>
          </w:tblCellMar>
        </w:tblPrEx>
        <w:trPr>
          <w:trHeight w:val="276" w:hRule="atLeast"/>
          <w:jc w:val="center"/>
        </w:trPr>
        <w:tc>
          <w:tcPr>
            <w:tcW w:w="390" w:type="dxa"/>
            <w:vMerge w:val="restart"/>
            <w:tcBorders>
              <w:top w:val="single" w:color="000000" w:sz="6" w:space="0"/>
              <w:bottom w:val="single" w:color="000000" w:sz="6" w:space="0"/>
              <w:right w:val="single" w:color="000000" w:sz="6"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年度目标完成情况</w:t>
            </w:r>
          </w:p>
        </w:tc>
        <w:tc>
          <w:tcPr>
            <w:tcW w:w="4784" w:type="dxa"/>
            <w:gridSpan w:val="3"/>
            <w:tcBorders>
              <w:top w:val="single" w:color="000000" w:sz="6" w:space="0"/>
              <w:left w:val="single" w:color="000000" w:sz="6" w:space="0"/>
              <w:bottom w:val="single" w:color="000000" w:sz="6" w:space="0"/>
              <w:right w:val="single" w:color="000000" w:sz="6"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预期目标</w:t>
            </w:r>
          </w:p>
        </w:tc>
        <w:tc>
          <w:tcPr>
            <w:tcW w:w="4786" w:type="dxa"/>
            <w:gridSpan w:val="2"/>
            <w:tcBorders>
              <w:top w:val="single" w:color="000000" w:sz="6" w:space="0"/>
              <w:left w:val="single" w:color="000000" w:sz="6" w:space="0"/>
              <w:bottom w:val="single" w:color="000000" w:sz="6"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实际完成目标</w:t>
            </w: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0" w:type="dxa"/>
            <w:bottom w:w="0" w:type="dxa"/>
            <w:right w:w="0" w:type="dxa"/>
          </w:tblCellMar>
        </w:tblPrEx>
        <w:trPr>
          <w:trHeight w:val="1159" w:hRule="atLeast"/>
          <w:jc w:val="center"/>
        </w:trPr>
        <w:tc>
          <w:tcPr>
            <w:tcW w:w="390" w:type="dxa"/>
            <w:vMerge w:val="continue"/>
            <w:tcBorders>
              <w:top w:val="single" w:color="000000" w:sz="6" w:space="0"/>
              <w:bottom w:val="single" w:color="000000" w:sz="6" w:space="0"/>
              <w:right w:val="single" w:color="000000" w:sz="6" w:space="0"/>
            </w:tcBorders>
            <w:tcMar>
              <w:top w:w="15" w:type="dxa"/>
              <w:left w:w="15" w:type="dxa"/>
              <w:right w:w="15" w:type="dxa"/>
            </w:tcMar>
            <w:vAlign w:val="center"/>
          </w:tcPr>
          <w:p>
            <w:pPr>
              <w:jc w:val="center"/>
              <w:rPr>
                <w:rFonts w:ascii="宋体" w:hAnsi="宋体" w:cs="宋体"/>
                <w:color w:val="000000"/>
                <w:sz w:val="24"/>
              </w:rPr>
            </w:pPr>
          </w:p>
        </w:tc>
        <w:tc>
          <w:tcPr>
            <w:tcW w:w="4784" w:type="dxa"/>
            <w:gridSpan w:val="3"/>
            <w:tcBorders>
              <w:top w:val="single" w:color="000000" w:sz="6" w:space="0"/>
              <w:left w:val="single" w:color="000000" w:sz="6" w:space="0"/>
              <w:bottom w:val="single" w:color="000000" w:sz="6" w:space="0"/>
              <w:right w:val="single" w:color="000000" w:sz="6" w:space="0"/>
            </w:tcBorders>
            <w:tcMar>
              <w:top w:w="15" w:type="dxa"/>
              <w:left w:w="15" w:type="dxa"/>
              <w:right w:w="15" w:type="dxa"/>
            </w:tcMar>
            <w:vAlign w:val="center"/>
          </w:tcPr>
          <w:p>
            <w:pPr>
              <w:widowControl/>
              <w:jc w:val="center"/>
              <w:textAlignment w:val="center"/>
              <w:rPr>
                <w:rFonts w:hint="eastAsia" w:ascii="宋体" w:hAnsi="宋体" w:cs="宋体"/>
                <w:color w:val="000000"/>
                <w:kern w:val="0"/>
                <w:sz w:val="24"/>
                <w:lang w:eastAsia="zh-CN"/>
              </w:rPr>
            </w:pPr>
            <w:r>
              <w:rPr>
                <w:rFonts w:hint="eastAsia" w:ascii="宋体" w:hAnsi="宋体" w:cs="宋体"/>
                <w:color w:val="000000"/>
                <w:kern w:val="0"/>
                <w:sz w:val="24"/>
              </w:rPr>
              <w:t>通过项目实施落实该项目涉及片区</w:t>
            </w:r>
            <w:r>
              <w:rPr>
                <w:rFonts w:hint="eastAsia" w:ascii="宋体" w:hAnsi="宋体" w:cs="宋体"/>
                <w:color w:val="000000"/>
                <w:kern w:val="0"/>
                <w:sz w:val="24"/>
                <w:lang w:eastAsia="zh-CN"/>
              </w:rPr>
              <w:t>电费、水费</w:t>
            </w:r>
          </w:p>
          <w:p>
            <w:pPr>
              <w:widowControl/>
              <w:jc w:val="center"/>
              <w:textAlignment w:val="center"/>
              <w:rPr>
                <w:rFonts w:ascii="宋体" w:hAnsi="宋体" w:cs="宋体"/>
                <w:color w:val="000000"/>
                <w:sz w:val="24"/>
              </w:rPr>
            </w:pPr>
            <w:r>
              <w:rPr>
                <w:rFonts w:hint="eastAsia" w:ascii="宋体" w:hAnsi="宋体" w:cs="宋体"/>
                <w:color w:val="000000"/>
                <w:kern w:val="0"/>
                <w:sz w:val="24"/>
                <w:lang w:eastAsia="zh-CN"/>
              </w:rPr>
              <w:t>维修费</w:t>
            </w:r>
            <w:r>
              <w:rPr>
                <w:rFonts w:hint="eastAsia" w:ascii="宋体" w:hAnsi="宋体" w:cs="宋体"/>
                <w:color w:val="000000"/>
                <w:kern w:val="0"/>
                <w:sz w:val="24"/>
              </w:rPr>
              <w:t>等费用及时到位，工作顺利进行。</w:t>
            </w:r>
          </w:p>
        </w:tc>
        <w:tc>
          <w:tcPr>
            <w:tcW w:w="4786" w:type="dxa"/>
            <w:gridSpan w:val="2"/>
            <w:tcBorders>
              <w:top w:val="single" w:color="000000" w:sz="6" w:space="0"/>
              <w:left w:val="single" w:color="000000" w:sz="6" w:space="0"/>
              <w:bottom w:val="single" w:color="000000" w:sz="6" w:space="0"/>
            </w:tcBorders>
            <w:tcMar>
              <w:top w:w="15" w:type="dxa"/>
              <w:left w:w="15" w:type="dxa"/>
              <w:right w:w="15" w:type="dxa"/>
            </w:tcMar>
            <w:vAlign w:val="center"/>
          </w:tcPr>
          <w:p>
            <w:pPr>
              <w:widowControl/>
              <w:jc w:val="center"/>
              <w:textAlignment w:val="center"/>
              <w:rPr>
                <w:rFonts w:hint="eastAsia" w:ascii="宋体" w:hAnsi="宋体" w:cs="宋体"/>
                <w:color w:val="000000"/>
                <w:kern w:val="0"/>
                <w:sz w:val="24"/>
                <w:lang w:eastAsia="zh-CN"/>
              </w:rPr>
            </w:pPr>
            <w:r>
              <w:rPr>
                <w:rFonts w:hint="eastAsia" w:ascii="宋体" w:hAnsi="宋体" w:cs="宋体"/>
                <w:color w:val="000000"/>
                <w:kern w:val="0"/>
                <w:sz w:val="24"/>
              </w:rPr>
              <w:t>通过项目实施落实该项目涉及片区</w:t>
            </w:r>
            <w:r>
              <w:rPr>
                <w:rFonts w:hint="eastAsia" w:ascii="宋体" w:hAnsi="宋体" w:cs="宋体"/>
                <w:color w:val="000000"/>
                <w:kern w:val="0"/>
                <w:sz w:val="24"/>
                <w:lang w:eastAsia="zh-CN"/>
              </w:rPr>
              <w:t>电费、水费</w:t>
            </w:r>
          </w:p>
          <w:p>
            <w:pPr>
              <w:widowControl/>
              <w:jc w:val="center"/>
              <w:textAlignment w:val="center"/>
              <w:rPr>
                <w:rFonts w:ascii="宋体" w:hAnsi="宋体" w:cs="宋体"/>
                <w:color w:val="000000"/>
                <w:sz w:val="24"/>
              </w:rPr>
            </w:pPr>
            <w:r>
              <w:rPr>
                <w:rFonts w:hint="eastAsia" w:ascii="宋体" w:hAnsi="宋体" w:cs="宋体"/>
                <w:color w:val="000000"/>
                <w:kern w:val="0"/>
                <w:sz w:val="24"/>
                <w:lang w:eastAsia="zh-CN"/>
              </w:rPr>
              <w:t>维修费</w:t>
            </w:r>
            <w:r>
              <w:rPr>
                <w:rFonts w:hint="eastAsia" w:ascii="宋体" w:hAnsi="宋体" w:cs="宋体"/>
                <w:color w:val="000000"/>
                <w:kern w:val="0"/>
                <w:sz w:val="24"/>
              </w:rPr>
              <w:t>等费用及时到位，工作顺利进行。</w:t>
            </w: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0" w:type="dxa"/>
            <w:bottom w:w="0" w:type="dxa"/>
            <w:right w:w="0" w:type="dxa"/>
          </w:tblCellMar>
        </w:tblPrEx>
        <w:trPr>
          <w:trHeight w:val="1042" w:hRule="atLeast"/>
          <w:jc w:val="center"/>
        </w:trPr>
        <w:tc>
          <w:tcPr>
            <w:tcW w:w="390" w:type="dxa"/>
            <w:vMerge w:val="restart"/>
            <w:tcBorders>
              <w:top w:val="single" w:color="000000" w:sz="6" w:space="0"/>
              <w:bottom w:val="single" w:color="000000" w:sz="6" w:space="0"/>
              <w:right w:val="single" w:color="000000" w:sz="6"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绩效指标完成情况</w:t>
            </w:r>
          </w:p>
        </w:tc>
        <w:tc>
          <w:tcPr>
            <w:tcW w:w="1367" w:type="dxa"/>
            <w:tcBorders>
              <w:top w:val="single" w:color="000000" w:sz="6" w:space="0"/>
              <w:left w:val="single" w:color="000000" w:sz="6" w:space="0"/>
              <w:bottom w:val="single" w:color="000000" w:sz="6" w:space="0"/>
              <w:right w:val="single" w:color="000000" w:sz="6"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一级指标</w:t>
            </w:r>
          </w:p>
        </w:tc>
        <w:tc>
          <w:tcPr>
            <w:tcW w:w="1025" w:type="dxa"/>
            <w:tcBorders>
              <w:top w:val="single" w:color="000000" w:sz="6" w:space="0"/>
              <w:left w:val="single" w:color="000000" w:sz="6" w:space="0"/>
              <w:bottom w:val="single" w:color="000000" w:sz="6" w:space="0"/>
              <w:right w:val="single" w:color="000000" w:sz="6"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二级指标</w:t>
            </w:r>
          </w:p>
        </w:tc>
        <w:tc>
          <w:tcPr>
            <w:tcW w:w="2392" w:type="dxa"/>
            <w:tcBorders>
              <w:top w:val="single" w:color="000000" w:sz="6" w:space="0"/>
              <w:left w:val="single" w:color="000000" w:sz="6" w:space="0"/>
              <w:bottom w:val="single" w:color="000000" w:sz="6" w:space="0"/>
              <w:right w:val="single" w:color="000000" w:sz="6"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三级指标</w:t>
            </w:r>
          </w:p>
        </w:tc>
        <w:tc>
          <w:tcPr>
            <w:tcW w:w="2394" w:type="dxa"/>
            <w:tcBorders>
              <w:top w:val="single" w:color="000000" w:sz="6" w:space="0"/>
              <w:left w:val="single" w:color="000000" w:sz="6" w:space="0"/>
              <w:bottom w:val="single" w:color="000000" w:sz="6" w:space="0"/>
              <w:right w:val="single" w:color="000000" w:sz="6"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预期指标值(包含数字及文字描述)</w:t>
            </w:r>
          </w:p>
        </w:tc>
        <w:tc>
          <w:tcPr>
            <w:tcW w:w="2392" w:type="dxa"/>
            <w:tcBorders>
              <w:top w:val="single" w:color="000000" w:sz="6" w:space="0"/>
              <w:left w:val="single" w:color="000000" w:sz="6" w:space="0"/>
              <w:bottom w:val="single" w:color="000000" w:sz="6"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实际完成指标值(包含数字及文字描述)</w:t>
            </w: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0" w:type="dxa"/>
            <w:bottom w:w="0" w:type="dxa"/>
            <w:right w:w="0" w:type="dxa"/>
          </w:tblCellMar>
        </w:tblPrEx>
        <w:trPr>
          <w:trHeight w:val="953" w:hRule="atLeast"/>
          <w:jc w:val="center"/>
        </w:trPr>
        <w:tc>
          <w:tcPr>
            <w:tcW w:w="390" w:type="dxa"/>
            <w:vMerge w:val="continue"/>
            <w:tcBorders>
              <w:top w:val="single" w:color="000000" w:sz="6" w:space="0"/>
              <w:bottom w:val="single" w:color="000000" w:sz="6" w:space="0"/>
              <w:right w:val="single" w:color="000000" w:sz="6"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6" w:space="0"/>
              <w:left w:val="single" w:color="000000" w:sz="6" w:space="0"/>
              <w:bottom w:val="single" w:color="000000" w:sz="6" w:space="0"/>
              <w:right w:val="single" w:color="000000" w:sz="6"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6" w:space="0"/>
              <w:left w:val="single" w:color="000000" w:sz="6" w:space="0"/>
              <w:bottom w:val="single" w:color="000000" w:sz="6" w:space="0"/>
              <w:right w:val="single" w:color="000000" w:sz="6"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成本指标</w:t>
            </w:r>
          </w:p>
        </w:tc>
        <w:tc>
          <w:tcPr>
            <w:tcW w:w="2392" w:type="dxa"/>
            <w:tcBorders>
              <w:top w:val="single" w:color="000000" w:sz="6" w:space="0"/>
              <w:left w:val="single" w:color="000000" w:sz="6" w:space="0"/>
              <w:bottom w:val="single" w:color="000000" w:sz="6" w:space="0"/>
              <w:right w:val="single" w:color="000000" w:sz="6"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时效指标</w:t>
            </w:r>
          </w:p>
        </w:tc>
        <w:tc>
          <w:tcPr>
            <w:tcW w:w="2394" w:type="dxa"/>
            <w:tcBorders>
              <w:top w:val="single" w:color="000000" w:sz="6" w:space="0"/>
              <w:left w:val="single" w:color="000000" w:sz="6" w:space="0"/>
              <w:bottom w:val="single" w:color="000000" w:sz="6" w:space="0"/>
              <w:right w:val="single" w:color="000000" w:sz="6"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拨款进度</w:t>
            </w:r>
          </w:p>
        </w:tc>
        <w:tc>
          <w:tcPr>
            <w:tcW w:w="2392" w:type="dxa"/>
            <w:tcBorders>
              <w:top w:val="single" w:color="000000" w:sz="6" w:space="0"/>
              <w:left w:val="single" w:color="000000" w:sz="6" w:space="0"/>
              <w:bottom w:val="single" w:color="000000" w:sz="6"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100%</w:t>
            </w: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0" w:type="dxa"/>
            <w:bottom w:w="0" w:type="dxa"/>
            <w:right w:w="0" w:type="dxa"/>
          </w:tblCellMar>
        </w:tblPrEx>
        <w:trPr>
          <w:trHeight w:val="839" w:hRule="atLeast"/>
          <w:jc w:val="center"/>
        </w:trPr>
        <w:tc>
          <w:tcPr>
            <w:tcW w:w="390" w:type="dxa"/>
            <w:vMerge w:val="continue"/>
            <w:tcBorders>
              <w:top w:val="single" w:color="000000" w:sz="6" w:space="0"/>
              <w:bottom w:val="single" w:color="000000" w:sz="6" w:space="0"/>
              <w:right w:val="single" w:color="000000" w:sz="6"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6" w:space="0"/>
              <w:left w:val="single" w:color="000000" w:sz="6" w:space="0"/>
              <w:bottom w:val="single" w:color="000000" w:sz="6" w:space="0"/>
              <w:right w:val="single" w:color="000000" w:sz="6"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效益指标</w:t>
            </w:r>
          </w:p>
        </w:tc>
        <w:tc>
          <w:tcPr>
            <w:tcW w:w="1025" w:type="dxa"/>
            <w:tcBorders>
              <w:top w:val="single" w:color="000000" w:sz="6" w:space="0"/>
              <w:left w:val="single" w:color="000000" w:sz="6" w:space="0"/>
              <w:bottom w:val="single" w:color="000000" w:sz="6" w:space="0"/>
              <w:right w:val="single" w:color="000000" w:sz="6"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时效指标</w:t>
            </w:r>
          </w:p>
        </w:tc>
        <w:tc>
          <w:tcPr>
            <w:tcW w:w="2392" w:type="dxa"/>
            <w:tcBorders>
              <w:top w:val="single" w:color="000000" w:sz="6" w:space="0"/>
              <w:left w:val="single" w:color="000000" w:sz="6" w:space="0"/>
              <w:bottom w:val="single" w:color="000000" w:sz="6" w:space="0"/>
              <w:right w:val="single" w:color="000000" w:sz="6"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经济时效指标</w:t>
            </w:r>
          </w:p>
        </w:tc>
        <w:tc>
          <w:tcPr>
            <w:tcW w:w="2394" w:type="dxa"/>
            <w:tcBorders>
              <w:top w:val="single" w:color="000000" w:sz="6" w:space="0"/>
              <w:left w:val="single" w:color="000000" w:sz="6" w:space="0"/>
              <w:bottom w:val="single" w:color="000000" w:sz="6" w:space="0"/>
              <w:right w:val="single" w:color="000000" w:sz="6"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可持续性指标</w:t>
            </w:r>
          </w:p>
        </w:tc>
        <w:tc>
          <w:tcPr>
            <w:tcW w:w="2392" w:type="dxa"/>
            <w:tcBorders>
              <w:top w:val="single" w:color="000000" w:sz="6" w:space="0"/>
              <w:left w:val="single" w:color="000000" w:sz="6" w:space="0"/>
              <w:bottom w:val="single" w:color="000000" w:sz="6"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优</w:t>
            </w: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0" w:type="dxa"/>
            <w:bottom w:w="0" w:type="dxa"/>
            <w:right w:w="0" w:type="dxa"/>
          </w:tblCellMar>
        </w:tblPrEx>
        <w:trPr>
          <w:trHeight w:val="759" w:hRule="atLeast"/>
          <w:jc w:val="center"/>
        </w:trPr>
        <w:tc>
          <w:tcPr>
            <w:tcW w:w="390" w:type="dxa"/>
            <w:vMerge w:val="continue"/>
            <w:tcBorders>
              <w:top w:val="single" w:color="000000" w:sz="6" w:space="0"/>
              <w:bottom w:val="single" w:color="000000" w:sz="4" w:space="0"/>
              <w:right w:val="single" w:color="000000" w:sz="6"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6" w:space="0"/>
              <w:left w:val="single" w:color="000000" w:sz="6" w:space="0"/>
              <w:bottom w:val="single" w:color="000000" w:sz="4" w:space="0"/>
              <w:right w:val="single" w:color="000000" w:sz="6"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满意度指标</w:t>
            </w:r>
          </w:p>
        </w:tc>
        <w:tc>
          <w:tcPr>
            <w:tcW w:w="1025" w:type="dxa"/>
            <w:tcBorders>
              <w:top w:val="single" w:color="000000" w:sz="6" w:space="0"/>
              <w:left w:val="single" w:color="000000" w:sz="6" w:space="0"/>
              <w:bottom w:val="single" w:color="000000" w:sz="4" w:space="0"/>
              <w:right w:val="single" w:color="000000" w:sz="6"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社会满意度指标</w:t>
            </w:r>
          </w:p>
        </w:tc>
        <w:tc>
          <w:tcPr>
            <w:tcW w:w="2392" w:type="dxa"/>
            <w:tcBorders>
              <w:top w:val="single" w:color="000000" w:sz="6" w:space="0"/>
              <w:left w:val="single" w:color="000000" w:sz="6" w:space="0"/>
              <w:bottom w:val="single" w:color="000000" w:sz="4" w:space="0"/>
              <w:right w:val="single" w:color="000000" w:sz="6"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执行程度指标</w:t>
            </w:r>
          </w:p>
        </w:tc>
        <w:tc>
          <w:tcPr>
            <w:tcW w:w="2394" w:type="dxa"/>
            <w:tcBorders>
              <w:top w:val="single" w:color="000000" w:sz="6" w:space="0"/>
              <w:left w:val="single" w:color="000000" w:sz="6" w:space="0"/>
              <w:bottom w:val="single" w:color="000000" w:sz="4" w:space="0"/>
              <w:right w:val="single" w:color="000000" w:sz="6"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满意程度</w:t>
            </w:r>
          </w:p>
        </w:tc>
        <w:tc>
          <w:tcPr>
            <w:tcW w:w="2392" w:type="dxa"/>
            <w:tcBorders>
              <w:top w:val="single" w:color="000000" w:sz="6" w:space="0"/>
              <w:left w:val="single" w:color="000000" w:sz="6" w:space="0"/>
              <w:bottom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优</w:t>
            </w:r>
          </w:p>
        </w:tc>
      </w:tr>
    </w:tbl>
    <w:p>
      <w:pPr>
        <w:spacing w:line="580" w:lineRule="exact"/>
        <w:ind w:firstLine="560" w:firstLineChars="200"/>
        <w:rPr>
          <w:rFonts w:ascii="仿宋_GB2312" w:hAnsi="仿宋_GB2312" w:eastAsia="仿宋_GB2312" w:cs="仿宋_GB2312"/>
          <w:sz w:val="28"/>
          <w:szCs w:val="28"/>
        </w:rPr>
      </w:pPr>
      <w:bookmarkStart w:id="69" w:name="_GoBack"/>
      <w:bookmarkEnd w:id="69"/>
      <w:r>
        <w:rPr>
          <w:rFonts w:hint="eastAsia" w:ascii="楷体_GB2312" w:hAnsi="楷体_GB2312" w:eastAsia="楷体_GB2312" w:cs="楷体_GB2312"/>
          <w:sz w:val="28"/>
          <w:szCs w:val="28"/>
        </w:rPr>
        <w:t>2.部门绩效评价结果。</w:t>
      </w:r>
    </w:p>
    <w:p>
      <w:pPr>
        <w:spacing w:line="58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本部门按要求对202</w:t>
      </w: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rPr>
        <w:t>年部门整体支出绩效评价情况开展自评，《峨眉山市河湖保护中心部门202</w:t>
      </w: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rPr>
        <w:t>年部门整体支出绩效评价报告》见附件（附件1）。</w:t>
      </w:r>
    </w:p>
    <w:p>
      <w:pPr>
        <w:spacing w:line="5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本部门自行组织对202</w:t>
      </w: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rPr>
        <w:t>年春灌岁修项目开展了绩效评价，《2020年春灌岁修项目支出绩效自评报告》见附件（附件2）。</w:t>
      </w:r>
    </w:p>
    <w:p>
      <w:pPr>
        <w:pStyle w:val="13"/>
        <w:jc w:val="both"/>
      </w:pPr>
    </w:p>
    <w:p>
      <w:pPr>
        <w:widowControl/>
        <w:jc w:val="left"/>
        <w:rPr>
          <w:rFonts w:ascii="仿宋_GB2312" w:eastAsia="仿宋_GB2312"/>
          <w:b/>
          <w:color w:val="000000"/>
          <w:sz w:val="28"/>
          <w:szCs w:val="28"/>
        </w:rPr>
      </w:pPr>
      <w:r>
        <w:rPr>
          <w:rFonts w:ascii="仿宋_GB2312" w:eastAsia="仿宋_GB2312"/>
          <w:b/>
          <w:color w:val="000000"/>
          <w:sz w:val="28"/>
          <w:szCs w:val="28"/>
        </w:rPr>
        <w:br w:type="page"/>
      </w:r>
    </w:p>
    <w:p>
      <w:pPr>
        <w:numPr>
          <w:ilvl w:val="0"/>
          <w:numId w:val="3"/>
        </w:numPr>
        <w:spacing w:line="600" w:lineRule="exact"/>
        <w:ind w:firstLine="660" w:firstLineChars="150"/>
        <w:jc w:val="center"/>
        <w:outlineLvl w:val="0"/>
        <w:rPr>
          <w:rStyle w:val="26"/>
          <w:rFonts w:ascii="黑体" w:hAnsi="黑体" w:eastAsia="黑体"/>
          <w:b w:val="0"/>
        </w:rPr>
      </w:pPr>
      <w:bookmarkStart w:id="51" w:name="_Toc15377225"/>
      <w:bookmarkStart w:id="52" w:name="_Toc15396613"/>
      <w:r>
        <w:rPr>
          <w:rFonts w:hint="eastAsia" w:ascii="黑体" w:hAnsi="黑体" w:eastAsia="黑体"/>
          <w:color w:val="000000"/>
          <w:sz w:val="44"/>
          <w:szCs w:val="44"/>
        </w:rPr>
        <w:t>名</w:t>
      </w:r>
      <w:r>
        <w:rPr>
          <w:rStyle w:val="26"/>
          <w:rFonts w:hint="eastAsia" w:ascii="黑体" w:hAnsi="黑体" w:eastAsia="黑体"/>
          <w:b w:val="0"/>
        </w:rPr>
        <w:t>词解释</w:t>
      </w:r>
      <w:bookmarkEnd w:id="51"/>
      <w:bookmarkEnd w:id="52"/>
    </w:p>
    <w:p>
      <w:pPr>
        <w:spacing w:line="600" w:lineRule="exact"/>
        <w:jc w:val="left"/>
        <w:rPr>
          <w:rFonts w:ascii="宋体"/>
          <w:b/>
          <w:color w:val="000000"/>
          <w:sz w:val="44"/>
          <w:szCs w:val="44"/>
        </w:rPr>
      </w:pPr>
    </w:p>
    <w:p>
      <w:pPr>
        <w:pStyle w:val="24"/>
        <w:spacing w:line="560" w:lineRule="exact"/>
        <w:ind w:firstLine="560" w:firstLineChars="200"/>
        <w:rPr>
          <w:rFonts w:hAnsi="仿宋"/>
          <w:sz w:val="28"/>
          <w:szCs w:val="28"/>
        </w:rPr>
      </w:pPr>
      <w:r>
        <w:rPr>
          <w:rFonts w:hint="eastAsia" w:hAnsi="仿宋"/>
          <w:sz w:val="28"/>
          <w:szCs w:val="28"/>
        </w:rPr>
        <w:t>1.财政拨款收入：指单位从同级财政部门取得的财政预算资金。</w:t>
      </w:r>
    </w:p>
    <w:p>
      <w:pPr>
        <w:pStyle w:val="24"/>
        <w:spacing w:line="560" w:lineRule="exact"/>
        <w:ind w:firstLine="560" w:firstLineChars="200"/>
        <w:rPr>
          <w:rFonts w:hAnsi="仿宋"/>
          <w:sz w:val="28"/>
          <w:szCs w:val="28"/>
        </w:rPr>
      </w:pPr>
      <w:r>
        <w:rPr>
          <w:rFonts w:hint="eastAsia" w:hAnsi="仿宋"/>
          <w:sz w:val="28"/>
          <w:szCs w:val="28"/>
        </w:rPr>
        <w:t>2.事业收入：指事业单位开展专业业务活动及辅助活动取得的收入。</w:t>
      </w:r>
    </w:p>
    <w:p>
      <w:pPr>
        <w:pStyle w:val="24"/>
        <w:spacing w:line="560" w:lineRule="exact"/>
        <w:ind w:firstLine="560" w:firstLineChars="200"/>
        <w:rPr>
          <w:rFonts w:hAnsi="仿宋"/>
          <w:sz w:val="28"/>
          <w:szCs w:val="28"/>
        </w:rPr>
      </w:pPr>
      <w:r>
        <w:rPr>
          <w:rFonts w:hint="eastAsia" w:hAnsi="仿宋"/>
          <w:sz w:val="28"/>
          <w:szCs w:val="28"/>
        </w:rPr>
        <w:t>3.经营收入：指事业单位在专业业务活动及其辅助活动之外开展非独立核算经营活动取得的收入。</w:t>
      </w:r>
    </w:p>
    <w:p>
      <w:pPr>
        <w:pStyle w:val="24"/>
        <w:spacing w:line="560" w:lineRule="exact"/>
        <w:ind w:firstLine="560" w:firstLineChars="200"/>
        <w:rPr>
          <w:rFonts w:hAnsi="仿宋"/>
          <w:sz w:val="28"/>
          <w:szCs w:val="28"/>
        </w:rPr>
      </w:pPr>
      <w:r>
        <w:rPr>
          <w:rFonts w:hint="eastAsia" w:hAnsi="仿宋"/>
          <w:sz w:val="28"/>
          <w:szCs w:val="28"/>
        </w:rPr>
        <w:t xml:space="preserve">4.其他收入：指单位取得的除上述收入以外的各项收入。 </w:t>
      </w:r>
    </w:p>
    <w:p>
      <w:pPr>
        <w:pStyle w:val="24"/>
        <w:spacing w:line="560" w:lineRule="exact"/>
        <w:ind w:firstLine="560" w:firstLineChars="200"/>
        <w:rPr>
          <w:rFonts w:hAnsi="仿宋"/>
          <w:sz w:val="28"/>
          <w:szCs w:val="28"/>
        </w:rPr>
      </w:pPr>
      <w:r>
        <w:rPr>
          <w:rFonts w:hint="eastAsia" w:hAnsi="仿宋"/>
          <w:sz w:val="28"/>
          <w:szCs w:val="28"/>
        </w:rPr>
        <w:t xml:space="preserve">5.用事业基金弥补收支差额：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 </w:t>
      </w:r>
    </w:p>
    <w:p>
      <w:pPr>
        <w:pStyle w:val="24"/>
        <w:spacing w:line="560" w:lineRule="exact"/>
        <w:ind w:firstLine="560" w:firstLineChars="200"/>
        <w:rPr>
          <w:rFonts w:hAnsi="仿宋"/>
          <w:sz w:val="28"/>
          <w:szCs w:val="28"/>
        </w:rPr>
      </w:pPr>
      <w:r>
        <w:rPr>
          <w:rFonts w:hint="eastAsia" w:hAnsi="仿宋"/>
          <w:sz w:val="28"/>
          <w:szCs w:val="28"/>
        </w:rPr>
        <w:t xml:space="preserve">6.年初结转和结余：指以前年度尚未完成、结转到本年按有关规定继续使用的资金。 </w:t>
      </w:r>
    </w:p>
    <w:p>
      <w:pPr>
        <w:pStyle w:val="24"/>
        <w:spacing w:line="560" w:lineRule="exact"/>
        <w:ind w:firstLine="560" w:firstLineChars="200"/>
        <w:rPr>
          <w:rFonts w:hAnsi="仿宋"/>
          <w:sz w:val="28"/>
          <w:szCs w:val="28"/>
        </w:rPr>
      </w:pPr>
      <w:r>
        <w:rPr>
          <w:rFonts w:hint="eastAsia" w:hAnsi="仿宋"/>
          <w:sz w:val="28"/>
          <w:szCs w:val="28"/>
        </w:rPr>
        <w:t>7.结余分配：指事业单位按照事业单位会计制度的规定从非财政补助结余中分配的事业基金和职工福利基金等。</w:t>
      </w:r>
    </w:p>
    <w:p>
      <w:pPr>
        <w:pStyle w:val="24"/>
        <w:spacing w:line="560" w:lineRule="exact"/>
        <w:ind w:firstLine="560" w:firstLineChars="200"/>
        <w:rPr>
          <w:rFonts w:hAnsi="仿宋"/>
          <w:sz w:val="28"/>
          <w:szCs w:val="28"/>
        </w:rPr>
      </w:pPr>
      <w:r>
        <w:rPr>
          <w:rFonts w:hint="eastAsia" w:hAnsi="仿宋"/>
          <w:sz w:val="28"/>
          <w:szCs w:val="28"/>
        </w:rPr>
        <w:t>8、年末结转和结余：指单位按有关规定结转到下年或以后年度继续使用的资金。</w:t>
      </w:r>
    </w:p>
    <w:p>
      <w:pPr>
        <w:spacing w:line="600" w:lineRule="exact"/>
        <w:ind w:firstLine="560" w:firstLineChars="200"/>
        <w:rPr>
          <w:rFonts w:ascii="仿宋" w:hAnsi="仿宋" w:eastAsia="仿宋" w:cs="仿宋"/>
          <w:color w:val="000000"/>
          <w:kern w:val="0"/>
          <w:sz w:val="28"/>
          <w:szCs w:val="28"/>
        </w:rPr>
      </w:pPr>
      <w:r>
        <w:rPr>
          <w:rFonts w:hint="eastAsia" w:ascii="仿宋" w:hAnsi="仿宋" w:eastAsia="仿宋" w:cs="仿宋"/>
          <w:color w:val="000000"/>
          <w:sz w:val="28"/>
          <w:szCs w:val="28"/>
        </w:rPr>
        <w:t>9、</w:t>
      </w:r>
      <w:r>
        <w:rPr>
          <w:rFonts w:hint="eastAsia" w:ascii="仿宋" w:hAnsi="仿宋" w:eastAsia="仿宋" w:cs="仿宋"/>
          <w:color w:val="000000"/>
          <w:kern w:val="0"/>
          <w:sz w:val="28"/>
          <w:szCs w:val="28"/>
        </w:rPr>
        <w:t>社会保障和就业支出</w:t>
      </w:r>
    </w:p>
    <w:p>
      <w:pPr>
        <w:spacing w:line="600" w:lineRule="exact"/>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机关事业单位基本养老保险缴费支出2080505： 指机关事业单位实施养老保险制度由单位缴纳的基本养老保险费支出。</w:t>
      </w:r>
    </w:p>
    <w:p>
      <w:pPr>
        <w:spacing w:line="600" w:lineRule="exact"/>
        <w:ind w:firstLine="140" w:firstLineChars="50"/>
        <w:rPr>
          <w:rFonts w:ascii="仿宋" w:hAnsi="仿宋" w:eastAsia="仿宋" w:cs="仿宋"/>
          <w:color w:val="000000"/>
          <w:kern w:val="0"/>
          <w:sz w:val="28"/>
          <w:szCs w:val="28"/>
          <w:highlight w:val="yellow"/>
        </w:rPr>
      </w:pPr>
      <w:r>
        <w:rPr>
          <w:rFonts w:hint="eastAsia" w:ascii="仿宋" w:hAnsi="仿宋" w:eastAsia="仿宋" w:cs="仿宋"/>
          <w:color w:val="000000"/>
          <w:sz w:val="28"/>
          <w:szCs w:val="28"/>
        </w:rPr>
        <w:t>机关事业单位职业年金缴费支出2080506：指机关事业单位实施养老保险制度由单位实际缴纳的职业年金缴支出。</w:t>
      </w:r>
    </w:p>
    <w:p>
      <w:pPr>
        <w:spacing w:line="600" w:lineRule="exact"/>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10、卫生健康支出</w:t>
      </w:r>
    </w:p>
    <w:p>
      <w:pPr>
        <w:spacing w:line="600" w:lineRule="exact"/>
        <w:ind w:firstLine="700" w:firstLineChars="250"/>
        <w:rPr>
          <w:rFonts w:ascii="仿宋" w:hAnsi="仿宋" w:eastAsia="仿宋" w:cs="仿宋"/>
          <w:color w:val="000000"/>
          <w:sz w:val="28"/>
          <w:szCs w:val="28"/>
        </w:rPr>
      </w:pPr>
      <w:r>
        <w:rPr>
          <w:rFonts w:hint="eastAsia" w:ascii="仿宋" w:hAnsi="仿宋" w:eastAsia="仿宋" w:cs="仿宋"/>
          <w:color w:val="000000"/>
          <w:sz w:val="28"/>
          <w:szCs w:val="28"/>
        </w:rPr>
        <w:t>事业单位医疗2101102：指财政部门集中安排的事业单位基本医疗保险缴费经费。</w:t>
      </w:r>
    </w:p>
    <w:p>
      <w:pPr>
        <w:spacing w:line="600" w:lineRule="exact"/>
        <w:ind w:firstLine="560" w:firstLineChars="200"/>
        <w:rPr>
          <w:rFonts w:ascii="仿宋" w:hAnsi="仿宋" w:eastAsia="仿宋" w:cs="仿宋"/>
          <w:color w:val="000000"/>
          <w:kern w:val="0"/>
          <w:sz w:val="28"/>
          <w:szCs w:val="28"/>
        </w:rPr>
      </w:pPr>
      <w:r>
        <w:rPr>
          <w:rFonts w:hint="eastAsia" w:ascii="仿宋" w:hAnsi="仿宋" w:eastAsia="仿宋" w:cs="仿宋"/>
          <w:color w:val="000000"/>
          <w:sz w:val="28"/>
          <w:szCs w:val="28"/>
        </w:rPr>
        <w:t>11、</w:t>
      </w:r>
      <w:r>
        <w:rPr>
          <w:rFonts w:hint="eastAsia" w:ascii="仿宋" w:hAnsi="仿宋" w:eastAsia="仿宋" w:cs="仿宋"/>
          <w:color w:val="000000"/>
          <w:kern w:val="0"/>
          <w:sz w:val="28"/>
          <w:szCs w:val="28"/>
        </w:rPr>
        <w:t>城乡社区支出</w:t>
      </w:r>
    </w:p>
    <w:p>
      <w:pPr>
        <w:spacing w:line="600" w:lineRule="exact"/>
        <w:ind w:firstLine="560" w:firstLineChars="200"/>
        <w:rPr>
          <w:rFonts w:ascii="仿宋" w:hAnsi="仿宋" w:eastAsia="仿宋" w:cs="仿宋"/>
          <w:sz w:val="28"/>
          <w:szCs w:val="28"/>
        </w:rPr>
      </w:pPr>
      <w:r>
        <w:rPr>
          <w:rFonts w:hint="eastAsia" w:ascii="仿宋" w:hAnsi="仿宋" w:eastAsia="仿宋" w:cs="仿宋"/>
          <w:color w:val="000000"/>
          <w:kern w:val="0"/>
          <w:sz w:val="28"/>
          <w:szCs w:val="28"/>
        </w:rPr>
        <w:t>土地开发支出2120802：指地方人民政府用于前期土地开发性支出以及与前期土地开发相关的费用等支出。</w:t>
      </w:r>
    </w:p>
    <w:p>
      <w:pPr>
        <w:widowControl/>
        <w:spacing w:line="600" w:lineRule="exact"/>
        <w:ind w:firstLine="600"/>
        <w:rPr>
          <w:rFonts w:ascii="仿宋" w:hAnsi="仿宋" w:eastAsia="仿宋" w:cs="仿宋"/>
          <w:color w:val="000000"/>
          <w:kern w:val="0"/>
          <w:sz w:val="28"/>
          <w:szCs w:val="28"/>
        </w:rPr>
      </w:pPr>
      <w:r>
        <w:rPr>
          <w:rFonts w:hint="eastAsia" w:ascii="仿宋" w:hAnsi="仿宋" w:eastAsia="仿宋" w:cs="仿宋"/>
          <w:color w:val="000000"/>
          <w:kern w:val="0"/>
          <w:sz w:val="28"/>
          <w:szCs w:val="28"/>
        </w:rPr>
        <w:t>其他国有土地使用权出让收入安排的支出2120899：指土地出让收入用于其他方面的支出。不包括市县级政府当年按规定用于土地出让收入向中央和省级政府缴纳的新增建设用地土地有偿使用费的支出。</w:t>
      </w:r>
    </w:p>
    <w:p>
      <w:pPr>
        <w:widowControl/>
        <w:spacing w:line="600" w:lineRule="exact"/>
        <w:ind w:firstLine="560" w:firstLineChars="200"/>
        <w:rPr>
          <w:rFonts w:ascii="仿宋" w:hAnsi="仿宋" w:eastAsia="仿宋" w:cs="仿宋"/>
          <w:color w:val="000000"/>
          <w:kern w:val="0"/>
          <w:sz w:val="28"/>
          <w:szCs w:val="28"/>
        </w:rPr>
      </w:pPr>
      <w:r>
        <w:rPr>
          <w:rFonts w:hint="eastAsia" w:ascii="仿宋" w:hAnsi="仿宋" w:eastAsia="仿宋" w:cs="仿宋"/>
          <w:color w:val="000000"/>
          <w:kern w:val="0"/>
          <w:sz w:val="28"/>
          <w:szCs w:val="28"/>
        </w:rPr>
        <w:t>12、农林水支出</w:t>
      </w:r>
    </w:p>
    <w:p>
      <w:pPr>
        <w:widowControl/>
        <w:spacing w:line="600" w:lineRule="exact"/>
        <w:ind w:firstLine="560" w:firstLineChars="200"/>
        <w:rPr>
          <w:rFonts w:ascii="仿宋" w:hAnsi="仿宋" w:eastAsia="仿宋" w:cs="仿宋"/>
          <w:color w:val="000000"/>
          <w:kern w:val="0"/>
          <w:sz w:val="28"/>
          <w:szCs w:val="28"/>
        </w:rPr>
      </w:pPr>
      <w:r>
        <w:rPr>
          <w:rFonts w:hint="eastAsia" w:ascii="仿宋" w:hAnsi="仿宋" w:eastAsia="仿宋" w:cs="仿宋"/>
          <w:color w:val="000000"/>
          <w:kern w:val="0"/>
          <w:sz w:val="28"/>
          <w:szCs w:val="28"/>
        </w:rPr>
        <w:t>水利行业业务管理2130304：指用于水利行业业务管理方面的支出。</w:t>
      </w:r>
    </w:p>
    <w:p>
      <w:pPr>
        <w:spacing w:line="600" w:lineRule="exact"/>
        <w:ind w:firstLine="560" w:firstLineChars="200"/>
        <w:rPr>
          <w:rFonts w:ascii="仿宋" w:hAnsi="仿宋" w:eastAsia="仿宋" w:cs="仿宋"/>
          <w:color w:val="000000"/>
          <w:kern w:val="0"/>
          <w:sz w:val="28"/>
          <w:szCs w:val="28"/>
        </w:rPr>
      </w:pPr>
      <w:r>
        <w:rPr>
          <w:rFonts w:hint="eastAsia" w:ascii="仿宋" w:hAnsi="仿宋" w:eastAsia="仿宋" w:cs="仿宋"/>
          <w:color w:val="000000"/>
          <w:kern w:val="0"/>
          <w:sz w:val="28"/>
          <w:szCs w:val="28"/>
        </w:rPr>
        <w:t>水利工程建设2130305：指水利系统用于江、河、湖、滩等水利工程建设支出。</w:t>
      </w:r>
    </w:p>
    <w:p>
      <w:pPr>
        <w:spacing w:line="600" w:lineRule="exact"/>
        <w:ind w:firstLine="560" w:firstLineChars="200"/>
        <w:rPr>
          <w:rFonts w:ascii="仿宋" w:hAnsi="仿宋" w:eastAsia="仿宋" w:cs="仿宋"/>
          <w:sz w:val="28"/>
          <w:szCs w:val="28"/>
        </w:rPr>
      </w:pPr>
      <w:r>
        <w:rPr>
          <w:rStyle w:val="16"/>
          <w:rFonts w:hint="eastAsia" w:ascii="仿宋" w:hAnsi="仿宋" w:eastAsia="仿宋" w:cs="仿宋"/>
          <w:b w:val="0"/>
          <w:color w:val="000000"/>
          <w:sz w:val="28"/>
          <w:szCs w:val="28"/>
        </w:rPr>
        <w:t>其他水利支出2130399：指2130301-22、21303031-35类款项以外的用于水利方面的支出。</w:t>
      </w:r>
    </w:p>
    <w:p>
      <w:pPr>
        <w:spacing w:line="600" w:lineRule="exact"/>
        <w:ind w:firstLine="560" w:firstLineChars="200"/>
        <w:rPr>
          <w:rStyle w:val="16"/>
          <w:rFonts w:ascii="仿宋" w:hAnsi="仿宋" w:eastAsia="仿宋" w:cs="仿宋"/>
          <w:b w:val="0"/>
          <w:color w:val="000000"/>
          <w:sz w:val="28"/>
          <w:szCs w:val="28"/>
        </w:rPr>
      </w:pPr>
      <w:r>
        <w:rPr>
          <w:rStyle w:val="16"/>
          <w:rFonts w:hint="eastAsia" w:ascii="仿宋" w:hAnsi="仿宋" w:eastAsia="仿宋" w:cs="仿宋"/>
          <w:b w:val="0"/>
          <w:color w:val="000000"/>
          <w:sz w:val="28"/>
          <w:szCs w:val="28"/>
        </w:rPr>
        <w:t>13、住房保障支出</w:t>
      </w:r>
    </w:p>
    <w:p>
      <w:pPr>
        <w:spacing w:line="600" w:lineRule="exact"/>
        <w:ind w:firstLine="560" w:firstLineChars="200"/>
        <w:rPr>
          <w:rStyle w:val="16"/>
          <w:rFonts w:ascii="仿宋" w:hAnsi="仿宋" w:eastAsia="仿宋" w:cs="仿宋"/>
          <w:b w:val="0"/>
          <w:color w:val="000000"/>
          <w:sz w:val="28"/>
          <w:szCs w:val="28"/>
        </w:rPr>
      </w:pPr>
      <w:r>
        <w:rPr>
          <w:rFonts w:hint="eastAsia" w:ascii="仿宋" w:hAnsi="仿宋" w:eastAsia="仿宋" w:cs="仿宋"/>
          <w:color w:val="000000"/>
          <w:sz w:val="28"/>
          <w:szCs w:val="28"/>
        </w:rPr>
        <w:t>住房公积金2210201</w:t>
      </w:r>
      <w:r>
        <w:rPr>
          <w:rStyle w:val="16"/>
          <w:rFonts w:hint="eastAsia" w:ascii="仿宋" w:hAnsi="仿宋" w:eastAsia="仿宋" w:cs="仿宋"/>
          <w:b w:val="0"/>
          <w:color w:val="000000"/>
          <w:sz w:val="28"/>
          <w:szCs w:val="28"/>
        </w:rPr>
        <w:t>:指行政事业单位按人社部、财政部规定的基本工资、津贴补贴以及规定比例为职工缴纳的住房公积金。</w:t>
      </w:r>
    </w:p>
    <w:p>
      <w:pPr>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14.基本支出：指为保障机构正常运转、完成日常工作任务而发生的人员支出和公用支出。</w:t>
      </w:r>
    </w:p>
    <w:p>
      <w:pPr>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 xml:space="preserve">15.项目支出：指在基本支出之外为完成特定行政任务和事业发展目标所发生的支出。 </w:t>
      </w:r>
    </w:p>
    <w:p>
      <w:pPr>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16.经营支出：指事业单位在专业业务活动及其辅助活动之外开展非独立核算经营活动发生的支出。</w:t>
      </w:r>
    </w:p>
    <w:p>
      <w:pPr>
        <w:pStyle w:val="24"/>
        <w:spacing w:line="560" w:lineRule="exact"/>
        <w:ind w:firstLine="560" w:firstLineChars="200"/>
        <w:rPr>
          <w:rFonts w:hAnsi="仿宋"/>
          <w:sz w:val="28"/>
          <w:szCs w:val="28"/>
        </w:rPr>
      </w:pPr>
      <w:r>
        <w:rPr>
          <w:rFonts w:hint="eastAsia" w:hAnsi="仿宋"/>
          <w:sz w:val="28"/>
          <w:szCs w:val="28"/>
        </w:rPr>
        <w:t>17.“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24"/>
        <w:spacing w:line="560" w:lineRule="exact"/>
        <w:ind w:firstLine="560" w:firstLineChars="200"/>
        <w:rPr>
          <w:rFonts w:hAnsi="仿宋"/>
          <w:sz w:val="28"/>
          <w:szCs w:val="28"/>
        </w:rPr>
      </w:pPr>
      <w:r>
        <w:rPr>
          <w:rFonts w:hint="eastAsia" w:hAnsi="仿宋"/>
          <w:sz w:val="28"/>
          <w:szCs w:val="28"/>
        </w:rPr>
        <w:t>18.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ind w:firstLine="562" w:firstLineChars="200"/>
        <w:rPr>
          <w:rFonts w:ascii="仿宋" w:hAnsi="仿宋" w:eastAsia="仿宋" w:cs="仿宋"/>
          <w:b/>
          <w:color w:val="000000"/>
          <w:sz w:val="28"/>
          <w:szCs w:val="28"/>
        </w:rPr>
      </w:pPr>
    </w:p>
    <w:p>
      <w:pPr>
        <w:pStyle w:val="24"/>
        <w:spacing w:line="560" w:lineRule="exact"/>
        <w:ind w:firstLine="640" w:firstLineChars="200"/>
        <w:rPr>
          <w:rFonts w:ascii="仿宋_GB2312" w:eastAsia="仿宋_GB2312"/>
          <w:sz w:val="32"/>
          <w:szCs w:val="32"/>
        </w:rPr>
      </w:pPr>
    </w:p>
    <w:p>
      <w:pPr>
        <w:pStyle w:val="24"/>
        <w:spacing w:line="560" w:lineRule="exact"/>
        <w:ind w:firstLine="640" w:firstLineChars="200"/>
        <w:rPr>
          <w:rFonts w:ascii="仿宋_GB2312" w:eastAsia="仿宋_GB2312"/>
          <w:sz w:val="32"/>
          <w:szCs w:val="32"/>
        </w:rPr>
      </w:pPr>
    </w:p>
    <w:p>
      <w:pPr>
        <w:ind w:firstLine="643" w:firstLineChars="200"/>
        <w:rPr>
          <w:rFonts w:ascii="仿宋" w:hAnsi="仿宋" w:eastAsia="仿宋"/>
          <w:b/>
          <w:color w:val="000000"/>
          <w:sz w:val="32"/>
          <w:szCs w:val="32"/>
        </w:rPr>
      </w:pPr>
    </w:p>
    <w:p>
      <w:pPr>
        <w:spacing w:line="600" w:lineRule="exact"/>
        <w:jc w:val="center"/>
        <w:outlineLvl w:val="0"/>
        <w:rPr>
          <w:rStyle w:val="26"/>
          <w:rFonts w:ascii="黑体" w:hAnsi="黑体" w:eastAsia="黑体"/>
          <w:b w:val="0"/>
        </w:rPr>
      </w:pPr>
      <w:bookmarkStart w:id="53" w:name="_Toc15377226"/>
      <w:r>
        <w:rPr>
          <w:rFonts w:ascii="宋体"/>
          <w:b/>
          <w:color w:val="000000"/>
          <w:sz w:val="44"/>
          <w:szCs w:val="44"/>
        </w:rPr>
        <w:br w:type="page"/>
      </w:r>
      <w:bookmarkStart w:id="54" w:name="_Toc15396614"/>
      <w:r>
        <w:rPr>
          <w:rFonts w:hint="eastAsia" w:ascii="黑体" w:hAnsi="黑体" w:eastAsia="黑体"/>
          <w:color w:val="000000"/>
          <w:sz w:val="44"/>
          <w:szCs w:val="44"/>
        </w:rPr>
        <w:t>第</w:t>
      </w:r>
      <w:r>
        <w:rPr>
          <w:rStyle w:val="26"/>
          <w:rFonts w:hint="eastAsia" w:ascii="黑体" w:hAnsi="黑体" w:eastAsia="黑体"/>
          <w:b w:val="0"/>
        </w:rPr>
        <w:t>四部分 附件</w:t>
      </w:r>
      <w:bookmarkEnd w:id="54"/>
    </w:p>
    <w:p>
      <w:pPr>
        <w:spacing w:line="600" w:lineRule="exact"/>
        <w:jc w:val="left"/>
        <w:outlineLvl w:val="0"/>
        <w:rPr>
          <w:rFonts w:ascii="方正小标宋简体" w:hAnsi="方正小标宋简体" w:eastAsia="方正小标宋简体" w:cs="方正小标宋简体"/>
          <w:sz w:val="32"/>
          <w:szCs w:val="32"/>
        </w:rPr>
      </w:pPr>
      <w:r>
        <w:rPr>
          <w:rFonts w:hint="eastAsia" w:ascii="黑体" w:hAnsi="黑体" w:eastAsia="黑体" w:cs="黑体"/>
          <w:sz w:val="32"/>
          <w:szCs w:val="32"/>
        </w:rPr>
        <w:t>附件1</w:t>
      </w:r>
    </w:p>
    <w:p>
      <w:pPr>
        <w:widowControl/>
        <w:spacing w:line="580" w:lineRule="exact"/>
        <w:contextualSpacing/>
        <w:rPr>
          <w:rFonts w:ascii="宋体" w:hAnsi="宋体" w:eastAsia="宋体"/>
          <w:sz w:val="44"/>
          <w:szCs w:val="44"/>
          <w:shd w:val="clear" w:color="auto" w:fill="FFFFFF"/>
        </w:rPr>
      </w:pPr>
    </w:p>
    <w:p>
      <w:pPr>
        <w:widowControl/>
        <w:spacing w:line="640" w:lineRule="exact"/>
        <w:contextualSpacing/>
        <w:jc w:val="center"/>
        <w:rPr>
          <w:rFonts w:hint="eastAsia" w:ascii="方正小标宋简体" w:hAnsi="方正小标宋简体" w:eastAsia="方正小标宋简体" w:cs="方正小标宋简体"/>
          <w:sz w:val="44"/>
          <w:szCs w:val="44"/>
          <w:shd w:val="clear" w:color="auto" w:fill="FFFFFF"/>
        </w:rPr>
      </w:pPr>
      <w:r>
        <w:rPr>
          <w:rFonts w:hint="eastAsia" w:ascii="方正小标宋简体" w:hAnsi="方正小标宋简体" w:eastAsia="方正小标宋简体" w:cs="方正小标宋简体"/>
          <w:sz w:val="44"/>
          <w:szCs w:val="44"/>
          <w:shd w:val="clear" w:color="auto" w:fill="FFFFFF"/>
        </w:rPr>
        <w:t>峨眉山市水利建设与河湖保护中心202</w:t>
      </w:r>
      <w:r>
        <w:rPr>
          <w:rFonts w:hint="eastAsia" w:ascii="方正小标宋简体" w:hAnsi="方正小标宋简体" w:eastAsia="方正小标宋简体" w:cs="方正小标宋简体"/>
          <w:sz w:val="44"/>
          <w:szCs w:val="44"/>
          <w:shd w:val="clear" w:color="auto" w:fill="FFFFFF"/>
          <w:lang w:val="en-US" w:eastAsia="zh-CN"/>
        </w:rPr>
        <w:t>1</w:t>
      </w:r>
      <w:r>
        <w:rPr>
          <w:rFonts w:hint="eastAsia" w:ascii="方正小标宋简体" w:hAnsi="方正小标宋简体" w:eastAsia="方正小标宋简体" w:cs="方正小标宋简体"/>
          <w:sz w:val="44"/>
          <w:szCs w:val="44"/>
          <w:shd w:val="clear" w:color="auto" w:fill="FFFFFF"/>
        </w:rPr>
        <w:t xml:space="preserve">年  </w:t>
      </w:r>
    </w:p>
    <w:p>
      <w:pPr>
        <w:widowControl/>
        <w:spacing w:line="640" w:lineRule="exact"/>
        <w:contextualSpacing/>
        <w:jc w:val="center"/>
        <w:rPr>
          <w:rFonts w:ascii="方正小标宋简体" w:hAnsi="方正小标宋简体" w:eastAsia="方正小标宋简体" w:cs="方正小标宋简体"/>
          <w:sz w:val="44"/>
          <w:szCs w:val="44"/>
          <w:shd w:val="clear" w:color="auto" w:fill="FFFFFF"/>
        </w:rPr>
      </w:pPr>
      <w:r>
        <w:rPr>
          <w:rFonts w:hint="eastAsia" w:ascii="方正小标宋简体" w:hAnsi="方正小标宋简体" w:eastAsia="方正小标宋简体" w:cs="方正小标宋简体"/>
          <w:sz w:val="44"/>
          <w:szCs w:val="44"/>
          <w:shd w:val="clear" w:color="auto" w:fill="FFFFFF"/>
        </w:rPr>
        <w:t>部门整体支出绩效评价报告</w:t>
      </w:r>
    </w:p>
    <w:p>
      <w:pPr>
        <w:widowControl/>
        <w:adjustRightInd w:val="0"/>
        <w:snapToGrid w:val="0"/>
        <w:spacing w:line="580" w:lineRule="exact"/>
        <w:ind w:firstLine="480" w:firstLineChars="200"/>
        <w:contextualSpacing/>
        <w:jc w:val="left"/>
        <w:rPr>
          <w:rFonts w:ascii="黑体" w:hAnsi="宋体" w:eastAsia="黑体" w:cs="宋体"/>
          <w:color w:val="000000"/>
          <w:kern w:val="0"/>
          <w:sz w:val="24"/>
          <w:szCs w:val="32"/>
          <w:shd w:val="clear" w:color="auto" w:fill="FFFFFF"/>
        </w:rPr>
      </w:pPr>
    </w:p>
    <w:p>
      <w:pPr>
        <w:widowControl/>
        <w:adjustRightInd w:val="0"/>
        <w:snapToGrid w:val="0"/>
        <w:spacing w:line="600" w:lineRule="exact"/>
        <w:ind w:firstLine="420" w:firstLineChars="200"/>
        <w:contextualSpacing/>
        <w:jc w:val="left"/>
        <w:rPr>
          <w:rFonts w:ascii="黑体" w:hAnsi="宋体" w:eastAsia="黑体" w:cs="宋体"/>
          <w:color w:val="000000"/>
          <w:kern w:val="0"/>
          <w:sz w:val="28"/>
          <w:szCs w:val="28"/>
          <w:shd w:val="clear" w:color="auto" w:fill="FFFFFF"/>
          <w:lang w:val="zh-CN"/>
        </w:rPr>
      </w:pPr>
      <w:r>
        <w:rPr>
          <w:rFonts w:hint="eastAsia" w:ascii="黑体" w:hAnsi="宋体" w:eastAsia="黑体" w:cs="宋体"/>
          <w:color w:val="000000"/>
          <w:kern w:val="0"/>
          <w:szCs w:val="32"/>
          <w:shd w:val="clear" w:color="auto" w:fill="FFFFFF"/>
        </w:rPr>
        <w:t>一</w:t>
      </w:r>
      <w:r>
        <w:rPr>
          <w:rFonts w:hint="eastAsia" w:ascii="黑体" w:hAnsi="宋体" w:eastAsia="黑体" w:cs="宋体"/>
          <w:color w:val="000000"/>
          <w:kern w:val="0"/>
          <w:sz w:val="28"/>
          <w:szCs w:val="28"/>
          <w:shd w:val="clear" w:color="auto" w:fill="FFFFFF"/>
        </w:rPr>
        <w:t>、</w:t>
      </w:r>
      <w:r>
        <w:rPr>
          <w:rFonts w:hint="eastAsia" w:ascii="黑体" w:hAnsi="宋体" w:eastAsia="黑体" w:cs="宋体"/>
          <w:color w:val="000000"/>
          <w:kern w:val="0"/>
          <w:sz w:val="28"/>
          <w:szCs w:val="28"/>
          <w:shd w:val="clear" w:color="auto" w:fill="FFFFFF"/>
          <w:lang w:val="zh-CN"/>
        </w:rPr>
        <w:t>单位概况</w:t>
      </w:r>
    </w:p>
    <w:p>
      <w:pPr>
        <w:widowControl/>
        <w:adjustRightInd w:val="0"/>
        <w:snapToGrid w:val="0"/>
        <w:spacing w:line="600" w:lineRule="exact"/>
        <w:ind w:firstLine="560" w:firstLineChars="200"/>
        <w:contextualSpacing/>
        <w:jc w:val="left"/>
        <w:rPr>
          <w:rFonts w:ascii="楷体_GB2312" w:hAnsi="楷体_GB2312" w:eastAsia="楷体_GB2312" w:cs="楷体_GB2312"/>
          <w:color w:val="000000"/>
          <w:kern w:val="0"/>
          <w:sz w:val="28"/>
          <w:szCs w:val="28"/>
          <w:shd w:val="clear" w:color="auto" w:fill="FFFFFF"/>
          <w:lang w:val="zh-CN"/>
        </w:rPr>
      </w:pPr>
      <w:r>
        <w:rPr>
          <w:rFonts w:hint="eastAsia" w:ascii="楷体_GB2312" w:hAnsi="楷体_GB2312" w:eastAsia="楷体_GB2312" w:cs="楷体_GB2312"/>
          <w:color w:val="000000"/>
          <w:kern w:val="0"/>
          <w:sz w:val="28"/>
          <w:szCs w:val="28"/>
          <w:shd w:val="clear" w:color="auto" w:fill="FFFFFF"/>
          <w:lang w:val="zh-CN"/>
        </w:rPr>
        <w:t>（一）机构组成。</w:t>
      </w:r>
    </w:p>
    <w:p>
      <w:pPr>
        <w:widowControl/>
        <w:adjustRightInd w:val="0"/>
        <w:snapToGrid w:val="0"/>
        <w:spacing w:line="600" w:lineRule="exact"/>
        <w:ind w:firstLine="560" w:firstLineChars="200"/>
        <w:contextualSpacing/>
        <w:jc w:val="left"/>
        <w:rPr>
          <w:rFonts w:ascii="仿宋_GB2312" w:hAnsi="宋体" w:cs="宋体"/>
          <w:color w:val="000000"/>
          <w:kern w:val="0"/>
          <w:sz w:val="28"/>
          <w:szCs w:val="28"/>
          <w:shd w:val="clear" w:color="auto" w:fill="FFFFFF"/>
          <w:lang w:val="zh-CN"/>
        </w:rPr>
      </w:pPr>
      <w:r>
        <w:rPr>
          <w:rFonts w:hint="eastAsia" w:ascii="仿宋_GB2312" w:hAnsi="宋体" w:cs="宋体"/>
          <w:color w:val="000000"/>
          <w:kern w:val="0"/>
          <w:sz w:val="28"/>
          <w:szCs w:val="28"/>
          <w:shd w:val="clear" w:color="auto" w:fill="FFFFFF"/>
          <w:lang w:val="zh-CN"/>
        </w:rPr>
        <w:t>峨眉山市水利建设与河湖保护中心设办公室及工灌股，办公室主要负责处理日常业务，工灌股主要负责春灌岁修及各项工程的开展。</w:t>
      </w:r>
    </w:p>
    <w:p>
      <w:pPr>
        <w:widowControl/>
        <w:adjustRightInd w:val="0"/>
        <w:snapToGrid w:val="0"/>
        <w:spacing w:line="600" w:lineRule="exact"/>
        <w:ind w:firstLine="560" w:firstLineChars="200"/>
        <w:contextualSpacing/>
        <w:jc w:val="left"/>
        <w:rPr>
          <w:rFonts w:ascii="仿宋_GB2312" w:hAnsi="宋体" w:cs="宋体"/>
          <w:color w:val="000000"/>
          <w:kern w:val="0"/>
          <w:sz w:val="28"/>
          <w:szCs w:val="28"/>
          <w:shd w:val="clear" w:color="auto" w:fill="FFFFFF"/>
          <w:lang w:val="zh-CN"/>
        </w:rPr>
      </w:pPr>
      <w:r>
        <w:rPr>
          <w:rFonts w:hint="eastAsia" w:ascii="仿宋_GB2312" w:hAnsi="宋体" w:cs="宋体"/>
          <w:color w:val="000000"/>
          <w:kern w:val="0"/>
          <w:sz w:val="28"/>
          <w:szCs w:val="28"/>
          <w:shd w:val="clear" w:color="auto" w:fill="FFFFFF"/>
          <w:lang w:val="zh-CN"/>
        </w:rPr>
        <w:t>（二）机构职能。</w:t>
      </w:r>
    </w:p>
    <w:p>
      <w:pPr>
        <w:widowControl/>
        <w:adjustRightInd w:val="0"/>
        <w:snapToGrid w:val="0"/>
        <w:spacing w:line="600" w:lineRule="exact"/>
        <w:ind w:firstLine="560" w:firstLineChars="200"/>
        <w:contextualSpacing/>
        <w:jc w:val="left"/>
        <w:rPr>
          <w:rFonts w:ascii="仿宋_GB2312" w:hAnsi="宋体" w:cs="宋体"/>
          <w:color w:val="000000"/>
          <w:kern w:val="0"/>
          <w:sz w:val="28"/>
          <w:szCs w:val="28"/>
          <w:shd w:val="clear" w:color="auto" w:fill="FFFFFF"/>
          <w:lang w:val="zh-CN"/>
        </w:rPr>
      </w:pPr>
      <w:r>
        <w:rPr>
          <w:rFonts w:hint="eastAsia" w:ascii="仿宋_GB2312" w:hAnsi="宋体" w:cs="宋体"/>
          <w:color w:val="000000"/>
          <w:kern w:val="0"/>
          <w:sz w:val="28"/>
          <w:szCs w:val="28"/>
          <w:shd w:val="clear" w:color="auto" w:fill="FFFFFF"/>
          <w:lang w:val="zh-CN"/>
        </w:rPr>
        <w:t>贯彻执行水利工作的法律、法规和方针政策，开展市水利事业建设工作。</w:t>
      </w:r>
    </w:p>
    <w:p>
      <w:pPr>
        <w:widowControl/>
        <w:adjustRightInd w:val="0"/>
        <w:snapToGrid w:val="0"/>
        <w:spacing w:line="600" w:lineRule="exact"/>
        <w:ind w:firstLine="560" w:firstLineChars="200"/>
        <w:contextualSpacing/>
        <w:jc w:val="left"/>
        <w:rPr>
          <w:rFonts w:ascii="仿宋_GB2312" w:hAnsi="宋体" w:cs="宋体"/>
          <w:color w:val="000000"/>
          <w:kern w:val="0"/>
          <w:sz w:val="28"/>
          <w:szCs w:val="28"/>
          <w:shd w:val="clear" w:color="auto" w:fill="FFFFFF"/>
          <w:lang w:val="zh-CN"/>
        </w:rPr>
      </w:pPr>
      <w:r>
        <w:rPr>
          <w:rFonts w:hint="eastAsia" w:ascii="仿宋_GB2312" w:hAnsi="宋体" w:cs="宋体"/>
          <w:color w:val="000000"/>
          <w:kern w:val="0"/>
          <w:sz w:val="28"/>
          <w:szCs w:val="28"/>
          <w:shd w:val="clear" w:color="auto" w:fill="FFFFFF"/>
          <w:lang w:val="zh-CN"/>
        </w:rPr>
        <w:t>负责全市的市管水利工程正常运行及维护管理；保证全市灌溉面积10.8万亩农田的春灌和岁修工作；保证市管8座水库的正常蓄水、防洪安全工作；承办上级交办的其它水利工程事项</w:t>
      </w:r>
    </w:p>
    <w:p>
      <w:pPr>
        <w:widowControl/>
        <w:adjustRightInd w:val="0"/>
        <w:snapToGrid w:val="0"/>
        <w:spacing w:line="600" w:lineRule="exact"/>
        <w:ind w:firstLine="560" w:firstLineChars="200"/>
        <w:contextualSpacing/>
        <w:jc w:val="left"/>
        <w:rPr>
          <w:rFonts w:ascii="仿宋_GB2312" w:hAnsi="宋体" w:cs="宋体"/>
          <w:color w:val="000000"/>
          <w:kern w:val="0"/>
          <w:sz w:val="28"/>
          <w:szCs w:val="28"/>
          <w:shd w:val="clear" w:color="auto" w:fill="FFFFFF"/>
          <w:lang w:val="zh-CN"/>
        </w:rPr>
      </w:pPr>
      <w:r>
        <w:rPr>
          <w:rFonts w:hint="eastAsia" w:ascii="仿宋_GB2312" w:hAnsi="宋体" w:cs="宋体"/>
          <w:color w:val="000000"/>
          <w:kern w:val="0"/>
          <w:sz w:val="28"/>
          <w:szCs w:val="28"/>
          <w:shd w:val="clear" w:color="auto" w:fill="FFFFFF"/>
          <w:lang w:val="zh-CN"/>
        </w:rPr>
        <w:t>（三）人员概况。</w:t>
      </w:r>
    </w:p>
    <w:p>
      <w:pPr>
        <w:widowControl/>
        <w:adjustRightInd w:val="0"/>
        <w:snapToGrid w:val="0"/>
        <w:spacing w:line="600" w:lineRule="exact"/>
        <w:ind w:firstLine="560" w:firstLineChars="200"/>
        <w:contextualSpacing/>
        <w:jc w:val="left"/>
        <w:rPr>
          <w:rFonts w:ascii="仿宋_GB2312" w:hAnsi="宋体" w:cs="宋体"/>
          <w:color w:val="000000"/>
          <w:kern w:val="0"/>
          <w:sz w:val="28"/>
          <w:szCs w:val="28"/>
          <w:shd w:val="clear" w:color="auto" w:fill="FFFFFF"/>
          <w:lang w:val="zh-CN"/>
        </w:rPr>
      </w:pPr>
      <w:r>
        <w:rPr>
          <w:rFonts w:hint="eastAsia" w:ascii="仿宋_GB2312" w:hAnsi="宋体" w:cs="宋体"/>
          <w:color w:val="000000"/>
          <w:kern w:val="0"/>
          <w:sz w:val="28"/>
          <w:szCs w:val="28"/>
          <w:shd w:val="clear" w:color="auto" w:fill="FFFFFF"/>
          <w:lang w:val="zh-CN"/>
        </w:rPr>
        <w:t>峨眉山市水利建设与河湖保护中心，现有事业编制人数47人，年末实有在职28人，退休52人。</w:t>
      </w:r>
    </w:p>
    <w:p>
      <w:pPr>
        <w:widowControl/>
        <w:adjustRightInd w:val="0"/>
        <w:snapToGrid w:val="0"/>
        <w:spacing w:line="600" w:lineRule="exact"/>
        <w:ind w:firstLine="560" w:firstLineChars="200"/>
        <w:contextualSpacing/>
        <w:jc w:val="left"/>
        <w:rPr>
          <w:rFonts w:ascii="黑体" w:hAnsi="宋体" w:eastAsia="黑体" w:cs="宋体"/>
          <w:color w:val="000000"/>
          <w:kern w:val="0"/>
          <w:sz w:val="28"/>
          <w:szCs w:val="28"/>
          <w:shd w:val="clear" w:color="auto" w:fill="FFFFFF"/>
        </w:rPr>
      </w:pPr>
      <w:r>
        <w:rPr>
          <w:rFonts w:hint="eastAsia" w:ascii="黑体" w:hAnsi="宋体" w:eastAsia="黑体" w:cs="宋体"/>
          <w:color w:val="000000"/>
          <w:kern w:val="0"/>
          <w:sz w:val="28"/>
          <w:szCs w:val="28"/>
          <w:shd w:val="clear" w:color="auto" w:fill="FFFFFF"/>
        </w:rPr>
        <w:t>二、部门财政资金收支情况</w:t>
      </w:r>
    </w:p>
    <w:p>
      <w:pPr>
        <w:widowControl/>
        <w:adjustRightInd w:val="0"/>
        <w:snapToGrid w:val="0"/>
        <w:spacing w:line="600" w:lineRule="exact"/>
        <w:ind w:firstLine="560" w:firstLineChars="200"/>
        <w:contextualSpacing/>
        <w:jc w:val="left"/>
        <w:rPr>
          <w:rFonts w:ascii="仿宋_GB2312" w:hAnsi="仿宋_GB2312" w:cs="仿宋_GB2312"/>
          <w:color w:val="000000"/>
          <w:kern w:val="0"/>
          <w:sz w:val="28"/>
          <w:szCs w:val="28"/>
          <w:shd w:val="clear" w:color="auto" w:fill="FFFFFF"/>
          <w:lang w:val="zh-CN"/>
        </w:rPr>
      </w:pPr>
      <w:r>
        <w:rPr>
          <w:rFonts w:hint="eastAsia" w:ascii="仿宋_GB2312" w:hAnsi="仿宋_GB2312" w:cs="仿宋_GB2312"/>
          <w:color w:val="000000"/>
          <w:kern w:val="0"/>
          <w:sz w:val="28"/>
          <w:szCs w:val="28"/>
          <w:shd w:val="clear" w:color="auto" w:fill="FFFFFF"/>
          <w:lang w:val="zh-CN"/>
        </w:rPr>
        <w:t>（一）部门财政资金收入情况。</w:t>
      </w:r>
    </w:p>
    <w:p>
      <w:pPr>
        <w:widowControl/>
        <w:adjustRightInd w:val="0"/>
        <w:snapToGrid w:val="0"/>
        <w:spacing w:line="600" w:lineRule="exact"/>
        <w:ind w:firstLine="560" w:firstLineChars="200"/>
        <w:contextualSpacing/>
        <w:jc w:val="left"/>
        <w:rPr>
          <w:rFonts w:ascii="仿宋_GB2312" w:hAnsi="宋体" w:cs="宋体"/>
          <w:color w:val="000000"/>
          <w:kern w:val="0"/>
          <w:sz w:val="28"/>
          <w:szCs w:val="28"/>
          <w:shd w:val="clear" w:color="auto" w:fill="FFFFFF"/>
          <w:lang w:val="zh-CN"/>
        </w:rPr>
      </w:pPr>
      <w:r>
        <w:rPr>
          <w:rFonts w:hint="eastAsia" w:ascii="仿宋_GB2312" w:hAnsi="宋体" w:cs="宋体"/>
          <w:color w:val="000000"/>
          <w:kern w:val="0"/>
          <w:sz w:val="28"/>
          <w:szCs w:val="28"/>
          <w:shd w:val="clear" w:color="auto" w:fill="FFFFFF"/>
          <w:lang w:val="zh-CN"/>
        </w:rPr>
        <w:t>2021年度拨入</w:t>
      </w:r>
      <w:r>
        <w:rPr>
          <w:rFonts w:hint="eastAsia" w:ascii="仿宋_GB2312" w:hAnsi="宋体" w:cs="宋体"/>
          <w:color w:val="000000"/>
          <w:kern w:val="0"/>
          <w:sz w:val="28"/>
          <w:szCs w:val="28"/>
          <w:shd w:val="clear" w:color="auto" w:fill="FFFFFF"/>
          <w:lang w:val="en-US" w:eastAsia="zh-CN"/>
        </w:rPr>
        <w:t>2581.63</w:t>
      </w:r>
      <w:r>
        <w:rPr>
          <w:rFonts w:hint="eastAsia" w:ascii="仿宋_GB2312" w:hAnsi="宋体" w:cs="宋体"/>
          <w:color w:val="000000"/>
          <w:kern w:val="0"/>
          <w:sz w:val="28"/>
          <w:szCs w:val="28"/>
          <w:shd w:val="clear" w:color="auto" w:fill="FFFFFF"/>
          <w:lang w:val="zh-CN"/>
        </w:rPr>
        <w:t>万元。与上年</w:t>
      </w:r>
      <w:r>
        <w:rPr>
          <w:rFonts w:hint="eastAsia" w:ascii="仿宋_GB2312" w:hAnsi="宋体" w:cs="宋体"/>
          <w:color w:val="000000"/>
          <w:kern w:val="0"/>
          <w:sz w:val="28"/>
          <w:szCs w:val="28"/>
          <w:shd w:val="clear" w:color="auto" w:fill="FFFFFF"/>
          <w:lang w:val="en-US" w:eastAsia="zh-CN"/>
        </w:rPr>
        <w:t>2020年2461.31</w:t>
      </w:r>
      <w:r>
        <w:rPr>
          <w:rFonts w:hint="eastAsia" w:ascii="仿宋_GB2312" w:hAnsi="宋体" w:cs="宋体"/>
          <w:color w:val="000000"/>
          <w:kern w:val="0"/>
          <w:sz w:val="28"/>
          <w:szCs w:val="28"/>
          <w:shd w:val="clear" w:color="auto" w:fill="FFFFFF"/>
          <w:lang w:val="zh-CN"/>
        </w:rPr>
        <w:t>万元，同比增加</w:t>
      </w:r>
      <w:r>
        <w:rPr>
          <w:rFonts w:hint="eastAsia" w:ascii="仿宋_GB2312" w:hAnsi="宋体" w:cs="宋体"/>
          <w:color w:val="000000"/>
          <w:kern w:val="0"/>
          <w:sz w:val="28"/>
          <w:szCs w:val="28"/>
          <w:shd w:val="clear" w:color="auto" w:fill="FFFFFF"/>
          <w:lang w:val="en-US" w:eastAsia="zh-CN"/>
        </w:rPr>
        <w:t>120.32万元，</w:t>
      </w:r>
      <w:r>
        <w:rPr>
          <w:rFonts w:hint="eastAsia" w:ascii="仿宋_GB2312" w:hAnsi="宋体" w:cs="宋体"/>
          <w:color w:val="000000"/>
          <w:kern w:val="0"/>
          <w:sz w:val="28"/>
          <w:szCs w:val="28"/>
          <w:shd w:val="clear" w:color="auto" w:fill="FFFFFF"/>
          <w:lang w:val="zh-CN"/>
        </w:rPr>
        <w:t>增长</w:t>
      </w:r>
      <w:r>
        <w:rPr>
          <w:rFonts w:hint="eastAsia" w:ascii="仿宋_GB2312" w:hAnsi="宋体" w:cs="宋体"/>
          <w:color w:val="000000"/>
          <w:kern w:val="0"/>
          <w:sz w:val="28"/>
          <w:szCs w:val="28"/>
          <w:shd w:val="clear" w:color="auto" w:fill="FFFFFF"/>
          <w:lang w:val="en-US" w:eastAsia="zh-CN"/>
        </w:rPr>
        <w:t>4.88</w:t>
      </w:r>
      <w:r>
        <w:rPr>
          <w:rFonts w:hint="eastAsia" w:ascii="仿宋_GB2312" w:hAnsi="宋体" w:cs="宋体"/>
          <w:color w:val="000000"/>
          <w:kern w:val="0"/>
          <w:sz w:val="28"/>
          <w:szCs w:val="28"/>
          <w:shd w:val="clear" w:color="auto" w:fill="FFFFFF"/>
          <w:lang w:val="zh-CN"/>
        </w:rPr>
        <w:t>%。</w:t>
      </w:r>
    </w:p>
    <w:p>
      <w:pPr>
        <w:widowControl/>
        <w:adjustRightInd w:val="0"/>
        <w:snapToGrid w:val="0"/>
        <w:spacing w:line="600" w:lineRule="exact"/>
        <w:ind w:firstLine="560" w:firstLineChars="200"/>
        <w:contextualSpacing/>
        <w:jc w:val="left"/>
        <w:rPr>
          <w:rFonts w:ascii="仿宋_GB2312" w:hAnsi="仿宋_GB2312" w:cs="仿宋_GB2312"/>
          <w:color w:val="000000"/>
          <w:kern w:val="0"/>
          <w:sz w:val="28"/>
          <w:szCs w:val="28"/>
          <w:shd w:val="clear" w:color="auto" w:fill="FFFFFF"/>
          <w:lang w:val="zh-CN"/>
        </w:rPr>
      </w:pPr>
      <w:r>
        <w:rPr>
          <w:rFonts w:hint="eastAsia" w:ascii="仿宋_GB2312" w:hAnsi="仿宋_GB2312" w:cs="仿宋_GB2312"/>
          <w:color w:val="000000"/>
          <w:kern w:val="0"/>
          <w:sz w:val="28"/>
          <w:szCs w:val="28"/>
          <w:shd w:val="clear" w:color="auto" w:fill="FFFFFF"/>
          <w:lang w:val="zh-CN"/>
        </w:rPr>
        <w:t>（二）部门财政资金支出情况。</w:t>
      </w:r>
    </w:p>
    <w:p>
      <w:pPr>
        <w:widowControl/>
        <w:adjustRightInd w:val="0"/>
        <w:snapToGrid w:val="0"/>
        <w:spacing w:line="600" w:lineRule="exact"/>
        <w:ind w:firstLine="560" w:firstLineChars="200"/>
        <w:contextualSpacing/>
        <w:jc w:val="left"/>
        <w:rPr>
          <w:rFonts w:ascii="仿宋_GB2312" w:hAnsi="宋体" w:cs="宋体"/>
          <w:color w:val="000000"/>
          <w:kern w:val="0"/>
          <w:sz w:val="28"/>
          <w:szCs w:val="28"/>
          <w:shd w:val="clear" w:color="auto" w:fill="FFFFFF"/>
          <w:lang w:val="zh-CN"/>
        </w:rPr>
      </w:pPr>
      <w:r>
        <w:rPr>
          <w:rFonts w:hint="eastAsia" w:ascii="仿宋_GB2312" w:hAnsi="宋体" w:cs="宋体"/>
          <w:color w:val="000000"/>
          <w:kern w:val="0"/>
          <w:sz w:val="28"/>
          <w:szCs w:val="28"/>
          <w:shd w:val="clear" w:color="auto" w:fill="FFFFFF"/>
          <w:lang w:val="zh-CN"/>
        </w:rPr>
        <w:t>2021年度支出2752.78万元，与上年相比增加311.43万元，同比增加12.76%，主要原因市工程项目的增减变化。</w:t>
      </w:r>
    </w:p>
    <w:p>
      <w:pPr>
        <w:widowControl/>
        <w:adjustRightInd w:val="0"/>
        <w:snapToGrid w:val="0"/>
        <w:spacing w:line="600" w:lineRule="exact"/>
        <w:ind w:firstLine="560" w:firstLineChars="200"/>
        <w:contextualSpacing/>
        <w:jc w:val="left"/>
        <w:rPr>
          <w:rFonts w:ascii="仿宋_GB2312" w:hAnsi="宋体" w:cs="宋体"/>
          <w:color w:val="000000"/>
          <w:kern w:val="0"/>
          <w:sz w:val="28"/>
          <w:szCs w:val="28"/>
          <w:shd w:val="clear" w:color="auto" w:fill="FFFFFF"/>
          <w:lang w:val="zh-CN"/>
        </w:rPr>
      </w:pPr>
      <w:r>
        <w:rPr>
          <w:rFonts w:hint="eastAsia" w:ascii="仿宋_GB2312" w:hAnsi="宋体" w:cs="宋体"/>
          <w:color w:val="000000"/>
          <w:kern w:val="0"/>
          <w:sz w:val="28"/>
          <w:szCs w:val="28"/>
          <w:shd w:val="clear" w:color="auto" w:fill="FFFFFF"/>
          <w:lang w:val="zh-CN"/>
        </w:rPr>
        <w:t>基本支出531.29万元，占总支出的19.30%，项目支出2221.49万元，占总支出的80.7%。</w:t>
      </w:r>
    </w:p>
    <w:p>
      <w:pPr>
        <w:widowControl/>
        <w:adjustRightInd w:val="0"/>
        <w:snapToGrid w:val="0"/>
        <w:spacing w:line="600" w:lineRule="exact"/>
        <w:ind w:firstLine="560" w:firstLineChars="200"/>
        <w:contextualSpacing/>
        <w:jc w:val="left"/>
        <w:rPr>
          <w:rFonts w:ascii="黑体" w:hAnsi="宋体" w:eastAsia="黑体" w:cs="宋体"/>
          <w:color w:val="000000"/>
          <w:kern w:val="0"/>
          <w:sz w:val="28"/>
          <w:szCs w:val="28"/>
          <w:shd w:val="clear" w:color="auto" w:fill="FFFFFF"/>
        </w:rPr>
      </w:pPr>
      <w:r>
        <w:rPr>
          <w:rFonts w:hint="eastAsia" w:ascii="黑体" w:hAnsi="宋体" w:eastAsia="黑体" w:cs="宋体"/>
          <w:color w:val="000000"/>
          <w:kern w:val="0"/>
          <w:sz w:val="28"/>
          <w:szCs w:val="28"/>
          <w:shd w:val="clear" w:color="auto" w:fill="FFFFFF"/>
        </w:rPr>
        <w:t>三、部门整体预算绩效管理情况</w:t>
      </w:r>
    </w:p>
    <w:p>
      <w:pPr>
        <w:widowControl/>
        <w:adjustRightInd w:val="0"/>
        <w:snapToGrid w:val="0"/>
        <w:spacing w:line="600" w:lineRule="exact"/>
        <w:ind w:firstLine="560" w:firstLineChars="200"/>
        <w:contextualSpacing/>
        <w:jc w:val="left"/>
        <w:rPr>
          <w:rFonts w:ascii="仿宋_GB2312" w:hAnsi="宋体" w:cs="宋体"/>
          <w:color w:val="000000"/>
          <w:kern w:val="0"/>
          <w:sz w:val="28"/>
          <w:szCs w:val="28"/>
          <w:shd w:val="clear" w:color="auto" w:fill="FFFFFF"/>
          <w:lang w:val="zh-CN"/>
        </w:rPr>
      </w:pPr>
      <w:r>
        <w:rPr>
          <w:rFonts w:hint="eastAsia" w:ascii="仿宋_GB2312" w:hAnsi="宋体" w:cs="宋体"/>
          <w:color w:val="000000"/>
          <w:kern w:val="0"/>
          <w:sz w:val="28"/>
          <w:szCs w:val="28"/>
          <w:shd w:val="clear" w:color="auto" w:fill="FFFFFF"/>
          <w:lang w:val="zh-CN"/>
        </w:rPr>
        <w:t>峨眉山市2021年小型水库维修养护项目,该项目总投资107.8万元（其中：中央资金100万元，地方配套7.8万元），分两个标段，一标段审定投资26.5507万元，二标段审定投资72.91万元，对全市9座小型水库实施维修养护。项目已于5月启动，目前一标段已完工，二标段正在实施中，预计在今年12月底前完成。</w:t>
      </w:r>
    </w:p>
    <w:p>
      <w:pPr>
        <w:widowControl/>
        <w:adjustRightInd w:val="0"/>
        <w:snapToGrid w:val="0"/>
        <w:spacing w:line="600" w:lineRule="exact"/>
        <w:ind w:firstLine="560" w:firstLineChars="200"/>
        <w:contextualSpacing/>
        <w:jc w:val="left"/>
        <w:rPr>
          <w:rFonts w:ascii="仿宋_GB2312" w:hAnsi="宋体" w:cs="宋体"/>
          <w:color w:val="000000"/>
          <w:kern w:val="0"/>
          <w:sz w:val="28"/>
          <w:szCs w:val="28"/>
          <w:shd w:val="clear" w:color="auto" w:fill="FFFFFF"/>
          <w:lang w:val="zh-CN"/>
        </w:rPr>
      </w:pPr>
      <w:r>
        <w:rPr>
          <w:rFonts w:hint="eastAsia" w:ascii="仿宋_GB2312" w:hAnsi="宋体" w:cs="宋体"/>
          <w:color w:val="000000"/>
          <w:kern w:val="0"/>
          <w:sz w:val="28"/>
          <w:szCs w:val="28"/>
          <w:shd w:val="clear" w:color="auto" w:fill="FFFFFF"/>
          <w:lang w:val="zh-CN"/>
        </w:rPr>
        <w:t>2021年度新增地方政府一般债券限额支持保障小型水库安全运行项目（峨眉山市2021年小型水库新增维修养护项目）该项目一般债资金23万元，用于我市小型水库的维修养护。目前，该项目已基本完工，预计12月中旬全面完成。</w:t>
      </w:r>
    </w:p>
    <w:p>
      <w:pPr>
        <w:widowControl/>
        <w:adjustRightInd w:val="0"/>
        <w:snapToGrid w:val="0"/>
        <w:spacing w:line="600" w:lineRule="exact"/>
        <w:ind w:firstLine="560" w:firstLineChars="200"/>
        <w:contextualSpacing/>
        <w:jc w:val="left"/>
        <w:rPr>
          <w:rFonts w:ascii="仿宋_GB2312" w:hAnsi="宋体" w:cs="宋体"/>
          <w:color w:val="000000"/>
          <w:kern w:val="0"/>
          <w:sz w:val="28"/>
          <w:szCs w:val="28"/>
          <w:shd w:val="clear" w:color="auto" w:fill="FFFFFF"/>
          <w:lang w:val="zh-CN"/>
        </w:rPr>
      </w:pPr>
      <w:r>
        <w:rPr>
          <w:rFonts w:hint="eastAsia" w:ascii="仿宋_GB2312" w:hAnsi="宋体" w:cs="宋体"/>
          <w:color w:val="000000"/>
          <w:kern w:val="0"/>
          <w:sz w:val="28"/>
          <w:szCs w:val="28"/>
          <w:shd w:val="clear" w:color="auto" w:fill="FFFFFF"/>
          <w:lang w:val="zh-CN"/>
        </w:rPr>
        <w:t>峨眉山市观音岩水库机电设备维修养护项目,该项目对观音岩水库机电设备进行全面维修养护，项目总投资81.69万元，目前设计已完成并取得批复，正进行项目招投标的工作，该项目争取在今年12月底前完成。</w:t>
      </w:r>
    </w:p>
    <w:p>
      <w:pPr>
        <w:widowControl/>
        <w:adjustRightInd w:val="0"/>
        <w:snapToGrid w:val="0"/>
        <w:spacing w:line="600" w:lineRule="exact"/>
        <w:ind w:firstLine="560" w:firstLineChars="200"/>
        <w:contextualSpacing/>
        <w:jc w:val="left"/>
        <w:rPr>
          <w:rFonts w:ascii="仿宋_GB2312" w:hAnsi="宋体" w:cs="宋体"/>
          <w:color w:val="000000"/>
          <w:kern w:val="0"/>
          <w:sz w:val="28"/>
          <w:szCs w:val="28"/>
          <w:shd w:val="clear" w:color="auto" w:fill="FFFFFF"/>
          <w:lang w:val="zh-CN"/>
        </w:rPr>
      </w:pPr>
      <w:r>
        <w:rPr>
          <w:rFonts w:hint="eastAsia" w:ascii="仿宋_GB2312" w:hAnsi="宋体" w:cs="宋体"/>
          <w:color w:val="000000"/>
          <w:kern w:val="0"/>
          <w:sz w:val="28"/>
          <w:szCs w:val="28"/>
          <w:shd w:val="clear" w:color="auto" w:fill="FFFFFF"/>
          <w:lang w:val="zh-CN"/>
        </w:rPr>
        <w:t>塘、冬水田等蓄水保水工作；全市今年投入100万元，完成渠道清淤7万立方，完成干、支渠道岁修约100公里，改善和恢复灌溉面积2.5万亩，提高节水能力60万方。确保全市19.96万亩农田适时栽插，为促进农业增产、农民增收奠定了坚实的基础。</w:t>
      </w:r>
    </w:p>
    <w:p>
      <w:pPr>
        <w:widowControl/>
        <w:adjustRightInd w:val="0"/>
        <w:snapToGrid w:val="0"/>
        <w:spacing w:line="600" w:lineRule="exact"/>
        <w:ind w:firstLine="560" w:firstLineChars="200"/>
        <w:contextualSpacing/>
        <w:jc w:val="left"/>
        <w:rPr>
          <w:rFonts w:ascii="仿宋_GB2312" w:hAnsi="宋体" w:cs="宋体"/>
          <w:color w:val="000000"/>
          <w:kern w:val="0"/>
          <w:sz w:val="28"/>
          <w:szCs w:val="28"/>
          <w:shd w:val="clear" w:color="auto" w:fill="FFFFFF"/>
          <w:lang w:val="zh-CN"/>
        </w:rPr>
      </w:pPr>
      <w:r>
        <w:rPr>
          <w:rFonts w:hint="eastAsia" w:ascii="仿宋_GB2312" w:hAnsi="宋体" w:cs="宋体"/>
          <w:color w:val="000000"/>
          <w:kern w:val="0"/>
          <w:sz w:val="28"/>
          <w:szCs w:val="28"/>
          <w:shd w:val="clear" w:color="auto" w:fill="FFFFFF"/>
          <w:lang w:val="zh-CN"/>
        </w:rPr>
        <w:t>2021年年末结转和结余0.00万元，无违规记录。</w:t>
      </w:r>
    </w:p>
    <w:p>
      <w:pPr>
        <w:widowControl/>
        <w:adjustRightInd w:val="0"/>
        <w:snapToGrid w:val="0"/>
        <w:spacing w:line="600" w:lineRule="exact"/>
        <w:ind w:firstLine="560" w:firstLineChars="200"/>
        <w:contextualSpacing/>
        <w:jc w:val="left"/>
        <w:rPr>
          <w:rFonts w:ascii="仿宋_GB2312" w:hAnsi="仿宋_GB2312" w:cs="仿宋_GB2312"/>
          <w:color w:val="000000"/>
          <w:kern w:val="0"/>
          <w:sz w:val="28"/>
          <w:szCs w:val="28"/>
          <w:shd w:val="clear" w:color="auto" w:fill="FFFFFF"/>
          <w:lang w:val="zh-CN"/>
        </w:rPr>
      </w:pPr>
      <w:r>
        <w:rPr>
          <w:rFonts w:hint="eastAsia" w:ascii="仿宋_GB2312" w:hAnsi="仿宋_GB2312" w:cs="仿宋_GB2312"/>
          <w:color w:val="000000"/>
          <w:kern w:val="0"/>
          <w:sz w:val="28"/>
          <w:szCs w:val="28"/>
          <w:shd w:val="clear" w:color="auto" w:fill="FFFFFF"/>
          <w:lang w:val="zh-CN"/>
        </w:rPr>
        <w:t>（二）结果应用情况。</w:t>
      </w:r>
    </w:p>
    <w:p>
      <w:pPr>
        <w:widowControl/>
        <w:adjustRightInd w:val="0"/>
        <w:snapToGrid w:val="0"/>
        <w:spacing w:line="600" w:lineRule="exact"/>
        <w:ind w:firstLine="560" w:firstLineChars="200"/>
        <w:contextualSpacing/>
        <w:jc w:val="left"/>
        <w:rPr>
          <w:rFonts w:ascii="仿宋_GB2312" w:hAnsi="宋体" w:cs="宋体"/>
          <w:color w:val="000000"/>
          <w:kern w:val="0"/>
          <w:sz w:val="28"/>
          <w:szCs w:val="28"/>
          <w:shd w:val="clear" w:color="auto" w:fill="FFFFFF"/>
          <w:lang w:val="zh-CN"/>
        </w:rPr>
      </w:pPr>
      <w:r>
        <w:rPr>
          <w:rFonts w:hint="eastAsia" w:ascii="仿宋_GB2312" w:hAnsi="宋体" w:cs="宋体"/>
          <w:color w:val="000000"/>
          <w:kern w:val="0"/>
          <w:sz w:val="28"/>
          <w:szCs w:val="28"/>
          <w:shd w:val="clear" w:color="auto" w:fill="FFFFFF"/>
          <w:lang w:val="zh-CN"/>
        </w:rPr>
        <w:t>我单位</w:t>
      </w:r>
      <w:r>
        <w:rPr>
          <w:rFonts w:hint="eastAsia" w:hAnsi="Calibri" w:cs="仿宋_GB2312"/>
          <w:color w:val="000000"/>
          <w:kern w:val="0"/>
          <w:sz w:val="28"/>
          <w:szCs w:val="28"/>
        </w:rPr>
        <w:t>将事前绩效评估结果用于调整预算项目、资金规模和支出方向，根据绩效目标审核结果对绩效目标和审核内容进行了整改、优化。把绩效目标及部门整体支出绩效评价自评报告进行了公开，通过绩效监控进行了政策优化、改进管理、项目调整，并将评价结果作为次年预算调整和项目调整的重要依据。</w:t>
      </w:r>
    </w:p>
    <w:p>
      <w:pPr>
        <w:widowControl/>
        <w:adjustRightInd w:val="0"/>
        <w:snapToGrid w:val="0"/>
        <w:spacing w:line="600" w:lineRule="exact"/>
        <w:contextualSpacing/>
        <w:jc w:val="left"/>
        <w:rPr>
          <w:rFonts w:ascii="楷体_GB2312" w:hAnsi="楷体_GB2312" w:eastAsia="楷体_GB2312" w:cs="楷体_GB2312"/>
          <w:color w:val="000000"/>
          <w:kern w:val="0"/>
          <w:sz w:val="28"/>
          <w:szCs w:val="28"/>
          <w:shd w:val="clear" w:color="auto" w:fill="FFFFFF"/>
          <w:lang w:val="zh-CN"/>
        </w:rPr>
      </w:pPr>
      <w:r>
        <w:rPr>
          <w:rFonts w:hint="eastAsia" w:ascii="楷体_GB2312" w:hAnsi="楷体_GB2312" w:eastAsia="楷体_GB2312" w:cs="楷体_GB2312"/>
          <w:color w:val="000000"/>
          <w:kern w:val="0"/>
          <w:sz w:val="28"/>
          <w:szCs w:val="28"/>
          <w:shd w:val="clear" w:color="auto" w:fill="FFFFFF"/>
          <w:lang w:val="zh-CN"/>
        </w:rPr>
        <w:t xml:space="preserve">    （三）自评质量</w:t>
      </w:r>
    </w:p>
    <w:p>
      <w:pPr>
        <w:widowControl/>
        <w:adjustRightInd w:val="0"/>
        <w:snapToGrid w:val="0"/>
        <w:spacing w:line="600" w:lineRule="exact"/>
        <w:ind w:firstLine="560" w:firstLineChars="200"/>
        <w:contextualSpacing/>
        <w:jc w:val="left"/>
        <w:rPr>
          <w:rFonts w:ascii="仿宋_GB2312" w:hAnsi="宋体" w:cs="宋体"/>
          <w:color w:val="000000"/>
          <w:kern w:val="0"/>
          <w:sz w:val="28"/>
          <w:szCs w:val="28"/>
          <w:shd w:val="clear" w:color="auto" w:fill="FFFFFF"/>
        </w:rPr>
      </w:pPr>
      <w:r>
        <w:rPr>
          <w:rFonts w:hint="eastAsia" w:ascii="仿宋_GB2312" w:hAnsi="宋体" w:cs="宋体"/>
          <w:color w:val="000000"/>
          <w:kern w:val="0"/>
          <w:sz w:val="28"/>
          <w:szCs w:val="28"/>
          <w:shd w:val="clear" w:color="auto" w:fill="FFFFFF"/>
        </w:rPr>
        <w:t>部门整体支出自评准确。</w:t>
      </w:r>
    </w:p>
    <w:p>
      <w:pPr>
        <w:widowControl/>
        <w:adjustRightInd w:val="0"/>
        <w:snapToGrid w:val="0"/>
        <w:spacing w:line="600" w:lineRule="exact"/>
        <w:ind w:firstLine="560" w:firstLineChars="200"/>
        <w:contextualSpacing/>
        <w:jc w:val="left"/>
        <w:rPr>
          <w:rFonts w:ascii="黑体" w:hAnsi="宋体" w:eastAsia="黑体" w:cs="宋体"/>
          <w:color w:val="000000"/>
          <w:kern w:val="0"/>
          <w:sz w:val="28"/>
          <w:szCs w:val="28"/>
          <w:shd w:val="clear" w:color="auto" w:fill="FFFFFF"/>
        </w:rPr>
      </w:pPr>
      <w:r>
        <w:rPr>
          <w:rFonts w:hint="eastAsia" w:ascii="黑体" w:hAnsi="宋体" w:eastAsia="黑体" w:cs="宋体"/>
          <w:color w:val="000000"/>
          <w:kern w:val="0"/>
          <w:sz w:val="28"/>
          <w:szCs w:val="28"/>
          <w:shd w:val="clear" w:color="auto" w:fill="FFFFFF"/>
        </w:rPr>
        <w:t>四、评价结论及建议</w:t>
      </w:r>
    </w:p>
    <w:p>
      <w:pPr>
        <w:widowControl/>
        <w:adjustRightInd w:val="0"/>
        <w:snapToGrid w:val="0"/>
        <w:spacing w:line="600" w:lineRule="exact"/>
        <w:ind w:firstLine="560" w:firstLineChars="200"/>
        <w:contextualSpacing/>
        <w:jc w:val="left"/>
        <w:rPr>
          <w:rFonts w:hAnsi="Calibri" w:cs="仿宋_GB2312"/>
          <w:color w:val="000000"/>
          <w:kern w:val="0"/>
          <w:sz w:val="28"/>
          <w:szCs w:val="28"/>
        </w:rPr>
      </w:pPr>
      <w:r>
        <w:rPr>
          <w:rFonts w:hint="eastAsia" w:hAnsi="Calibri" w:cs="仿宋_GB2312"/>
          <w:color w:val="000000"/>
          <w:kern w:val="0"/>
          <w:sz w:val="28"/>
          <w:szCs w:val="28"/>
        </w:rPr>
        <w:t>（一）评价结论。</w:t>
      </w:r>
    </w:p>
    <w:p>
      <w:pPr>
        <w:widowControl/>
        <w:adjustRightInd w:val="0"/>
        <w:snapToGrid w:val="0"/>
        <w:spacing w:line="600" w:lineRule="exact"/>
        <w:ind w:firstLine="560" w:firstLineChars="200"/>
        <w:contextualSpacing/>
        <w:jc w:val="left"/>
        <w:rPr>
          <w:rFonts w:hAnsi="Calibri" w:cs="仿宋_GB2312"/>
          <w:color w:val="000000"/>
          <w:kern w:val="0"/>
          <w:sz w:val="28"/>
          <w:szCs w:val="28"/>
        </w:rPr>
      </w:pPr>
      <w:r>
        <w:rPr>
          <w:rFonts w:hint="eastAsia" w:hAnsi="Calibri" w:cs="仿宋_GB2312"/>
          <w:color w:val="000000"/>
          <w:kern w:val="0"/>
          <w:sz w:val="28"/>
          <w:szCs w:val="28"/>
        </w:rPr>
        <w:t>我单位绩效评价真实完整。</w:t>
      </w:r>
    </w:p>
    <w:p>
      <w:pPr>
        <w:widowControl/>
        <w:adjustRightInd w:val="0"/>
        <w:snapToGrid w:val="0"/>
        <w:spacing w:line="600" w:lineRule="exact"/>
        <w:ind w:firstLine="560" w:firstLineChars="200"/>
        <w:contextualSpacing/>
        <w:jc w:val="left"/>
        <w:rPr>
          <w:rFonts w:hAnsi="Calibri" w:cs="仿宋_GB2312"/>
          <w:color w:val="000000"/>
          <w:kern w:val="0"/>
          <w:sz w:val="28"/>
          <w:szCs w:val="28"/>
        </w:rPr>
      </w:pPr>
      <w:r>
        <w:rPr>
          <w:rFonts w:hint="eastAsia" w:hAnsi="Calibri" w:cs="仿宋_GB2312"/>
          <w:color w:val="000000"/>
          <w:kern w:val="0"/>
          <w:sz w:val="28"/>
          <w:szCs w:val="28"/>
        </w:rPr>
        <w:t>（二）存在问题。</w:t>
      </w:r>
    </w:p>
    <w:p>
      <w:pPr>
        <w:widowControl/>
        <w:adjustRightInd w:val="0"/>
        <w:snapToGrid w:val="0"/>
        <w:spacing w:line="600" w:lineRule="exact"/>
        <w:ind w:firstLine="560" w:firstLineChars="200"/>
        <w:contextualSpacing/>
        <w:jc w:val="left"/>
        <w:rPr>
          <w:rFonts w:hAnsi="Calibri" w:cs="仿宋_GB2312"/>
          <w:color w:val="000000"/>
          <w:kern w:val="0"/>
          <w:sz w:val="28"/>
          <w:szCs w:val="28"/>
        </w:rPr>
      </w:pPr>
      <w:r>
        <w:rPr>
          <w:rFonts w:hint="eastAsia" w:hAnsi="Calibri" w:cs="仿宋_GB2312"/>
          <w:color w:val="000000"/>
          <w:kern w:val="0"/>
          <w:sz w:val="28"/>
          <w:szCs w:val="28"/>
        </w:rPr>
        <w:t>1、存在项目有“重建设，轻管理”的现象。</w:t>
      </w:r>
    </w:p>
    <w:p>
      <w:pPr>
        <w:widowControl/>
        <w:adjustRightInd w:val="0"/>
        <w:snapToGrid w:val="0"/>
        <w:spacing w:line="600" w:lineRule="exact"/>
        <w:ind w:firstLine="560" w:firstLineChars="200"/>
        <w:contextualSpacing/>
        <w:jc w:val="left"/>
        <w:rPr>
          <w:rFonts w:hAnsi="Calibri" w:cs="仿宋_GB2312"/>
          <w:color w:val="000000"/>
          <w:kern w:val="0"/>
          <w:sz w:val="28"/>
          <w:szCs w:val="28"/>
        </w:rPr>
      </w:pPr>
      <w:r>
        <w:rPr>
          <w:rFonts w:hint="eastAsia" w:hAnsi="Calibri" w:cs="仿宋_GB2312"/>
          <w:color w:val="000000"/>
          <w:kern w:val="0"/>
          <w:sz w:val="28"/>
          <w:szCs w:val="28"/>
        </w:rPr>
        <w:t>2、财务部门在项目实施部门协作不够，事前事中监督管理缺失。</w:t>
      </w:r>
    </w:p>
    <w:p>
      <w:pPr>
        <w:widowControl/>
        <w:adjustRightInd w:val="0"/>
        <w:snapToGrid w:val="0"/>
        <w:spacing w:line="600" w:lineRule="exact"/>
        <w:ind w:firstLine="560" w:firstLineChars="200"/>
        <w:contextualSpacing/>
        <w:jc w:val="left"/>
        <w:rPr>
          <w:rFonts w:hAnsi="Calibri" w:cs="仿宋_GB2312"/>
          <w:color w:val="000000"/>
          <w:kern w:val="0"/>
          <w:sz w:val="28"/>
          <w:szCs w:val="28"/>
        </w:rPr>
      </w:pPr>
      <w:r>
        <w:rPr>
          <w:rFonts w:hint="eastAsia" w:hAnsi="Calibri" w:cs="仿宋_GB2312"/>
          <w:color w:val="000000"/>
          <w:kern w:val="0"/>
          <w:sz w:val="28"/>
          <w:szCs w:val="28"/>
        </w:rPr>
        <w:t>（三）改进建议。</w:t>
      </w:r>
    </w:p>
    <w:p>
      <w:pPr>
        <w:widowControl/>
        <w:adjustRightInd w:val="0"/>
        <w:snapToGrid w:val="0"/>
        <w:spacing w:line="600" w:lineRule="exact"/>
        <w:ind w:firstLine="560" w:firstLineChars="200"/>
        <w:contextualSpacing/>
        <w:jc w:val="left"/>
        <w:rPr>
          <w:rFonts w:hAnsi="Calibri" w:cs="仿宋_GB2312"/>
          <w:color w:val="000000"/>
          <w:kern w:val="0"/>
          <w:sz w:val="28"/>
          <w:szCs w:val="28"/>
        </w:rPr>
      </w:pPr>
      <w:r>
        <w:rPr>
          <w:rFonts w:hint="eastAsia" w:hAnsi="Calibri" w:cs="仿宋_GB2312"/>
          <w:color w:val="000000"/>
          <w:kern w:val="0"/>
          <w:sz w:val="28"/>
          <w:szCs w:val="28"/>
        </w:rPr>
        <w:t>1、加强财务人员队伍建设，提高业务水平。</w:t>
      </w:r>
    </w:p>
    <w:p>
      <w:pPr>
        <w:widowControl/>
        <w:adjustRightInd w:val="0"/>
        <w:snapToGrid w:val="0"/>
        <w:spacing w:line="600" w:lineRule="exact"/>
        <w:ind w:firstLine="560" w:firstLineChars="200"/>
        <w:contextualSpacing/>
        <w:jc w:val="left"/>
        <w:rPr>
          <w:rFonts w:hint="eastAsia" w:hAnsi="Calibri" w:cs="仿宋_GB2312"/>
          <w:color w:val="000000"/>
          <w:kern w:val="0"/>
          <w:sz w:val="28"/>
          <w:szCs w:val="28"/>
        </w:rPr>
      </w:pPr>
      <w:r>
        <w:rPr>
          <w:rFonts w:hint="eastAsia" w:hAnsi="Calibri" w:cs="仿宋_GB2312"/>
          <w:color w:val="000000"/>
          <w:kern w:val="0"/>
          <w:sz w:val="28"/>
          <w:szCs w:val="28"/>
        </w:rPr>
        <w:t>2、完善财务管理制度。</w:t>
      </w:r>
    </w:p>
    <w:p>
      <w:pPr>
        <w:widowControl/>
        <w:adjustRightInd w:val="0"/>
        <w:snapToGrid w:val="0"/>
        <w:spacing w:line="600" w:lineRule="exact"/>
        <w:ind w:firstLine="560" w:firstLineChars="200"/>
        <w:contextualSpacing/>
        <w:jc w:val="left"/>
        <w:rPr>
          <w:rFonts w:hint="eastAsia" w:hAnsi="Calibri" w:cs="仿宋_GB2312"/>
          <w:color w:val="000000"/>
          <w:kern w:val="0"/>
          <w:sz w:val="28"/>
          <w:szCs w:val="28"/>
        </w:rPr>
      </w:pPr>
    </w:p>
    <w:p>
      <w:pPr>
        <w:widowControl/>
        <w:adjustRightInd w:val="0"/>
        <w:snapToGrid w:val="0"/>
        <w:spacing w:line="600" w:lineRule="exact"/>
        <w:contextualSpacing/>
        <w:jc w:val="left"/>
        <w:rPr>
          <w:rFonts w:hint="eastAsia" w:hAnsi="Calibri" w:cs="仿宋_GB2312"/>
          <w:color w:val="000000"/>
          <w:kern w:val="0"/>
          <w:szCs w:val="32"/>
        </w:rPr>
      </w:pPr>
    </w:p>
    <w:p>
      <w:pPr>
        <w:widowControl/>
        <w:adjustRightInd w:val="0"/>
        <w:snapToGrid w:val="0"/>
        <w:spacing w:line="600" w:lineRule="exact"/>
        <w:ind w:firstLine="420" w:firstLineChars="200"/>
        <w:contextualSpacing/>
        <w:jc w:val="center"/>
        <w:rPr>
          <w:rFonts w:hAnsi="Calibri" w:cs="仿宋_GB2312"/>
          <w:color w:val="000000"/>
          <w:kern w:val="0"/>
          <w:szCs w:val="32"/>
        </w:rPr>
        <w:sectPr>
          <w:headerReference r:id="rId9" w:type="default"/>
          <w:footerReference r:id="rId10" w:type="even"/>
          <w:pgSz w:w="11906" w:h="16838"/>
          <w:pgMar w:top="2041" w:right="1468" w:bottom="1587" w:left="1468" w:header="851" w:footer="992" w:gutter="0"/>
          <w:pgNumType w:fmt="numberInDash" w:start="16"/>
          <w:cols w:space="425" w:num="1"/>
          <w:docGrid w:type="lines" w:linePitch="435" w:charSpace="0"/>
        </w:sectPr>
      </w:pPr>
    </w:p>
    <w:p>
      <w:pPr>
        <w:spacing w:line="600" w:lineRule="exact"/>
        <w:jc w:val="both"/>
        <w:outlineLvl w:val="0"/>
        <w:rPr>
          <w:rFonts w:ascii="黑体" w:hAnsi="黑体" w:eastAsia="黑体"/>
          <w:color w:val="000000"/>
          <w:sz w:val="44"/>
          <w:szCs w:val="44"/>
        </w:rPr>
      </w:pPr>
      <w:bookmarkStart w:id="55" w:name="_Toc15396618"/>
    </w:p>
    <w:p>
      <w:pPr>
        <w:spacing w:line="600" w:lineRule="exact"/>
        <w:jc w:val="center"/>
        <w:outlineLvl w:val="0"/>
        <w:rPr>
          <w:rStyle w:val="26"/>
          <w:rFonts w:ascii="黑体" w:hAnsi="黑体" w:eastAsia="黑体"/>
          <w:b w:val="0"/>
        </w:rPr>
      </w:pPr>
      <w:r>
        <w:rPr>
          <w:rFonts w:hint="eastAsia" w:ascii="黑体" w:hAnsi="黑体" w:eastAsia="黑体"/>
          <w:color w:val="000000"/>
          <w:sz w:val="44"/>
          <w:szCs w:val="44"/>
        </w:rPr>
        <w:t>第</w:t>
      </w:r>
      <w:r>
        <w:rPr>
          <w:rStyle w:val="26"/>
          <w:rFonts w:hint="eastAsia" w:ascii="黑体" w:hAnsi="黑体" w:eastAsia="黑体"/>
          <w:b w:val="0"/>
        </w:rPr>
        <w:t>五部分 附表</w:t>
      </w:r>
      <w:bookmarkEnd w:id="53"/>
      <w:bookmarkEnd w:id="55"/>
    </w:p>
    <w:p>
      <w:pPr>
        <w:spacing w:line="600" w:lineRule="exact"/>
        <w:jc w:val="center"/>
        <w:outlineLvl w:val="0"/>
        <w:rPr>
          <w:rFonts w:ascii="仿宋" w:hAnsi="仿宋" w:eastAsia="仿宋"/>
          <w:b/>
          <w:color w:val="000000"/>
          <w:sz w:val="44"/>
          <w:szCs w:val="44"/>
        </w:rPr>
      </w:pPr>
    </w:p>
    <w:p>
      <w:pPr>
        <w:pStyle w:val="4"/>
        <w:rPr>
          <w:rFonts w:ascii="仿宋" w:hAnsi="仿宋" w:eastAsia="仿宋"/>
          <w:color w:val="000000"/>
        </w:rPr>
      </w:pPr>
      <w:bookmarkStart w:id="56" w:name="_Toc15396619"/>
      <w:r>
        <w:rPr>
          <w:rFonts w:hint="eastAsia" w:ascii="仿宋" w:hAnsi="仿宋" w:eastAsia="仿宋"/>
          <w:b w:val="0"/>
          <w:color w:val="000000"/>
        </w:rPr>
        <w:t>一、收</w:t>
      </w:r>
      <w:r>
        <w:rPr>
          <w:rStyle w:val="27"/>
          <w:rFonts w:hint="eastAsia" w:ascii="仿宋" w:hAnsi="仿宋" w:eastAsia="仿宋"/>
          <w:b w:val="0"/>
          <w:bCs w:val="0"/>
        </w:rPr>
        <w:t>入支出决算总表</w:t>
      </w:r>
      <w:bookmarkEnd w:id="56"/>
    </w:p>
    <w:p>
      <w:pPr>
        <w:pStyle w:val="4"/>
        <w:rPr>
          <w:rFonts w:ascii="仿宋" w:hAnsi="仿宋" w:eastAsia="仿宋"/>
          <w:color w:val="000000"/>
        </w:rPr>
      </w:pPr>
      <w:bookmarkStart w:id="57" w:name="_Toc15396620"/>
      <w:r>
        <w:rPr>
          <w:rFonts w:hint="eastAsia" w:ascii="仿宋" w:hAnsi="仿宋" w:eastAsia="仿宋"/>
          <w:b w:val="0"/>
          <w:color w:val="000000"/>
        </w:rPr>
        <w:t>二、收</w:t>
      </w:r>
      <w:r>
        <w:rPr>
          <w:rStyle w:val="27"/>
          <w:rFonts w:hint="eastAsia" w:ascii="仿宋" w:hAnsi="仿宋" w:eastAsia="仿宋"/>
          <w:b w:val="0"/>
          <w:bCs w:val="0"/>
        </w:rPr>
        <w:t>入决算表</w:t>
      </w:r>
      <w:bookmarkEnd w:id="57"/>
    </w:p>
    <w:p>
      <w:pPr>
        <w:pStyle w:val="4"/>
        <w:rPr>
          <w:rFonts w:ascii="仿宋" w:hAnsi="仿宋" w:eastAsia="仿宋"/>
          <w:color w:val="000000"/>
        </w:rPr>
      </w:pPr>
      <w:bookmarkStart w:id="58" w:name="_Toc15396621"/>
      <w:r>
        <w:rPr>
          <w:rStyle w:val="27"/>
          <w:rFonts w:hint="eastAsia" w:ascii="仿宋" w:hAnsi="仿宋" w:eastAsia="仿宋"/>
          <w:b w:val="0"/>
          <w:bCs w:val="0"/>
        </w:rPr>
        <w:t>三、</w:t>
      </w:r>
      <w:r>
        <w:rPr>
          <w:rFonts w:hint="eastAsia" w:ascii="仿宋" w:hAnsi="仿宋" w:eastAsia="仿宋"/>
          <w:b w:val="0"/>
          <w:color w:val="000000"/>
        </w:rPr>
        <w:t>支</w:t>
      </w:r>
      <w:r>
        <w:rPr>
          <w:rStyle w:val="27"/>
          <w:rFonts w:hint="eastAsia" w:ascii="仿宋" w:hAnsi="仿宋" w:eastAsia="仿宋"/>
          <w:b w:val="0"/>
          <w:bCs w:val="0"/>
        </w:rPr>
        <w:t>出决算表</w:t>
      </w:r>
      <w:bookmarkEnd w:id="58"/>
    </w:p>
    <w:p>
      <w:pPr>
        <w:pStyle w:val="4"/>
        <w:rPr>
          <w:rFonts w:ascii="仿宋" w:hAnsi="仿宋" w:eastAsia="仿宋"/>
          <w:b w:val="0"/>
          <w:color w:val="000000"/>
        </w:rPr>
      </w:pPr>
      <w:bookmarkStart w:id="59" w:name="_Toc15396622"/>
      <w:r>
        <w:rPr>
          <w:rStyle w:val="27"/>
          <w:rFonts w:hint="eastAsia" w:ascii="仿宋" w:hAnsi="仿宋" w:eastAsia="仿宋"/>
          <w:b w:val="0"/>
          <w:bCs w:val="0"/>
        </w:rPr>
        <w:t>四、</w:t>
      </w:r>
      <w:r>
        <w:rPr>
          <w:rFonts w:hint="eastAsia" w:ascii="仿宋" w:hAnsi="仿宋" w:eastAsia="仿宋"/>
          <w:b w:val="0"/>
          <w:color w:val="000000"/>
        </w:rPr>
        <w:t>财</w:t>
      </w:r>
      <w:r>
        <w:rPr>
          <w:rStyle w:val="27"/>
          <w:rFonts w:hint="eastAsia" w:ascii="仿宋" w:hAnsi="仿宋" w:eastAsia="仿宋"/>
          <w:b w:val="0"/>
          <w:bCs w:val="0"/>
        </w:rPr>
        <w:t>政拨款收入支出决算总表</w:t>
      </w:r>
      <w:bookmarkEnd w:id="59"/>
    </w:p>
    <w:p>
      <w:pPr>
        <w:pStyle w:val="4"/>
        <w:rPr>
          <w:rStyle w:val="27"/>
          <w:rFonts w:ascii="仿宋" w:hAnsi="仿宋" w:eastAsia="仿宋"/>
          <w:b w:val="0"/>
          <w:bCs w:val="0"/>
        </w:rPr>
      </w:pPr>
      <w:bookmarkStart w:id="60" w:name="_Toc15396623"/>
      <w:r>
        <w:rPr>
          <w:rStyle w:val="27"/>
          <w:rFonts w:hint="eastAsia" w:ascii="仿宋" w:hAnsi="仿宋" w:eastAsia="仿宋"/>
          <w:b w:val="0"/>
          <w:bCs w:val="0"/>
        </w:rPr>
        <w:t>五、</w:t>
      </w:r>
      <w:r>
        <w:rPr>
          <w:rFonts w:hint="eastAsia" w:ascii="仿宋" w:hAnsi="仿宋" w:eastAsia="仿宋"/>
          <w:b w:val="0"/>
          <w:color w:val="000000"/>
        </w:rPr>
        <w:t>财</w:t>
      </w:r>
      <w:r>
        <w:rPr>
          <w:rStyle w:val="27"/>
          <w:rFonts w:hint="eastAsia" w:ascii="仿宋" w:hAnsi="仿宋" w:eastAsia="仿宋"/>
          <w:b w:val="0"/>
          <w:bCs w:val="0"/>
        </w:rPr>
        <w:t>政拨款支出决算明细表</w:t>
      </w:r>
      <w:bookmarkEnd w:id="60"/>
      <w:bookmarkStart w:id="61" w:name="_Toc15396624"/>
    </w:p>
    <w:p>
      <w:pPr>
        <w:pStyle w:val="4"/>
        <w:rPr>
          <w:rFonts w:ascii="仿宋" w:hAnsi="仿宋" w:eastAsia="仿宋"/>
          <w:color w:val="000000"/>
        </w:rPr>
      </w:pPr>
      <w:r>
        <w:rPr>
          <w:rStyle w:val="27"/>
          <w:rFonts w:hint="eastAsia" w:ascii="仿宋" w:hAnsi="仿宋" w:eastAsia="仿宋"/>
          <w:b w:val="0"/>
          <w:bCs w:val="0"/>
        </w:rPr>
        <w:t>六、</w:t>
      </w:r>
      <w:r>
        <w:rPr>
          <w:rFonts w:hint="eastAsia" w:ascii="仿宋" w:hAnsi="仿宋" w:eastAsia="仿宋"/>
          <w:b w:val="0"/>
          <w:color w:val="000000"/>
        </w:rPr>
        <w:t>一</w:t>
      </w:r>
      <w:r>
        <w:rPr>
          <w:rStyle w:val="27"/>
          <w:rFonts w:hint="eastAsia" w:ascii="仿宋" w:hAnsi="仿宋" w:eastAsia="仿宋"/>
          <w:b w:val="0"/>
          <w:bCs w:val="0"/>
        </w:rPr>
        <w:t>般公共预算财政拨款支出决算表</w:t>
      </w:r>
      <w:bookmarkEnd w:id="61"/>
    </w:p>
    <w:p>
      <w:pPr>
        <w:pStyle w:val="4"/>
        <w:rPr>
          <w:rFonts w:ascii="仿宋" w:hAnsi="仿宋" w:eastAsia="仿宋"/>
          <w:color w:val="000000"/>
        </w:rPr>
      </w:pPr>
      <w:bookmarkStart w:id="62" w:name="_Toc15396625"/>
      <w:r>
        <w:rPr>
          <w:rStyle w:val="27"/>
          <w:rFonts w:hint="eastAsia" w:ascii="仿宋" w:hAnsi="仿宋" w:eastAsia="仿宋"/>
          <w:b w:val="0"/>
          <w:bCs w:val="0"/>
        </w:rPr>
        <w:t>七、</w:t>
      </w:r>
      <w:r>
        <w:rPr>
          <w:rFonts w:hint="eastAsia" w:ascii="仿宋" w:hAnsi="仿宋" w:eastAsia="仿宋"/>
          <w:b w:val="0"/>
          <w:color w:val="000000"/>
        </w:rPr>
        <w:t>一</w:t>
      </w:r>
      <w:r>
        <w:rPr>
          <w:rStyle w:val="27"/>
          <w:rFonts w:hint="eastAsia" w:ascii="仿宋" w:hAnsi="仿宋" w:eastAsia="仿宋"/>
          <w:b w:val="0"/>
          <w:bCs w:val="0"/>
        </w:rPr>
        <w:t>般公共预算财政拨款支出决算明细表</w:t>
      </w:r>
      <w:bookmarkEnd w:id="62"/>
    </w:p>
    <w:p>
      <w:pPr>
        <w:pStyle w:val="4"/>
        <w:rPr>
          <w:rFonts w:ascii="仿宋" w:hAnsi="仿宋" w:eastAsia="仿宋"/>
          <w:color w:val="000000"/>
        </w:rPr>
      </w:pPr>
      <w:bookmarkStart w:id="63" w:name="_Toc15396626"/>
      <w:r>
        <w:rPr>
          <w:rStyle w:val="27"/>
          <w:rFonts w:hint="eastAsia" w:ascii="仿宋" w:hAnsi="仿宋" w:eastAsia="仿宋"/>
          <w:b w:val="0"/>
          <w:bCs w:val="0"/>
        </w:rPr>
        <w:t>八、</w:t>
      </w:r>
      <w:r>
        <w:rPr>
          <w:rFonts w:hint="eastAsia" w:ascii="仿宋" w:hAnsi="仿宋" w:eastAsia="仿宋"/>
          <w:b w:val="0"/>
          <w:color w:val="000000"/>
        </w:rPr>
        <w:t>一</w:t>
      </w:r>
      <w:r>
        <w:rPr>
          <w:rStyle w:val="27"/>
          <w:rFonts w:hint="eastAsia" w:ascii="仿宋" w:hAnsi="仿宋" w:eastAsia="仿宋"/>
          <w:b w:val="0"/>
          <w:bCs w:val="0"/>
        </w:rPr>
        <w:t>般公共预算财政拨款基本支出决算表</w:t>
      </w:r>
      <w:bookmarkEnd w:id="63"/>
    </w:p>
    <w:p>
      <w:pPr>
        <w:pStyle w:val="4"/>
        <w:rPr>
          <w:rFonts w:ascii="仿宋" w:hAnsi="仿宋" w:eastAsia="仿宋"/>
          <w:color w:val="000000"/>
        </w:rPr>
      </w:pPr>
      <w:bookmarkStart w:id="64" w:name="_Toc15396627"/>
      <w:r>
        <w:rPr>
          <w:rStyle w:val="27"/>
          <w:rFonts w:hint="eastAsia" w:ascii="仿宋" w:hAnsi="仿宋" w:eastAsia="仿宋"/>
          <w:b w:val="0"/>
          <w:bCs w:val="0"/>
        </w:rPr>
        <w:t>九、</w:t>
      </w:r>
      <w:r>
        <w:rPr>
          <w:rFonts w:hint="eastAsia" w:ascii="仿宋" w:hAnsi="仿宋" w:eastAsia="仿宋"/>
          <w:b w:val="0"/>
          <w:color w:val="000000"/>
        </w:rPr>
        <w:t>一</w:t>
      </w:r>
      <w:r>
        <w:rPr>
          <w:rStyle w:val="27"/>
          <w:rFonts w:hint="eastAsia" w:ascii="仿宋" w:hAnsi="仿宋" w:eastAsia="仿宋"/>
          <w:b w:val="0"/>
          <w:bCs w:val="0"/>
        </w:rPr>
        <w:t>般公共预算财政拨款项目支出决算表</w:t>
      </w:r>
      <w:bookmarkEnd w:id="64"/>
    </w:p>
    <w:p>
      <w:pPr>
        <w:pStyle w:val="4"/>
        <w:rPr>
          <w:rFonts w:ascii="仿宋" w:hAnsi="仿宋" w:eastAsia="仿宋"/>
          <w:color w:val="000000"/>
        </w:rPr>
      </w:pPr>
      <w:bookmarkStart w:id="65" w:name="_Toc15396628"/>
      <w:r>
        <w:rPr>
          <w:rStyle w:val="27"/>
          <w:rFonts w:hint="eastAsia" w:ascii="仿宋" w:hAnsi="仿宋" w:eastAsia="仿宋"/>
          <w:b w:val="0"/>
          <w:bCs w:val="0"/>
        </w:rPr>
        <w:t>十、</w:t>
      </w:r>
      <w:r>
        <w:rPr>
          <w:rFonts w:hint="eastAsia" w:ascii="仿宋" w:hAnsi="仿宋" w:eastAsia="仿宋"/>
          <w:b w:val="0"/>
          <w:color w:val="000000"/>
        </w:rPr>
        <w:t>一</w:t>
      </w:r>
      <w:r>
        <w:rPr>
          <w:rStyle w:val="27"/>
          <w:rFonts w:hint="eastAsia" w:ascii="仿宋" w:hAnsi="仿宋" w:eastAsia="仿宋"/>
          <w:b w:val="0"/>
          <w:bCs w:val="0"/>
        </w:rPr>
        <w:t>般公共预算财政拨款“三公”经费支出决算表</w:t>
      </w:r>
      <w:bookmarkEnd w:id="65"/>
    </w:p>
    <w:p>
      <w:pPr>
        <w:pStyle w:val="4"/>
        <w:rPr>
          <w:rFonts w:ascii="仿宋" w:hAnsi="仿宋" w:eastAsia="仿宋"/>
          <w:color w:val="000000"/>
        </w:rPr>
      </w:pPr>
      <w:bookmarkStart w:id="66" w:name="_Toc15396629"/>
      <w:r>
        <w:rPr>
          <w:rStyle w:val="27"/>
          <w:rFonts w:hint="eastAsia" w:ascii="仿宋" w:hAnsi="仿宋" w:eastAsia="仿宋"/>
          <w:b w:val="0"/>
          <w:bCs w:val="0"/>
        </w:rPr>
        <w:t>十一、</w:t>
      </w:r>
      <w:r>
        <w:rPr>
          <w:rFonts w:hint="eastAsia" w:ascii="仿宋" w:hAnsi="仿宋" w:eastAsia="仿宋"/>
          <w:b w:val="0"/>
          <w:color w:val="000000"/>
        </w:rPr>
        <w:t>政</w:t>
      </w:r>
      <w:r>
        <w:rPr>
          <w:rStyle w:val="27"/>
          <w:rFonts w:hint="eastAsia" w:ascii="仿宋" w:hAnsi="仿宋" w:eastAsia="仿宋"/>
          <w:b w:val="0"/>
          <w:bCs w:val="0"/>
        </w:rPr>
        <w:t>府性基金预算财政拨款收入支出决算表</w:t>
      </w:r>
      <w:bookmarkEnd w:id="66"/>
    </w:p>
    <w:p>
      <w:pPr>
        <w:pStyle w:val="4"/>
        <w:rPr>
          <w:rFonts w:ascii="仿宋" w:hAnsi="仿宋" w:eastAsia="仿宋"/>
          <w:color w:val="000000"/>
        </w:rPr>
      </w:pPr>
      <w:bookmarkStart w:id="67" w:name="_Toc15396630"/>
      <w:r>
        <w:rPr>
          <w:rStyle w:val="27"/>
          <w:rFonts w:hint="eastAsia" w:ascii="仿宋" w:hAnsi="仿宋" w:eastAsia="仿宋"/>
          <w:b w:val="0"/>
          <w:bCs w:val="0"/>
        </w:rPr>
        <w:t>十二、</w:t>
      </w:r>
      <w:r>
        <w:rPr>
          <w:rFonts w:hint="eastAsia" w:ascii="仿宋" w:hAnsi="仿宋" w:eastAsia="仿宋"/>
          <w:b w:val="0"/>
          <w:color w:val="000000"/>
        </w:rPr>
        <w:t>政</w:t>
      </w:r>
      <w:r>
        <w:rPr>
          <w:rStyle w:val="27"/>
          <w:rFonts w:hint="eastAsia" w:ascii="仿宋" w:hAnsi="仿宋" w:eastAsia="仿宋"/>
          <w:b w:val="0"/>
          <w:bCs w:val="0"/>
        </w:rPr>
        <w:t>府性基金预算财政拨款“三公”经费支出决算表</w:t>
      </w:r>
      <w:bookmarkEnd w:id="67"/>
    </w:p>
    <w:p>
      <w:pPr>
        <w:pStyle w:val="4"/>
        <w:rPr>
          <w:rFonts w:ascii="仿宋" w:hAnsi="仿宋" w:eastAsia="仿宋"/>
          <w:color w:val="000000" w:themeColor="text1"/>
        </w:rPr>
      </w:pPr>
      <w:bookmarkStart w:id="68" w:name="_Toc15396631"/>
      <w:r>
        <w:rPr>
          <w:rStyle w:val="27"/>
          <w:rFonts w:hint="eastAsia" w:ascii="仿宋" w:hAnsi="仿宋" w:eastAsia="仿宋"/>
          <w:b w:val="0"/>
          <w:bCs w:val="0"/>
        </w:rPr>
        <w:t>十三、</w:t>
      </w:r>
      <w:r>
        <w:rPr>
          <w:rFonts w:hint="eastAsia" w:ascii="仿宋" w:hAnsi="仿宋" w:eastAsia="仿宋"/>
          <w:b w:val="0"/>
          <w:color w:val="000000"/>
        </w:rPr>
        <w:t>国</w:t>
      </w:r>
      <w:r>
        <w:rPr>
          <w:rStyle w:val="27"/>
          <w:rFonts w:hint="eastAsia" w:ascii="仿宋" w:hAnsi="仿宋" w:eastAsia="仿宋"/>
          <w:b w:val="0"/>
          <w:bCs w:val="0"/>
        </w:rPr>
        <w:t>有资本经营预算支出决算表</w:t>
      </w:r>
      <w:bookmarkEnd w:id="68"/>
    </w:p>
    <w:sectPr>
      <w:footerReference r:id="rId11"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
    <w:altName w:val="Times New Roman"/>
    <w:panose1 w:val="00000000000000000000"/>
    <w:charset w:val="00"/>
    <w:family w:val="roman"/>
    <w:pitch w:val="default"/>
    <w:sig w:usb0="00000000" w:usb1="00000000" w:usb2="00000000" w:usb3="00000000" w:csb0="00000001" w:csb1="00000000"/>
  </w:font>
  <w:font w:name="方正小标宋简体">
    <w:altName w:val="黑体"/>
    <w:panose1 w:val="00000000000000000000"/>
    <w:charset w:val="86"/>
    <w:family w:val="script"/>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fldChar w:fldCharType="begin"/>
    </w:r>
    <w:r>
      <w:instrText xml:space="preserve">PAGE   \* MERGEFORMAT</w:instrText>
    </w:r>
    <w:r>
      <w:fldChar w:fldCharType="separate"/>
    </w:r>
    <w:r>
      <w:rPr>
        <w:lang w:val="zh-CN"/>
      </w:rPr>
      <w:t>23</w:t>
    </w:r>
    <w:r>
      <w:rPr>
        <w:lang w:val="zh-CN"/>
      </w:rPr>
      <w:fldChar w:fldCharType="end"/>
    </w:r>
  </w:p>
  <w:p>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30831518"/>
    </w:sdtPr>
    <w:sdtContent>
      <w:p>
        <w:pPr>
          <w:pStyle w:val="9"/>
        </w:pP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 PAGE   \* MERGEFORMAT </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lang w:val="zh-CN"/>
          </w:rPr>
          <w:t>-</w:t>
        </w:r>
        <w:r>
          <w:rPr>
            <w:rFonts w:asciiTheme="minorEastAsia" w:hAnsiTheme="minorEastAsia" w:eastAsiaTheme="minorEastAsia"/>
            <w:sz w:val="28"/>
            <w:szCs w:val="28"/>
          </w:rPr>
          <w:t xml:space="preserve"> 12 -</w:t>
        </w:r>
        <w:r>
          <w:rPr>
            <w:rFonts w:asciiTheme="minorEastAsia" w:hAnsiTheme="minorEastAsia" w:eastAsiaTheme="minorEastAsia"/>
            <w:sz w:val="28"/>
            <w:szCs w:val="28"/>
          </w:rPr>
          <w:fldChar w:fldCharType="end"/>
        </w:r>
      </w:p>
    </w:sdtContent>
  </w:sdt>
  <w:p>
    <w:pPr>
      <w:pStyle w:val="9"/>
      <w:tabs>
        <w:tab w:val="right" w:pos="9184"/>
        <w:tab w:val="clear" w:pos="4153"/>
        <w:tab w:val="clear" w:pos="8306"/>
      </w:tabs>
      <w:rPr>
        <w:rFonts w:ascii="宋体" w:hAnsi="宋体"/>
        <w:sz w:val="28"/>
        <w:szCs w:val="28"/>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Content>
      <w:p>
        <w:pPr>
          <w:pStyle w:val="9"/>
          <w:jc w:val="center"/>
        </w:pPr>
        <w:r>
          <w:fldChar w:fldCharType="begin"/>
        </w:r>
        <w:r>
          <w:instrText xml:space="preserve">PAGE   \* MERGEFORMAT</w:instrText>
        </w:r>
        <w:r>
          <w:fldChar w:fldCharType="separate"/>
        </w:r>
        <w:r>
          <w:rPr>
            <w:lang w:val="zh-CN"/>
          </w:rPr>
          <w:t>17</w:t>
        </w:r>
        <w:r>
          <w:rPr>
            <w:lang w:val="zh-CN"/>
          </w:rPr>
          <w:fldChar w:fldCharType="end"/>
        </w:r>
      </w:p>
    </w:sdtContent>
  </w:sdt>
  <w:p>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2FA047D"/>
    <w:multiLevelType w:val="singleLevel"/>
    <w:tmpl w:val="E2FA047D"/>
    <w:lvl w:ilvl="0" w:tentative="0">
      <w:start w:val="3"/>
      <w:numFmt w:val="chineseCounting"/>
      <w:suff w:val="space"/>
      <w:lvlText w:val="第%1部分"/>
      <w:lvlJc w:val="left"/>
      <w:rPr>
        <w:rFonts w:hint="eastAsia"/>
      </w:rPr>
    </w:lvl>
  </w:abstractNum>
  <w:abstractNum w:abstractNumId="1">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2">
    <w:nsid w:val="7B0F4126"/>
    <w:multiLevelType w:val="multilevel"/>
    <w:tmpl w:val="7B0F4126"/>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TM2YmEzNGUxODFlZWIyNDMxODdmMjdmY2QyMjg2ODcifQ=="/>
  </w:docVars>
  <w:rsids>
    <w:rsidRoot w:val="00F1361C"/>
    <w:rsid w:val="00000CD2"/>
    <w:rsid w:val="00020D3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A2066"/>
    <w:rsid w:val="001C0962"/>
    <w:rsid w:val="001D7531"/>
    <w:rsid w:val="001E67F7"/>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19B0"/>
    <w:rsid w:val="002D6D05"/>
    <w:rsid w:val="002E05DC"/>
    <w:rsid w:val="002F1818"/>
    <w:rsid w:val="002F567B"/>
    <w:rsid w:val="003216A9"/>
    <w:rsid w:val="00335A74"/>
    <w:rsid w:val="00337D6F"/>
    <w:rsid w:val="003527DD"/>
    <w:rsid w:val="0036561B"/>
    <w:rsid w:val="00366D82"/>
    <w:rsid w:val="0037013F"/>
    <w:rsid w:val="0037644D"/>
    <w:rsid w:val="00380C92"/>
    <w:rsid w:val="003A484F"/>
    <w:rsid w:val="003A4883"/>
    <w:rsid w:val="003B0BE0"/>
    <w:rsid w:val="003B0C1B"/>
    <w:rsid w:val="003B688C"/>
    <w:rsid w:val="003C0291"/>
    <w:rsid w:val="003C39AE"/>
    <w:rsid w:val="003C7B60"/>
    <w:rsid w:val="003D0C0F"/>
    <w:rsid w:val="003D1FB2"/>
    <w:rsid w:val="003D66DA"/>
    <w:rsid w:val="003E1310"/>
    <w:rsid w:val="003E6F55"/>
    <w:rsid w:val="003F26C5"/>
    <w:rsid w:val="004046C2"/>
    <w:rsid w:val="00406254"/>
    <w:rsid w:val="00416CD4"/>
    <w:rsid w:val="004223DE"/>
    <w:rsid w:val="00434489"/>
    <w:rsid w:val="00437085"/>
    <w:rsid w:val="00443880"/>
    <w:rsid w:val="004464F4"/>
    <w:rsid w:val="004709B6"/>
    <w:rsid w:val="00471401"/>
    <w:rsid w:val="00473F31"/>
    <w:rsid w:val="0048263A"/>
    <w:rsid w:val="00487E5D"/>
    <w:rsid w:val="00494766"/>
    <w:rsid w:val="004A0BCF"/>
    <w:rsid w:val="004A711F"/>
    <w:rsid w:val="004B199D"/>
    <w:rsid w:val="004B4690"/>
    <w:rsid w:val="004B77CB"/>
    <w:rsid w:val="004E0A2D"/>
    <w:rsid w:val="004E206B"/>
    <w:rsid w:val="004E6DF7"/>
    <w:rsid w:val="004F0FBD"/>
    <w:rsid w:val="004F403E"/>
    <w:rsid w:val="00505A47"/>
    <w:rsid w:val="00512FDA"/>
    <w:rsid w:val="00520DA0"/>
    <w:rsid w:val="005664BB"/>
    <w:rsid w:val="00566FFA"/>
    <w:rsid w:val="0057481D"/>
    <w:rsid w:val="00575F0B"/>
    <w:rsid w:val="0058486E"/>
    <w:rsid w:val="00585B33"/>
    <w:rsid w:val="0059014D"/>
    <w:rsid w:val="0059337E"/>
    <w:rsid w:val="005B5C64"/>
    <w:rsid w:val="005C1FC0"/>
    <w:rsid w:val="005C6BD0"/>
    <w:rsid w:val="005C6C4C"/>
    <w:rsid w:val="005D1C8B"/>
    <w:rsid w:val="005D468D"/>
    <w:rsid w:val="005D5CED"/>
    <w:rsid w:val="005F1A4C"/>
    <w:rsid w:val="00602E2F"/>
    <w:rsid w:val="0060495E"/>
    <w:rsid w:val="00605688"/>
    <w:rsid w:val="006070AF"/>
    <w:rsid w:val="00607E6C"/>
    <w:rsid w:val="006101B1"/>
    <w:rsid w:val="00614E44"/>
    <w:rsid w:val="0062270A"/>
    <w:rsid w:val="00622830"/>
    <w:rsid w:val="00623DA0"/>
    <w:rsid w:val="00627034"/>
    <w:rsid w:val="00630AEF"/>
    <w:rsid w:val="006325F8"/>
    <w:rsid w:val="00633463"/>
    <w:rsid w:val="00634C9A"/>
    <w:rsid w:val="00640B98"/>
    <w:rsid w:val="006440E4"/>
    <w:rsid w:val="0066343B"/>
    <w:rsid w:val="00664777"/>
    <w:rsid w:val="006748A4"/>
    <w:rsid w:val="00681A31"/>
    <w:rsid w:val="00683E73"/>
    <w:rsid w:val="006A3141"/>
    <w:rsid w:val="006A5E34"/>
    <w:rsid w:val="006B2422"/>
    <w:rsid w:val="006B2B9A"/>
    <w:rsid w:val="006C1937"/>
    <w:rsid w:val="006F020C"/>
    <w:rsid w:val="007127B7"/>
    <w:rsid w:val="00716E90"/>
    <w:rsid w:val="0071798E"/>
    <w:rsid w:val="00727533"/>
    <w:rsid w:val="007416B6"/>
    <w:rsid w:val="00746F48"/>
    <w:rsid w:val="0075404D"/>
    <w:rsid w:val="0076182A"/>
    <w:rsid w:val="00767B7E"/>
    <w:rsid w:val="007770C3"/>
    <w:rsid w:val="00782CBA"/>
    <w:rsid w:val="00784D24"/>
    <w:rsid w:val="00785FBA"/>
    <w:rsid w:val="00786E4A"/>
    <w:rsid w:val="00787259"/>
    <w:rsid w:val="007875EB"/>
    <w:rsid w:val="00793E6D"/>
    <w:rsid w:val="0079426B"/>
    <w:rsid w:val="007D1682"/>
    <w:rsid w:val="007D312A"/>
    <w:rsid w:val="007D3F19"/>
    <w:rsid w:val="007E23B0"/>
    <w:rsid w:val="007F1991"/>
    <w:rsid w:val="007F2C2F"/>
    <w:rsid w:val="007F55FC"/>
    <w:rsid w:val="007F5665"/>
    <w:rsid w:val="00800112"/>
    <w:rsid w:val="00813348"/>
    <w:rsid w:val="00821628"/>
    <w:rsid w:val="008253BB"/>
    <w:rsid w:val="00826B35"/>
    <w:rsid w:val="00833962"/>
    <w:rsid w:val="0083706E"/>
    <w:rsid w:val="008408F6"/>
    <w:rsid w:val="008423A5"/>
    <w:rsid w:val="00850625"/>
    <w:rsid w:val="00853718"/>
    <w:rsid w:val="00855221"/>
    <w:rsid w:val="00860645"/>
    <w:rsid w:val="00871F71"/>
    <w:rsid w:val="00872FD8"/>
    <w:rsid w:val="00885AF4"/>
    <w:rsid w:val="008939CD"/>
    <w:rsid w:val="008A7701"/>
    <w:rsid w:val="008B768C"/>
    <w:rsid w:val="008C4DB1"/>
    <w:rsid w:val="008C4EAF"/>
    <w:rsid w:val="008C5176"/>
    <w:rsid w:val="008C7FD0"/>
    <w:rsid w:val="008E1DE7"/>
    <w:rsid w:val="008E707C"/>
    <w:rsid w:val="008F0C32"/>
    <w:rsid w:val="00900B08"/>
    <w:rsid w:val="00902155"/>
    <w:rsid w:val="00902FA3"/>
    <w:rsid w:val="009046E7"/>
    <w:rsid w:val="00913491"/>
    <w:rsid w:val="00923011"/>
    <w:rsid w:val="00923564"/>
    <w:rsid w:val="0092392E"/>
    <w:rsid w:val="009315F9"/>
    <w:rsid w:val="00933499"/>
    <w:rsid w:val="00934B40"/>
    <w:rsid w:val="00935C98"/>
    <w:rsid w:val="00946945"/>
    <w:rsid w:val="009508BD"/>
    <w:rsid w:val="00951248"/>
    <w:rsid w:val="0095152F"/>
    <w:rsid w:val="00954C49"/>
    <w:rsid w:val="00955E37"/>
    <w:rsid w:val="00956442"/>
    <w:rsid w:val="00964A3A"/>
    <w:rsid w:val="0097099F"/>
    <w:rsid w:val="009715CC"/>
    <w:rsid w:val="00971997"/>
    <w:rsid w:val="00971FFC"/>
    <w:rsid w:val="0098660A"/>
    <w:rsid w:val="009931C3"/>
    <w:rsid w:val="009B2C43"/>
    <w:rsid w:val="009B4EAE"/>
    <w:rsid w:val="009B7573"/>
    <w:rsid w:val="009C22F4"/>
    <w:rsid w:val="009C2E98"/>
    <w:rsid w:val="009C37FB"/>
    <w:rsid w:val="009D3447"/>
    <w:rsid w:val="009D4711"/>
    <w:rsid w:val="009F1185"/>
    <w:rsid w:val="009F18CD"/>
    <w:rsid w:val="009F2A13"/>
    <w:rsid w:val="009F5345"/>
    <w:rsid w:val="009F7527"/>
    <w:rsid w:val="00A039ED"/>
    <w:rsid w:val="00A04EB0"/>
    <w:rsid w:val="00A13CC1"/>
    <w:rsid w:val="00A16847"/>
    <w:rsid w:val="00A2111A"/>
    <w:rsid w:val="00A216E9"/>
    <w:rsid w:val="00A237D8"/>
    <w:rsid w:val="00A268C4"/>
    <w:rsid w:val="00A307CD"/>
    <w:rsid w:val="00A331C8"/>
    <w:rsid w:val="00A35117"/>
    <w:rsid w:val="00A36E4A"/>
    <w:rsid w:val="00A40A00"/>
    <w:rsid w:val="00A4142F"/>
    <w:rsid w:val="00A422EB"/>
    <w:rsid w:val="00A45BB7"/>
    <w:rsid w:val="00A56DF2"/>
    <w:rsid w:val="00A56E6E"/>
    <w:rsid w:val="00A67AB5"/>
    <w:rsid w:val="00A733B2"/>
    <w:rsid w:val="00A741C2"/>
    <w:rsid w:val="00A74D80"/>
    <w:rsid w:val="00A91760"/>
    <w:rsid w:val="00A93B00"/>
    <w:rsid w:val="00A93C21"/>
    <w:rsid w:val="00AB64C9"/>
    <w:rsid w:val="00AC3C6A"/>
    <w:rsid w:val="00AD0F83"/>
    <w:rsid w:val="00AD5620"/>
    <w:rsid w:val="00AD656B"/>
    <w:rsid w:val="00AD7C1B"/>
    <w:rsid w:val="00AE16BA"/>
    <w:rsid w:val="00AE1EBE"/>
    <w:rsid w:val="00AF6A06"/>
    <w:rsid w:val="00B03C9D"/>
    <w:rsid w:val="00B060AE"/>
    <w:rsid w:val="00B10517"/>
    <w:rsid w:val="00B14E76"/>
    <w:rsid w:val="00B161B8"/>
    <w:rsid w:val="00B2048C"/>
    <w:rsid w:val="00B20A20"/>
    <w:rsid w:val="00B229AF"/>
    <w:rsid w:val="00B310B9"/>
    <w:rsid w:val="00B35F3F"/>
    <w:rsid w:val="00B36753"/>
    <w:rsid w:val="00B36CBB"/>
    <w:rsid w:val="00B425E0"/>
    <w:rsid w:val="00B440AA"/>
    <w:rsid w:val="00B44B70"/>
    <w:rsid w:val="00B53C56"/>
    <w:rsid w:val="00B57DAF"/>
    <w:rsid w:val="00B77EA6"/>
    <w:rsid w:val="00B81598"/>
    <w:rsid w:val="00B8270B"/>
    <w:rsid w:val="00B841F1"/>
    <w:rsid w:val="00B944D6"/>
    <w:rsid w:val="00B952C4"/>
    <w:rsid w:val="00BA624A"/>
    <w:rsid w:val="00BB0A54"/>
    <w:rsid w:val="00BB4DF0"/>
    <w:rsid w:val="00BC289F"/>
    <w:rsid w:val="00BC2D50"/>
    <w:rsid w:val="00BC5361"/>
    <w:rsid w:val="00BC5460"/>
    <w:rsid w:val="00BC6B50"/>
    <w:rsid w:val="00BD0E25"/>
    <w:rsid w:val="00BF5BD6"/>
    <w:rsid w:val="00C03E31"/>
    <w:rsid w:val="00C30E69"/>
    <w:rsid w:val="00C33E72"/>
    <w:rsid w:val="00C354B2"/>
    <w:rsid w:val="00C35554"/>
    <w:rsid w:val="00C42709"/>
    <w:rsid w:val="00C507D4"/>
    <w:rsid w:val="00C533CC"/>
    <w:rsid w:val="00C5751C"/>
    <w:rsid w:val="00C61BFC"/>
    <w:rsid w:val="00C62B85"/>
    <w:rsid w:val="00C65438"/>
    <w:rsid w:val="00C72A80"/>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46134"/>
    <w:rsid w:val="00D51276"/>
    <w:rsid w:val="00D7035F"/>
    <w:rsid w:val="00DA634F"/>
    <w:rsid w:val="00DA65AC"/>
    <w:rsid w:val="00DB1913"/>
    <w:rsid w:val="00DC410D"/>
    <w:rsid w:val="00DC5A81"/>
    <w:rsid w:val="00DC68CA"/>
    <w:rsid w:val="00DC7CBA"/>
    <w:rsid w:val="00DD38BB"/>
    <w:rsid w:val="00DD73B7"/>
    <w:rsid w:val="00DF28BC"/>
    <w:rsid w:val="00DF34B9"/>
    <w:rsid w:val="00E01053"/>
    <w:rsid w:val="00E07ACF"/>
    <w:rsid w:val="00E331A1"/>
    <w:rsid w:val="00E33202"/>
    <w:rsid w:val="00E336A9"/>
    <w:rsid w:val="00E472B1"/>
    <w:rsid w:val="00E50624"/>
    <w:rsid w:val="00E568DF"/>
    <w:rsid w:val="00E64269"/>
    <w:rsid w:val="00E66797"/>
    <w:rsid w:val="00E678C2"/>
    <w:rsid w:val="00E82267"/>
    <w:rsid w:val="00E853CE"/>
    <w:rsid w:val="00E867B6"/>
    <w:rsid w:val="00E87F08"/>
    <w:rsid w:val="00E96F1E"/>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274E5"/>
    <w:rsid w:val="00F36D8F"/>
    <w:rsid w:val="00F417B1"/>
    <w:rsid w:val="00F45853"/>
    <w:rsid w:val="00F602DF"/>
    <w:rsid w:val="00F73B20"/>
    <w:rsid w:val="00F754A1"/>
    <w:rsid w:val="00F81FD9"/>
    <w:rsid w:val="00F841AA"/>
    <w:rsid w:val="00F84A94"/>
    <w:rsid w:val="00F87E96"/>
    <w:rsid w:val="00FA23E8"/>
    <w:rsid w:val="00FB4FF9"/>
    <w:rsid w:val="00FD3CC1"/>
    <w:rsid w:val="00FE047F"/>
    <w:rsid w:val="00FF1E02"/>
    <w:rsid w:val="00FF30B4"/>
    <w:rsid w:val="0C41302A"/>
    <w:rsid w:val="10C055FF"/>
    <w:rsid w:val="126D291D"/>
    <w:rsid w:val="15033573"/>
    <w:rsid w:val="16BB723D"/>
    <w:rsid w:val="1D1638FE"/>
    <w:rsid w:val="1F014240"/>
    <w:rsid w:val="211A5432"/>
    <w:rsid w:val="240371BF"/>
    <w:rsid w:val="29FD04D3"/>
    <w:rsid w:val="319F7F4E"/>
    <w:rsid w:val="36B74B2C"/>
    <w:rsid w:val="372F4662"/>
    <w:rsid w:val="373638E3"/>
    <w:rsid w:val="438423EA"/>
    <w:rsid w:val="4CE74FBF"/>
    <w:rsid w:val="4ECE2238"/>
    <w:rsid w:val="553C1B05"/>
    <w:rsid w:val="6762114B"/>
    <w:rsid w:val="6CF713C4"/>
    <w:rsid w:val="70DD1A03"/>
    <w:rsid w:val="72734D90"/>
    <w:rsid w:val="747B71FB"/>
    <w:rsid w:val="753A35BC"/>
    <w:rsid w:val="77047A43"/>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6"/>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7"/>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30"/>
    <w:unhideWhenUsed/>
    <w:qFormat/>
    <w:uiPriority w:val="9"/>
    <w:pPr>
      <w:keepNext/>
      <w:keepLines/>
      <w:spacing w:before="260" w:after="260" w:line="416" w:lineRule="auto"/>
      <w:outlineLvl w:val="2"/>
    </w:pPr>
    <w:rPr>
      <w:b/>
      <w:bCs/>
      <w:sz w:val="32"/>
      <w:szCs w:val="32"/>
    </w:rPr>
  </w:style>
  <w:style w:type="character" w:default="1" w:styleId="15">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23"/>
    <w:qFormat/>
    <w:uiPriority w:val="99"/>
    <w:pPr>
      <w:spacing w:beforeLines="30"/>
    </w:pPr>
    <w:rPr>
      <w:rFonts w:ascii="仿宋_GB2312" w:eastAsia="仿宋_GB2312"/>
      <w:kern w:val="0"/>
      <w:sz w:val="30"/>
    </w:rPr>
  </w:style>
  <w:style w:type="paragraph" w:styleId="6">
    <w:name w:val="toc 3"/>
    <w:basedOn w:val="1"/>
    <w:next w:val="1"/>
    <w:unhideWhenUsed/>
    <w:qFormat/>
    <w:uiPriority w:val="39"/>
    <w:pPr>
      <w:tabs>
        <w:tab w:val="right" w:leader="dot" w:pos="8296"/>
      </w:tabs>
      <w:ind w:left="840" w:leftChars="400"/>
    </w:pPr>
  </w:style>
  <w:style w:type="paragraph" w:styleId="7">
    <w:name w:val="Plain Text"/>
    <w:basedOn w:val="1"/>
    <w:next w:val="1"/>
    <w:qFormat/>
    <w:uiPriority w:val="0"/>
    <w:rPr>
      <w:rFonts w:ascii="宋体"/>
      <w:szCs w:val="20"/>
    </w:rPr>
  </w:style>
  <w:style w:type="paragraph" w:styleId="8">
    <w:name w:val="Balloon Text"/>
    <w:basedOn w:val="1"/>
    <w:link w:val="29"/>
    <w:semiHidden/>
    <w:unhideWhenUsed/>
    <w:qFormat/>
    <w:uiPriority w:val="99"/>
    <w:rPr>
      <w:sz w:val="18"/>
      <w:szCs w:val="18"/>
    </w:rPr>
  </w:style>
  <w:style w:type="paragraph" w:styleId="9">
    <w:name w:val="footer"/>
    <w:basedOn w:val="1"/>
    <w:link w:val="21"/>
    <w:qFormat/>
    <w:uiPriority w:val="99"/>
    <w:pPr>
      <w:tabs>
        <w:tab w:val="center" w:pos="4153"/>
        <w:tab w:val="right" w:pos="8306"/>
      </w:tabs>
      <w:snapToGrid w:val="0"/>
      <w:jc w:val="left"/>
    </w:pPr>
    <w:rPr>
      <w:rFonts w:ascii="Calibri" w:hAnsi="Calibri"/>
      <w:kern w:val="0"/>
      <w:sz w:val="18"/>
      <w:szCs w:val="18"/>
    </w:rPr>
  </w:style>
  <w:style w:type="paragraph" w:styleId="10">
    <w:name w:val="header"/>
    <w:basedOn w:val="1"/>
    <w:link w:val="19"/>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1">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2">
    <w:name w:val="toc 2"/>
    <w:basedOn w:val="1"/>
    <w:next w:val="1"/>
    <w:unhideWhenUsed/>
    <w:qFormat/>
    <w:uiPriority w:val="39"/>
    <w:pPr>
      <w:tabs>
        <w:tab w:val="right" w:leader="dot" w:pos="8296"/>
      </w:tabs>
      <w:ind w:left="420" w:leftChars="200"/>
    </w:pPr>
  </w:style>
  <w:style w:type="paragraph" w:styleId="13">
    <w:name w:val="Title"/>
    <w:basedOn w:val="1"/>
    <w:qFormat/>
    <w:uiPriority w:val="0"/>
    <w:pPr>
      <w:spacing w:before="240" w:after="60"/>
      <w:jc w:val="center"/>
      <w:outlineLvl w:val="0"/>
    </w:pPr>
    <w:rPr>
      <w:rFonts w:ascii="Arial" w:hAnsi="Arial" w:cs="Arial"/>
      <w:b/>
      <w:bCs/>
      <w:sz w:val="32"/>
      <w:szCs w:val="32"/>
    </w:rPr>
  </w:style>
  <w:style w:type="character" w:styleId="16">
    <w:name w:val="Strong"/>
    <w:basedOn w:val="15"/>
    <w:qFormat/>
    <w:uiPriority w:val="99"/>
    <w:rPr>
      <w:b/>
    </w:rPr>
  </w:style>
  <w:style w:type="character" w:styleId="17">
    <w:name w:val="Hyperlink"/>
    <w:basedOn w:val="15"/>
    <w:unhideWhenUsed/>
    <w:qFormat/>
    <w:uiPriority w:val="99"/>
    <w:rPr>
      <w:color w:val="0000FF" w:themeColor="hyperlink"/>
      <w:u w:val="single"/>
    </w:rPr>
  </w:style>
  <w:style w:type="character" w:customStyle="1" w:styleId="18">
    <w:name w:val="Header Char"/>
    <w:basedOn w:val="15"/>
    <w:semiHidden/>
    <w:qFormat/>
    <w:uiPriority w:val="99"/>
    <w:rPr>
      <w:rFonts w:ascii="Times New Roman" w:hAnsi="Times New Roman"/>
      <w:sz w:val="18"/>
      <w:szCs w:val="18"/>
    </w:rPr>
  </w:style>
  <w:style w:type="character" w:customStyle="1" w:styleId="19">
    <w:name w:val="页眉 Char"/>
    <w:link w:val="10"/>
    <w:semiHidden/>
    <w:qFormat/>
    <w:locked/>
    <w:uiPriority w:val="99"/>
    <w:rPr>
      <w:sz w:val="18"/>
    </w:rPr>
  </w:style>
  <w:style w:type="character" w:customStyle="1" w:styleId="20">
    <w:name w:val="Footer Char"/>
    <w:basedOn w:val="15"/>
    <w:semiHidden/>
    <w:qFormat/>
    <w:uiPriority w:val="99"/>
    <w:rPr>
      <w:rFonts w:ascii="Times New Roman" w:hAnsi="Times New Roman"/>
      <w:sz w:val="18"/>
      <w:szCs w:val="18"/>
    </w:rPr>
  </w:style>
  <w:style w:type="character" w:customStyle="1" w:styleId="21">
    <w:name w:val="页脚 Char"/>
    <w:link w:val="9"/>
    <w:qFormat/>
    <w:locked/>
    <w:uiPriority w:val="99"/>
    <w:rPr>
      <w:sz w:val="18"/>
    </w:rPr>
  </w:style>
  <w:style w:type="character" w:customStyle="1" w:styleId="22">
    <w:name w:val="Body Text Char"/>
    <w:basedOn w:val="15"/>
    <w:semiHidden/>
    <w:qFormat/>
    <w:uiPriority w:val="99"/>
    <w:rPr>
      <w:rFonts w:ascii="Times New Roman" w:hAnsi="Times New Roman"/>
      <w:szCs w:val="24"/>
    </w:rPr>
  </w:style>
  <w:style w:type="character" w:customStyle="1" w:styleId="23">
    <w:name w:val="正文文本 Char"/>
    <w:link w:val="2"/>
    <w:qFormat/>
    <w:locked/>
    <w:uiPriority w:val="99"/>
    <w:rPr>
      <w:rFonts w:ascii="仿宋_GB2312" w:hAnsi="Times New Roman" w:eastAsia="仿宋_GB2312"/>
      <w:sz w:val="24"/>
    </w:rPr>
  </w:style>
  <w:style w:type="paragraph" w:customStyle="1" w:styleId="24">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5">
    <w:name w:val="List Paragraph"/>
    <w:basedOn w:val="1"/>
    <w:qFormat/>
    <w:uiPriority w:val="34"/>
    <w:pPr>
      <w:ind w:firstLine="420" w:firstLineChars="200"/>
    </w:pPr>
  </w:style>
  <w:style w:type="character" w:customStyle="1" w:styleId="26">
    <w:name w:val="标题 1 Char"/>
    <w:basedOn w:val="15"/>
    <w:link w:val="3"/>
    <w:qFormat/>
    <w:uiPriority w:val="9"/>
    <w:rPr>
      <w:rFonts w:ascii="Times New Roman" w:hAnsi="Times New Roman"/>
      <w:b/>
      <w:bCs/>
      <w:kern w:val="44"/>
      <w:sz w:val="44"/>
      <w:szCs w:val="44"/>
    </w:rPr>
  </w:style>
  <w:style w:type="character" w:customStyle="1" w:styleId="27">
    <w:name w:val="标题 2 Char"/>
    <w:basedOn w:val="15"/>
    <w:link w:val="4"/>
    <w:qFormat/>
    <w:uiPriority w:val="9"/>
    <w:rPr>
      <w:rFonts w:asciiTheme="majorHAnsi" w:hAnsiTheme="majorHAnsi" w:eastAsiaTheme="majorEastAsia" w:cstheme="majorBidi"/>
      <w:b/>
      <w:bCs/>
      <w:kern w:val="2"/>
      <w:sz w:val="32"/>
      <w:szCs w:val="32"/>
    </w:rPr>
  </w:style>
  <w:style w:type="paragraph" w:customStyle="1" w:styleId="28">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character" w:customStyle="1" w:styleId="29">
    <w:name w:val="批注框文本 Char"/>
    <w:basedOn w:val="15"/>
    <w:link w:val="8"/>
    <w:semiHidden/>
    <w:qFormat/>
    <w:uiPriority w:val="99"/>
    <w:rPr>
      <w:rFonts w:ascii="Times New Roman" w:hAnsi="Times New Roman"/>
      <w:kern w:val="2"/>
      <w:sz w:val="18"/>
      <w:szCs w:val="18"/>
    </w:rPr>
  </w:style>
  <w:style w:type="character" w:customStyle="1" w:styleId="30">
    <w:name w:val="标题 3 Char"/>
    <w:basedOn w:val="15"/>
    <w:link w:val="5"/>
    <w:qFormat/>
    <w:uiPriority w:val="9"/>
    <w:rPr>
      <w:rFonts w:ascii="Times New Roman" w:hAnsi="Times New Roman"/>
      <w:b/>
      <w:bCs/>
      <w:kern w:val="2"/>
      <w:sz w:val="32"/>
      <w:szCs w:val="32"/>
    </w:rPr>
  </w:style>
  <w:style w:type="paragraph" w:customStyle="1" w:styleId="31">
    <w:name w:val="TOC 标题2"/>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paragraph" w:customStyle="1" w:styleId="32">
    <w:name w:val="_Style 4"/>
    <w:next w:val="1"/>
    <w:qFormat/>
    <w:uiPriority w:val="0"/>
    <w:pPr>
      <w:ind w:firstLine="200" w:firstLineChars="200"/>
    </w:pPr>
    <w:rPr>
      <w:rFonts w:ascii="Times New Roman" w:hAnsi="Times New Roman" w:eastAsia="楷体_GB2312" w:cs="Times New Roman"/>
      <w:lang w:val="en-US" w:eastAsia="zh-CN" w:bidi="ar-SA"/>
    </w:rPr>
  </w:style>
  <w:style w:type="paragraph" w:customStyle="1" w:styleId="33">
    <w:name w:val="四号正文"/>
    <w:basedOn w:val="1"/>
    <w:qFormat/>
    <w:uiPriority w:val="0"/>
    <w:pPr>
      <w:spacing w:line="360" w:lineRule="auto"/>
    </w:pPr>
    <w:rPr>
      <w:rFonts w:ascii="??" w:hAnsi="??"/>
      <w:color w:val="000000"/>
      <w:kern w:val="0"/>
      <w:sz w:val="28"/>
      <w:szCs w:val="21"/>
      <w:lang w:val="zh-CN"/>
    </w:rPr>
  </w:style>
</w:styles>
</file>

<file path=word/_rels/document.xml.rels><?xml version="1.0" encoding="UTF-8" standalone="yes"?>
<Relationships xmlns="http://schemas.openxmlformats.org/package/2006/relationships"><Relationship Id="rId9" Type="http://schemas.openxmlformats.org/officeDocument/2006/relationships/header" Target="header2.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1.xml"/><Relationship Id="rId13" Type="http://schemas.openxmlformats.org/officeDocument/2006/relationships/numbering" Target="numbering.xml"/><Relationship Id="rId12" Type="http://schemas.openxmlformats.org/officeDocument/2006/relationships/theme" Target="theme/theme1.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B0ACD3-C931-4644-801A-B9EA7D580E31}">
  <ds:schemaRefs/>
</ds:datastoreItem>
</file>

<file path=docProps/app.xml><?xml version="1.0" encoding="utf-8"?>
<Properties xmlns="http://schemas.openxmlformats.org/officeDocument/2006/extended-properties" xmlns:vt="http://schemas.openxmlformats.org/officeDocument/2006/docPropsVTypes">
  <Template>Normal</Template>
  <Company>四川省财政厅</Company>
  <Pages>28</Pages>
  <Words>10120</Words>
  <Characters>11305</Characters>
  <Lines>91</Lines>
  <Paragraphs>25</Paragraphs>
  <TotalTime>1</TotalTime>
  <ScaleCrop>false</ScaleCrop>
  <LinksUpToDate>false</LinksUpToDate>
  <CharactersWithSpaces>11334</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2021-10-15T02:35:00Z</dcterms:created>
  <dc:creator>曹颖</dc:creator>
  <cp:lastModifiedBy>Administrator</cp:lastModifiedBy>
  <cp:lastPrinted>2020-07-23T02:58:00Z</cp:lastPrinted>
  <dcterms:modified xsi:type="dcterms:W3CDTF">2022-10-21T08:31:55Z</dcterms:modified>
  <dc:title>四川省***</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83846ADB9F004C89917134CBD5C27FBE</vt:lpwstr>
  </property>
</Properties>
</file>