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475"/>
      <w:bookmarkStart w:id="2" w:name="_Toc15377193"/>
      <w:bookmarkStart w:id="3" w:name="_Toc1537742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宋体" w:eastAsia="方正小标宋简体"/>
          <w:color w:val="000000"/>
          <w:spacing w:val="-57"/>
          <w:sz w:val="72"/>
          <w:szCs w:val="72"/>
          <w:lang w:eastAsia="zh-CN"/>
        </w:rPr>
      </w:pPr>
      <w:bookmarkStart w:id="6" w:name="_Toc15306268"/>
      <w:bookmarkStart w:id="7" w:name="_Toc15378442"/>
      <w:bookmarkStart w:id="8" w:name="_Toc15377194"/>
      <w:bookmarkStart w:id="9" w:name="_Toc15377426"/>
      <w:bookmarkStart w:id="10" w:name="_Toc15396598"/>
      <w:bookmarkStart w:id="11" w:name="_Toc15396476"/>
      <w:r>
        <w:rPr>
          <w:rFonts w:hint="eastAsia" w:ascii="方正小标宋简体" w:hAnsi="宋体" w:eastAsia="方正小标宋简体"/>
          <w:color w:val="000000"/>
          <w:spacing w:val="-57"/>
          <w:sz w:val="72"/>
          <w:szCs w:val="72"/>
        </w:rPr>
        <w:t>四川省</w:t>
      </w:r>
      <w:r>
        <w:rPr>
          <w:rFonts w:hint="eastAsia" w:ascii="方正小标宋简体" w:hAnsi="宋体" w:eastAsia="方正小标宋简体"/>
          <w:color w:val="000000"/>
          <w:spacing w:val="-57"/>
          <w:sz w:val="72"/>
          <w:szCs w:val="72"/>
          <w:lang w:eastAsia="zh-CN"/>
        </w:rPr>
        <w:t>乐山市峨眉山市</w:t>
      </w:r>
    </w:p>
    <w:p>
      <w:pPr>
        <w:adjustRightInd w:val="0"/>
        <w:snapToGrid w:val="0"/>
        <w:spacing w:line="360" w:lineRule="auto"/>
        <w:jc w:val="center"/>
        <w:outlineLvl w:val="0"/>
        <w:rPr>
          <w:rFonts w:hint="eastAsia" w:ascii="方正小标宋简体" w:hAnsi="宋体" w:eastAsia="方正小标宋简体"/>
          <w:color w:val="000000"/>
          <w:spacing w:val="-57"/>
          <w:sz w:val="72"/>
          <w:szCs w:val="72"/>
          <w:lang w:eastAsia="zh-CN"/>
        </w:rPr>
      </w:pPr>
      <w:r>
        <w:rPr>
          <w:rFonts w:hint="eastAsia" w:ascii="方正小标宋简体" w:hAnsi="宋体" w:eastAsia="方正小标宋简体"/>
          <w:color w:val="000000"/>
          <w:spacing w:val="-57"/>
          <w:sz w:val="72"/>
          <w:szCs w:val="72"/>
          <w:lang w:eastAsia="zh-CN"/>
        </w:rPr>
        <w:t>人民代表大会常务委员会</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宋体" w:eastAsia="方正小标宋简体"/>
          <w:color w:val="000000"/>
          <w:spacing w:val="-57"/>
          <w:sz w:val="72"/>
          <w:szCs w:val="72"/>
          <w:lang w:eastAsia="zh-CN"/>
        </w:rPr>
        <w:t>（办公室）</w:t>
      </w:r>
      <w:r>
        <w:rPr>
          <w:rFonts w:hint="eastAsia" w:ascii="方正小标宋简体" w:hAnsi="方正小标宋简体" w:eastAsia="方正小标宋简体" w:cs="方正小标宋简体"/>
          <w:spacing w:val="-57"/>
          <w:sz w:val="72"/>
          <w:szCs w:val="72"/>
          <w:lang w:val="en-US" w:eastAsia="zh-CN"/>
        </w:rPr>
        <w:t xml:space="preserve">  </w:t>
      </w:r>
      <w:r>
        <w:rPr>
          <w:rFonts w:hint="eastAsia" w:ascii="方正小标宋简体" w:hAnsi="方正小标宋简体" w:eastAsia="方正小标宋简体" w:cs="方正小标宋简体"/>
          <w:sz w:val="72"/>
          <w:szCs w:val="72"/>
          <w:lang w:val="en-US" w:eastAsia="zh-CN"/>
        </w:rPr>
        <w:t xml:space="preserve"> </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6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录</w:t>
      </w:r>
    </w:p>
    <w:p>
      <w:pPr>
        <w:pStyle w:val="10"/>
        <w:keepNext w:val="0"/>
        <w:keepLines w:val="0"/>
        <w:pageBreakBefore w:val="0"/>
        <w:kinsoku/>
        <w:wordWrap/>
        <w:overflowPunct/>
        <w:topLinePunct w:val="0"/>
        <w:autoSpaceDE/>
        <w:autoSpaceDN/>
        <w:bidi w:val="0"/>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日</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distribute"/>
        <w:textAlignment w:val="auto"/>
        <w:rPr>
          <w:rFonts w:hint="eastAsia" w:ascii="仿宋_GB2312" w:hAnsi="仿宋_GB2312" w:eastAsia="仿宋_GB2312" w:cs="仿宋_GB2312"/>
          <w:sz w:val="24"/>
          <w:lang w:val="en-US" w:eastAsia="zh-CN"/>
        </w:rPr>
      </w:pPr>
      <w:r>
        <w:rPr>
          <w:rFonts w:hint="eastAsia" w:ascii="黑体" w:hAnsi="黑体" w:eastAsia="黑体" w:cs="黑体"/>
          <w:b/>
          <w:bCs/>
          <w:sz w:val="24"/>
        </w:rPr>
        <w:t>第一部分 部门概况</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4页                                             </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一、基本职能及主要工作…………………………………………………</w:t>
      </w:r>
      <w:r>
        <w:rPr>
          <w:rFonts w:hint="eastAsia" w:ascii="仿宋_GB2312" w:hAnsi="仿宋_GB2312" w:eastAsia="仿宋_GB2312" w:cs="仿宋_GB2312"/>
          <w:sz w:val="24"/>
          <w:lang w:val="en-US" w:eastAsia="zh-CN"/>
        </w:rPr>
        <w:t xml:space="preserve">  4页 </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二、机构设置</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5页                                                     </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distribute"/>
        <w:textAlignment w:val="auto"/>
        <w:rPr>
          <w:rFonts w:hint="eastAsia" w:ascii="仿宋_GB2312" w:hAnsi="仿宋_GB2312" w:eastAsia="仿宋_GB2312" w:cs="仿宋_GB2312"/>
          <w:sz w:val="24"/>
          <w:szCs w:val="24"/>
        </w:rPr>
      </w:pPr>
      <w:r>
        <w:rPr>
          <w:rFonts w:hint="eastAsia" w:ascii="黑体" w:hAnsi="黑体" w:eastAsia="黑体" w:cs="黑体"/>
          <w:b/>
          <w:bCs/>
          <w:sz w:val="24"/>
        </w:rPr>
        <w:t>第二部分部门决算情况说明</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6页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一、收入支出决算总体情况说明…………………………………………</w:t>
      </w:r>
      <w:r>
        <w:rPr>
          <w:rFonts w:hint="eastAsia" w:ascii="仿宋_GB2312" w:hAnsi="仿宋_GB2312" w:eastAsia="仿宋_GB2312" w:cs="仿宋_GB2312"/>
          <w:sz w:val="24"/>
          <w:lang w:val="en-US" w:eastAsia="zh-CN"/>
        </w:rPr>
        <w:t>6页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二、收入决算情况说明……………………………………………………</w:t>
      </w:r>
      <w:r>
        <w:rPr>
          <w:rFonts w:hint="eastAsia" w:ascii="仿宋_GB2312" w:hAnsi="仿宋_GB2312" w:eastAsia="仿宋_GB2312" w:cs="仿宋_GB2312"/>
          <w:sz w:val="24"/>
          <w:lang w:val="en-US" w:eastAsia="zh-CN"/>
        </w:rPr>
        <w:t>6页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三、支出决算情况说明……………………………………………………</w:t>
      </w:r>
      <w:r>
        <w:rPr>
          <w:rFonts w:hint="eastAsia" w:ascii="仿宋_GB2312" w:hAnsi="仿宋_GB2312" w:eastAsia="仿宋_GB2312" w:cs="仿宋_GB2312"/>
          <w:sz w:val="24"/>
          <w:lang w:val="en-US" w:eastAsia="zh-CN"/>
        </w:rPr>
        <w:t>7页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四、财政拨款收入支出决算总体情况说明………………………………</w:t>
      </w:r>
      <w:r>
        <w:rPr>
          <w:rFonts w:hint="eastAsia" w:ascii="仿宋_GB2312" w:hAnsi="仿宋_GB2312" w:eastAsia="仿宋_GB2312" w:cs="仿宋_GB2312"/>
          <w:sz w:val="24"/>
          <w:lang w:val="en-US" w:eastAsia="zh-CN"/>
        </w:rPr>
        <w:t>8页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五、一般公共预算财政拨款支出决算情况说明…………………………</w:t>
      </w:r>
      <w:r>
        <w:rPr>
          <w:rFonts w:hint="eastAsia" w:ascii="仿宋_GB2312" w:hAnsi="仿宋_GB2312" w:eastAsia="仿宋_GB2312" w:cs="仿宋_GB2312"/>
          <w:sz w:val="24"/>
          <w:lang w:val="en-US" w:eastAsia="zh-CN"/>
        </w:rPr>
        <w:t>8页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六、一般公共预算财政拨款基本支出决算情况说明……………………</w:t>
      </w:r>
      <w:r>
        <w:rPr>
          <w:rFonts w:hint="eastAsia" w:ascii="仿宋_GB2312" w:hAnsi="仿宋_GB2312" w:eastAsia="仿宋_GB2312" w:cs="仿宋_GB2312"/>
          <w:sz w:val="24"/>
          <w:lang w:val="en-US" w:eastAsia="zh-CN"/>
        </w:rPr>
        <w:t>11页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七、“三公”经费财政拨款支出决算情况说明…………………………</w:t>
      </w:r>
      <w:r>
        <w:rPr>
          <w:rFonts w:hint="eastAsia" w:ascii="仿宋_GB2312" w:hAnsi="仿宋_GB2312" w:eastAsia="仿宋_GB2312" w:cs="仿宋_GB2312"/>
          <w:sz w:val="24"/>
          <w:lang w:val="en-US" w:eastAsia="zh-CN"/>
        </w:rPr>
        <w:t>12页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八、政府性基金预算支出决算情况说明…………………………………</w:t>
      </w:r>
      <w:r>
        <w:rPr>
          <w:rFonts w:hint="eastAsia" w:ascii="仿宋_GB2312" w:hAnsi="仿宋_GB2312" w:eastAsia="仿宋_GB2312" w:cs="仿宋_GB2312"/>
          <w:sz w:val="24"/>
          <w:lang w:val="en-US" w:eastAsia="zh-CN"/>
        </w:rPr>
        <w:t>14页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九、国有资本经营预算支出决算情况说明…………………………</w:t>
      </w:r>
      <w:r>
        <w:rPr>
          <w:rFonts w:hint="eastAsia" w:ascii="仿宋_GB2312" w:hAnsi="仿宋_GB2312" w:eastAsia="仿宋_GB2312" w:cs="仿宋_GB2312"/>
          <w:sz w:val="24"/>
          <w:lang w:val="en-US" w:eastAsia="zh-CN"/>
        </w:rPr>
        <w:t>14页</w:t>
      </w:r>
    </w:p>
    <w:p>
      <w:pPr>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eastAsia" w:ascii="仿宋_GB2312" w:hAnsi="仿宋_GB2312" w:eastAsia="仿宋_GB2312" w:cs="仿宋_GB2312"/>
          <w:sz w:val="24"/>
        </w:rPr>
      </w:pPr>
      <w:r>
        <w:rPr>
          <w:rStyle w:val="15"/>
          <w:rFonts w:hint="eastAsia" w:ascii="仿宋_GB2312" w:hAnsi="仿宋_GB2312" w:eastAsia="仿宋_GB2312" w:cs="仿宋_GB2312"/>
          <w:color w:val="000000"/>
          <w:sz w:val="24"/>
          <w:u w:val="none"/>
          <w:lang w:val="en-US" w:eastAsia="zh-CN"/>
        </w:rPr>
        <w:t xml:space="preserve">  </w:t>
      </w:r>
      <w:r>
        <w:rPr>
          <w:rStyle w:val="15"/>
          <w:rFonts w:hint="eastAsia" w:ascii="仿宋_GB2312" w:hAnsi="仿宋_GB2312" w:eastAsia="仿宋_GB2312" w:cs="仿宋_GB2312"/>
          <w:color w:val="000000"/>
          <w:sz w:val="24"/>
          <w:u w:val="none"/>
        </w:rPr>
        <w:t>十、</w:t>
      </w:r>
      <w:r>
        <w:rPr>
          <w:rFonts w:hint="eastAsia" w:ascii="仿宋_GB2312" w:hAnsi="仿宋_GB2312" w:eastAsia="仿宋_GB2312" w:cs="仿宋_GB2312"/>
          <w:sz w:val="24"/>
        </w:rPr>
        <w:t>其他重要事项的情况说明……………………………………</w:t>
      </w:r>
      <w:r>
        <w:rPr>
          <w:rFonts w:hint="eastAsia" w:ascii="仿宋_GB2312" w:hAnsi="仿宋_GB2312" w:eastAsia="仿宋_GB2312" w:cs="仿宋_GB2312"/>
          <w:sz w:val="24"/>
          <w:lang w:eastAsia="zh-CN"/>
        </w:rPr>
        <w:t>　</w:t>
      </w:r>
      <w:r>
        <w:rPr>
          <w:rFonts w:hint="eastAsia" w:ascii="仿宋_GB2312" w:hAnsi="仿宋_GB2312" w:eastAsia="仿宋_GB2312" w:cs="仿宋_GB2312"/>
          <w:sz w:val="24"/>
          <w:lang w:val="en-US" w:eastAsia="zh-CN"/>
        </w:rPr>
        <w:t>14页</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distribute"/>
        <w:textAlignment w:val="auto"/>
        <w:rPr>
          <w:rFonts w:hint="eastAsia" w:ascii="仿宋_GB2312" w:hAnsi="仿宋_GB2312" w:eastAsia="仿宋_GB2312" w:cs="仿宋_GB2312"/>
          <w:sz w:val="24"/>
          <w:szCs w:val="24"/>
        </w:rPr>
      </w:pPr>
      <w:r>
        <w:rPr>
          <w:rFonts w:hint="eastAsia" w:ascii="黑体" w:hAnsi="黑体" w:eastAsia="黑体" w:cs="黑体"/>
          <w:b/>
          <w:bCs/>
          <w:sz w:val="24"/>
        </w:rPr>
        <w:t>第三部分 名词解释</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17页</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distribute"/>
        <w:textAlignment w:val="auto"/>
        <w:rPr>
          <w:rFonts w:hint="eastAsia" w:ascii="仿宋_GB2312" w:hAnsi="仿宋_GB2312" w:eastAsia="仿宋_GB2312" w:cs="仿宋_GB2312"/>
          <w:sz w:val="24"/>
          <w:lang w:val="en-US" w:eastAsia="zh-CN"/>
        </w:rPr>
      </w:pPr>
      <w:r>
        <w:rPr>
          <w:rFonts w:hint="eastAsia" w:ascii="黑体" w:hAnsi="黑体" w:eastAsia="黑体" w:cs="黑体"/>
          <w:b/>
          <w:bCs/>
          <w:sz w:val="24"/>
        </w:rPr>
        <w:t>第四部分 附件</w:t>
      </w:r>
      <w:r>
        <w:rPr>
          <w:rFonts w:hint="eastAsia" w:ascii="仿宋_GB2312" w:hAnsi="仿宋_GB2312" w:eastAsia="仿宋_GB2312" w:cs="仿宋_GB2312"/>
          <w:spacing w:val="0"/>
          <w:sz w:val="24"/>
        </w:rPr>
        <w:t>…………………………………………………………………</w:t>
      </w:r>
      <w:r>
        <w:rPr>
          <w:rFonts w:hint="eastAsia" w:ascii="仿宋_GB2312" w:hAnsi="仿宋_GB2312" w:eastAsia="仿宋_GB2312" w:cs="仿宋_GB2312"/>
          <w:sz w:val="24"/>
          <w:lang w:val="en-US" w:eastAsia="zh-CN"/>
        </w:rPr>
        <w:t>21页</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480" w:firstLineChars="200"/>
        <w:jc w:val="distribute"/>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附件1</w:t>
      </w:r>
      <w:r>
        <w:rPr>
          <w:rFonts w:hint="eastAsia" w:ascii="仿宋_GB2312" w:hAnsi="仿宋_GB2312" w:eastAsia="仿宋_GB2312" w:cs="仿宋_GB2312"/>
          <w:sz w:val="24"/>
          <w:lang w:eastAsia="zh-CN"/>
        </w:rPr>
        <w:t>（部门整体绩效评价报告）</w:t>
      </w:r>
      <w:r>
        <w:rPr>
          <w:rFonts w:hint="eastAsia" w:ascii="仿宋_GB2312" w:hAnsi="仿宋_GB2312" w:eastAsia="仿宋_GB2312" w:cs="仿宋_GB2312"/>
          <w:spacing w:val="0"/>
          <w:sz w:val="24"/>
        </w:rPr>
        <w:t>…………………………………………</w:t>
      </w:r>
      <w:r>
        <w:rPr>
          <w:rFonts w:hint="eastAsia" w:ascii="仿宋_GB2312" w:hAnsi="仿宋_GB2312" w:eastAsia="仿宋_GB2312" w:cs="仿宋_GB2312"/>
          <w:sz w:val="24"/>
          <w:lang w:val="en-US" w:eastAsia="zh-CN"/>
        </w:rPr>
        <w:t>21页</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480" w:firstLineChars="200"/>
        <w:jc w:val="distribute"/>
        <w:textAlignment w:val="auto"/>
        <w:rPr>
          <w:rFonts w:hint="eastAsia"/>
          <w:lang w:val="en-US" w:eastAsia="zh-CN"/>
        </w:rPr>
      </w:pPr>
      <w:r>
        <w:rPr>
          <w:rFonts w:hint="eastAsia" w:ascii="仿宋_GB2312" w:hAnsi="仿宋_GB2312" w:eastAsia="仿宋_GB2312" w:cs="仿宋_GB2312"/>
          <w:spacing w:val="0"/>
          <w:sz w:val="24"/>
        </w:rPr>
        <w:t>附件2</w:t>
      </w:r>
      <w:r>
        <w:rPr>
          <w:rFonts w:hint="eastAsia" w:ascii="仿宋_GB2312" w:hAnsi="仿宋_GB2312" w:eastAsia="仿宋_GB2312" w:cs="仿宋_GB2312"/>
          <w:spacing w:val="0"/>
          <w:sz w:val="24"/>
          <w:lang w:eastAsia="zh-CN"/>
        </w:rPr>
        <w:t>（</w:t>
      </w:r>
      <w:r>
        <w:rPr>
          <w:rFonts w:hint="eastAsia" w:ascii="仿宋_GB2312" w:hAnsi="仿宋_GB2312" w:eastAsia="仿宋_GB2312" w:cs="仿宋_GB2312"/>
          <w:spacing w:val="0"/>
          <w:sz w:val="24"/>
          <w:lang w:val="en-US" w:eastAsia="zh-CN"/>
        </w:rPr>
        <w:t>2021年特定目标类部门预算项目绩效目标自评)</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eastAsia="zh-CN"/>
        </w:rPr>
        <w:t>　</w:t>
      </w:r>
      <w:r>
        <w:rPr>
          <w:rFonts w:hint="eastAsia" w:ascii="仿宋_GB2312" w:hAnsi="仿宋_GB2312" w:eastAsia="仿宋_GB2312" w:cs="仿宋_GB2312"/>
          <w:sz w:val="24"/>
          <w:lang w:val="en-US" w:eastAsia="zh-CN"/>
        </w:rPr>
        <w:t>30页</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distribute"/>
        <w:textAlignment w:val="auto"/>
        <w:rPr>
          <w:rFonts w:hint="eastAsia" w:ascii="仿宋_GB2312" w:hAnsi="仿宋_GB2312" w:eastAsia="仿宋_GB2312" w:cs="仿宋_GB2312"/>
          <w:sz w:val="24"/>
          <w:szCs w:val="24"/>
        </w:rPr>
      </w:pPr>
      <w:r>
        <w:rPr>
          <w:rFonts w:hint="eastAsia" w:ascii="黑体" w:hAnsi="黑体" w:eastAsia="黑体" w:cs="黑体"/>
          <w:sz w:val="24"/>
        </w:rPr>
        <w:t>第五部分</w:t>
      </w:r>
      <w:r>
        <w:rPr>
          <w:rFonts w:hint="eastAsia" w:ascii="黑体" w:hAnsi="黑体" w:eastAsia="黑体" w:cs="黑体"/>
          <w:sz w:val="24"/>
          <w:lang w:val="en-US" w:eastAsia="zh-CN"/>
        </w:rPr>
        <w:t xml:space="preserve"> </w:t>
      </w:r>
      <w:r>
        <w:rPr>
          <w:rFonts w:hint="eastAsia" w:ascii="黑体" w:hAnsi="黑体" w:eastAsia="黑体" w:cs="黑体"/>
          <w:sz w:val="24"/>
        </w:rPr>
        <w:t>附表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一、收入支出决算总表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二、收入决算表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三、支出决算表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四、财政拨款收入支出决算总</w:t>
      </w:r>
      <w:r>
        <w:rPr>
          <w:rFonts w:hint="eastAsia" w:ascii="仿宋_GB2312" w:hAnsi="仿宋_GB2312" w:eastAsia="仿宋_GB2312" w:cs="仿宋_GB2312"/>
          <w:sz w:val="24"/>
          <w:lang w:eastAsia="zh-CN"/>
        </w:rPr>
        <w:t>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五、财政拨款支出决算明细表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六、一般公共预算财政拨款支出决算表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七、一般公共预算财政拨款支出决算明细表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八、一般公共预算财政拨款基本支出决算表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九、一般公共预算财政拨款项目支出决算表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十、一般公共预算财政拨款“三公”经费支出决算表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十一、政府性基金预算财政拨款收入支出决算表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十二、政府性基金预算财政拨款“三公”经费支出决算表</w:t>
      </w:r>
      <w:r>
        <w:rPr>
          <w:rFonts w:hint="eastAsia" w:ascii="仿宋_GB2312" w:hAnsi="仿宋_GB2312" w:eastAsia="仿宋_GB2312" w:cs="仿宋_GB2312"/>
          <w:spacing w:val="0"/>
          <w:sz w:val="24"/>
        </w:rPr>
        <w:t>……………</w:t>
      </w:r>
      <w:r>
        <w:rPr>
          <w:rFonts w:hint="eastAsia" w:ascii="仿宋_GB2312" w:hAnsi="仿宋_GB2312" w:eastAsia="仿宋_GB2312" w:cs="仿宋_GB2312"/>
          <w:b w:val="0"/>
          <w:bCs w:val="0"/>
          <w:spacing w:val="0"/>
          <w:sz w:val="24"/>
          <w:lang w:val="en-US" w:eastAsia="zh-CN"/>
        </w:rPr>
        <w:t>35</w:t>
      </w:r>
      <w:r>
        <w:rPr>
          <w:rFonts w:hint="eastAsia" w:ascii="仿宋_GB2312" w:hAnsi="仿宋_GB2312" w:eastAsia="仿宋_GB2312" w:cs="仿宋_GB2312"/>
          <w:sz w:val="24"/>
          <w:lang w:val="en-US" w:eastAsia="zh-CN"/>
        </w:rPr>
        <w:t>页</w:t>
      </w:r>
    </w:p>
    <w:p>
      <w:pPr>
        <w:keepNext w:val="0"/>
        <w:keepLines w:val="0"/>
        <w:pageBreakBefore w:val="0"/>
        <w:widowControl w:val="0"/>
        <w:kinsoku/>
        <w:wordWrap/>
        <w:overflowPunct/>
        <w:topLinePunct w:val="0"/>
        <w:autoSpaceDE/>
        <w:autoSpaceDN/>
        <w:bidi w:val="0"/>
        <w:spacing w:line="600" w:lineRule="exact"/>
        <w:ind w:left="0" w:leftChars="0"/>
        <w:jc w:val="distribute"/>
        <w:textAlignment w:val="auto"/>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24"/>
        </w:rPr>
        <w:t>十三、国有资本经营预算</w:t>
      </w:r>
      <w:r>
        <w:rPr>
          <w:rFonts w:hint="eastAsia" w:ascii="仿宋_GB2312" w:hAnsi="仿宋_GB2312" w:eastAsia="仿宋_GB2312" w:cs="仿宋_GB2312"/>
          <w:sz w:val="24"/>
          <w:lang w:eastAsia="zh-CN"/>
        </w:rPr>
        <w:t>收入</w:t>
      </w:r>
      <w:r>
        <w:rPr>
          <w:rFonts w:hint="eastAsia" w:ascii="仿宋_GB2312" w:hAnsi="仿宋_GB2312" w:eastAsia="仿宋_GB2312" w:cs="仿宋_GB2312"/>
          <w:sz w:val="24"/>
        </w:rPr>
        <w:t>支出决算表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Chars="100"/>
        <w:jc w:val="distribute"/>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w:t>
      </w:r>
      <w:r>
        <w:rPr>
          <w:rFonts w:hint="eastAsia" w:ascii="仿宋_GB2312" w:hAnsi="仿宋_GB2312" w:eastAsia="仿宋_GB2312" w:cs="仿宋_GB2312"/>
          <w:sz w:val="24"/>
          <w:lang w:eastAsia="zh-CN"/>
        </w:rPr>
        <w:t>四</w:t>
      </w:r>
      <w:r>
        <w:rPr>
          <w:rFonts w:hint="eastAsia" w:ascii="仿宋_GB2312" w:hAnsi="仿宋_GB2312" w:eastAsia="仿宋_GB2312" w:cs="仿宋_GB2312"/>
          <w:sz w:val="24"/>
        </w:rPr>
        <w:t>、国有资本经营预算支出决算表</w:t>
      </w:r>
      <w:r>
        <w:rPr>
          <w:rFonts w:hint="eastAsia" w:ascii="仿宋_GB2312" w:hAnsi="仿宋_GB2312" w:eastAsia="仿宋_GB2312" w:cs="仿宋_GB2312"/>
          <w:spacing w:val="0"/>
          <w:sz w:val="24"/>
        </w:rPr>
        <w:t>……………………………………</w:t>
      </w:r>
      <w:r>
        <w:rPr>
          <w:rFonts w:hint="eastAsia" w:ascii="仿宋_GB2312" w:hAnsi="仿宋_GB2312" w:eastAsia="仿宋_GB2312" w:cs="仿宋_GB2312"/>
          <w:spacing w:val="0"/>
          <w:sz w:val="24"/>
          <w:lang w:val="en-US" w:eastAsia="zh-CN"/>
        </w:rPr>
        <w:t>35</w:t>
      </w:r>
      <w:r>
        <w:rPr>
          <w:rFonts w:hint="eastAsia" w:ascii="仿宋_GB2312" w:hAnsi="仿宋_GB2312" w:eastAsia="仿宋_GB2312" w:cs="仿宋_GB2312"/>
          <w:sz w:val="24"/>
          <w:lang w:val="en-US" w:eastAsia="zh-CN"/>
        </w:rPr>
        <w:t>页</w:t>
      </w:r>
    </w:p>
    <w:p>
      <w:pPr>
        <w:ind w:left="0" w:leftChars="0"/>
        <w:jc w:val="distribute"/>
        <w:rPr>
          <w:rFonts w:hint="eastAsia"/>
        </w:rPr>
      </w:pPr>
    </w:p>
    <w:p>
      <w:pPr>
        <w:pStyle w:val="2"/>
        <w:ind w:left="0" w:leftChars="0"/>
        <w:jc w:val="distribute"/>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责市人代会、市人大常委会会议、主任会议、常委会党组会议等有关会议的筹备和服务工作；负责市人大常委会工作报告、工作要点、有关文件、常委会领导重要讲话、汇报材料的起草工作；负责市人大常委会文电、保密、档案、机要、印信等工作；负责市人大常委会开展的视察调研、执法检查等活动的组织、综合协调工作；负责人大制度和人大工作的宣传报道、信息工作的协调联系工作，编印人代会汇编等工作；负责机关的人事管理、目标管理等工作，负责机关退休人员的管理、服务工作；办理群众来信，接待群众来访；负责与市委办、政府办、政协办、峨眉山景区管委会党政办等综合部门的联系协调有关工作；负责市人大常委会机关建设、后勤行政事务、安全保卫、环境卫生、机关职工参加的社会保障的管理和服务工作；负责上级人大常委会和外地人大来峨调研考察接待的综合协调工作；负责办理市人大常委会、主任会议、上级人大常委会及领导交办的其他有关工作。</w:t>
      </w:r>
    </w:p>
    <w:p>
      <w:pPr>
        <w:spacing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（二）2021年重点工作完成情况</w:t>
      </w:r>
    </w:p>
    <w:p>
      <w:pPr>
        <w:spacing w:line="600" w:lineRule="exact"/>
        <w:ind w:firstLine="640" w:firstLineChars="200"/>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rPr>
        <w:t>一年来，市人大常委会在市委的坚强领导下，坚持以习</w:t>
      </w:r>
      <w:r>
        <w:rPr>
          <w:rFonts w:hint="eastAsia" w:ascii="仿宋_GB2312" w:hAnsi="仿宋" w:eastAsia="仿宋_GB2312" w:cs="Times New Roman"/>
          <w:sz w:val="32"/>
          <w:szCs w:val="32"/>
          <w:highlight w:val="none"/>
        </w:rPr>
        <w:t>近平新时代中国特色社会主义思想为指导，深入学习贯彻党的十九届六中全会、中央人大工作会议和省委十一届十次全会、乐山市第八次党代会、峨眉山市第十五次党代会精神，依法履职抓重点抓关键，创新举措求突破求实效，为推动全</w:t>
      </w:r>
      <w:r>
        <w:rPr>
          <w:rFonts w:hint="eastAsia" w:ascii="仿宋_GB2312" w:hAnsi="仿宋" w:eastAsia="仿宋_GB2312" w:cs="Times New Roman"/>
          <w:sz w:val="32"/>
          <w:szCs w:val="32"/>
        </w:rPr>
        <w:t>市经济社会高质量发展和民主法治建设作出了积极贡献。全年共召开常委会会议、主任会议等各类会</w:t>
      </w:r>
      <w:r>
        <w:rPr>
          <w:rFonts w:hint="eastAsia" w:ascii="仿宋_GB2312" w:hAnsi="仿宋" w:eastAsia="仿宋_GB2312" w:cs="Times New Roman"/>
          <w:sz w:val="32"/>
          <w:szCs w:val="32"/>
          <w:highlight w:val="none"/>
        </w:rPr>
        <w:t>议51次，听取和审议“一府两院”各项工作报告17项，开展执法检查、视察调研等活动23次，全面完成市十七届人大六次会议确定的各项任务。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二、机构设置</w:t>
      </w:r>
    </w:p>
    <w:p>
      <w:pPr>
        <w:pStyle w:val="2"/>
        <w:pageBreakBefore w:val="0"/>
        <w:kinsoku/>
        <w:wordWrap/>
        <w:overflowPunct/>
        <w:topLinePunct w:val="0"/>
        <w:bidi w:val="0"/>
        <w:adjustRightInd w:val="0"/>
        <w:snapToGrid w:val="0"/>
        <w:spacing w:before="93"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峨眉山市人民代表大会常务委员会（办公室）属一级预算单位，无</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eastAsia="zh-CN"/>
        </w:rPr>
        <w:t>（以下简称市人大办）</w:t>
      </w:r>
      <w:r>
        <w:rPr>
          <w:rFonts w:hint="eastAsia" w:hAnsi="仿宋_GB2312" w:cs="仿宋_GB2312"/>
          <w:sz w:val="32"/>
          <w:szCs w:val="32"/>
          <w:lang w:eastAsia="zh-CN"/>
        </w:rPr>
        <w:t>。</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年年末市人大常委会机关实有在职职工</w:t>
      </w:r>
      <w:r>
        <w:rPr>
          <w:rFonts w:hint="eastAsia" w:ascii="仿宋_GB2312" w:hAnsi="仿宋" w:eastAsia="仿宋_GB2312"/>
          <w:sz w:val="32"/>
          <w:szCs w:val="32"/>
          <w:lang w:val="en-US" w:eastAsia="zh-CN"/>
        </w:rPr>
        <w:t>50</w:t>
      </w:r>
      <w:r>
        <w:rPr>
          <w:rFonts w:hint="eastAsia" w:ascii="仿宋_GB2312" w:hAnsi="仿宋" w:eastAsia="仿宋_GB2312"/>
          <w:sz w:val="32"/>
          <w:szCs w:val="32"/>
        </w:rPr>
        <w:t>人,其中行政编制</w:t>
      </w:r>
      <w:r>
        <w:rPr>
          <w:rFonts w:hint="eastAsia" w:ascii="仿宋_GB2312" w:hAnsi="仿宋" w:eastAsia="仿宋_GB2312"/>
          <w:sz w:val="32"/>
          <w:szCs w:val="32"/>
          <w:lang w:val="en-US" w:eastAsia="zh-CN"/>
        </w:rPr>
        <w:t>45</w:t>
      </w:r>
      <w:r>
        <w:rPr>
          <w:rFonts w:hint="eastAsia" w:ascii="仿宋_GB2312" w:hAnsi="仿宋" w:eastAsia="仿宋_GB2312"/>
          <w:sz w:val="32"/>
          <w:szCs w:val="32"/>
        </w:rPr>
        <w:t>人，工勤人员</w:t>
      </w:r>
      <w:r>
        <w:rPr>
          <w:rFonts w:hint="eastAsia" w:ascii="仿宋_GB2312" w:hAnsi="仿宋" w:eastAsia="仿宋_GB2312"/>
          <w:sz w:val="32"/>
          <w:szCs w:val="32"/>
          <w:lang w:val="en-US" w:eastAsia="zh-CN"/>
        </w:rPr>
        <w:t>5</w:t>
      </w:r>
      <w:r>
        <w:rPr>
          <w:rFonts w:hint="eastAsia" w:ascii="仿宋_GB2312" w:hAnsi="仿宋" w:eastAsia="仿宋_GB2312"/>
          <w:sz w:val="32"/>
          <w:szCs w:val="32"/>
        </w:rPr>
        <w:t>人</w:t>
      </w:r>
      <w:r>
        <w:rPr>
          <w:rFonts w:hint="eastAsia" w:ascii="仿宋_GB2312" w:hAnsi="仿宋" w:eastAsia="仿宋_GB2312"/>
          <w:sz w:val="32"/>
          <w:szCs w:val="32"/>
          <w:lang w:eastAsia="zh-CN"/>
        </w:rPr>
        <w:t>。另有劳务派遣人员</w:t>
      </w:r>
      <w:r>
        <w:rPr>
          <w:rFonts w:hint="eastAsia" w:ascii="仿宋_GB2312" w:hAnsi="仿宋" w:eastAsia="仿宋_GB2312"/>
          <w:sz w:val="32"/>
          <w:szCs w:val="32"/>
          <w:lang w:val="en-US" w:eastAsia="zh-CN"/>
        </w:rPr>
        <w:t>2人。</w:t>
      </w: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default" w:ascii="仿宋_GB2312" w:hAnsi="仿宋" w:eastAsia="仿宋_GB2312"/>
          <w:sz w:val="32"/>
          <w:szCs w:val="32"/>
          <w:lang w:val="en-US" w:eastAsia="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第二部分 2021年度部门决算情况说明</w:t>
      </w:r>
    </w:p>
    <w:p>
      <w:pPr>
        <w:keepNext w:val="0"/>
        <w:keepLines w:val="0"/>
        <w:pageBreakBefore w:val="0"/>
        <w:kinsoku/>
        <w:wordWrap/>
        <w:overflowPunct/>
        <w:topLinePunct w:val="0"/>
        <w:bidi w:val="0"/>
        <w:spacing w:line="600" w:lineRule="exact"/>
        <w:textAlignment w:val="auto"/>
      </w:pPr>
    </w:p>
    <w:p>
      <w:pPr>
        <w:pStyle w:val="23"/>
        <w:keepNext w:val="0"/>
        <w:keepLines w:val="0"/>
        <w:pageBreakBefore w:val="0"/>
        <w:numPr>
          <w:ilvl w:val="0"/>
          <w:numId w:val="1"/>
        </w:numPr>
        <w:kinsoku/>
        <w:wordWrap/>
        <w:overflowPunct/>
        <w:topLinePunct w:val="0"/>
        <w:bidi w:val="0"/>
        <w:spacing w:line="600" w:lineRule="exact"/>
        <w:ind w:firstLineChars="0"/>
        <w:textAlignment w:val="auto"/>
        <w:outlineLvl w:val="1"/>
        <w:rPr>
          <w:rStyle w:val="25"/>
          <w:rFonts w:ascii="黑体" w:hAnsi="黑体" w:eastAsia="黑体"/>
          <w:b w:val="0"/>
        </w:rPr>
      </w:pPr>
      <w:r>
        <w:rPr>
          <w:rFonts w:hint="eastAsia" w:ascii="黑体" w:hAnsi="黑体" w:eastAsia="黑体"/>
          <w:sz w:val="32"/>
          <w:szCs w:val="32"/>
        </w:rPr>
        <w:t>收</w:t>
      </w:r>
      <w:r>
        <w:rPr>
          <w:rStyle w:val="25"/>
          <w:rFonts w:hint="eastAsia" w:ascii="黑体" w:hAnsi="黑体" w:eastAsia="黑体"/>
          <w:b w:val="0"/>
        </w:rPr>
        <w:t>入支出决算总体情况说明</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2021年度收、支总计</w:t>
      </w:r>
      <w:r>
        <w:rPr>
          <w:rFonts w:hint="eastAsia" w:ascii="仿宋_GB2312" w:hAnsi="仿宋_GB2312" w:eastAsia="仿宋_GB2312" w:cs="仿宋_GB2312"/>
          <w:sz w:val="32"/>
          <w:szCs w:val="32"/>
          <w:lang w:val="en-US" w:eastAsia="zh-CN"/>
        </w:rPr>
        <w:t>1228.20</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43.72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3.69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人员增加等原因。</w:t>
      </w:r>
      <w:r>
        <w:rPr>
          <w:rFonts w:hint="eastAsia" w:ascii="仿宋_GB2312" w:hAnsi="仿宋_GB2312" w:eastAsia="仿宋_GB2312" w:cs="仿宋_GB2312"/>
          <w:sz w:val="32"/>
          <w:szCs w:val="32"/>
        </w:rPr>
        <w:t>（图1：收、支决算总计变动情况图）</w:t>
      </w:r>
    </w:p>
    <w:p>
      <w:pPr>
        <w:pStyle w:val="2"/>
        <w:rPr>
          <w:rFonts w:hint="eastAsia"/>
        </w:rPr>
      </w:pPr>
    </w:p>
    <w:p>
      <w:pPr>
        <w:pStyle w:val="2"/>
        <w:ind w:left="0" w:leftChars="0" w:firstLine="639" w:firstLineChars="213"/>
      </w:pPr>
      <w:r>
        <w:drawing>
          <wp:inline distT="0" distB="0" distL="114300" distR="114300">
            <wp:extent cx="4845685" cy="3148330"/>
            <wp:effectExtent l="4445" t="4445" r="11430" b="17145"/>
            <wp:docPr id="107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ind w:left="0" w:leftChars="0" w:firstLine="639" w:firstLineChars="213"/>
        <w:rPr>
          <w:rFonts w:hint="eastAsia"/>
        </w:rPr>
      </w:pPr>
    </w:p>
    <w:p>
      <w:pPr>
        <w:pStyle w:val="23"/>
        <w:keepNext w:val="0"/>
        <w:keepLines w:val="0"/>
        <w:pageBreakBefore w:val="0"/>
        <w:numPr>
          <w:ilvl w:val="0"/>
          <w:numId w:val="1"/>
        </w:numPr>
        <w:kinsoku/>
        <w:wordWrap/>
        <w:overflowPunct/>
        <w:topLinePunct w:val="0"/>
        <w:bidi w:val="0"/>
        <w:spacing w:line="600" w:lineRule="exact"/>
        <w:ind w:firstLineChars="0"/>
        <w:textAlignment w:val="auto"/>
        <w:outlineLvl w:val="1"/>
        <w:rPr>
          <w:rStyle w:val="25"/>
          <w:rFonts w:ascii="黑体" w:hAnsi="黑体" w:eastAsia="黑体"/>
          <w:b w:val="0"/>
        </w:rPr>
      </w:pPr>
      <w:r>
        <w:rPr>
          <w:rFonts w:hint="eastAsia" w:ascii="黑体" w:hAnsi="黑体" w:eastAsia="黑体"/>
          <w:sz w:val="32"/>
          <w:szCs w:val="32"/>
        </w:rPr>
        <w:t>收</w:t>
      </w:r>
      <w:r>
        <w:rPr>
          <w:rStyle w:val="25"/>
          <w:rFonts w:hint="eastAsia" w:ascii="黑体" w:hAnsi="黑体" w:eastAsia="黑体"/>
          <w:b w:val="0"/>
        </w:rPr>
        <w:t>入决算情况说明</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2021年本年收入合计</w:t>
      </w:r>
      <w:r>
        <w:rPr>
          <w:rFonts w:hint="eastAsia" w:ascii="仿宋_GB2312" w:hAnsi="仿宋_GB2312" w:eastAsia="仿宋_GB2312" w:cs="仿宋_GB2312"/>
          <w:b w:val="0"/>
          <w:bCs w:val="0"/>
          <w:sz w:val="32"/>
          <w:szCs w:val="32"/>
          <w:lang w:val="en-US" w:eastAsia="zh-CN"/>
        </w:rPr>
        <w:t>1221.22</w:t>
      </w:r>
      <w:r>
        <w:rPr>
          <w:rFonts w:hint="eastAsia" w:ascii="仿宋_GB2312" w:hAnsi="仿宋_GB2312" w:eastAsia="仿宋_GB2312" w:cs="仿宋_GB2312"/>
          <w:b w:val="0"/>
          <w:bCs w:val="0"/>
          <w:sz w:val="32"/>
          <w:szCs w:val="32"/>
        </w:rPr>
        <w:t>万元，其中：一般公共预算财政拨款收入</w:t>
      </w:r>
      <w:r>
        <w:rPr>
          <w:rFonts w:hint="eastAsia" w:ascii="仿宋_GB2312" w:hAnsi="仿宋_GB2312" w:eastAsia="仿宋_GB2312" w:cs="仿宋_GB2312"/>
          <w:b w:val="0"/>
          <w:bCs w:val="0"/>
          <w:sz w:val="32"/>
          <w:szCs w:val="32"/>
          <w:lang w:val="en-US" w:eastAsia="zh-CN"/>
        </w:rPr>
        <w:t>1221.22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（图2：收入决算结构图）</w:t>
      </w:r>
    </w:p>
    <w:p>
      <w:pPr>
        <w:pStyle w:val="2"/>
        <w:ind w:left="0" w:leftChars="0" w:firstLine="417" w:firstLineChars="139"/>
      </w:pPr>
      <w:r>
        <w:drawing>
          <wp:inline distT="0" distB="0" distL="114300" distR="114300">
            <wp:extent cx="5171440" cy="2745105"/>
            <wp:effectExtent l="4445" t="4445" r="5715" b="8890"/>
            <wp:docPr id="311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417" w:firstLineChars="139"/>
        <w:textAlignment w:val="auto"/>
      </w:pPr>
    </w:p>
    <w:p>
      <w:pPr>
        <w:pStyle w:val="23"/>
        <w:keepNext w:val="0"/>
        <w:keepLines w:val="0"/>
        <w:pageBreakBefore w:val="0"/>
        <w:numPr>
          <w:ilvl w:val="0"/>
          <w:numId w:val="1"/>
        </w:numPr>
        <w:kinsoku/>
        <w:wordWrap/>
        <w:overflowPunct/>
        <w:topLinePunct w:val="0"/>
        <w:bidi w:val="0"/>
        <w:spacing w:line="600" w:lineRule="exact"/>
        <w:ind w:firstLineChars="0"/>
        <w:textAlignment w:val="auto"/>
        <w:outlineLvl w:val="1"/>
        <w:rPr>
          <w:rStyle w:val="25"/>
          <w:rFonts w:ascii="黑体" w:hAnsi="黑体" w:eastAsia="黑体"/>
          <w:b w:val="0"/>
        </w:rPr>
      </w:pPr>
      <w:r>
        <w:rPr>
          <w:rFonts w:hint="eastAsia" w:ascii="黑体" w:hAnsi="黑体" w:eastAsia="黑体"/>
          <w:sz w:val="32"/>
          <w:szCs w:val="32"/>
        </w:rPr>
        <w:t>支</w:t>
      </w:r>
      <w:r>
        <w:rPr>
          <w:rStyle w:val="25"/>
          <w:rFonts w:hint="eastAsia" w:ascii="黑体" w:hAnsi="黑体" w:eastAsia="黑体"/>
          <w:b w:val="0"/>
        </w:rPr>
        <w:t>出决算情况说明</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1225.32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1115.57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91.04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109.75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8.96</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（图3：支出决算结构图）</w:t>
      </w:r>
    </w:p>
    <w:p>
      <w:pPr>
        <w:pStyle w:val="2"/>
        <w:ind w:left="0" w:leftChars="0" w:firstLine="639" w:firstLineChars="213"/>
      </w:pPr>
      <w:r>
        <w:drawing>
          <wp:inline distT="0" distB="0" distL="114300" distR="114300">
            <wp:extent cx="4603750" cy="3403600"/>
            <wp:effectExtent l="4445" t="4445" r="9525" b="5715"/>
            <wp:docPr id="420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ind w:left="0" w:leftChars="0" w:firstLine="639" w:firstLineChars="213"/>
        <w:rPr>
          <w:rFonts w:hint="eastAsia"/>
        </w:rPr>
      </w:pPr>
    </w:p>
    <w:p>
      <w:pPr>
        <w:keepNext w:val="0"/>
        <w:keepLines w:val="0"/>
        <w:pageBreakBefore w:val="0"/>
        <w:kinsoku/>
        <w:wordWrap/>
        <w:overflowPunct/>
        <w:topLinePunct w:val="0"/>
        <w:bidi w:val="0"/>
        <w:spacing w:line="600" w:lineRule="exact"/>
        <w:ind w:firstLine="640" w:firstLineChars="200"/>
        <w:textAlignment w:val="auto"/>
        <w:outlineLvl w:val="1"/>
        <w:rPr>
          <w:rStyle w:val="25"/>
          <w:rFonts w:ascii="黑体" w:hAnsi="黑体" w:eastAsia="黑体"/>
          <w:b w:val="0"/>
        </w:rPr>
      </w:pPr>
      <w:r>
        <w:rPr>
          <w:rFonts w:hint="eastAsia" w:ascii="黑体" w:hAnsi="黑体" w:eastAsia="黑体"/>
          <w:sz w:val="32"/>
          <w:szCs w:val="32"/>
        </w:rPr>
        <w:t>四、财</w:t>
      </w:r>
      <w:r>
        <w:rPr>
          <w:rStyle w:val="25"/>
          <w:rFonts w:hint="eastAsia" w:ascii="黑体" w:hAnsi="黑体" w:eastAsia="黑体"/>
          <w:b w:val="0"/>
        </w:rPr>
        <w:t>政拨款收入支出决算总体情况说明</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2021年财政拨款收、支总计</w:t>
      </w:r>
      <w:r>
        <w:rPr>
          <w:rFonts w:hint="eastAsia" w:ascii="仿宋_GB2312" w:hAnsi="仿宋_GB2312" w:eastAsia="仿宋_GB2312" w:cs="仿宋_GB2312"/>
          <w:b w:val="0"/>
          <w:bCs w:val="0"/>
          <w:sz w:val="32"/>
          <w:szCs w:val="32"/>
          <w:lang w:val="en-US" w:eastAsia="zh-CN"/>
        </w:rPr>
        <w:t>1226.20</w:t>
      </w:r>
      <w:r>
        <w:rPr>
          <w:rFonts w:hint="eastAsia" w:ascii="仿宋_GB2312" w:hAnsi="仿宋_GB2312" w:eastAsia="仿宋_GB2312" w:cs="仿宋_GB2312"/>
          <w:b w:val="0"/>
          <w:bCs w:val="0"/>
          <w:sz w:val="32"/>
          <w:szCs w:val="32"/>
        </w:rPr>
        <w:t>万元。与2020年相比，财政拨款收、支总计各增加</w:t>
      </w:r>
      <w:r>
        <w:rPr>
          <w:rFonts w:hint="eastAsia" w:ascii="仿宋_GB2312" w:hAnsi="仿宋_GB2312" w:eastAsia="仿宋_GB2312" w:cs="仿宋_GB2312"/>
          <w:b w:val="0"/>
          <w:bCs w:val="0"/>
          <w:sz w:val="32"/>
          <w:szCs w:val="32"/>
          <w:lang w:val="en-US" w:eastAsia="zh-CN"/>
        </w:rPr>
        <w:t>45.28</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3.83</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sz w:val="32"/>
          <w:szCs w:val="32"/>
          <w:lang w:eastAsia="zh-CN"/>
        </w:rPr>
        <w:t>人员增加。</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（图4：财政拨款收、支决算总计变动情况）</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ind w:left="0" w:leftChars="0" w:firstLine="1059" w:firstLineChars="353"/>
        <w:rPr>
          <w:rFonts w:hint="eastAsia"/>
        </w:rPr>
      </w:pPr>
      <w:r>
        <w:drawing>
          <wp:inline distT="0" distB="0" distL="114300" distR="114300">
            <wp:extent cx="4488180" cy="3870325"/>
            <wp:effectExtent l="4445" t="4445" r="18415" b="11430"/>
            <wp:docPr id="617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黑体" w:hAnsi="黑体" w:eastAsia="黑体"/>
          <w:sz w:val="32"/>
          <w:szCs w:val="32"/>
        </w:rPr>
      </w:pPr>
    </w:p>
    <w:p>
      <w:pPr>
        <w:keepNext w:val="0"/>
        <w:keepLines w:val="0"/>
        <w:pageBreakBefore w:val="0"/>
        <w:kinsoku/>
        <w:wordWrap/>
        <w:overflowPunct/>
        <w:topLinePunct w:val="0"/>
        <w:bidi w:val="0"/>
        <w:spacing w:line="600" w:lineRule="exact"/>
        <w:ind w:firstLine="640" w:firstLineChars="200"/>
        <w:textAlignment w:val="auto"/>
        <w:outlineLvl w:val="1"/>
        <w:rPr>
          <w:rStyle w:val="2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p>
    <w:p>
      <w:pPr>
        <w:keepNext w:val="0"/>
        <w:keepLines w:val="0"/>
        <w:pageBreakBefore w:val="0"/>
        <w:kinsoku/>
        <w:wordWrap/>
        <w:overflowPunct/>
        <w:topLinePunct w:val="0"/>
        <w:bidi w:val="0"/>
        <w:spacing w:line="600" w:lineRule="exact"/>
        <w:ind w:firstLine="642" w:firstLineChars="200"/>
        <w:textAlignment w:val="auto"/>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1224.76</w:t>
      </w:r>
      <w:r>
        <w:rPr>
          <w:rFonts w:hint="eastAsia" w:ascii="仿宋" w:hAnsi="仿宋" w:eastAsia="仿宋"/>
          <w:sz w:val="32"/>
          <w:szCs w:val="32"/>
        </w:rPr>
        <w:t>万元，占本年支出合计的</w:t>
      </w:r>
      <w:r>
        <w:rPr>
          <w:rFonts w:hint="eastAsia" w:ascii="仿宋" w:hAnsi="仿宋" w:eastAsia="仿宋"/>
          <w:sz w:val="32"/>
          <w:szCs w:val="32"/>
          <w:lang w:val="en-US" w:eastAsia="zh-CN"/>
        </w:rPr>
        <w:t>99.95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hint="eastAsia" w:ascii="仿宋" w:hAnsi="仿宋" w:eastAsia="仿宋"/>
          <w:sz w:val="32"/>
          <w:szCs w:val="32"/>
          <w:lang w:val="en-US" w:eastAsia="zh-CN"/>
        </w:rPr>
        <w:t>51.11</w:t>
      </w:r>
      <w:r>
        <w:rPr>
          <w:rFonts w:hint="eastAsia" w:ascii="仿宋" w:hAnsi="仿宋" w:eastAsia="仿宋"/>
          <w:sz w:val="32"/>
          <w:szCs w:val="32"/>
        </w:rPr>
        <w:t>万元，增长</w:t>
      </w:r>
      <w:r>
        <w:rPr>
          <w:rFonts w:hint="eastAsia" w:ascii="仿宋" w:hAnsi="仿宋" w:eastAsia="仿宋"/>
          <w:sz w:val="32"/>
          <w:szCs w:val="32"/>
          <w:lang w:val="en-US" w:eastAsia="zh-CN"/>
        </w:rPr>
        <w:t>4.35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人员增加。</w:t>
      </w:r>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（图5：一般公共预算财政拨款支出决算变动情况）</w:t>
      </w:r>
    </w:p>
    <w:p>
      <w:pPr>
        <w:pStyle w:val="2"/>
        <w:rPr>
          <w:rFonts w:hint="eastAsia"/>
        </w:rPr>
      </w:pPr>
    </w:p>
    <w:p>
      <w:pPr>
        <w:pStyle w:val="2"/>
        <w:ind w:left="0" w:leftChars="0" w:firstLine="837" w:firstLineChars="279"/>
        <w:rPr>
          <w:rFonts w:hint="eastAsia"/>
        </w:rPr>
      </w:pPr>
      <w:r>
        <w:drawing>
          <wp:inline distT="0" distB="0" distL="114300" distR="114300">
            <wp:extent cx="4617085" cy="2606040"/>
            <wp:effectExtent l="4445" t="4445" r="11430" b="10795"/>
            <wp:docPr id="923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kinsoku/>
        <w:wordWrap/>
        <w:overflowPunct/>
        <w:topLinePunct w:val="0"/>
        <w:bidi w:val="0"/>
        <w:spacing w:line="600" w:lineRule="exact"/>
        <w:ind w:firstLine="642" w:firstLineChars="200"/>
        <w:textAlignment w:val="auto"/>
        <w:outlineLvl w:val="2"/>
        <w:rPr>
          <w:rFonts w:hint="eastAsia" w:ascii="仿宋" w:hAnsi="仿宋" w:eastAsia="仿宋"/>
          <w:b/>
          <w:sz w:val="32"/>
          <w:szCs w:val="32"/>
        </w:rPr>
      </w:pPr>
    </w:p>
    <w:p>
      <w:pPr>
        <w:keepNext w:val="0"/>
        <w:keepLines w:val="0"/>
        <w:pageBreakBefore w:val="0"/>
        <w:kinsoku/>
        <w:wordWrap/>
        <w:overflowPunct/>
        <w:topLinePunct w:val="0"/>
        <w:bidi w:val="0"/>
        <w:spacing w:line="600" w:lineRule="exact"/>
        <w:ind w:firstLine="642" w:firstLineChars="200"/>
        <w:textAlignment w:val="auto"/>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2021年一般公共预算财政拨款支出</w:t>
      </w:r>
      <w:r>
        <w:rPr>
          <w:rFonts w:hint="eastAsia" w:ascii="仿宋_GB2312" w:hAnsi="仿宋_GB2312" w:eastAsia="仿宋_GB2312" w:cs="仿宋_GB2312"/>
          <w:b w:val="0"/>
          <w:bCs w:val="0"/>
          <w:sz w:val="32"/>
          <w:szCs w:val="32"/>
          <w:lang w:val="en-US" w:eastAsia="zh-CN"/>
        </w:rPr>
        <w:t>1224.76</w:t>
      </w:r>
      <w:r>
        <w:rPr>
          <w:rFonts w:hint="eastAsia" w:ascii="仿宋_GB2312" w:hAnsi="仿宋_GB2312" w:eastAsia="仿宋_GB2312" w:cs="仿宋_GB2312"/>
          <w:b w:val="0"/>
          <w:bCs w:val="0"/>
          <w:sz w:val="32"/>
          <w:szCs w:val="32"/>
        </w:rPr>
        <w:t>万元，主要用于以下方面:一般公共服务（类）支出</w:t>
      </w:r>
      <w:r>
        <w:rPr>
          <w:rFonts w:hint="eastAsia" w:ascii="仿宋_GB2312" w:hAnsi="仿宋_GB2312" w:eastAsia="仿宋_GB2312" w:cs="仿宋_GB2312"/>
          <w:b w:val="0"/>
          <w:bCs w:val="0"/>
          <w:sz w:val="32"/>
          <w:szCs w:val="32"/>
          <w:highlight w:val="none"/>
          <w:lang w:val="en-US" w:eastAsia="zh-CN"/>
        </w:rPr>
        <w:t>930.47</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rPr>
        <w:t>，占</w:t>
      </w:r>
      <w:r>
        <w:rPr>
          <w:rFonts w:hint="eastAsia" w:ascii="仿宋_GB2312" w:hAnsi="仿宋_GB2312" w:eastAsia="仿宋_GB2312" w:cs="仿宋_GB2312"/>
          <w:b w:val="0"/>
          <w:bCs w:val="0"/>
          <w:sz w:val="32"/>
          <w:szCs w:val="32"/>
          <w:lang w:val="en-US" w:eastAsia="zh-CN"/>
        </w:rPr>
        <w:t>75.97</w:t>
      </w:r>
      <w:r>
        <w:rPr>
          <w:rFonts w:hint="eastAsia" w:ascii="仿宋_GB2312" w:hAnsi="仿宋_GB2312" w:eastAsia="仿宋_GB2312" w:cs="仿宋_GB2312"/>
          <w:b w:val="0"/>
          <w:bCs w:val="0"/>
          <w:sz w:val="32"/>
          <w:szCs w:val="32"/>
        </w:rPr>
        <w:t>%；社会保障和就业（类）支出</w:t>
      </w:r>
      <w:r>
        <w:rPr>
          <w:rFonts w:hint="eastAsia" w:ascii="仿宋_GB2312" w:hAnsi="仿宋_GB2312" w:eastAsia="仿宋_GB2312" w:cs="仿宋_GB2312"/>
          <w:b w:val="0"/>
          <w:bCs w:val="0"/>
          <w:sz w:val="32"/>
          <w:szCs w:val="32"/>
          <w:lang w:val="en-US" w:eastAsia="zh-CN"/>
        </w:rPr>
        <w:t>159.67</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13.03</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38.29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3.13</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96.33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7.87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（图6：一般公共预算财政拨款支出决算结构）</w:t>
      </w:r>
    </w:p>
    <w:p>
      <w:pPr>
        <w:pStyle w:val="2"/>
        <w:ind w:left="0" w:leftChars="0" w:firstLine="639" w:firstLineChars="213"/>
        <w:rPr>
          <w:rFonts w:hint="eastAsia"/>
        </w:rPr>
      </w:pPr>
      <w:r>
        <w:drawing>
          <wp:inline distT="0" distB="0" distL="114300" distR="114300">
            <wp:extent cx="4570095" cy="2743200"/>
            <wp:effectExtent l="4445" t="4445" r="12700" b="10795"/>
            <wp:docPr id="1025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2021年一般公共预算支出决算数为</w:t>
      </w:r>
      <w:r>
        <w:rPr>
          <w:rFonts w:hint="eastAsia" w:ascii="仿宋_GB2312" w:hAnsi="仿宋_GB2312" w:eastAsia="仿宋_GB2312" w:cs="仿宋_GB2312"/>
          <w:b w:val="0"/>
          <w:bCs/>
          <w:sz w:val="32"/>
          <w:szCs w:val="32"/>
          <w:lang w:val="en-US" w:eastAsia="zh-CN"/>
        </w:rPr>
        <w:t>1224.76万元</w:t>
      </w:r>
      <w:r>
        <w:rPr>
          <w:rFonts w:hint="eastAsia" w:ascii="仿宋_GB2312" w:hAnsi="仿宋_GB2312" w:eastAsia="仿宋_GB2312" w:cs="仿宋_GB2312"/>
          <w:b w:val="0"/>
          <w:bCs/>
          <w:sz w:val="32"/>
          <w:szCs w:val="32"/>
        </w:rPr>
        <w:t>，</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99.88</w:t>
      </w:r>
      <w:r>
        <w:rPr>
          <w:rStyle w:val="14"/>
          <w:rFonts w:hint="eastAsia" w:ascii="仿宋_GB2312" w:hAnsi="仿宋_GB2312" w:eastAsia="仿宋_GB2312" w:cs="仿宋_GB2312"/>
          <w:b w:val="0"/>
          <w:bCs/>
          <w:sz w:val="32"/>
          <w:szCs w:val="32"/>
        </w:rPr>
        <w:t>%。其中：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 w:hAnsi="仿宋" w:eastAsia="仿宋"/>
          <w:b w:val="0"/>
          <w:bCs/>
          <w:color w:val="000000"/>
          <w:sz w:val="32"/>
          <w:szCs w:val="32"/>
          <w:lang w:eastAsia="zh-CN"/>
        </w:rPr>
      </w:pPr>
      <w:r>
        <w:rPr>
          <w:rStyle w:val="14"/>
          <w:rFonts w:hint="eastAsia" w:ascii="仿宋_GB2312" w:hAnsi="仿宋_GB2312" w:eastAsia="仿宋_GB2312" w:cs="仿宋_GB2312"/>
          <w:b w:val="0"/>
          <w:bCs/>
          <w:sz w:val="32"/>
          <w:szCs w:val="32"/>
        </w:rPr>
        <w:t>1.</w:t>
      </w:r>
      <w:r>
        <w:rPr>
          <w:rStyle w:val="14"/>
          <w:rFonts w:hint="eastAsia" w:ascii="仿宋_GB2312" w:hAnsi="仿宋_GB2312" w:eastAsia="仿宋_GB2312" w:cs="仿宋_GB2312"/>
          <w:b w:val="0"/>
          <w:bCs/>
          <w:color w:val="000000"/>
          <w:sz w:val="32"/>
          <w:szCs w:val="32"/>
          <w:highlight w:val="none"/>
        </w:rPr>
        <w:t>一般公共服务（类）</w:t>
      </w:r>
      <w:r>
        <w:rPr>
          <w:rStyle w:val="14"/>
          <w:rFonts w:hint="eastAsia" w:ascii="仿宋_GB2312" w:hAnsi="仿宋_GB2312" w:eastAsia="仿宋_GB2312" w:cs="仿宋_GB2312"/>
          <w:b w:val="0"/>
          <w:bCs/>
          <w:color w:val="000000"/>
          <w:sz w:val="32"/>
          <w:szCs w:val="32"/>
          <w:highlight w:val="none"/>
          <w:lang w:eastAsia="zh-CN"/>
        </w:rPr>
        <w:t>人大事务</w:t>
      </w:r>
      <w:r>
        <w:rPr>
          <w:rStyle w:val="14"/>
          <w:rFonts w:hint="eastAsia" w:ascii="仿宋_GB2312" w:hAnsi="仿宋_GB2312" w:eastAsia="仿宋_GB2312" w:cs="仿宋_GB2312"/>
          <w:b w:val="0"/>
          <w:bCs/>
          <w:color w:val="000000"/>
          <w:sz w:val="32"/>
          <w:szCs w:val="32"/>
          <w:highlight w:val="none"/>
        </w:rPr>
        <w:t>（款）</w:t>
      </w:r>
      <w:r>
        <w:rPr>
          <w:rStyle w:val="14"/>
          <w:rFonts w:hint="eastAsia" w:ascii="仿宋_GB2312" w:hAnsi="仿宋_GB2312" w:eastAsia="仿宋_GB2312" w:cs="仿宋_GB2312"/>
          <w:b w:val="0"/>
          <w:bCs/>
          <w:color w:val="000000"/>
          <w:sz w:val="32"/>
          <w:szCs w:val="32"/>
          <w:highlight w:val="none"/>
          <w:lang w:eastAsia="zh-CN"/>
        </w:rPr>
        <w:t>行政运行</w:t>
      </w:r>
      <w:r>
        <w:rPr>
          <w:rStyle w:val="14"/>
          <w:rFonts w:hint="eastAsia" w:ascii="仿宋_GB2312" w:hAnsi="仿宋_GB2312" w:eastAsia="仿宋_GB2312" w:cs="仿宋_GB2312"/>
          <w:b w:val="0"/>
          <w:bCs/>
          <w:color w:val="000000"/>
          <w:sz w:val="32"/>
          <w:szCs w:val="32"/>
          <w:highlight w:val="none"/>
        </w:rPr>
        <w:t>（项）: 支出决算为</w:t>
      </w:r>
      <w:r>
        <w:rPr>
          <w:rStyle w:val="14"/>
          <w:rFonts w:hint="eastAsia" w:ascii="仿宋_GB2312" w:hAnsi="仿宋_GB2312" w:eastAsia="仿宋_GB2312" w:cs="仿宋_GB2312"/>
          <w:b w:val="0"/>
          <w:bCs/>
          <w:color w:val="000000"/>
          <w:sz w:val="32"/>
          <w:szCs w:val="32"/>
          <w:highlight w:val="none"/>
          <w:lang w:val="en-US" w:eastAsia="zh-CN"/>
        </w:rPr>
        <w:t>820.72</w:t>
      </w:r>
      <w:r>
        <w:rPr>
          <w:rStyle w:val="14"/>
          <w:rFonts w:hint="eastAsia" w:ascii="仿宋_GB2312" w:hAnsi="仿宋_GB2312" w:eastAsia="仿宋_GB2312" w:cs="仿宋_GB2312"/>
          <w:b w:val="0"/>
          <w:bCs/>
          <w:color w:val="000000"/>
          <w:sz w:val="32"/>
          <w:szCs w:val="32"/>
          <w:highlight w:val="none"/>
        </w:rPr>
        <w:t>万元，完成预算</w:t>
      </w:r>
      <w:r>
        <w:rPr>
          <w:rStyle w:val="14"/>
          <w:rFonts w:hint="eastAsia" w:ascii="仿宋_GB2312" w:hAnsi="仿宋_GB2312" w:eastAsia="仿宋_GB2312" w:cs="仿宋_GB2312"/>
          <w:b w:val="0"/>
          <w:bCs/>
          <w:color w:val="000000"/>
          <w:sz w:val="32"/>
          <w:szCs w:val="32"/>
          <w:highlight w:val="none"/>
          <w:lang w:val="en-US" w:eastAsia="zh-CN"/>
        </w:rPr>
        <w:t>100</w:t>
      </w:r>
      <w:r>
        <w:rPr>
          <w:rStyle w:val="14"/>
          <w:rFonts w:hint="eastAsia" w:ascii="仿宋_GB2312" w:hAnsi="仿宋_GB2312" w:eastAsia="仿宋_GB2312" w:cs="仿宋_GB2312"/>
          <w:b w:val="0"/>
          <w:bCs/>
          <w:color w:val="000000"/>
          <w:sz w:val="32"/>
          <w:szCs w:val="32"/>
          <w:highlight w:val="none"/>
        </w:rPr>
        <w:t>%，</w:t>
      </w:r>
      <w:r>
        <w:rPr>
          <w:rStyle w:val="14"/>
          <w:rFonts w:hint="eastAsia" w:ascii="仿宋_GB2312" w:hAnsi="仿宋_GB2312" w:eastAsia="仿宋_GB2312" w:cs="仿宋_GB2312"/>
          <w:b w:val="0"/>
          <w:bCs/>
          <w:color w:val="000000"/>
          <w:sz w:val="32"/>
          <w:szCs w:val="32"/>
          <w:highlight w:val="none"/>
          <w:lang w:eastAsia="zh-CN"/>
        </w:rPr>
        <w:t>与预算数持平</w:t>
      </w:r>
      <w:r>
        <w:rPr>
          <w:rStyle w:val="14"/>
          <w:rFonts w:hint="eastAsia" w:ascii="仿宋" w:hAnsi="仿宋" w:eastAsia="仿宋"/>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 w:hAnsi="仿宋" w:eastAsia="仿宋"/>
          <w:b w:val="0"/>
          <w:bCs/>
          <w:color w:val="000000"/>
          <w:sz w:val="32"/>
          <w:szCs w:val="32"/>
          <w:lang w:eastAsia="zh-CN"/>
        </w:rPr>
      </w:pPr>
      <w:r>
        <w:rPr>
          <w:rStyle w:val="14"/>
          <w:rFonts w:hint="eastAsia" w:ascii="仿宋_GB2312" w:hAnsi="仿宋_GB2312" w:eastAsia="仿宋_GB2312" w:cs="仿宋_GB2312"/>
          <w:b w:val="0"/>
          <w:bCs/>
          <w:color w:val="000000"/>
          <w:sz w:val="32"/>
          <w:szCs w:val="32"/>
          <w:highlight w:val="none"/>
        </w:rPr>
        <w:t>2</w:t>
      </w:r>
      <w:r>
        <w:rPr>
          <w:rStyle w:val="14"/>
          <w:rFonts w:hint="eastAsia" w:ascii="仿宋_GB2312" w:hAnsi="仿宋_GB2312" w:eastAsia="仿宋_GB2312" w:cs="仿宋_GB2312"/>
          <w:b w:val="0"/>
          <w:bCs/>
          <w:color w:val="000000"/>
          <w:sz w:val="32"/>
          <w:szCs w:val="32"/>
          <w:highlight w:val="none"/>
          <w:lang w:eastAsia="zh-CN"/>
        </w:rPr>
        <w:t>．</w:t>
      </w:r>
      <w:r>
        <w:rPr>
          <w:rStyle w:val="14"/>
          <w:rFonts w:hint="eastAsia" w:ascii="仿宋_GB2312" w:hAnsi="仿宋_GB2312" w:eastAsia="仿宋_GB2312" w:cs="仿宋_GB2312"/>
          <w:b w:val="0"/>
          <w:bCs/>
          <w:color w:val="000000"/>
          <w:sz w:val="32"/>
          <w:szCs w:val="32"/>
          <w:highlight w:val="none"/>
        </w:rPr>
        <w:t>一般公共服务（类）</w:t>
      </w:r>
      <w:r>
        <w:rPr>
          <w:rStyle w:val="14"/>
          <w:rFonts w:hint="eastAsia" w:ascii="仿宋_GB2312" w:hAnsi="仿宋_GB2312" w:eastAsia="仿宋_GB2312" w:cs="仿宋_GB2312"/>
          <w:b w:val="0"/>
          <w:bCs/>
          <w:color w:val="000000"/>
          <w:sz w:val="32"/>
          <w:szCs w:val="32"/>
          <w:highlight w:val="none"/>
          <w:lang w:eastAsia="zh-CN"/>
        </w:rPr>
        <w:t>人大事务</w:t>
      </w:r>
      <w:r>
        <w:rPr>
          <w:rStyle w:val="14"/>
          <w:rFonts w:hint="eastAsia" w:ascii="仿宋_GB2312" w:hAnsi="仿宋_GB2312" w:eastAsia="仿宋_GB2312" w:cs="仿宋_GB2312"/>
          <w:b w:val="0"/>
          <w:bCs/>
          <w:color w:val="000000"/>
          <w:sz w:val="32"/>
          <w:szCs w:val="32"/>
          <w:highlight w:val="none"/>
        </w:rPr>
        <w:t>（款）</w:t>
      </w:r>
      <w:r>
        <w:rPr>
          <w:rStyle w:val="14"/>
          <w:rFonts w:hint="eastAsia" w:ascii="仿宋_GB2312" w:hAnsi="仿宋_GB2312" w:eastAsia="仿宋_GB2312" w:cs="仿宋_GB2312"/>
          <w:b w:val="0"/>
          <w:bCs/>
          <w:color w:val="000000"/>
          <w:sz w:val="32"/>
          <w:szCs w:val="32"/>
          <w:highlight w:val="none"/>
          <w:lang w:eastAsia="zh-CN"/>
        </w:rPr>
        <w:t>一般行政管理事务</w:t>
      </w:r>
      <w:r>
        <w:rPr>
          <w:rStyle w:val="14"/>
          <w:rFonts w:hint="eastAsia" w:ascii="仿宋_GB2312" w:hAnsi="仿宋_GB2312" w:eastAsia="仿宋_GB2312" w:cs="仿宋_GB2312"/>
          <w:b w:val="0"/>
          <w:bCs/>
          <w:color w:val="000000"/>
          <w:sz w:val="32"/>
          <w:szCs w:val="32"/>
          <w:highlight w:val="none"/>
        </w:rPr>
        <w:t>（项）: 支出决算为</w:t>
      </w:r>
      <w:r>
        <w:rPr>
          <w:rStyle w:val="14"/>
          <w:rFonts w:hint="eastAsia" w:ascii="仿宋_GB2312" w:hAnsi="仿宋_GB2312" w:eastAsia="仿宋_GB2312" w:cs="仿宋_GB2312"/>
          <w:b w:val="0"/>
          <w:bCs/>
          <w:color w:val="000000"/>
          <w:sz w:val="32"/>
          <w:szCs w:val="32"/>
          <w:highlight w:val="none"/>
          <w:lang w:val="en-US" w:eastAsia="zh-CN"/>
        </w:rPr>
        <w:t>91.88</w:t>
      </w:r>
      <w:r>
        <w:rPr>
          <w:rStyle w:val="14"/>
          <w:rFonts w:hint="eastAsia" w:ascii="仿宋_GB2312" w:hAnsi="仿宋_GB2312" w:eastAsia="仿宋_GB2312" w:cs="仿宋_GB2312"/>
          <w:b w:val="0"/>
          <w:bCs/>
          <w:color w:val="000000"/>
          <w:sz w:val="32"/>
          <w:szCs w:val="32"/>
          <w:highlight w:val="none"/>
        </w:rPr>
        <w:t>万元，完成预算</w:t>
      </w:r>
      <w:r>
        <w:rPr>
          <w:rStyle w:val="14"/>
          <w:rFonts w:hint="eastAsia" w:ascii="仿宋_GB2312" w:hAnsi="仿宋_GB2312" w:eastAsia="仿宋_GB2312" w:cs="仿宋_GB2312"/>
          <w:b w:val="0"/>
          <w:bCs/>
          <w:color w:val="000000"/>
          <w:sz w:val="32"/>
          <w:szCs w:val="32"/>
          <w:highlight w:val="none"/>
          <w:lang w:val="en-US" w:eastAsia="zh-CN"/>
        </w:rPr>
        <w:t>100</w:t>
      </w:r>
      <w:r>
        <w:rPr>
          <w:rStyle w:val="14"/>
          <w:rFonts w:hint="eastAsia" w:ascii="仿宋_GB2312" w:hAnsi="仿宋_GB2312" w:eastAsia="仿宋_GB2312" w:cs="仿宋_GB2312"/>
          <w:b w:val="0"/>
          <w:bCs/>
          <w:color w:val="000000"/>
          <w:sz w:val="32"/>
          <w:szCs w:val="32"/>
          <w:highlight w:val="none"/>
        </w:rPr>
        <w:t>%，</w:t>
      </w:r>
      <w:r>
        <w:rPr>
          <w:rStyle w:val="14"/>
          <w:rFonts w:hint="eastAsia" w:ascii="仿宋_GB2312" w:hAnsi="仿宋_GB2312" w:eastAsia="仿宋_GB2312" w:cs="仿宋_GB2312"/>
          <w:b w:val="0"/>
          <w:bCs/>
          <w:color w:val="000000"/>
          <w:sz w:val="32"/>
          <w:szCs w:val="32"/>
          <w:highlight w:val="none"/>
          <w:lang w:eastAsia="zh-CN"/>
        </w:rPr>
        <w:t>与预算数持平</w:t>
      </w:r>
      <w:r>
        <w:rPr>
          <w:rStyle w:val="14"/>
          <w:rFonts w:hint="eastAsia" w:ascii="仿宋" w:hAnsi="仿宋" w:eastAsia="仿宋"/>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 w:hAnsi="仿宋" w:eastAsia="仿宋"/>
          <w:b w:val="0"/>
          <w:bCs/>
          <w:color w:val="000000"/>
          <w:sz w:val="32"/>
          <w:szCs w:val="32"/>
          <w:lang w:eastAsia="zh-CN"/>
        </w:rPr>
      </w:pPr>
      <w:r>
        <w:rPr>
          <w:rStyle w:val="14"/>
          <w:rFonts w:hint="eastAsia" w:ascii="仿宋_GB2312" w:hAnsi="仿宋_GB2312" w:eastAsia="仿宋_GB2312" w:cs="仿宋_GB2312"/>
          <w:b w:val="0"/>
          <w:bCs/>
          <w:color w:val="000000"/>
          <w:sz w:val="32"/>
          <w:szCs w:val="32"/>
          <w:highlight w:val="none"/>
        </w:rPr>
        <w:t>3</w:t>
      </w:r>
      <w:r>
        <w:rPr>
          <w:rStyle w:val="14"/>
          <w:rFonts w:hint="eastAsia" w:ascii="仿宋_GB2312" w:hAnsi="仿宋_GB2312" w:eastAsia="仿宋_GB2312" w:cs="仿宋_GB2312"/>
          <w:b w:val="0"/>
          <w:bCs/>
          <w:color w:val="000000"/>
          <w:sz w:val="32"/>
          <w:szCs w:val="32"/>
          <w:highlight w:val="none"/>
          <w:lang w:eastAsia="zh-CN"/>
        </w:rPr>
        <w:t>．</w:t>
      </w:r>
      <w:r>
        <w:rPr>
          <w:rStyle w:val="14"/>
          <w:rFonts w:hint="eastAsia" w:ascii="仿宋_GB2312" w:hAnsi="仿宋_GB2312" w:eastAsia="仿宋_GB2312" w:cs="仿宋_GB2312"/>
          <w:b w:val="0"/>
          <w:bCs/>
          <w:color w:val="000000"/>
          <w:sz w:val="32"/>
          <w:szCs w:val="32"/>
          <w:highlight w:val="none"/>
        </w:rPr>
        <w:t>一般公共服务（类）</w:t>
      </w:r>
      <w:r>
        <w:rPr>
          <w:rStyle w:val="14"/>
          <w:rFonts w:hint="eastAsia" w:ascii="仿宋_GB2312" w:hAnsi="仿宋_GB2312" w:eastAsia="仿宋_GB2312" w:cs="仿宋_GB2312"/>
          <w:b w:val="0"/>
          <w:bCs/>
          <w:color w:val="000000"/>
          <w:sz w:val="32"/>
          <w:szCs w:val="32"/>
          <w:highlight w:val="none"/>
          <w:lang w:eastAsia="zh-CN"/>
        </w:rPr>
        <w:t>人大事务</w:t>
      </w:r>
      <w:r>
        <w:rPr>
          <w:rStyle w:val="14"/>
          <w:rFonts w:hint="eastAsia" w:ascii="仿宋_GB2312" w:hAnsi="仿宋_GB2312" w:eastAsia="仿宋_GB2312" w:cs="仿宋_GB2312"/>
          <w:b w:val="0"/>
          <w:bCs/>
          <w:color w:val="000000"/>
          <w:sz w:val="32"/>
          <w:szCs w:val="32"/>
          <w:highlight w:val="none"/>
        </w:rPr>
        <w:t>（款）</w:t>
      </w:r>
      <w:r>
        <w:rPr>
          <w:rStyle w:val="14"/>
          <w:rFonts w:hint="eastAsia" w:ascii="仿宋_GB2312" w:hAnsi="仿宋_GB2312" w:eastAsia="仿宋_GB2312" w:cs="仿宋_GB2312"/>
          <w:b w:val="0"/>
          <w:bCs/>
          <w:color w:val="000000"/>
          <w:sz w:val="32"/>
          <w:szCs w:val="32"/>
          <w:highlight w:val="none"/>
          <w:lang w:eastAsia="zh-CN"/>
        </w:rPr>
        <w:t>代表工作</w:t>
      </w:r>
      <w:r>
        <w:rPr>
          <w:rStyle w:val="14"/>
          <w:rFonts w:hint="eastAsia" w:ascii="仿宋_GB2312" w:hAnsi="仿宋_GB2312" w:eastAsia="仿宋_GB2312" w:cs="仿宋_GB2312"/>
          <w:b w:val="0"/>
          <w:bCs/>
          <w:color w:val="000000"/>
          <w:sz w:val="32"/>
          <w:szCs w:val="32"/>
          <w:highlight w:val="none"/>
        </w:rPr>
        <w:t>（项）: 支出决算为</w:t>
      </w:r>
      <w:r>
        <w:rPr>
          <w:rStyle w:val="14"/>
          <w:rFonts w:hint="eastAsia" w:ascii="仿宋_GB2312" w:hAnsi="仿宋_GB2312" w:eastAsia="仿宋_GB2312" w:cs="仿宋_GB2312"/>
          <w:b w:val="0"/>
          <w:bCs/>
          <w:color w:val="000000"/>
          <w:sz w:val="32"/>
          <w:szCs w:val="32"/>
          <w:highlight w:val="none"/>
          <w:lang w:val="en-US" w:eastAsia="zh-CN"/>
        </w:rPr>
        <w:t>17.87</w:t>
      </w:r>
      <w:r>
        <w:rPr>
          <w:rStyle w:val="14"/>
          <w:rFonts w:hint="eastAsia" w:ascii="仿宋_GB2312" w:hAnsi="仿宋_GB2312" w:eastAsia="仿宋_GB2312" w:cs="仿宋_GB2312"/>
          <w:b w:val="0"/>
          <w:bCs/>
          <w:color w:val="000000"/>
          <w:sz w:val="32"/>
          <w:szCs w:val="32"/>
          <w:highlight w:val="none"/>
        </w:rPr>
        <w:t>万元，完成预算</w:t>
      </w:r>
      <w:r>
        <w:rPr>
          <w:rStyle w:val="14"/>
          <w:rFonts w:hint="eastAsia" w:ascii="仿宋_GB2312" w:hAnsi="仿宋_GB2312" w:eastAsia="仿宋_GB2312" w:cs="仿宋_GB2312"/>
          <w:b w:val="0"/>
          <w:bCs/>
          <w:color w:val="000000"/>
          <w:sz w:val="32"/>
          <w:szCs w:val="32"/>
          <w:highlight w:val="none"/>
          <w:lang w:val="en-US" w:eastAsia="zh-CN"/>
        </w:rPr>
        <w:t>98.46</w:t>
      </w:r>
      <w:r>
        <w:rPr>
          <w:rStyle w:val="14"/>
          <w:rFonts w:hint="eastAsia" w:ascii="仿宋_GB2312" w:hAnsi="仿宋_GB2312" w:eastAsia="仿宋_GB2312" w:cs="仿宋_GB2312"/>
          <w:b w:val="0"/>
          <w:bCs/>
          <w:color w:val="000000"/>
          <w:sz w:val="32"/>
          <w:szCs w:val="32"/>
          <w:highlight w:val="none"/>
        </w:rPr>
        <w:t>%，决算数小于预算数</w:t>
      </w:r>
      <w:r>
        <w:rPr>
          <w:rStyle w:val="14"/>
          <w:rFonts w:hint="eastAsia" w:ascii="仿宋_GB2312" w:hAnsi="仿宋_GB2312" w:eastAsia="仿宋_GB2312" w:cs="仿宋_GB2312"/>
          <w:b w:val="0"/>
          <w:bCs/>
          <w:color w:val="000000"/>
          <w:sz w:val="32"/>
          <w:szCs w:val="32"/>
          <w:highlight w:val="none"/>
          <w:lang w:eastAsia="zh-CN"/>
        </w:rPr>
        <w:t>的主要原因是乐山市人大代表经费</w:t>
      </w:r>
      <w:r>
        <w:rPr>
          <w:rStyle w:val="14"/>
          <w:rFonts w:hint="eastAsia" w:ascii="仿宋" w:hAnsi="仿宋" w:eastAsia="仿宋"/>
          <w:b w:val="0"/>
          <w:bCs/>
          <w:color w:val="000000"/>
          <w:sz w:val="32"/>
          <w:szCs w:val="32"/>
          <w:lang w:eastAsia="zh-CN"/>
        </w:rPr>
        <w:t>未实施完成结转下年继续实施。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4</w:t>
      </w:r>
      <w:r>
        <w:rPr>
          <w:rStyle w:val="14"/>
          <w:rFonts w:hint="eastAsia" w:ascii="仿宋_GB2312" w:hAnsi="仿宋_GB2312" w:eastAsia="仿宋_GB2312" w:cs="仿宋_GB2312"/>
          <w:b w:val="0"/>
          <w:bCs/>
          <w:color w:val="000000"/>
          <w:sz w:val="32"/>
          <w:szCs w:val="32"/>
          <w:highlight w:val="none"/>
          <w:lang w:eastAsia="zh-CN"/>
        </w:rPr>
        <w:t>．</w:t>
      </w:r>
      <w:r>
        <w:rPr>
          <w:rStyle w:val="14"/>
          <w:rFonts w:hint="eastAsia" w:ascii="仿宋_GB2312" w:hAnsi="仿宋_GB2312" w:eastAsia="仿宋_GB2312" w:cs="仿宋_GB2312"/>
          <w:b w:val="0"/>
          <w:bCs/>
          <w:color w:val="000000"/>
          <w:sz w:val="32"/>
          <w:szCs w:val="32"/>
          <w:highlight w:val="none"/>
        </w:rPr>
        <w:t>社会保障和就业（类）行政事业单位养老支出（款）行政单位离退休（项）: 支出决算为</w:t>
      </w:r>
      <w:r>
        <w:rPr>
          <w:rStyle w:val="14"/>
          <w:rFonts w:hint="eastAsia" w:ascii="仿宋_GB2312" w:hAnsi="仿宋_GB2312" w:eastAsia="仿宋_GB2312" w:cs="仿宋_GB2312"/>
          <w:b w:val="0"/>
          <w:bCs/>
          <w:color w:val="000000"/>
          <w:sz w:val="32"/>
          <w:szCs w:val="32"/>
          <w:highlight w:val="none"/>
          <w:lang w:val="en-US" w:eastAsia="zh-CN"/>
        </w:rPr>
        <w:t>5.39</w:t>
      </w:r>
      <w:r>
        <w:rPr>
          <w:rStyle w:val="14"/>
          <w:rFonts w:hint="eastAsia" w:ascii="仿宋_GB2312" w:hAnsi="仿宋_GB2312" w:eastAsia="仿宋_GB2312" w:cs="仿宋_GB2312"/>
          <w:b w:val="0"/>
          <w:bCs/>
          <w:color w:val="000000"/>
          <w:sz w:val="32"/>
          <w:szCs w:val="32"/>
          <w:highlight w:val="none"/>
        </w:rPr>
        <w:t>万元，完成预算</w:t>
      </w:r>
      <w:r>
        <w:rPr>
          <w:rStyle w:val="14"/>
          <w:rFonts w:hint="eastAsia" w:ascii="仿宋_GB2312" w:hAnsi="仿宋_GB2312" w:eastAsia="仿宋_GB2312" w:cs="仿宋_GB2312"/>
          <w:b w:val="0"/>
          <w:bCs/>
          <w:color w:val="000000"/>
          <w:sz w:val="32"/>
          <w:szCs w:val="32"/>
          <w:highlight w:val="none"/>
          <w:lang w:val="en-US" w:eastAsia="zh-CN"/>
        </w:rPr>
        <w:t>100</w:t>
      </w:r>
      <w:r>
        <w:rPr>
          <w:rStyle w:val="14"/>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rPr>
        <w:t>与预算数持平</w:t>
      </w:r>
      <w:r>
        <w:rPr>
          <w:rStyle w:val="14"/>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5.</w:t>
      </w:r>
      <w:r>
        <w:rPr>
          <w:rStyle w:val="14"/>
          <w:rFonts w:hint="eastAsia" w:ascii="仿宋_GB2312" w:hAnsi="仿宋_GB2312" w:eastAsia="仿宋_GB2312" w:cs="仿宋_GB2312"/>
          <w:b w:val="0"/>
          <w:bCs/>
          <w:color w:val="000000"/>
          <w:sz w:val="32"/>
          <w:szCs w:val="32"/>
          <w:highlight w:val="none"/>
        </w:rPr>
        <w:t>社会保障和就业（类）行政事业单位养老支出（款）机关事业单位基本养老保险缴费支出（项）: 支出决算为</w:t>
      </w:r>
      <w:r>
        <w:rPr>
          <w:rStyle w:val="14"/>
          <w:rFonts w:hint="eastAsia" w:ascii="仿宋_GB2312" w:hAnsi="仿宋_GB2312" w:eastAsia="仿宋_GB2312" w:cs="仿宋_GB2312"/>
          <w:b w:val="0"/>
          <w:bCs/>
          <w:color w:val="000000"/>
          <w:sz w:val="32"/>
          <w:szCs w:val="32"/>
          <w:highlight w:val="none"/>
          <w:lang w:val="en-US" w:eastAsia="zh-CN"/>
        </w:rPr>
        <w:t>63.47</w:t>
      </w:r>
      <w:r>
        <w:rPr>
          <w:rStyle w:val="14"/>
          <w:rFonts w:hint="eastAsia" w:ascii="仿宋_GB2312" w:hAnsi="仿宋_GB2312" w:eastAsia="仿宋_GB2312" w:cs="仿宋_GB2312"/>
          <w:b w:val="0"/>
          <w:bCs/>
          <w:color w:val="000000"/>
          <w:sz w:val="32"/>
          <w:szCs w:val="32"/>
          <w:highlight w:val="none"/>
        </w:rPr>
        <w:t>万元，完成预算</w:t>
      </w:r>
      <w:r>
        <w:rPr>
          <w:rStyle w:val="14"/>
          <w:rFonts w:hint="eastAsia" w:ascii="仿宋_GB2312" w:hAnsi="仿宋_GB2312" w:eastAsia="仿宋_GB2312" w:cs="仿宋_GB2312"/>
          <w:b w:val="0"/>
          <w:bCs/>
          <w:color w:val="000000"/>
          <w:sz w:val="32"/>
          <w:szCs w:val="32"/>
          <w:highlight w:val="none"/>
          <w:lang w:val="en-US" w:eastAsia="zh-CN"/>
        </w:rPr>
        <w:t>100</w:t>
      </w:r>
      <w:r>
        <w:rPr>
          <w:rStyle w:val="14"/>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rPr>
        <w:t>与预算数持平</w:t>
      </w:r>
      <w:r>
        <w:rPr>
          <w:rStyle w:val="14"/>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6.</w:t>
      </w:r>
      <w:r>
        <w:rPr>
          <w:rStyle w:val="14"/>
          <w:rFonts w:hint="eastAsia" w:ascii="仿宋_GB2312" w:hAnsi="仿宋_GB2312" w:eastAsia="仿宋_GB2312" w:cs="仿宋_GB2312"/>
          <w:b w:val="0"/>
          <w:bCs/>
          <w:color w:val="000000"/>
          <w:sz w:val="32"/>
          <w:szCs w:val="32"/>
          <w:highlight w:val="none"/>
        </w:rPr>
        <w:t>社会保障和就业（类）行政事业单位养老支出（款）机关事业单位职业年金缴费支出（项）: 支出决算为</w:t>
      </w:r>
      <w:r>
        <w:rPr>
          <w:rStyle w:val="14"/>
          <w:rFonts w:hint="eastAsia" w:ascii="仿宋_GB2312" w:hAnsi="仿宋_GB2312" w:eastAsia="仿宋_GB2312" w:cs="仿宋_GB2312"/>
          <w:b w:val="0"/>
          <w:bCs/>
          <w:color w:val="000000"/>
          <w:sz w:val="32"/>
          <w:szCs w:val="32"/>
          <w:highlight w:val="none"/>
          <w:lang w:val="en-US" w:eastAsia="zh-CN"/>
        </w:rPr>
        <w:t>31.44</w:t>
      </w:r>
      <w:r>
        <w:rPr>
          <w:rStyle w:val="14"/>
          <w:rFonts w:hint="eastAsia" w:ascii="仿宋_GB2312" w:hAnsi="仿宋_GB2312" w:eastAsia="仿宋_GB2312" w:cs="仿宋_GB2312"/>
          <w:b w:val="0"/>
          <w:bCs/>
          <w:color w:val="000000"/>
          <w:sz w:val="32"/>
          <w:szCs w:val="32"/>
          <w:highlight w:val="none"/>
        </w:rPr>
        <w:t>万元，完成预算</w:t>
      </w:r>
      <w:r>
        <w:rPr>
          <w:rStyle w:val="14"/>
          <w:rFonts w:hint="eastAsia" w:ascii="仿宋_GB2312" w:hAnsi="仿宋_GB2312" w:eastAsia="仿宋_GB2312" w:cs="仿宋_GB2312"/>
          <w:b w:val="0"/>
          <w:bCs/>
          <w:color w:val="000000"/>
          <w:sz w:val="32"/>
          <w:szCs w:val="32"/>
          <w:highlight w:val="none"/>
          <w:lang w:val="en-US" w:eastAsia="zh-CN"/>
        </w:rPr>
        <w:t>100</w:t>
      </w:r>
      <w:r>
        <w:rPr>
          <w:rStyle w:val="14"/>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rPr>
        <w:t>与预算数持平</w:t>
      </w:r>
      <w:r>
        <w:rPr>
          <w:rStyle w:val="14"/>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7.</w:t>
      </w:r>
      <w:r>
        <w:rPr>
          <w:rStyle w:val="14"/>
          <w:rFonts w:hint="eastAsia" w:ascii="仿宋_GB2312" w:hAnsi="仿宋_GB2312" w:eastAsia="仿宋_GB2312" w:cs="仿宋_GB2312"/>
          <w:b w:val="0"/>
          <w:bCs/>
          <w:color w:val="000000"/>
          <w:sz w:val="32"/>
          <w:szCs w:val="32"/>
          <w:highlight w:val="none"/>
        </w:rPr>
        <w:t>社会保障和就业（类）抚恤（款）死亡抚恤（项）: 支出决算为</w:t>
      </w:r>
      <w:r>
        <w:rPr>
          <w:rStyle w:val="14"/>
          <w:rFonts w:hint="eastAsia" w:ascii="仿宋_GB2312" w:hAnsi="仿宋_GB2312" w:eastAsia="仿宋_GB2312" w:cs="仿宋_GB2312"/>
          <w:b w:val="0"/>
          <w:bCs/>
          <w:color w:val="000000"/>
          <w:sz w:val="32"/>
          <w:szCs w:val="32"/>
          <w:highlight w:val="none"/>
          <w:lang w:val="en-US" w:eastAsia="zh-CN"/>
        </w:rPr>
        <w:t>28.44</w:t>
      </w:r>
      <w:r>
        <w:rPr>
          <w:rStyle w:val="14"/>
          <w:rFonts w:hint="eastAsia" w:ascii="仿宋_GB2312" w:hAnsi="仿宋_GB2312" w:eastAsia="仿宋_GB2312" w:cs="仿宋_GB2312"/>
          <w:b w:val="0"/>
          <w:bCs/>
          <w:color w:val="000000"/>
          <w:sz w:val="32"/>
          <w:szCs w:val="32"/>
          <w:highlight w:val="none"/>
        </w:rPr>
        <w:t>万元，完成预算</w:t>
      </w:r>
      <w:r>
        <w:rPr>
          <w:rStyle w:val="14"/>
          <w:rFonts w:hint="eastAsia" w:ascii="仿宋_GB2312" w:hAnsi="仿宋_GB2312" w:eastAsia="仿宋_GB2312" w:cs="仿宋_GB2312"/>
          <w:b w:val="0"/>
          <w:bCs/>
          <w:color w:val="000000"/>
          <w:sz w:val="32"/>
          <w:szCs w:val="32"/>
          <w:highlight w:val="none"/>
          <w:lang w:val="en-US" w:eastAsia="zh-CN"/>
        </w:rPr>
        <w:t>100</w:t>
      </w:r>
      <w:r>
        <w:rPr>
          <w:rStyle w:val="14"/>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rPr>
        <w:t>与预算数持平</w:t>
      </w:r>
      <w:r>
        <w:rPr>
          <w:rStyle w:val="14"/>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8.</w:t>
      </w:r>
      <w:r>
        <w:rPr>
          <w:rStyle w:val="14"/>
          <w:rFonts w:hint="eastAsia" w:ascii="仿宋_GB2312" w:hAnsi="仿宋_GB2312" w:eastAsia="仿宋_GB2312" w:cs="仿宋_GB2312"/>
          <w:b w:val="0"/>
          <w:bCs/>
          <w:color w:val="000000"/>
          <w:sz w:val="32"/>
          <w:szCs w:val="32"/>
          <w:highlight w:val="none"/>
        </w:rPr>
        <w:t>社会保障和就业（类）其他社会保障和就业支出（款）其他社会保障和就业支出（项）: 支出决算为</w:t>
      </w:r>
      <w:r>
        <w:rPr>
          <w:rStyle w:val="14"/>
          <w:rFonts w:hint="eastAsia" w:ascii="仿宋_GB2312" w:hAnsi="仿宋_GB2312" w:eastAsia="仿宋_GB2312" w:cs="仿宋_GB2312"/>
          <w:b w:val="0"/>
          <w:bCs/>
          <w:color w:val="000000"/>
          <w:sz w:val="32"/>
          <w:szCs w:val="32"/>
          <w:highlight w:val="none"/>
          <w:lang w:val="en-US" w:eastAsia="zh-CN"/>
        </w:rPr>
        <w:t>30.93</w:t>
      </w:r>
      <w:r>
        <w:rPr>
          <w:rStyle w:val="14"/>
          <w:rFonts w:hint="eastAsia" w:ascii="仿宋_GB2312" w:hAnsi="仿宋_GB2312" w:eastAsia="仿宋_GB2312" w:cs="仿宋_GB2312"/>
          <w:b w:val="0"/>
          <w:bCs/>
          <w:color w:val="000000"/>
          <w:sz w:val="32"/>
          <w:szCs w:val="32"/>
          <w:highlight w:val="none"/>
        </w:rPr>
        <w:t>万元，完成预算</w:t>
      </w:r>
      <w:r>
        <w:rPr>
          <w:rStyle w:val="14"/>
          <w:rFonts w:hint="eastAsia" w:ascii="仿宋_GB2312" w:hAnsi="仿宋_GB2312" w:eastAsia="仿宋_GB2312" w:cs="仿宋_GB2312"/>
          <w:b w:val="0"/>
          <w:bCs/>
          <w:color w:val="000000"/>
          <w:sz w:val="32"/>
          <w:szCs w:val="32"/>
          <w:highlight w:val="none"/>
          <w:lang w:val="en-US" w:eastAsia="zh-CN"/>
        </w:rPr>
        <w:t>100</w:t>
      </w:r>
      <w:r>
        <w:rPr>
          <w:rStyle w:val="14"/>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rPr>
        <w:t>与预算数持平</w:t>
      </w:r>
      <w:r>
        <w:rPr>
          <w:rStyle w:val="14"/>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9.</w:t>
      </w:r>
      <w:r>
        <w:rPr>
          <w:rFonts w:hint="eastAsia" w:ascii="仿宋_GB2312" w:hAnsi="仿宋_GB2312" w:eastAsia="仿宋_GB2312" w:cs="仿宋_GB2312"/>
          <w:b w:val="0"/>
          <w:bCs/>
          <w:color w:val="000000"/>
          <w:sz w:val="32"/>
          <w:szCs w:val="32"/>
          <w:highlight w:val="none"/>
        </w:rPr>
        <w:t>卫生健康</w:t>
      </w:r>
      <w:r>
        <w:rPr>
          <w:rStyle w:val="14"/>
          <w:rFonts w:hint="eastAsia" w:ascii="仿宋_GB2312" w:hAnsi="仿宋_GB2312" w:eastAsia="仿宋_GB2312" w:cs="仿宋_GB2312"/>
          <w:b w:val="0"/>
          <w:bCs/>
          <w:color w:val="000000"/>
          <w:sz w:val="32"/>
          <w:szCs w:val="32"/>
          <w:highlight w:val="none"/>
        </w:rPr>
        <w:t>（类）行政事业单位医疗（款）行政单位医疗（项）:支出决算为</w:t>
      </w:r>
      <w:r>
        <w:rPr>
          <w:rStyle w:val="14"/>
          <w:rFonts w:hint="eastAsia" w:ascii="仿宋_GB2312" w:hAnsi="仿宋_GB2312" w:eastAsia="仿宋_GB2312" w:cs="仿宋_GB2312"/>
          <w:b w:val="0"/>
          <w:bCs/>
          <w:color w:val="000000"/>
          <w:sz w:val="32"/>
          <w:szCs w:val="32"/>
          <w:highlight w:val="none"/>
          <w:lang w:val="en-US" w:eastAsia="zh-CN"/>
        </w:rPr>
        <w:t>38.29</w:t>
      </w:r>
      <w:r>
        <w:rPr>
          <w:rStyle w:val="14"/>
          <w:rFonts w:hint="eastAsia" w:ascii="仿宋_GB2312" w:hAnsi="仿宋_GB2312" w:eastAsia="仿宋_GB2312" w:cs="仿宋_GB2312"/>
          <w:b w:val="0"/>
          <w:bCs/>
          <w:color w:val="000000"/>
          <w:sz w:val="32"/>
          <w:szCs w:val="32"/>
          <w:highlight w:val="none"/>
        </w:rPr>
        <w:t>万元，完成预算</w:t>
      </w:r>
      <w:r>
        <w:rPr>
          <w:rStyle w:val="14"/>
          <w:rFonts w:hint="eastAsia" w:ascii="仿宋_GB2312" w:hAnsi="仿宋_GB2312" w:eastAsia="仿宋_GB2312" w:cs="仿宋_GB2312"/>
          <w:b w:val="0"/>
          <w:bCs/>
          <w:color w:val="000000"/>
          <w:sz w:val="32"/>
          <w:szCs w:val="32"/>
          <w:highlight w:val="none"/>
          <w:lang w:val="en-US" w:eastAsia="zh-CN"/>
        </w:rPr>
        <w:t>100</w:t>
      </w:r>
      <w:r>
        <w:rPr>
          <w:rStyle w:val="14"/>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rPr>
        <w:t>与预算数持平</w:t>
      </w:r>
      <w:r>
        <w:rPr>
          <w:rStyle w:val="14"/>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10.</w:t>
      </w:r>
      <w:r>
        <w:rPr>
          <w:rFonts w:hint="eastAsia" w:ascii="仿宋_GB2312" w:hAnsi="仿宋_GB2312" w:eastAsia="仿宋_GB2312" w:cs="仿宋_GB2312"/>
          <w:b w:val="0"/>
          <w:bCs/>
          <w:color w:val="000000"/>
          <w:sz w:val="32"/>
          <w:szCs w:val="32"/>
          <w:highlight w:val="none"/>
        </w:rPr>
        <w:t>住房保障支出</w:t>
      </w:r>
      <w:r>
        <w:rPr>
          <w:rStyle w:val="14"/>
          <w:rFonts w:hint="eastAsia" w:ascii="仿宋_GB2312" w:hAnsi="仿宋_GB2312" w:eastAsia="仿宋_GB2312" w:cs="仿宋_GB2312"/>
          <w:b w:val="0"/>
          <w:bCs/>
          <w:color w:val="000000"/>
          <w:sz w:val="32"/>
          <w:szCs w:val="32"/>
          <w:highlight w:val="none"/>
        </w:rPr>
        <w:t>（类）住房改革支出（款）住房公积金（项）:支出决算为</w:t>
      </w:r>
      <w:r>
        <w:rPr>
          <w:rStyle w:val="14"/>
          <w:rFonts w:hint="eastAsia" w:ascii="仿宋_GB2312" w:hAnsi="仿宋_GB2312" w:eastAsia="仿宋_GB2312" w:cs="仿宋_GB2312"/>
          <w:b w:val="0"/>
          <w:bCs/>
          <w:color w:val="000000"/>
          <w:sz w:val="32"/>
          <w:szCs w:val="32"/>
          <w:highlight w:val="none"/>
          <w:lang w:val="en-US" w:eastAsia="zh-CN"/>
        </w:rPr>
        <w:t>96.33</w:t>
      </w:r>
      <w:r>
        <w:rPr>
          <w:rStyle w:val="14"/>
          <w:rFonts w:hint="eastAsia" w:ascii="仿宋_GB2312" w:hAnsi="仿宋_GB2312" w:eastAsia="仿宋_GB2312" w:cs="仿宋_GB2312"/>
          <w:b w:val="0"/>
          <w:bCs/>
          <w:color w:val="000000"/>
          <w:sz w:val="32"/>
          <w:szCs w:val="32"/>
          <w:highlight w:val="none"/>
        </w:rPr>
        <w:t>万元，完成预算</w:t>
      </w:r>
      <w:r>
        <w:rPr>
          <w:rStyle w:val="14"/>
          <w:rFonts w:hint="eastAsia" w:ascii="仿宋_GB2312" w:hAnsi="仿宋_GB2312" w:eastAsia="仿宋_GB2312" w:cs="仿宋_GB2312"/>
          <w:b w:val="0"/>
          <w:bCs/>
          <w:color w:val="000000"/>
          <w:sz w:val="32"/>
          <w:szCs w:val="32"/>
          <w:highlight w:val="none"/>
          <w:lang w:val="en-US" w:eastAsia="zh-CN"/>
        </w:rPr>
        <w:t>100</w:t>
      </w:r>
      <w:r>
        <w:rPr>
          <w:rStyle w:val="14"/>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rPr>
        <w:t>与预算数持平</w:t>
      </w:r>
      <w:r>
        <w:rPr>
          <w:rStyle w:val="14"/>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25"/>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r>
        <w:rPr>
          <w:rStyle w:val="25"/>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2021年一般公共预算财政拨款基本支出</w:t>
      </w:r>
      <w:r>
        <w:rPr>
          <w:rFonts w:hint="eastAsia" w:ascii="仿宋_GB2312" w:hAnsi="仿宋_GB2312" w:eastAsia="仿宋_GB2312" w:cs="仿宋_GB2312"/>
          <w:b w:val="0"/>
          <w:bCs w:val="0"/>
          <w:sz w:val="32"/>
          <w:szCs w:val="32"/>
          <w:lang w:val="en-US" w:eastAsia="zh-CN"/>
        </w:rPr>
        <w:t>1115.01</w:t>
      </w:r>
      <w:r>
        <w:rPr>
          <w:rFonts w:hint="eastAsia" w:ascii="仿宋_GB2312" w:hAnsi="仿宋_GB2312" w:eastAsia="仿宋_GB2312" w:cs="仿宋_GB2312"/>
          <w:b w:val="0"/>
          <w:bCs w:val="0"/>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人员经费</w:t>
      </w:r>
      <w:r>
        <w:rPr>
          <w:rFonts w:hint="eastAsia" w:ascii="仿宋_GB2312" w:hAnsi="仿宋_GB2312" w:eastAsia="仿宋_GB2312" w:cs="仿宋_GB2312"/>
          <w:b w:val="0"/>
          <w:bCs w:val="0"/>
          <w:sz w:val="32"/>
          <w:szCs w:val="32"/>
          <w:lang w:val="en-US" w:eastAsia="zh-CN"/>
        </w:rPr>
        <w:t>990.76</w:t>
      </w:r>
      <w:r>
        <w:rPr>
          <w:rFonts w:hint="eastAsia" w:ascii="仿宋_GB2312" w:hAnsi="仿宋_GB2312" w:eastAsia="仿宋_GB2312" w:cs="仿宋_GB2312"/>
          <w:b w:val="0"/>
          <w:bCs w:val="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公用经费</w:t>
      </w:r>
      <w:r>
        <w:rPr>
          <w:rFonts w:hint="eastAsia" w:ascii="仿宋_GB2312" w:hAnsi="仿宋_GB2312" w:eastAsia="仿宋_GB2312" w:cs="仿宋_GB2312"/>
          <w:b w:val="0"/>
          <w:bCs w:val="0"/>
          <w:sz w:val="32"/>
          <w:szCs w:val="32"/>
          <w:lang w:val="en-US" w:eastAsia="zh-CN"/>
        </w:rPr>
        <w:t>124.25</w:t>
      </w:r>
      <w:r>
        <w:rPr>
          <w:rFonts w:hint="eastAsia" w:ascii="仿宋_GB2312" w:hAnsi="仿宋_GB2312" w:eastAsia="仿宋_GB2312" w:cs="仿宋_GB2312"/>
          <w:b w:val="0"/>
          <w:bCs w:val="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5"/>
          <w:rFonts w:ascii="黑体" w:hAnsi="黑体" w:eastAsia="黑体"/>
          <w:b w:val="0"/>
        </w:rPr>
      </w:pPr>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2021年“三公”经费财政拨款支出决算为</w:t>
      </w:r>
      <w:r>
        <w:rPr>
          <w:rFonts w:hint="eastAsia" w:ascii="仿宋_GB2312" w:hAnsi="仿宋_GB2312" w:eastAsia="仿宋_GB2312" w:cs="仿宋_GB2312"/>
          <w:b w:val="0"/>
          <w:bCs w:val="0"/>
          <w:sz w:val="32"/>
          <w:szCs w:val="32"/>
          <w:lang w:val="en-US" w:eastAsia="zh-CN"/>
        </w:rPr>
        <w:t>1.80</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0.18</w:t>
      </w:r>
      <w:r>
        <w:rPr>
          <w:rFonts w:hint="eastAsia" w:ascii="仿宋_GB2312" w:hAnsi="仿宋_GB2312" w:eastAsia="仿宋_GB2312" w:cs="仿宋_GB2312"/>
          <w:b w:val="0"/>
          <w:bCs w:val="0"/>
          <w:sz w:val="32"/>
          <w:szCs w:val="32"/>
        </w:rPr>
        <w:t>%，决算数小于预算数的主要原因是</w:t>
      </w:r>
      <w:r>
        <w:rPr>
          <w:rFonts w:hint="eastAsia" w:ascii="仿宋_GB2312" w:hAnsi="仿宋_GB2312" w:eastAsia="仿宋_GB2312" w:cs="仿宋_GB2312"/>
          <w:b w:val="0"/>
          <w:bCs w:val="0"/>
          <w:sz w:val="32"/>
          <w:szCs w:val="32"/>
          <w:lang w:eastAsia="zh-CN"/>
        </w:rPr>
        <w:t>加强了“三公”经费管理。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2021年“三公”经费财政拨款支出决算中，因公出国（境）费支出决算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%。具体情况如下：（图7：“三公”经费财政拨款支出结构）</w:t>
      </w:r>
    </w:p>
    <w:p>
      <w:pPr>
        <w:pStyle w:val="2"/>
        <w:ind w:left="0" w:leftChars="0" w:firstLine="639" w:firstLineChars="213"/>
        <w:rPr>
          <w:rFonts w:hint="eastAsia"/>
        </w:rPr>
      </w:pPr>
      <w:r>
        <w:drawing>
          <wp:inline distT="0" distB="0" distL="114300" distR="114300">
            <wp:extent cx="4593590" cy="2567940"/>
            <wp:effectExtent l="4445" t="5080" r="19685" b="17780"/>
            <wp:docPr id="1126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1．因公出国（境）经费支出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4"/>
          <w:rFonts w:hint="eastAsia" w:ascii="仿宋_GB2312" w:hAnsi="仿宋_GB2312" w:eastAsia="仿宋_GB2312" w:cs="仿宋_GB2312"/>
          <w:b w:val="0"/>
          <w:bCs w:val="0"/>
          <w:sz w:val="32"/>
          <w:szCs w:val="32"/>
        </w:rPr>
        <w:t>完成预算</w:t>
      </w:r>
      <w:r>
        <w:rPr>
          <w:rStyle w:val="14"/>
          <w:rFonts w:hint="eastAsia" w:ascii="仿宋_GB2312" w:hAnsi="仿宋_GB2312" w:eastAsia="仿宋_GB2312" w:cs="仿宋_GB2312"/>
          <w:b w:val="0"/>
          <w:bCs w:val="0"/>
          <w:sz w:val="32"/>
          <w:szCs w:val="32"/>
          <w:lang w:val="en-US" w:eastAsia="zh-CN"/>
        </w:rPr>
        <w:t>0</w:t>
      </w:r>
      <w:r>
        <w:rPr>
          <w:rStyle w:val="14"/>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全年安排因公出国（境）团组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次，出国（境）</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人。因公出国（境）支出决算比2020年</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color w:val="000000"/>
          <w:sz w:val="32"/>
          <w:szCs w:val="32"/>
          <w:lang w:eastAsia="zh-CN"/>
        </w:rPr>
        <w:t>当年无因公出国（境）安排</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2．公务用车购置及运行维护费支出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4"/>
          <w:rFonts w:hint="eastAsia" w:ascii="仿宋_GB2312" w:hAnsi="仿宋_GB2312" w:eastAsia="仿宋_GB2312" w:cs="仿宋_GB2312"/>
          <w:b w:val="0"/>
          <w:bCs w:val="0"/>
          <w:sz w:val="32"/>
          <w:szCs w:val="32"/>
        </w:rPr>
        <w:t>完成预算</w:t>
      </w:r>
      <w:r>
        <w:rPr>
          <w:rStyle w:val="14"/>
          <w:rFonts w:hint="eastAsia" w:ascii="仿宋_GB2312" w:hAnsi="仿宋_GB2312" w:eastAsia="仿宋_GB2312" w:cs="仿宋_GB2312"/>
          <w:b w:val="0"/>
          <w:bCs w:val="0"/>
          <w:sz w:val="32"/>
          <w:szCs w:val="32"/>
          <w:lang w:val="en-US" w:eastAsia="zh-CN"/>
        </w:rPr>
        <w:t>0</w:t>
      </w:r>
      <w:r>
        <w:rPr>
          <w:rStyle w:val="14"/>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公务用车购置及运行维护费支出决算比2020年</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z w:val="32"/>
          <w:szCs w:val="32"/>
        </w:rPr>
        <w:t>主要原因是</w:t>
      </w:r>
      <w:r>
        <w:rPr>
          <w:rFonts w:hint="eastAsia" w:ascii="仿宋" w:hAnsi="仿宋" w:eastAsia="仿宋"/>
          <w:color w:val="000000"/>
          <w:sz w:val="32"/>
          <w:szCs w:val="32"/>
          <w:lang w:val="en-US" w:eastAsia="zh-CN"/>
        </w:rPr>
        <w:t>公车改革后单位车辆交由市政府办统一管理并列支费用</w:t>
      </w:r>
      <w:r>
        <w:rPr>
          <w:rFonts w:hint="eastAsia" w:ascii="仿宋_GB2312" w:hAnsi="仿宋_GB2312" w:eastAsia="仿宋_GB2312" w:cs="仿宋_GB2312"/>
          <w:b w:val="0"/>
          <w:bCs w:val="0"/>
          <w:color w:val="000000"/>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其中：公务用车购置支出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万元。全年按规定更新购置公务用车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万元，越野车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万元，载客汽车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万元。截至2021年12月底，单位共有公务用车</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辆、越野车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公务用车运行维护费支出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000000"/>
          <w:sz w:val="32"/>
          <w:szCs w:val="32"/>
        </w:rPr>
        <w:t>主要原因是</w:t>
      </w:r>
      <w:r>
        <w:rPr>
          <w:rFonts w:hint="eastAsia" w:ascii="仿宋" w:hAnsi="仿宋" w:eastAsia="仿宋"/>
          <w:color w:val="000000"/>
          <w:sz w:val="32"/>
          <w:szCs w:val="32"/>
          <w:lang w:val="en-US" w:eastAsia="zh-CN"/>
        </w:rPr>
        <w:t>公车改革后单位车辆交由市政府办统一管理并列支费用</w:t>
      </w:r>
      <w:r>
        <w:rPr>
          <w:rFonts w:hint="eastAsia" w:ascii="仿宋_GB2312" w:hAnsi="仿宋_GB2312" w:eastAsia="仿宋_GB2312" w:cs="仿宋_GB2312"/>
          <w:b w:val="0"/>
          <w:bCs w:val="0"/>
          <w:color w:val="00000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3．公务接待费支出</w:t>
      </w: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rPr>
        <w:t>万元，</w:t>
      </w:r>
      <w:r>
        <w:rPr>
          <w:rStyle w:val="14"/>
          <w:rFonts w:hint="eastAsia" w:ascii="仿宋_GB2312" w:hAnsi="仿宋_GB2312" w:eastAsia="仿宋_GB2312" w:cs="仿宋_GB2312"/>
          <w:b w:val="0"/>
          <w:bCs w:val="0"/>
          <w:sz w:val="32"/>
          <w:szCs w:val="32"/>
        </w:rPr>
        <w:t>完成预算</w:t>
      </w:r>
      <w:r>
        <w:rPr>
          <w:rStyle w:val="14"/>
          <w:rFonts w:hint="eastAsia" w:ascii="仿宋_GB2312" w:hAnsi="仿宋_GB2312" w:eastAsia="仿宋_GB2312" w:cs="仿宋_GB2312"/>
          <w:b w:val="0"/>
          <w:bCs w:val="0"/>
          <w:sz w:val="32"/>
          <w:szCs w:val="32"/>
          <w:lang w:val="en-US" w:eastAsia="zh-CN"/>
        </w:rPr>
        <w:t>0.18</w:t>
      </w:r>
      <w:r>
        <w:rPr>
          <w:rStyle w:val="14"/>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公务接待费支出决算比2020年增加</w:t>
      </w:r>
      <w:r>
        <w:rPr>
          <w:rFonts w:hint="eastAsia" w:ascii="仿宋_GB2312" w:hAnsi="仿宋_GB2312" w:eastAsia="仿宋_GB2312" w:cs="仿宋_GB2312"/>
          <w:b w:val="0"/>
          <w:bCs w:val="0"/>
          <w:sz w:val="32"/>
          <w:szCs w:val="32"/>
          <w:lang w:val="en-US" w:eastAsia="zh-CN"/>
        </w:rPr>
        <w:t>1.36</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309.09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z w:val="32"/>
          <w:szCs w:val="32"/>
        </w:rPr>
        <w:t>主要原因是</w:t>
      </w:r>
      <w:r>
        <w:rPr>
          <w:rFonts w:hint="eastAsia" w:ascii="仿宋_GB2312" w:hAnsi="仿宋_GB2312" w:eastAsia="仿宋_GB2312" w:cs="仿宋_GB2312"/>
          <w:b w:val="0"/>
          <w:bCs w:val="0"/>
          <w:color w:val="000000"/>
          <w:sz w:val="32"/>
          <w:szCs w:val="32"/>
          <w:lang w:val="en-US" w:eastAsia="zh-CN"/>
        </w:rPr>
        <w:t>2021年实际接待上级人大和外地人大来峨考察批次、人数较2020年增加</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国内公务接待支出</w:t>
      </w:r>
      <w:r>
        <w:rPr>
          <w:rFonts w:hint="eastAsia" w:ascii="仿宋_GB2312" w:hAnsi="仿宋_GB2312" w:eastAsia="仿宋_GB2312" w:cs="仿宋_GB2312"/>
          <w:b w:val="0"/>
          <w:bCs w:val="0"/>
          <w:sz w:val="32"/>
          <w:szCs w:val="32"/>
          <w:lang w:val="en-US" w:eastAsia="zh-CN"/>
        </w:rPr>
        <w:t>1.80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000000"/>
          <w:sz w:val="32"/>
          <w:szCs w:val="32"/>
        </w:rPr>
        <w:t>主要用于</w:t>
      </w:r>
      <w:r>
        <w:rPr>
          <w:rFonts w:hint="eastAsia" w:ascii="仿宋_GB2312" w:hAnsi="仿宋_GB2312" w:eastAsia="仿宋_GB2312" w:cs="仿宋_GB2312"/>
          <w:b w:val="0"/>
          <w:bCs w:val="0"/>
          <w:color w:val="000000"/>
          <w:sz w:val="32"/>
          <w:szCs w:val="32"/>
          <w:lang w:eastAsia="zh-CN"/>
        </w:rPr>
        <w:t>接待外地单位来峨考察人员开展业务活动开支的</w:t>
      </w:r>
      <w:r>
        <w:rPr>
          <w:rFonts w:hint="eastAsia" w:ascii="仿宋_GB2312" w:hAnsi="仿宋_GB2312" w:eastAsia="仿宋_GB2312" w:cs="仿宋_GB2312"/>
          <w:b w:val="0"/>
          <w:bCs w:val="0"/>
          <w:color w:val="000000"/>
          <w:sz w:val="32"/>
          <w:szCs w:val="32"/>
        </w:rPr>
        <w:t>用餐费等。</w:t>
      </w:r>
      <w:r>
        <w:rPr>
          <w:rFonts w:hint="eastAsia" w:ascii="仿宋_GB2312" w:hAnsi="仿宋_GB2312" w:eastAsia="仿宋_GB2312" w:cs="仿宋_GB2312"/>
          <w:b w:val="0"/>
          <w:bCs w:val="0"/>
          <w:sz w:val="32"/>
          <w:szCs w:val="32"/>
        </w:rPr>
        <w:t>国内公务接待</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226</w:t>
      </w:r>
      <w:r>
        <w:rPr>
          <w:rFonts w:hint="eastAsia" w:ascii="仿宋_GB2312" w:hAnsi="仿宋_GB2312" w:eastAsia="仿宋_GB2312" w:cs="仿宋_GB2312"/>
          <w:b w:val="0"/>
          <w:bCs w:val="0"/>
          <w:sz w:val="32"/>
          <w:szCs w:val="32"/>
        </w:rPr>
        <w:t>人次（不包括陪同人员），共计支出</w:t>
      </w:r>
      <w:r>
        <w:rPr>
          <w:rFonts w:hint="eastAsia" w:ascii="仿宋_GB2312" w:hAnsi="仿宋_GB2312" w:eastAsia="仿宋_GB2312" w:cs="仿宋_GB2312"/>
          <w:b w:val="0"/>
          <w:bCs w:val="0"/>
          <w:sz w:val="32"/>
          <w:szCs w:val="32"/>
          <w:lang w:val="en-US" w:eastAsia="zh-CN"/>
        </w:rPr>
        <w:t>1.80</w:t>
      </w:r>
      <w:r>
        <w:rPr>
          <w:rFonts w:hint="eastAsia" w:ascii="仿宋_GB2312" w:hAnsi="仿宋_GB2312" w:eastAsia="仿宋_GB2312" w:cs="仿宋_GB2312"/>
          <w:b w:val="0"/>
          <w:bCs w:val="0"/>
          <w:sz w:val="32"/>
          <w:szCs w:val="32"/>
        </w:rPr>
        <w:t>万元。</w:t>
      </w:r>
    </w:p>
    <w:p>
      <w:pPr>
        <w:keepNext w:val="0"/>
        <w:keepLines w:val="0"/>
        <w:pageBreakBefore w:val="0"/>
        <w:kinsoku/>
        <w:wordWrap/>
        <w:overflowPunct/>
        <w:topLinePunct w:val="0"/>
        <w:bidi w:val="0"/>
        <w:spacing w:line="600" w:lineRule="exact"/>
        <w:ind w:firstLine="640"/>
        <w:textAlignment w:val="auto"/>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无</w:t>
      </w:r>
      <w:r>
        <w:rPr>
          <w:rFonts w:hint="eastAsia" w:ascii="仿宋_GB2312" w:eastAsia="仿宋_GB2312"/>
          <w:sz w:val="32"/>
          <w:szCs w:val="32"/>
        </w:rPr>
        <w:t>政府性基金预算财政拨款支出。</w:t>
      </w:r>
    </w:p>
    <w:p>
      <w:pPr>
        <w:keepNext w:val="0"/>
        <w:keepLines w:val="0"/>
        <w:pageBreakBefore w:val="0"/>
        <w:numPr>
          <w:ilvl w:val="0"/>
          <w:numId w:val="2"/>
        </w:numPr>
        <w:kinsoku/>
        <w:wordWrap/>
        <w:overflowPunct/>
        <w:topLinePunct w:val="0"/>
        <w:bidi w:val="0"/>
        <w:spacing w:line="600" w:lineRule="exact"/>
        <w:ind w:firstLine="640"/>
        <w:textAlignment w:val="auto"/>
        <w:outlineLvl w:val="1"/>
        <w:rPr>
          <w:rStyle w:val="25"/>
          <w:rFonts w:ascii="黑体" w:hAnsi="黑体" w:eastAsia="黑体"/>
          <w:b w:val="0"/>
        </w:rPr>
      </w:pPr>
      <w:r>
        <w:rPr>
          <w:rStyle w:val="25"/>
          <w:rFonts w:hint="eastAsia" w:ascii="黑体" w:hAnsi="黑体" w:eastAsia="黑体"/>
          <w:b w:val="0"/>
        </w:rPr>
        <w:t>国有资本经营预算支出决算情况说明</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无</w:t>
      </w:r>
      <w:r>
        <w:rPr>
          <w:rFonts w:hint="eastAsia" w:ascii="仿宋_GB2312" w:eastAsia="仿宋_GB2312"/>
          <w:sz w:val="32"/>
          <w:szCs w:val="32"/>
        </w:rPr>
        <w:t>国有资本经营预算财政拨款支出。</w:t>
      </w:r>
    </w:p>
    <w:p>
      <w:pPr>
        <w:keepNext w:val="0"/>
        <w:keepLines w:val="0"/>
        <w:pageBreakBefore w:val="0"/>
        <w:numPr>
          <w:ilvl w:val="0"/>
          <w:numId w:val="2"/>
        </w:numPr>
        <w:kinsoku/>
        <w:wordWrap/>
        <w:overflowPunct/>
        <w:topLinePunct w:val="0"/>
        <w:bidi w:val="0"/>
        <w:spacing w:line="600" w:lineRule="exact"/>
        <w:ind w:firstLine="640"/>
        <w:textAlignment w:val="auto"/>
        <w:outlineLvl w:val="1"/>
        <w:rPr>
          <w:rStyle w:val="25"/>
          <w:rFonts w:ascii="黑体" w:hAnsi="黑体" w:eastAsia="黑体"/>
          <w:b w:val="0"/>
        </w:rPr>
      </w:pPr>
      <w:r>
        <w:rPr>
          <w:rStyle w:val="25"/>
          <w:rFonts w:hint="eastAsia" w:ascii="黑体" w:hAnsi="黑体" w:eastAsia="黑体"/>
          <w:b w:val="0"/>
        </w:rPr>
        <w:t>其他重要事项的情况说明</w:t>
      </w:r>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（一）机关运行经费支出情况</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b w:val="0"/>
          <w:bCs w:val="0"/>
          <w:sz w:val="32"/>
          <w:szCs w:val="32"/>
          <w:lang w:eastAsia="zh-CN"/>
        </w:rPr>
        <w:t>市人大办</w:t>
      </w:r>
      <w:r>
        <w:rPr>
          <w:rFonts w:hint="eastAsia" w:ascii="仿宋_GB2312" w:hAnsi="仿宋_GB2312" w:eastAsia="仿宋_GB2312" w:cs="仿宋_GB2312"/>
          <w:b w:val="0"/>
          <w:bCs w:val="0"/>
          <w:sz w:val="32"/>
          <w:szCs w:val="32"/>
        </w:rPr>
        <w:t>机关运行经费支出</w:t>
      </w:r>
      <w:r>
        <w:rPr>
          <w:rFonts w:hint="eastAsia" w:ascii="仿宋_GB2312" w:hAnsi="仿宋_GB2312" w:eastAsia="仿宋_GB2312" w:cs="仿宋_GB2312"/>
          <w:b w:val="0"/>
          <w:bCs w:val="0"/>
          <w:sz w:val="32"/>
          <w:szCs w:val="32"/>
          <w:lang w:val="en-US" w:eastAsia="zh-CN"/>
        </w:rPr>
        <w:t>124.25</w:t>
      </w:r>
      <w:r>
        <w:rPr>
          <w:rFonts w:hint="eastAsia" w:ascii="仿宋_GB2312" w:hAnsi="仿宋_GB2312" w:eastAsia="仿宋_GB2312" w:cs="仿宋_GB2312"/>
          <w:b w:val="0"/>
          <w:bCs w:val="0"/>
          <w:sz w:val="32"/>
          <w:szCs w:val="32"/>
        </w:rPr>
        <w:t>万元，比2020年增加</w:t>
      </w:r>
      <w:r>
        <w:rPr>
          <w:rFonts w:hint="eastAsia" w:ascii="仿宋_GB2312" w:hAnsi="仿宋_GB2312" w:eastAsia="仿宋_GB2312" w:cs="仿宋_GB2312"/>
          <w:b w:val="0"/>
          <w:bCs w:val="0"/>
          <w:sz w:val="32"/>
          <w:szCs w:val="32"/>
          <w:lang w:val="en-US" w:eastAsia="zh-CN"/>
        </w:rPr>
        <w:t>10.87</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9.59</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人员增加。</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（二）政府采购支出情况</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b w:val="0"/>
          <w:bCs w:val="0"/>
          <w:sz w:val="32"/>
          <w:szCs w:val="32"/>
          <w:lang w:eastAsia="zh-CN"/>
        </w:rPr>
        <w:t>市人大办</w:t>
      </w:r>
      <w:r>
        <w:rPr>
          <w:rFonts w:hint="eastAsia" w:ascii="仿宋_GB2312" w:hAnsi="仿宋_GB2312" w:eastAsia="仿宋_GB2312" w:cs="仿宋_GB2312"/>
          <w:b w:val="0"/>
          <w:bCs w:val="0"/>
          <w:sz w:val="32"/>
          <w:szCs w:val="32"/>
        </w:rPr>
        <w:t>政府采购支出总额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万元，其中：政府采购货物支出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万元、政府采购工程支出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万元、政府采购服务支出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（三）国有资产占有使用情况</w:t>
      </w:r>
    </w:p>
    <w:p>
      <w:pPr>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截至202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年12月31日，</w:t>
      </w:r>
      <w:r>
        <w:rPr>
          <w:rFonts w:hint="eastAsia" w:ascii="仿宋_GB2312" w:hAnsi="仿宋_GB2312" w:eastAsia="仿宋_GB2312" w:cs="仿宋_GB2312"/>
          <w:b w:val="0"/>
          <w:bCs w:val="0"/>
          <w:color w:val="000000"/>
          <w:sz w:val="32"/>
          <w:szCs w:val="32"/>
          <w:lang w:eastAsia="zh-CN"/>
        </w:rPr>
        <w:t>市人大办</w:t>
      </w:r>
      <w:r>
        <w:rPr>
          <w:rFonts w:hint="eastAsia" w:ascii="仿宋_GB2312" w:hAnsi="仿宋_GB2312" w:eastAsia="仿宋_GB2312" w:cs="仿宋_GB2312"/>
          <w:b w:val="0"/>
          <w:bCs w:val="0"/>
          <w:color w:val="000000"/>
          <w:sz w:val="32"/>
          <w:szCs w:val="32"/>
        </w:rPr>
        <w:t>共有车辆</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辆，其中：主要领导干部用车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辆、机要通信用车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辆、应急保障用车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辆、其他用车</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辆</w:t>
      </w:r>
      <w:r>
        <w:rPr>
          <w:rFonts w:hint="eastAsia" w:ascii="仿宋_GB2312" w:hAnsi="仿宋_GB2312" w:eastAsia="仿宋_GB2312" w:cs="仿宋_GB2312"/>
          <w:b w:val="0"/>
          <w:bCs w:val="0"/>
          <w:color w:val="000000"/>
          <w:sz w:val="32"/>
          <w:szCs w:val="32"/>
          <w:lang w:eastAsia="zh-CN"/>
        </w:rPr>
        <w:t>。其他</w:t>
      </w:r>
      <w:r>
        <w:rPr>
          <w:rFonts w:hint="eastAsia" w:ascii="仿宋_GB2312" w:hAnsi="仿宋_GB2312" w:eastAsia="仿宋_GB2312" w:cs="仿宋_GB2312"/>
          <w:b w:val="0"/>
          <w:bCs w:val="0"/>
          <w:color w:val="000000"/>
          <w:sz w:val="32"/>
          <w:szCs w:val="32"/>
        </w:rPr>
        <w:t>用车主要是</w:t>
      </w:r>
      <w:r>
        <w:rPr>
          <w:rFonts w:hint="eastAsia" w:ascii="仿宋_GB2312" w:eastAsia="仿宋_GB2312"/>
          <w:color w:val="000000"/>
          <w:sz w:val="32"/>
          <w:szCs w:val="32"/>
        </w:rPr>
        <w:t>用于</w:t>
      </w:r>
      <w:r>
        <w:rPr>
          <w:rFonts w:hint="eastAsia" w:ascii="仿宋_GB2312" w:eastAsia="仿宋_GB2312"/>
          <w:color w:val="000000"/>
          <w:sz w:val="32"/>
          <w:szCs w:val="32"/>
          <w:lang w:eastAsia="zh-CN"/>
        </w:rPr>
        <w:t>开展巡察、调研下乡等工作。</w:t>
      </w:r>
      <w:r>
        <w:rPr>
          <w:rFonts w:hint="eastAsia" w:ascii="仿宋_GB2312" w:hAnsi="仿宋_GB2312" w:eastAsia="仿宋_GB2312" w:cs="仿宋_GB2312"/>
          <w:b w:val="0"/>
          <w:bCs w:val="0"/>
          <w:color w:val="000000"/>
          <w:sz w:val="32"/>
          <w:szCs w:val="32"/>
        </w:rPr>
        <w:t>单价50万元以上通用设备</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台（套），单价100万元以上专用设备</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台（套）。</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（四）预算绩效管理情况</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sz w:val="32"/>
          <w:szCs w:val="32"/>
          <w:lang w:val="en-US" w:eastAsia="zh-CN"/>
        </w:rPr>
        <w:t>5个</w:t>
      </w:r>
      <w:r>
        <w:rPr>
          <w:rFonts w:hint="eastAsia" w:ascii="仿宋_GB2312" w:hAnsi="仿宋_GB2312" w:eastAsia="仿宋_GB2312" w:cs="仿宋_GB2312"/>
          <w:sz w:val="32"/>
          <w:szCs w:val="32"/>
        </w:rPr>
        <w:t>项目</w:t>
      </w:r>
      <w:r>
        <w:rPr>
          <w:rFonts w:hint="eastAsia" w:ascii="仿宋_GB2312" w:hAnsi="宋体" w:cs="宋体"/>
          <w:color w:val="000000"/>
          <w:kern w:val="0"/>
          <w:sz w:val="32"/>
          <w:szCs w:val="24"/>
          <w:shd w:val="clear" w:color="auto" w:fill="FFFFFF"/>
          <w:lang w:val="en-US" w:eastAsia="zh-CN" w:bidi="ar"/>
        </w:rPr>
        <w:t>（“</w:t>
      </w:r>
      <w:r>
        <w:rPr>
          <w:rFonts w:hint="eastAsia" w:ascii="仿宋_GB2312" w:hAnsi="仿宋_GB2312" w:eastAsia="仿宋_GB2312" w:cs="仿宋_GB2312"/>
          <w:sz w:val="32"/>
          <w:szCs w:val="32"/>
          <w:lang w:eastAsia="zh-CN"/>
        </w:rPr>
        <w:t>人大专项业务经费</w:t>
      </w:r>
      <w:r>
        <w:rPr>
          <w:rFonts w:hint="eastAsia" w:ascii="仿宋_GB2312" w:hAnsi="宋体" w:cs="宋体"/>
          <w:color w:val="000000"/>
          <w:kern w:val="0"/>
          <w:sz w:val="32"/>
          <w:szCs w:val="24"/>
          <w:shd w:val="clear" w:color="auto" w:fill="FFFFFF"/>
          <w:lang w:val="en-US" w:eastAsia="zh-CN" w:bidi="ar"/>
        </w:rPr>
        <w:t>”</w:t>
      </w:r>
      <w:r>
        <w:rPr>
          <w:rFonts w:hint="eastAsia" w:ascii="仿宋_GB2312" w:hAnsi="仿宋_GB2312" w:eastAsia="仿宋_GB2312" w:cs="仿宋_GB2312"/>
          <w:sz w:val="32"/>
          <w:szCs w:val="32"/>
          <w:lang w:eastAsia="zh-CN"/>
        </w:rPr>
        <w:t>“人大代表经费”“人大代表培训费”“换届选举经费”“人民代表大会会议费”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w:t>
      </w:r>
      <w:r>
        <w:rPr>
          <w:rFonts w:hint="eastAsia" w:ascii="仿宋_GB2312" w:hAnsi="仿宋_GB2312" w:eastAsia="仿宋_GB2312" w:cs="仿宋_GB2312"/>
          <w:sz w:val="32"/>
          <w:szCs w:val="32"/>
          <w:lang w:eastAsia="zh-CN"/>
        </w:rPr>
        <w:t>对本部门</w:t>
      </w:r>
      <w:r>
        <w:rPr>
          <w:rFonts w:hint="eastAsia" w:ascii="仿宋_GB2312" w:hAnsi="仿宋_GB2312" w:eastAsia="仿宋_GB2312" w:cs="仿宋_GB2312"/>
          <w:sz w:val="32"/>
          <w:szCs w:val="32"/>
          <w:lang w:val="en-US" w:eastAsia="zh-CN"/>
        </w:rPr>
        <w:t>5个项目完成情况开展了自评，并</w:t>
      </w:r>
      <w:r>
        <w:rPr>
          <w:rFonts w:hint="eastAsia" w:ascii="仿宋_GB2312" w:hAnsi="仿宋_GB2312" w:eastAsia="仿宋_GB2312" w:cs="仿宋_GB2312"/>
          <w:sz w:val="32"/>
          <w:szCs w:val="32"/>
        </w:rPr>
        <w:t>组织开展</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项目支出绩效评价。</w:t>
      </w:r>
    </w:p>
    <w:p>
      <w:pPr>
        <w:keepNext w:val="0"/>
        <w:keepLines w:val="0"/>
        <w:widowControl/>
        <w:numPr>
          <w:ilvl w:val="0"/>
          <w:numId w:val="0"/>
        </w:numPr>
        <w:suppressLineNumbers w:val="0"/>
        <w:adjustRightInd w:val="0"/>
        <w:snapToGrid w:val="0"/>
        <w:spacing w:before="0" w:beforeAutospacing="0" w:after="0" w:afterAutospacing="0" w:line="580" w:lineRule="exact"/>
        <w:ind w:left="0" w:leftChars="0" w:right="0" w:rightChars="0" w:firstLine="720" w:firstLineChars="22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预算执行中绩效目标基本完成，取得了一定经济和社会效益。单位财务制度基本健全，管理规范，得到有效执行。三公经费支出得到有效控制，财政资金得到有效使用，行政效率得到提高，但仍存在有个别项目实施较慢，结转到次年实施的情况。</w:t>
      </w:r>
    </w:p>
    <w:p>
      <w:pPr>
        <w:keepNext w:val="0"/>
        <w:keepLines w:val="0"/>
        <w:widowControl/>
        <w:numPr>
          <w:ilvl w:val="0"/>
          <w:numId w:val="0"/>
        </w:numPr>
        <w:suppressLineNumbers w:val="0"/>
        <w:adjustRightInd w:val="0"/>
        <w:snapToGrid w:val="0"/>
        <w:spacing w:before="0" w:beforeAutospacing="0" w:after="0" w:afterAutospacing="0" w:line="580" w:lineRule="exact"/>
        <w:ind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宋体" w:cs="宋体"/>
          <w:color w:val="000000"/>
          <w:kern w:val="0"/>
          <w:sz w:val="32"/>
          <w:szCs w:val="24"/>
          <w:shd w:val="clear" w:color="auto" w:fill="FFFFFF"/>
          <w:lang w:val="en-US" w:eastAsia="zh-CN" w:bidi="ar"/>
        </w:rPr>
        <w:t>“</w:t>
      </w:r>
      <w:r>
        <w:rPr>
          <w:rFonts w:hint="eastAsia" w:ascii="仿宋_GB2312" w:hAnsi="仿宋_GB2312" w:eastAsia="仿宋_GB2312" w:cs="仿宋_GB2312"/>
          <w:sz w:val="32"/>
          <w:szCs w:val="32"/>
          <w:lang w:eastAsia="zh-CN"/>
        </w:rPr>
        <w:t>人大专项业务经费</w:t>
      </w:r>
      <w:r>
        <w:rPr>
          <w:rFonts w:hint="eastAsia" w:ascii="仿宋_GB2312" w:hAnsi="宋体" w:cs="宋体"/>
          <w:color w:val="000000"/>
          <w:kern w:val="0"/>
          <w:sz w:val="32"/>
          <w:szCs w:val="24"/>
          <w:shd w:val="clear" w:color="auto" w:fill="FFFFFF"/>
          <w:lang w:val="en-US" w:eastAsia="zh-CN" w:bidi="ar"/>
        </w:rPr>
        <w:t>”</w:t>
      </w:r>
      <w:r>
        <w:rPr>
          <w:rFonts w:hint="eastAsia" w:ascii="仿宋_GB2312" w:hAnsi="仿宋_GB2312" w:eastAsia="仿宋_GB2312" w:cs="仿宋_GB2312"/>
          <w:sz w:val="32"/>
          <w:szCs w:val="32"/>
          <w:lang w:eastAsia="zh-CN"/>
        </w:rPr>
        <w:t>“人大代表培训费”“换届选举经费”“人民代表大会会议费”</w:t>
      </w:r>
      <w:r>
        <w:rPr>
          <w:rFonts w:hint="eastAsia" w:ascii="仿宋_GB2312" w:hAnsi="仿宋_GB2312" w:eastAsia="仿宋_GB2312" w:cs="仿宋_GB2312"/>
          <w:sz w:val="32"/>
          <w:szCs w:val="32"/>
          <w:lang w:val="en-US" w:eastAsia="zh-CN"/>
        </w:rPr>
        <w:t>4个项目预算执行率100%，</w:t>
      </w:r>
      <w:r>
        <w:rPr>
          <w:rFonts w:hint="eastAsia" w:ascii="仿宋_GB2312" w:hAnsi="仿宋_GB2312" w:eastAsia="仿宋_GB2312" w:cs="仿宋_GB2312"/>
          <w:sz w:val="32"/>
          <w:szCs w:val="32"/>
          <w:lang w:eastAsia="zh-CN"/>
        </w:rPr>
        <w:t>“人大代表经费”</w:t>
      </w:r>
      <w:r>
        <w:rPr>
          <w:rFonts w:hint="eastAsia" w:ascii="仿宋_GB2312" w:hAnsi="仿宋_GB2312" w:eastAsia="仿宋_GB2312" w:cs="仿宋_GB2312"/>
          <w:sz w:val="32"/>
          <w:szCs w:val="32"/>
          <w:lang w:val="en-US" w:eastAsia="zh-CN"/>
        </w:rPr>
        <w:t>项目预算尚未实施完成，结转2022年度继续实施。</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项目绩效目标完成情况</w:t>
      </w:r>
    </w:p>
    <w:p>
      <w:pPr>
        <w:pageBreakBefore w:val="0"/>
        <w:kinsoku/>
        <w:wordWrap/>
        <w:overflowPunct/>
        <w:topLinePunct w:val="0"/>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年度部门决算中反映</w:t>
      </w:r>
      <w:r>
        <w:rPr>
          <w:rFonts w:hint="eastAsia" w:ascii="仿宋_GB2312" w:hAnsi="宋体" w:cs="宋体"/>
          <w:color w:val="000000"/>
          <w:kern w:val="0"/>
          <w:sz w:val="32"/>
          <w:szCs w:val="24"/>
          <w:shd w:val="clear" w:color="auto" w:fill="FFFFFF"/>
          <w:lang w:val="en-US" w:eastAsia="zh-CN" w:bidi="ar"/>
        </w:rPr>
        <w:t>“</w:t>
      </w:r>
      <w:r>
        <w:rPr>
          <w:rFonts w:hint="eastAsia" w:ascii="仿宋_GB2312" w:hAnsi="仿宋_GB2312" w:eastAsia="仿宋_GB2312" w:cs="仿宋_GB2312"/>
          <w:sz w:val="32"/>
          <w:szCs w:val="32"/>
          <w:lang w:eastAsia="zh-CN"/>
        </w:rPr>
        <w:t>人大专项业务经费</w:t>
      </w:r>
      <w:r>
        <w:rPr>
          <w:rFonts w:hint="eastAsia" w:ascii="仿宋_GB2312" w:hAnsi="宋体" w:cs="宋体"/>
          <w:color w:val="000000"/>
          <w:kern w:val="0"/>
          <w:sz w:val="32"/>
          <w:szCs w:val="24"/>
          <w:shd w:val="clear" w:color="auto" w:fill="FFFFFF"/>
          <w:lang w:val="en-US" w:eastAsia="zh-CN" w:bidi="ar"/>
        </w:rPr>
        <w:t>”</w:t>
      </w:r>
      <w:r>
        <w:rPr>
          <w:rFonts w:hint="eastAsia" w:ascii="仿宋_GB2312" w:hAnsi="仿宋_GB2312" w:eastAsia="仿宋_GB2312" w:cs="仿宋_GB2312"/>
          <w:sz w:val="32"/>
          <w:szCs w:val="32"/>
          <w:lang w:eastAsia="zh-CN"/>
        </w:rPr>
        <w:t>“人大代表经费”“人大代表培训费”“换届选举经费”“人民代表大会会议费”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5个</w:t>
      </w:r>
      <w:r>
        <w:rPr>
          <w:rFonts w:hint="eastAsia" w:ascii="仿宋_GB2312" w:hAnsi="仿宋_GB2312" w:eastAsia="仿宋_GB2312" w:cs="仿宋_GB2312"/>
          <w:sz w:val="32"/>
          <w:szCs w:val="32"/>
        </w:rPr>
        <w:t>项目绩效目标实际完成情况。（本单位部门项目绩效目标全部进行公开，公开内容包括选取的全部项目完成情况综述和完成情况表）。</w:t>
      </w:r>
      <w:r>
        <w:rPr>
          <w:rFonts w:hint="eastAsia" w:ascii="仿宋_GB2312" w:hAnsi="仿宋_GB2312" w:eastAsia="仿宋_GB2312" w:cs="仿宋_GB2312"/>
          <w:sz w:val="32"/>
          <w:szCs w:val="32"/>
          <w:lang w:eastAsia="zh-CN"/>
        </w:rPr>
        <w:t>项目绩效自评情况详见附件</w:t>
      </w:r>
      <w:r>
        <w:rPr>
          <w:rFonts w:hint="eastAsia" w:ascii="仿宋_GB2312" w:hAnsi="仿宋_GB2312" w:eastAsia="仿宋_GB2312" w:cs="仿宋_GB2312"/>
          <w:sz w:val="32"/>
          <w:szCs w:val="32"/>
        </w:rPr>
        <w:t>。</w:t>
      </w:r>
    </w:p>
    <w:p>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峨眉山市人大常委会办公室</w:t>
      </w:r>
      <w:r>
        <w:rPr>
          <w:rFonts w:hint="eastAsia" w:ascii="仿宋_GB2312" w:hAnsi="仿宋_GB2312" w:eastAsia="仿宋_GB2312" w:cs="仿宋_GB2312"/>
          <w:sz w:val="32"/>
          <w:szCs w:val="32"/>
        </w:rPr>
        <w:t>部门202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pStyle w:val="2"/>
        <w:rPr>
          <w:rFonts w:hint="eastAsia"/>
        </w:rPr>
      </w:pPr>
    </w:p>
    <w:p>
      <w:pPr>
        <w:spacing w:line="580" w:lineRule="exact"/>
        <w:ind w:firstLine="880" w:firstLineChars="200"/>
        <w:jc w:val="center"/>
        <w:rPr>
          <w:rStyle w:val="24"/>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000000"/>
          <w:sz w:val="44"/>
          <w:szCs w:val="44"/>
          <w:lang w:eastAsia="zh-CN"/>
        </w:rPr>
        <w:t>第三部分</w:t>
      </w:r>
      <w:r>
        <w:rPr>
          <w:rFonts w:hint="eastAsia" w:ascii="方正小标宋_GBK" w:hAnsi="方正小标宋_GBK" w:eastAsia="方正小标宋_GBK" w:cs="方正小标宋_GBK"/>
          <w:b w:val="0"/>
          <w:bCs/>
          <w:color w:val="000000"/>
          <w:sz w:val="44"/>
          <w:szCs w:val="44"/>
          <w:lang w:val="en-US" w:eastAsia="zh-CN"/>
        </w:rPr>
        <w:t xml:space="preserve"> </w:t>
      </w:r>
      <w:r>
        <w:rPr>
          <w:rFonts w:hint="eastAsia" w:ascii="方正小标宋_GBK" w:hAnsi="方正小标宋_GBK" w:eastAsia="方正小标宋_GBK" w:cs="方正小标宋_GBK"/>
          <w:b w:val="0"/>
          <w:bCs/>
          <w:color w:val="000000"/>
          <w:sz w:val="44"/>
          <w:szCs w:val="44"/>
        </w:rPr>
        <w:t>名</w:t>
      </w:r>
      <w:r>
        <w:rPr>
          <w:rStyle w:val="24"/>
          <w:rFonts w:hint="eastAsia" w:ascii="方正小标宋_GBK" w:hAnsi="方正小标宋_GBK" w:eastAsia="方正小标宋_GBK" w:cs="方正小标宋_GBK"/>
          <w:b w:val="0"/>
          <w:bCs/>
          <w:sz w:val="44"/>
          <w:szCs w:val="44"/>
        </w:rPr>
        <w:t>词解释</w:t>
      </w:r>
    </w:p>
    <w:p>
      <w:pPr>
        <w:keepNext w:val="0"/>
        <w:keepLines w:val="0"/>
        <w:pageBreakBefore w:val="0"/>
        <w:kinsoku/>
        <w:wordWrap/>
        <w:overflowPunct/>
        <w:topLinePunct w:val="0"/>
        <w:bidi w:val="0"/>
        <w:snapToGrid/>
        <w:spacing w:line="600" w:lineRule="exact"/>
        <w:jc w:val="left"/>
        <w:textAlignment w:val="auto"/>
        <w:rPr>
          <w:rFonts w:ascii="宋体"/>
          <w:b/>
          <w:color w:val="000000"/>
          <w:sz w:val="44"/>
          <w:szCs w:val="44"/>
        </w:rPr>
      </w:pPr>
    </w:p>
    <w:p>
      <w:pPr>
        <w:pStyle w:val="22"/>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sz w:val="32"/>
          <w:szCs w:val="32"/>
        </w:rPr>
      </w:pPr>
      <w:r>
        <w:rPr>
          <w:rFonts w:hint="eastAsia" w:ascii="仿宋_GB2312" w:eastAsia="仿宋_GB2312"/>
          <w:color w:val="000000"/>
          <w:sz w:val="32"/>
          <w:szCs w:val="32"/>
          <w:lang w:eastAsia="zh-CN"/>
        </w:rPr>
        <w:t>九、</w:t>
      </w:r>
      <w:r>
        <w:rPr>
          <w:rFonts w:hint="eastAsia" w:ascii="仿宋_GB2312" w:eastAsia="仿宋_GB2312"/>
          <w:sz w:val="32"/>
          <w:szCs w:val="32"/>
        </w:rPr>
        <w:t>一般公共服务（类）人大事务（款）行政运行（项）：指行政单位的基本支出。</w:t>
      </w:r>
    </w:p>
    <w:p>
      <w:pPr>
        <w:ind w:firstLine="640" w:firstLineChars="200"/>
        <w:rPr>
          <w:rFonts w:hint="eastAsia" w:ascii="仿宋_GB2312" w:eastAsia="仿宋_GB2312"/>
          <w:sz w:val="32"/>
          <w:szCs w:val="32"/>
        </w:rPr>
      </w:pPr>
      <w:r>
        <w:rPr>
          <w:rFonts w:hint="eastAsia" w:ascii="仿宋_GB2312" w:eastAsia="仿宋_GB2312"/>
          <w:color w:val="000000"/>
          <w:sz w:val="32"/>
          <w:szCs w:val="32"/>
          <w:lang w:eastAsia="zh-CN"/>
        </w:rPr>
        <w:t>十、</w:t>
      </w:r>
      <w:r>
        <w:rPr>
          <w:rFonts w:hint="eastAsia" w:ascii="仿宋_GB2312" w:eastAsia="仿宋_GB2312"/>
          <w:sz w:val="32"/>
          <w:szCs w:val="32"/>
        </w:rPr>
        <w:t>一般公共服务</w:t>
      </w:r>
      <w:r>
        <w:rPr>
          <w:rFonts w:hint="eastAsia" w:ascii="仿宋_GB2312" w:eastAsia="仿宋_GB2312"/>
          <w:sz w:val="32"/>
          <w:szCs w:val="32"/>
          <w:lang w:eastAsia="zh-CN"/>
        </w:rPr>
        <w:t>支出</w:t>
      </w:r>
      <w:r>
        <w:rPr>
          <w:rFonts w:hint="eastAsia" w:ascii="仿宋_GB2312" w:eastAsia="仿宋_GB2312"/>
          <w:sz w:val="32"/>
          <w:szCs w:val="32"/>
        </w:rPr>
        <w:t>（类）人大事务（款）一般行政管理事务（项）：指行政单位未单独设置项级科目的其他项目支出。</w:t>
      </w:r>
    </w:p>
    <w:p>
      <w:pPr>
        <w:ind w:firstLine="640" w:firstLineChars="200"/>
        <w:rPr>
          <w:rFonts w:hint="eastAsia" w:ascii="仿宋_GB2312" w:eastAsia="仿宋_GB2312"/>
          <w:sz w:val="32"/>
          <w:szCs w:val="32"/>
        </w:rPr>
      </w:pPr>
      <w:r>
        <w:rPr>
          <w:rFonts w:hint="eastAsia" w:ascii="仿宋_GB2312" w:eastAsia="仿宋_GB2312"/>
          <w:color w:val="000000"/>
          <w:sz w:val="32"/>
          <w:szCs w:val="32"/>
          <w:lang w:eastAsia="zh-CN"/>
        </w:rPr>
        <w:t>十一、</w:t>
      </w:r>
      <w:r>
        <w:rPr>
          <w:rFonts w:hint="eastAsia" w:ascii="仿宋_GB2312" w:eastAsia="仿宋_GB2312"/>
          <w:sz w:val="32"/>
          <w:szCs w:val="32"/>
        </w:rPr>
        <w:t>一般公共服务</w:t>
      </w:r>
      <w:r>
        <w:rPr>
          <w:rFonts w:hint="eastAsia" w:ascii="仿宋_GB2312" w:eastAsia="仿宋_GB2312"/>
          <w:sz w:val="32"/>
          <w:szCs w:val="32"/>
          <w:lang w:eastAsia="zh-CN"/>
        </w:rPr>
        <w:t>支出</w:t>
      </w:r>
      <w:r>
        <w:rPr>
          <w:rFonts w:hint="eastAsia" w:ascii="仿宋_GB2312" w:eastAsia="仿宋_GB2312"/>
          <w:sz w:val="32"/>
          <w:szCs w:val="32"/>
        </w:rPr>
        <w:t>（类）人大事务（款）</w:t>
      </w:r>
      <w:r>
        <w:rPr>
          <w:rFonts w:hint="eastAsia" w:ascii="仿宋_GB2312" w:eastAsia="仿宋_GB2312"/>
          <w:sz w:val="32"/>
          <w:szCs w:val="32"/>
          <w:lang w:eastAsia="zh-CN"/>
        </w:rPr>
        <w:t>人大会议</w:t>
      </w:r>
      <w:r>
        <w:rPr>
          <w:rFonts w:hint="eastAsia" w:ascii="仿宋_GB2312" w:eastAsia="仿宋_GB2312"/>
          <w:sz w:val="32"/>
          <w:szCs w:val="32"/>
        </w:rPr>
        <w:t>（项）：指反映</w:t>
      </w:r>
      <w:r>
        <w:rPr>
          <w:rFonts w:hint="eastAsia" w:ascii="仿宋_GB2312" w:eastAsia="仿宋_GB2312"/>
          <w:sz w:val="32"/>
          <w:szCs w:val="32"/>
          <w:lang w:eastAsia="zh-CN"/>
        </w:rPr>
        <w:t>各级人大召开人民代表大会等专门会议的支出。</w:t>
      </w:r>
      <w:r>
        <w:rPr>
          <w:rFonts w:hint="eastAsia" w:ascii="仿宋_GB2312" w:eastAsia="仿宋_GB2312"/>
          <w:sz w:val="32"/>
          <w:szCs w:val="32"/>
        </w:rPr>
        <w:t>人大代表开展各类视察等方面的支出。</w:t>
      </w:r>
    </w:p>
    <w:p>
      <w:pPr>
        <w:ind w:firstLine="640" w:firstLineChars="200"/>
        <w:rPr>
          <w:rFonts w:hint="eastAsia" w:ascii="仿宋_GB2312" w:eastAsia="仿宋_GB2312"/>
          <w:sz w:val="32"/>
          <w:szCs w:val="32"/>
        </w:rPr>
      </w:pPr>
      <w:r>
        <w:rPr>
          <w:rFonts w:hint="eastAsia" w:ascii="仿宋_GB2312" w:eastAsia="仿宋_GB2312"/>
          <w:color w:val="000000"/>
          <w:sz w:val="32"/>
          <w:szCs w:val="32"/>
          <w:lang w:eastAsia="zh-CN"/>
        </w:rPr>
        <w:t>十二、</w:t>
      </w:r>
      <w:r>
        <w:rPr>
          <w:rFonts w:hint="eastAsia" w:ascii="仿宋_GB2312" w:eastAsia="仿宋_GB2312"/>
          <w:sz w:val="32"/>
          <w:szCs w:val="32"/>
        </w:rPr>
        <w:t>一般公共服务</w:t>
      </w:r>
      <w:r>
        <w:rPr>
          <w:rFonts w:hint="eastAsia" w:ascii="仿宋_GB2312" w:eastAsia="仿宋_GB2312"/>
          <w:sz w:val="32"/>
          <w:szCs w:val="32"/>
          <w:lang w:eastAsia="zh-CN"/>
        </w:rPr>
        <w:t>支出</w:t>
      </w:r>
      <w:r>
        <w:rPr>
          <w:rFonts w:hint="eastAsia" w:ascii="仿宋_GB2312" w:eastAsia="仿宋_GB2312"/>
          <w:sz w:val="32"/>
          <w:szCs w:val="32"/>
        </w:rPr>
        <w:t>（类）人大事务（款）</w:t>
      </w:r>
      <w:r>
        <w:rPr>
          <w:rFonts w:hint="eastAsia" w:ascii="仿宋_GB2312" w:eastAsia="仿宋_GB2312"/>
          <w:sz w:val="32"/>
          <w:szCs w:val="32"/>
          <w:lang w:eastAsia="zh-CN"/>
        </w:rPr>
        <w:t>代表工作</w:t>
      </w:r>
      <w:r>
        <w:rPr>
          <w:rFonts w:hint="eastAsia" w:ascii="仿宋_GB2312" w:eastAsia="仿宋_GB2312"/>
          <w:sz w:val="32"/>
          <w:szCs w:val="32"/>
        </w:rPr>
        <w:t>（项）：指反映人大代表开展各类视察等方面的支出。</w:t>
      </w:r>
    </w:p>
    <w:p>
      <w:pPr>
        <w:ind w:firstLine="640" w:firstLineChars="200"/>
        <w:rPr>
          <w:rFonts w:hint="eastAsia" w:ascii="仿宋_GB2312" w:eastAsia="仿宋_GB2312"/>
          <w:sz w:val="32"/>
          <w:szCs w:val="32"/>
        </w:rPr>
      </w:pPr>
      <w:r>
        <w:rPr>
          <w:rFonts w:hint="eastAsia" w:ascii="仿宋_GB2312" w:eastAsia="仿宋_GB2312"/>
          <w:color w:val="000000"/>
          <w:sz w:val="32"/>
          <w:szCs w:val="32"/>
          <w:lang w:eastAsia="zh-CN"/>
        </w:rPr>
        <w:t>十三、</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（类）行政事业单位离退休（款）未归口管理的行政单位离退休（项）：指未实行归口管理的行政单位开支的离退休支出。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color w:val="000000"/>
          <w:sz w:val="32"/>
          <w:szCs w:val="32"/>
          <w:lang w:eastAsia="zh-CN"/>
        </w:rPr>
        <w:t>十四、</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（类）行政事业单位离退休（款）机关事业单位基本养老保险缴费支出（项）：反映机关事业单位实施养老保险制度由单位缴纳的基本养老保险费支出。</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十五、</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（类）行政事业单位离退休（款）机关事业单位职业年金缴费支出（项）：反映机关事业单位实施养老保险制度由单位实际缴纳的职业年金支出。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十六、</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抚恤</w:t>
      </w:r>
      <w:r>
        <w:rPr>
          <w:rFonts w:hint="eastAsia" w:ascii="仿宋_GB2312" w:eastAsia="仿宋_GB2312"/>
          <w:sz w:val="32"/>
          <w:szCs w:val="32"/>
        </w:rPr>
        <w:t>（款）</w:t>
      </w:r>
      <w:r>
        <w:rPr>
          <w:rFonts w:hint="eastAsia" w:ascii="仿宋_GB2312" w:eastAsia="仿宋_GB2312"/>
          <w:sz w:val="32"/>
          <w:szCs w:val="32"/>
          <w:lang w:eastAsia="zh-CN"/>
        </w:rPr>
        <w:t>死亡抚恤</w:t>
      </w:r>
      <w:r>
        <w:rPr>
          <w:rFonts w:hint="eastAsia" w:ascii="仿宋_GB2312" w:eastAsia="仿宋_GB2312"/>
          <w:sz w:val="32"/>
          <w:szCs w:val="32"/>
        </w:rPr>
        <w:t>（项）：</w:t>
      </w:r>
      <w:r>
        <w:rPr>
          <w:rFonts w:hint="eastAsia" w:ascii="仿宋_GB2312" w:eastAsia="仿宋_GB2312"/>
          <w:sz w:val="32"/>
          <w:szCs w:val="32"/>
          <w:lang w:eastAsia="zh-CN"/>
        </w:rPr>
        <w:t>反映按规定用于烈士和牺牲、病故人员家属的一次性和定期抚恤金及丧葬补助费。</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十八、</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其他社会保险和就业支出</w:t>
      </w:r>
      <w:r>
        <w:rPr>
          <w:rFonts w:hint="eastAsia" w:ascii="仿宋_GB2312" w:eastAsia="仿宋_GB2312"/>
          <w:sz w:val="32"/>
          <w:szCs w:val="32"/>
        </w:rPr>
        <w:t>（项）：</w:t>
      </w:r>
      <w:r>
        <w:rPr>
          <w:rFonts w:hint="eastAsia" w:ascii="仿宋_GB2312" w:eastAsia="仿宋_GB2312"/>
          <w:sz w:val="32"/>
          <w:szCs w:val="32"/>
          <w:lang w:eastAsia="zh-CN"/>
        </w:rPr>
        <w:t>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十九、</w:t>
      </w:r>
      <w:r>
        <w:rPr>
          <w:rFonts w:hint="eastAsia" w:ascii="仿宋_GB2312" w:eastAsia="仿宋_GB2312"/>
          <w:sz w:val="32"/>
          <w:szCs w:val="32"/>
        </w:rPr>
        <w:t>卫生</w:t>
      </w:r>
      <w:r>
        <w:rPr>
          <w:rFonts w:hint="eastAsia" w:ascii="仿宋_GB2312" w:eastAsia="仿宋_GB2312"/>
          <w:sz w:val="32"/>
          <w:szCs w:val="32"/>
          <w:lang w:eastAsia="zh-CN"/>
        </w:rPr>
        <w:t>健康支出</w:t>
      </w:r>
      <w:r>
        <w:rPr>
          <w:rFonts w:hint="eastAsia" w:ascii="仿宋_GB2312" w:eastAsia="仿宋_GB2312"/>
          <w:sz w:val="32"/>
          <w:szCs w:val="32"/>
        </w:rPr>
        <w:t>（类）行政事业单位医疗（款）行政单位医疗（项）：反映财政部门安排的行政单位</w:t>
      </w:r>
      <w:r>
        <w:rPr>
          <w:rFonts w:hint="eastAsia" w:ascii="仿宋_GB2312" w:eastAsia="仿宋_GB2312"/>
          <w:sz w:val="32"/>
          <w:szCs w:val="32"/>
          <w:lang w:eastAsia="zh-CN"/>
        </w:rPr>
        <w:t>（包括实行公务员管理的事业单位）</w:t>
      </w:r>
      <w:r>
        <w:rPr>
          <w:rFonts w:hint="eastAsia" w:ascii="仿宋_GB2312" w:eastAsia="仿宋_GB2312"/>
          <w:sz w:val="32"/>
          <w:szCs w:val="32"/>
        </w:rPr>
        <w:t>基本医疗保险缴费经费，未参加医疗保险的</w:t>
      </w:r>
      <w:r>
        <w:rPr>
          <w:rFonts w:hint="eastAsia" w:ascii="仿宋_GB2312" w:eastAsia="仿宋_GB2312"/>
          <w:sz w:val="32"/>
          <w:szCs w:val="32"/>
          <w:lang w:eastAsia="zh-CN"/>
        </w:rPr>
        <w:t>行政单位</w:t>
      </w:r>
      <w:r>
        <w:rPr>
          <w:rFonts w:hint="eastAsia" w:ascii="仿宋_GB2312" w:eastAsia="仿宋_GB2312"/>
          <w:sz w:val="32"/>
          <w:szCs w:val="32"/>
        </w:rPr>
        <w:t>的公费医疗经费，按照国家规定享受离休人员</w:t>
      </w:r>
      <w:r>
        <w:rPr>
          <w:rFonts w:hint="eastAsia" w:ascii="仿宋_GB2312" w:eastAsia="仿宋_GB2312"/>
          <w:sz w:val="32"/>
          <w:szCs w:val="32"/>
          <w:lang w:eastAsia="zh-CN"/>
        </w:rPr>
        <w:t>、红军老战士待遇人员</w:t>
      </w:r>
      <w:r>
        <w:rPr>
          <w:rFonts w:hint="eastAsia" w:ascii="仿宋_GB2312" w:eastAsia="仿宋_GB2312"/>
          <w:sz w:val="32"/>
          <w:szCs w:val="32"/>
        </w:rPr>
        <w:t>的医疗经</w:t>
      </w:r>
      <w:r>
        <w:rPr>
          <w:rFonts w:hint="eastAsia" w:ascii="仿宋_GB2312" w:eastAsia="仿宋_GB2312"/>
          <w:sz w:val="32"/>
          <w:szCs w:val="32"/>
          <w:lang w:eastAsia="zh-CN"/>
        </w:rPr>
        <w:t>费</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二十、</w:t>
      </w:r>
      <w:r>
        <w:rPr>
          <w:rFonts w:hint="eastAsia" w:ascii="仿宋_GB2312" w:eastAsia="仿宋_GB2312"/>
          <w:sz w:val="32"/>
          <w:szCs w:val="32"/>
        </w:rPr>
        <w:t>住房保障支出（类）住房改革支出（款）住房公积金（项）：指反映行政事业单位按人力资源和社会保障部、财政部规定的基本工资和津贴补贴以及规定比例为职工缴纳的住房公积金。</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二十一、</w:t>
      </w:r>
      <w:r>
        <w:rPr>
          <w:rFonts w:hint="eastAsia" w:ascii="仿宋_GB2312" w:hAnsi="仿宋_GB2312" w:eastAsia="仿宋_GB2312" w:cs="仿宋_GB2312"/>
          <w:b w:val="0"/>
          <w:bCs/>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二十二、</w:t>
      </w:r>
      <w:r>
        <w:rPr>
          <w:rFonts w:hint="eastAsia" w:ascii="仿宋_GB2312" w:hAnsi="仿宋_GB2312" w:eastAsia="仿宋_GB2312" w:cs="仿宋_GB2312"/>
          <w:b w:val="0"/>
          <w:bCs/>
          <w:color w:val="000000"/>
          <w:sz w:val="32"/>
          <w:szCs w:val="32"/>
        </w:rPr>
        <w:t xml:space="preserve">项目支出：指在基本支出之外为完成特定行政任务和事业发展目标所发生的支出。 </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二十三、</w:t>
      </w:r>
      <w:r>
        <w:rPr>
          <w:rFonts w:hint="eastAsia" w:ascii="仿宋_GB2312" w:hAnsi="仿宋_GB2312" w:eastAsia="仿宋_GB2312" w:cs="仿宋_GB2312"/>
          <w:b w:val="0"/>
          <w:bCs/>
          <w:color w:val="000000"/>
          <w:sz w:val="32"/>
          <w:szCs w:val="32"/>
        </w:rPr>
        <w:t>经营支出：指事业单位在专业业务活动及其辅助活动之外开展非独立核算经营活动发生的支出。</w:t>
      </w:r>
    </w:p>
    <w:p>
      <w:pPr>
        <w:pStyle w:val="22"/>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二十四、</w:t>
      </w:r>
      <w:r>
        <w:rPr>
          <w:rFonts w:hint="eastAsia" w:ascii="仿宋_GB2312" w:hAnsi="仿宋_GB2312" w:eastAsia="仿宋_GB2312" w:cs="仿宋_GB2312"/>
          <w:b w:val="0"/>
          <w:bCs/>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二十五、</w:t>
      </w:r>
      <w:r>
        <w:rPr>
          <w:rFonts w:hint="eastAsia" w:ascii="仿宋_GB2312" w:hAnsi="仿宋_GB2312" w:eastAsia="仿宋_GB2312" w:cs="仿宋_GB2312"/>
          <w:b w:val="0"/>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autoSpaceDE/>
        <w:autoSpaceDN/>
        <w:bidi w:val="0"/>
        <w:spacing w:line="620" w:lineRule="exact"/>
        <w:jc w:val="center"/>
        <w:textAlignment w:val="auto"/>
        <w:outlineLvl w:val="0"/>
        <w:rPr>
          <w:rStyle w:val="24"/>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sz w:val="44"/>
          <w:szCs w:val="44"/>
        </w:rPr>
        <w:t>第</w:t>
      </w:r>
      <w:r>
        <w:rPr>
          <w:rStyle w:val="24"/>
          <w:rFonts w:hint="eastAsia" w:ascii="方正小标宋_GBK" w:hAnsi="方正小标宋_GBK" w:eastAsia="方正小标宋_GBK" w:cs="方正小标宋_GBK"/>
          <w:b w:val="0"/>
          <w:bCs w:val="0"/>
        </w:rPr>
        <w:t>四部分 附件</w:t>
      </w:r>
    </w:p>
    <w:p>
      <w:pPr>
        <w:keepNext w:val="0"/>
        <w:keepLines w:val="0"/>
        <w:pageBreakBefore w:val="0"/>
        <w:kinsoku/>
        <w:wordWrap/>
        <w:overflowPunct/>
        <w:topLinePunct w:val="0"/>
        <w:autoSpaceDE/>
        <w:autoSpaceDN/>
        <w:bidi w:val="0"/>
        <w:spacing w:line="620" w:lineRule="exact"/>
        <w:jc w:val="left"/>
        <w:textAlignment w:val="auto"/>
        <w:outlineLvl w:val="0"/>
        <w:rPr>
          <w:rFonts w:hint="eastAsia" w:ascii="方正小标宋简体" w:hAnsi="方正小标宋简体" w:eastAsia="黑体" w:cs="方正小标宋简体"/>
          <w:sz w:val="44"/>
          <w:szCs w:val="44"/>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１</w:t>
      </w: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rPr>
        <w:t>2021年</w:t>
      </w:r>
      <w:r>
        <w:rPr>
          <w:rFonts w:hint="eastAsia" w:ascii="方正小标宋_GBK" w:hAnsi="方正小标宋_GBK" w:eastAsia="方正小标宋_GBK" w:cs="方正小标宋_GBK"/>
          <w:kern w:val="0"/>
          <w:sz w:val="44"/>
          <w:szCs w:val="44"/>
          <w:lang w:eastAsia="zh-CN"/>
        </w:rPr>
        <w:t>峨眉山市人大常委会办公室</w:t>
      </w: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部门整体绩效评价报告</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黑体" w:hAnsi="宋体" w:eastAsia="黑体" w:cs="宋体"/>
          <w:kern w:val="0"/>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zh-CN"/>
        </w:rPr>
        <w:t>（一）机构组成</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40" w:firstLineChars="200"/>
        <w:jc w:val="both"/>
        <w:textAlignment w:val="auto"/>
        <w:rPr>
          <w:rFonts w:hint="eastAsia" w:ascii="仿宋_GB2312" w:hAnsi="仿宋" w:eastAsia="仿宋_GB2312" w:cs="仿宋_GB2312"/>
          <w:highlight w:val="none"/>
          <w:lang w:val="en-US"/>
        </w:rPr>
      </w:pPr>
      <w:r>
        <w:rPr>
          <w:rFonts w:hint="eastAsia" w:ascii="仿宋_GB2312" w:hAnsi="仿宋" w:eastAsia="仿宋_GB2312" w:cs="仿宋_GB2312"/>
          <w:kern w:val="2"/>
          <w:sz w:val="32"/>
          <w:szCs w:val="24"/>
          <w:highlight w:val="none"/>
          <w:lang w:val="en-US" w:eastAsia="zh-CN" w:bidi="ar"/>
        </w:rPr>
        <w:t>峨眉山市人大常委会办公室属峨眉山市人大常委会下设正局级综合办事机构（以下简称市人大办）。</w:t>
      </w:r>
    </w:p>
    <w:p>
      <w:pPr>
        <w:keepNext w:val="0"/>
        <w:keepLines w:val="0"/>
        <w:pageBreakBefore w:val="0"/>
        <w:widowControl/>
        <w:numPr>
          <w:ilvl w:val="0"/>
          <w:numId w:val="3"/>
        </w:numPr>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zh-CN"/>
        </w:rPr>
        <w:t>机构职能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40" w:firstLineChars="200"/>
        <w:jc w:val="both"/>
        <w:textAlignment w:val="auto"/>
        <w:rPr>
          <w:rFonts w:hint="eastAsia" w:ascii="仿宋_GB2312" w:hAnsi="仿宋" w:eastAsia="仿宋_GB2312" w:cs="仿宋_GB2312"/>
          <w:lang w:val="en-US"/>
        </w:rPr>
      </w:pPr>
      <w:r>
        <w:rPr>
          <w:rFonts w:hint="eastAsia" w:ascii="仿宋_GB2312" w:hAnsi="仿宋_GB2312" w:eastAsia="仿宋_GB2312" w:cs="仿宋_GB2312"/>
          <w:b w:val="0"/>
          <w:bCs w:val="0"/>
          <w:sz w:val="32"/>
          <w:szCs w:val="32"/>
          <w:lang w:val="en-US" w:eastAsia="zh-CN"/>
        </w:rPr>
        <w:t>负责市人代会、市人大常委会会议、主任会议、常委会党组会议等有关会议的筹备和服务工作；负责市人大常委会工作报告、工作要点、有关文件、常委会领导重要讲话、汇报材料的起草工作；负责市人大常委会文电、保密、档案、机要、印信等工作；负责市人大常委会开展的视察调研、执法检查等活动的组织、综合协调工作；负责人大制度和人大工作的宣传报道、信息工作的协调联系工作，编印人代会汇编等工作；负责机关的人事管理、目标管理等工作，负责机关退休人员的管理、服务工作；办理群众来信，接待群众来访；负责与市委办、政府办、政协办、峨眉山景区管委会党政办等综合部门的联系协调有关工作；负责市人大常委会机关建设、后勤行政事务、安全保卫、环境卫生、机关职工参加的社会保障的管理和服务工作；负责上级人大常委会和外地人大来峨调研考察接待的综合协调工作；负责办理市人大常委会、主任会议、上级人大常委会及领导交办的其他有关工作。</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（三）人员概况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40" w:firstLineChars="200"/>
        <w:jc w:val="both"/>
        <w:textAlignment w:val="auto"/>
        <w:rPr>
          <w:rFonts w:hint="eastAsia" w:ascii="仿宋_GB2312" w:hAnsi="仿宋" w:eastAsia="仿宋_GB2312" w:cs="仿宋_GB2312"/>
          <w:kern w:val="2"/>
          <w:sz w:val="32"/>
          <w:szCs w:val="24"/>
          <w:lang w:val="en-US" w:eastAsia="zh-CN" w:bidi="ar"/>
        </w:rPr>
      </w:pPr>
      <w:r>
        <w:rPr>
          <w:rFonts w:hint="eastAsia" w:ascii="仿宋_GB2312" w:hAnsi="仿宋" w:eastAsia="仿宋_GB2312" w:cs="仿宋_GB2312"/>
          <w:kern w:val="2"/>
          <w:sz w:val="32"/>
          <w:szCs w:val="24"/>
          <w:lang w:val="en-US" w:eastAsia="zh-CN" w:bidi="ar"/>
        </w:rPr>
        <w:t>市人大办属一级预算单位，人大常委会机关核定编制22人，其中：行政编制18人，行政工勤4名。</w:t>
      </w:r>
      <w:r>
        <w:rPr>
          <w:rFonts w:hint="eastAsia" w:ascii="仿宋_GB2312" w:hAnsi="仿宋" w:cs="仿宋_GB2312"/>
          <w:kern w:val="2"/>
          <w:sz w:val="32"/>
          <w:szCs w:val="24"/>
          <w:lang w:val="en-US" w:eastAsia="zh-CN" w:bidi="ar"/>
        </w:rPr>
        <w:t>2021</w:t>
      </w:r>
      <w:r>
        <w:rPr>
          <w:rFonts w:hint="eastAsia" w:ascii="仿宋_GB2312" w:hAnsi="仿宋" w:eastAsia="仿宋_GB2312" w:cs="仿宋_GB2312"/>
          <w:kern w:val="2"/>
          <w:sz w:val="32"/>
          <w:szCs w:val="24"/>
          <w:lang w:val="en-US" w:eastAsia="zh-CN" w:bidi="ar"/>
        </w:rPr>
        <w:t>年年末实有在职职工</w:t>
      </w:r>
      <w:r>
        <w:rPr>
          <w:rFonts w:hint="eastAsia" w:ascii="仿宋_GB2312" w:hAnsi="仿宋" w:cs="仿宋_GB2312"/>
          <w:kern w:val="2"/>
          <w:sz w:val="32"/>
          <w:szCs w:val="24"/>
          <w:lang w:val="en-US" w:eastAsia="zh-CN" w:bidi="ar"/>
        </w:rPr>
        <w:t>50</w:t>
      </w:r>
      <w:r>
        <w:rPr>
          <w:rFonts w:hint="eastAsia" w:ascii="仿宋_GB2312" w:hAnsi="仿宋" w:eastAsia="仿宋_GB2312" w:cs="仿宋_GB2312"/>
          <w:kern w:val="2"/>
          <w:sz w:val="32"/>
          <w:szCs w:val="24"/>
          <w:lang w:val="en-US" w:eastAsia="zh-CN" w:bidi="ar"/>
        </w:rPr>
        <w:t>人,其中行政编制</w:t>
      </w:r>
      <w:r>
        <w:rPr>
          <w:rFonts w:hint="eastAsia" w:ascii="仿宋_GB2312" w:hAnsi="仿宋" w:cs="仿宋_GB2312"/>
          <w:kern w:val="2"/>
          <w:sz w:val="32"/>
          <w:szCs w:val="24"/>
          <w:lang w:val="en-US" w:eastAsia="zh-CN" w:bidi="ar"/>
        </w:rPr>
        <w:t>45</w:t>
      </w:r>
      <w:r>
        <w:rPr>
          <w:rFonts w:hint="eastAsia" w:ascii="仿宋_GB2312" w:hAnsi="仿宋" w:eastAsia="仿宋_GB2312" w:cs="仿宋_GB2312"/>
          <w:kern w:val="2"/>
          <w:sz w:val="32"/>
          <w:szCs w:val="24"/>
          <w:lang w:val="en-US" w:eastAsia="zh-CN" w:bidi="ar"/>
        </w:rPr>
        <w:t>人，工勤人员5人; 另有劳务派遗人员2人。</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（一）部门财政资金收入情况</w:t>
      </w:r>
    </w:p>
    <w:p>
      <w:pPr>
        <w:keepNext w:val="0"/>
        <w:keepLines w:val="0"/>
        <w:pageBreakBefore w:val="0"/>
        <w:kinsoku/>
        <w:wordWrap/>
        <w:overflowPunct/>
        <w:topLinePunct w:val="0"/>
        <w:autoSpaceDE/>
        <w:autoSpaceDN/>
        <w:bidi w:val="0"/>
        <w:spacing w:line="620" w:lineRule="exact"/>
        <w:ind w:firstLine="637"/>
        <w:textAlignment w:val="auto"/>
        <w:rPr>
          <w:rFonts w:hint="eastAsia" w:ascii="仿宋_GB2312" w:hAnsi="仿宋_GB2312" w:eastAsia="仿宋_GB2312" w:cs="仿宋_GB2312"/>
          <w:kern w:val="1"/>
          <w:sz w:val="32"/>
          <w:szCs w:val="24"/>
          <w:highlight w:val="none"/>
          <w:lang w:val="en-US" w:eastAsia="zh-CN" w:bidi="ar"/>
        </w:rPr>
      </w:pPr>
      <w:r>
        <w:rPr>
          <w:rFonts w:hint="eastAsia" w:ascii="仿宋_GB2312" w:hAnsi="仿宋_GB2312" w:eastAsia="仿宋_GB2312" w:cs="仿宋_GB2312"/>
          <w:kern w:val="1"/>
          <w:sz w:val="32"/>
          <w:szCs w:val="24"/>
          <w:highlight w:val="none"/>
          <w:lang w:val="en-US" w:eastAsia="zh-CN" w:bidi="ar"/>
        </w:rPr>
        <w:t>2021年财政拨款1221.22万元（一般公共预算财政拨款1221.22万元）其中：行政运行820.67万元、一般行政管理事务91.88万元、代表工作14.23万元、社会保障和就业支出159.67万元、卫生健康支出（行政单位医疗）38.44万元、住房公积金96.33万元。</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（二）部门财政资金支出情况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1"/>
          <w:sz w:val="32"/>
          <w:szCs w:val="24"/>
          <w:highlight w:val="none"/>
          <w:lang w:val="en-US" w:eastAsia="zh-CN" w:bidi="ar"/>
        </w:rPr>
        <w:t>2021年年初</w:t>
      </w:r>
      <w:r>
        <w:rPr>
          <w:rFonts w:hint="eastAsia" w:ascii="仿宋_GB2312" w:hAnsi="仿宋_GB2312" w:eastAsia="仿宋_GB2312" w:cs="仿宋_GB2312"/>
          <w:kern w:val="2"/>
          <w:sz w:val="32"/>
          <w:szCs w:val="24"/>
          <w:highlight w:val="none"/>
          <w:lang w:val="en-US" w:eastAsia="zh-CN" w:bidi="ar"/>
        </w:rPr>
        <w:t xml:space="preserve">结转和结余6.98万元（行政运行3.06万元、代表工作3.92万元）；2020年财政下达预算指标1221.22元；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zh-CN" w:eastAsia="zh-CN" w:bidi="ar"/>
        </w:rPr>
      </w:pPr>
      <w:r>
        <w:rPr>
          <w:rFonts w:hint="eastAsia" w:ascii="仿宋_GB2312" w:hAnsi="仿宋_GB2312" w:eastAsia="仿宋_GB2312" w:cs="仿宋_GB2312"/>
          <w:kern w:val="2"/>
          <w:sz w:val="32"/>
          <w:szCs w:val="24"/>
          <w:highlight w:val="none"/>
          <w:lang w:val="en-US" w:eastAsia="zh-CN" w:bidi="ar"/>
        </w:rPr>
        <w:t>2021年支出1225.32元( 基本支出1115.57万元、项目支出109.75万元)，其中：行政运行821.28万元、一般行政管理事务91.88万元、代表工作17.87万元、社会保障和就业支出159.67万元、卫生健康支出（行政单位医疗）38.29万元、住房公积金96.33元。2021年年末结余结转2.88万元（财政拨款结转结余1.44万元，非财政拨款结转结余1.44万元）。</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（一）部门预算项目绩效管理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zh-CN" w:eastAsia="zh-CN" w:bidi="ar"/>
        </w:rPr>
      </w:pPr>
      <w:r>
        <w:rPr>
          <w:rFonts w:hint="eastAsia" w:ascii="仿宋_GB2312" w:hAnsi="仿宋_GB2312" w:eastAsia="仿宋_GB2312" w:cs="仿宋_GB2312"/>
          <w:kern w:val="2"/>
          <w:sz w:val="32"/>
          <w:szCs w:val="24"/>
          <w:highlight w:val="none"/>
          <w:lang w:val="en-US" w:eastAsia="zh-CN" w:bidi="ar"/>
        </w:rPr>
        <w:t>1、</w:t>
      </w:r>
      <w:r>
        <w:rPr>
          <w:rFonts w:hint="eastAsia" w:ascii="仿宋_GB2312" w:hAnsi="仿宋_GB2312" w:eastAsia="仿宋_GB2312" w:cs="仿宋_GB2312"/>
          <w:kern w:val="2"/>
          <w:sz w:val="32"/>
          <w:szCs w:val="24"/>
          <w:highlight w:val="none"/>
          <w:lang w:val="zh-CN" w:eastAsia="zh-CN" w:bidi="ar"/>
        </w:rPr>
        <w:t>预算编制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市人大办预算安排支出主要用于保障该部门机构正常运转、完成日常工作任务，为市人大及其常委会依法履行地方国家权力机关职能提供经费保障。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2021年财政下达预算指标1221.22万元，（年初预算1046.15万元，当年调整预算1221.22万元）。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（1）报送时效</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市人大办高度重视预决算编制工作，按照财政预算编制通知精神和有关要求，及时完成了预算编制工作，并在规定时间内上报，及时提交了部门预、决算草案。预、决算编制报送及时，无超时完成和超时报送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（2）编制质量</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市人大办严格按照2021年部门预算编制方案要求编制部门预算，预算编制细化到项级科目，并编制了“三公经费”预算。通过财政局和峨眉山市人民代表大会的审核。</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（3）绩效目标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2021年按照绩效目标编制要求，应编制5个项目绩效目标，实际编制5个项目绩效目标，并一次性通过绩效目标审查。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（4）专项预算提前细化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2021年实施项目，均在年初预算中将项目支出细化到了项级科目。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（5）预算公开</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市人大办预算按照预算公开的相关规定和要求，在财政部门批复后二十日内按时在政府网站向社会公开了本部门预算（含所有财政资金安排的“三公”经费、机关运行经费的安排、使用情况、绩效目标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zh-CN" w:eastAsia="zh-CN" w:bidi="ar"/>
        </w:rPr>
      </w:pPr>
      <w:r>
        <w:rPr>
          <w:rFonts w:hint="eastAsia" w:ascii="仿宋_GB2312" w:hAnsi="仿宋_GB2312" w:eastAsia="仿宋_GB2312" w:cs="仿宋_GB2312"/>
          <w:kern w:val="2"/>
          <w:sz w:val="32"/>
          <w:szCs w:val="24"/>
          <w:highlight w:val="none"/>
          <w:lang w:val="en-US" w:eastAsia="zh-CN" w:bidi="ar"/>
        </w:rPr>
        <w:t>2、</w:t>
      </w:r>
      <w:r>
        <w:rPr>
          <w:rFonts w:hint="eastAsia" w:ascii="仿宋_GB2312" w:hAnsi="仿宋_GB2312" w:eastAsia="仿宋_GB2312" w:cs="仿宋_GB2312"/>
          <w:kern w:val="2"/>
          <w:sz w:val="32"/>
          <w:szCs w:val="24"/>
          <w:highlight w:val="none"/>
          <w:lang w:val="zh-CN" w:eastAsia="zh-CN" w:bidi="ar"/>
        </w:rPr>
        <w:t>预算执行情况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（1）绩效分配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2021年预算项目5个，实施绩效分配项目5个。</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（2）执行进度</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2021年全年预算指标1228.2万元（含上年结余结转6.98万元），2021年6月预算执行数为654.76万元、执行进度为50.15%；9 月预算执行数857.36万元、执行进度为64.81%；12月预算执行数为1225.32万元，执行进度为99.77%。2021年市人大办预算执行总体情况较好，较圆满完成年初预算目标任务。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（3）预算调整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2021年部门中期评估中无调整取消资金。</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3、预算完成情况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2021年预算执行中，各项工作有序开展，市人大办加强了财务管理，财务制度健全，会计核算较规范，资金支付依据和开支标准基本符合规定。认真执行了</w:t>
      </w:r>
      <w:bookmarkStart w:id="29" w:name="_GoBack"/>
      <w:bookmarkEnd w:id="29"/>
      <w:r>
        <w:rPr>
          <w:rFonts w:hint="eastAsia" w:ascii="仿宋_GB2312" w:hAnsi="仿宋_GB2312" w:eastAsia="仿宋_GB2312" w:cs="仿宋_GB2312"/>
          <w:kern w:val="2"/>
          <w:sz w:val="32"/>
          <w:szCs w:val="24"/>
          <w:highlight w:val="none"/>
          <w:lang w:val="en-US" w:eastAsia="zh-CN" w:bidi="ar"/>
        </w:rPr>
        <w:t>中央八项规定，厉行节约，加强了对“三公经费”支出的控制，“三公经费”支出未超预算。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zh-CN" w:eastAsia="zh-CN" w:bidi="ar"/>
        </w:rPr>
      </w:pPr>
      <w:r>
        <w:rPr>
          <w:rFonts w:hint="eastAsia" w:ascii="仿宋_GB2312" w:hAnsi="仿宋_GB2312" w:eastAsia="仿宋_GB2312" w:cs="仿宋_GB2312"/>
          <w:kern w:val="2"/>
          <w:sz w:val="32"/>
          <w:szCs w:val="24"/>
          <w:highlight w:val="none"/>
          <w:lang w:val="zh-CN" w:eastAsia="zh-CN" w:bidi="ar"/>
        </w:rPr>
        <w:t>（1）行政运转保障。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2021年市人大办认真做好市人大常委会例会及主任会议的筹备服务工作及人大信访工作，圆满完成了第十七届六次人民代表大会、第十八届一次人民代表大会及换届选举补选等工作。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zh-CN" w:eastAsia="zh-CN" w:bidi="ar"/>
        </w:rPr>
      </w:pPr>
      <w:r>
        <w:rPr>
          <w:rFonts w:hint="eastAsia" w:ascii="仿宋_GB2312" w:hAnsi="仿宋_GB2312" w:eastAsia="仿宋_GB2312" w:cs="仿宋_GB2312"/>
          <w:kern w:val="2"/>
          <w:sz w:val="32"/>
          <w:szCs w:val="24"/>
          <w:highlight w:val="none"/>
          <w:lang w:val="zh-CN" w:eastAsia="zh-CN" w:bidi="ar"/>
        </w:rPr>
        <w:t>（2）机关厉行节约。</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市人大办认真执行中央八项规定，厉行节约，加强了对“三公经费”支出的管理，严格按照预算执行，2021年“三公经费”支出1.8万元，较2020年“三公经费”支出增加1.36万元，增长309.09%；“三公”经费支出较2020年大幅增加原因:2021年实际外地接调来峨调研人次批次增加。会议费支出30.90万元，较2020年增加13.87万元，增长81.40%，主要原因是召开峨眉山市第十七届人民代表大会第六次会议，增加防疫支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zh-CN" w:eastAsia="zh-CN" w:bidi="ar"/>
        </w:rPr>
      </w:pPr>
      <w:r>
        <w:rPr>
          <w:rFonts w:hint="eastAsia" w:ascii="仿宋_GB2312" w:hAnsi="仿宋_GB2312" w:eastAsia="仿宋_GB2312" w:cs="仿宋_GB2312"/>
          <w:kern w:val="2"/>
          <w:sz w:val="32"/>
          <w:szCs w:val="24"/>
          <w:highlight w:val="none"/>
          <w:lang w:val="zh-CN" w:eastAsia="zh-CN" w:bidi="ar"/>
        </w:rPr>
        <w:t>（3）机关节能降耗。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2021年机关厉行节约，水、电、气、燃油等均与上年基本持平。</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专项预算管理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2021年项目预算5个（</w:t>
      </w:r>
      <w:r>
        <w:rPr>
          <w:rFonts w:hint="eastAsia" w:ascii="仿宋_GB2312" w:hAnsi="宋体" w:cs="宋体"/>
          <w:color w:val="000000"/>
          <w:kern w:val="0"/>
          <w:sz w:val="32"/>
          <w:szCs w:val="24"/>
          <w:highlight w:val="none"/>
          <w:shd w:val="clear" w:color="auto" w:fill="FFFFFF"/>
          <w:lang w:val="en-US" w:eastAsia="zh-CN" w:bidi="ar"/>
        </w:rPr>
        <w:t>“</w:t>
      </w:r>
      <w:r>
        <w:rPr>
          <w:rFonts w:hint="eastAsia" w:ascii="仿宋_GB2312" w:hAnsi="仿宋_GB2312" w:eastAsia="仿宋_GB2312" w:cs="仿宋_GB2312"/>
          <w:sz w:val="32"/>
          <w:szCs w:val="32"/>
          <w:highlight w:val="none"/>
          <w:lang w:eastAsia="zh-CN"/>
        </w:rPr>
        <w:t>人大专项业务经费</w:t>
      </w:r>
      <w:r>
        <w:rPr>
          <w:rFonts w:hint="eastAsia" w:ascii="仿宋_GB2312" w:hAnsi="宋体" w:cs="宋体"/>
          <w:color w:val="000000"/>
          <w:kern w:val="0"/>
          <w:sz w:val="32"/>
          <w:szCs w:val="24"/>
          <w:highlight w:val="none"/>
          <w:shd w:val="clear" w:color="auto" w:fill="FFFFFF"/>
          <w:lang w:val="en-US" w:eastAsia="zh-CN" w:bidi="ar"/>
        </w:rPr>
        <w:t>”</w:t>
      </w:r>
      <w:r>
        <w:rPr>
          <w:rFonts w:hint="eastAsia" w:ascii="仿宋_GB2312" w:hAnsi="仿宋_GB2312" w:eastAsia="仿宋_GB2312" w:cs="仿宋_GB2312"/>
          <w:sz w:val="32"/>
          <w:szCs w:val="32"/>
          <w:highlight w:val="none"/>
          <w:lang w:eastAsia="zh-CN"/>
        </w:rPr>
        <w:t>“人大</w:t>
      </w:r>
      <w:r>
        <w:rPr>
          <w:rFonts w:hint="eastAsia" w:ascii="仿宋_GB2312" w:hAnsi="仿宋_GB2312" w:eastAsia="仿宋_GB2312" w:cs="仿宋_GB2312"/>
          <w:sz w:val="32"/>
          <w:szCs w:val="32"/>
          <w:lang w:eastAsia="zh-CN"/>
        </w:rPr>
        <w:t>代表经费”</w:t>
      </w:r>
      <w:r>
        <w:rPr>
          <w:rFonts w:hint="eastAsia" w:ascii="仿宋_GB2312" w:hAnsi="仿宋_GB2312" w:eastAsia="仿宋_GB2312" w:cs="仿宋_GB2312"/>
          <w:sz w:val="32"/>
          <w:szCs w:val="32"/>
          <w:highlight w:val="none"/>
          <w:lang w:eastAsia="zh-CN"/>
        </w:rPr>
        <w:t>“人大代表培训费”“换届选举经费”“人民代表大会会议费”</w:t>
      </w:r>
      <w:r>
        <w:rPr>
          <w:rFonts w:hint="eastAsia" w:ascii="仿宋_GB2312" w:hAnsi="仿宋_GB2312" w:eastAsia="仿宋_GB2312" w:cs="仿宋_GB2312"/>
          <w:kern w:val="2"/>
          <w:sz w:val="32"/>
          <w:szCs w:val="24"/>
          <w:highlight w:val="none"/>
          <w:lang w:val="en-US" w:eastAsia="zh-CN" w:bidi="ar"/>
        </w:rPr>
        <w:t>），</w:t>
      </w:r>
      <w:r>
        <w:rPr>
          <w:rFonts w:hint="eastAsia" w:ascii="仿宋_GB2312" w:hAnsi="宋体" w:cs="宋体"/>
          <w:color w:val="000000"/>
          <w:kern w:val="0"/>
          <w:sz w:val="32"/>
          <w:szCs w:val="24"/>
          <w:highlight w:val="none"/>
          <w:shd w:val="clear" w:color="auto" w:fill="FFFFFF"/>
          <w:lang w:val="en-US" w:eastAsia="zh-CN" w:bidi="ar"/>
        </w:rPr>
        <w:t>“</w:t>
      </w:r>
      <w:r>
        <w:rPr>
          <w:rFonts w:hint="eastAsia" w:ascii="仿宋_GB2312" w:hAnsi="仿宋_GB2312" w:eastAsia="仿宋_GB2312" w:cs="仿宋_GB2312"/>
          <w:sz w:val="32"/>
          <w:szCs w:val="32"/>
          <w:highlight w:val="none"/>
          <w:lang w:eastAsia="zh-CN"/>
        </w:rPr>
        <w:t>人大专项业务经费</w:t>
      </w:r>
      <w:r>
        <w:rPr>
          <w:rFonts w:hint="eastAsia" w:ascii="仿宋_GB2312" w:hAnsi="宋体" w:cs="宋体"/>
          <w:color w:val="000000"/>
          <w:kern w:val="0"/>
          <w:sz w:val="32"/>
          <w:szCs w:val="24"/>
          <w:highlight w:val="none"/>
          <w:shd w:val="clear" w:color="auto" w:fill="FFFFFF"/>
          <w:lang w:val="en-US" w:eastAsia="zh-CN" w:bidi="ar"/>
        </w:rPr>
        <w:t>”</w:t>
      </w:r>
      <w:r>
        <w:rPr>
          <w:rFonts w:hint="eastAsia" w:ascii="仿宋_GB2312" w:hAnsi="仿宋_GB2312" w:eastAsia="仿宋_GB2312" w:cs="仿宋_GB2312"/>
          <w:sz w:val="32"/>
          <w:szCs w:val="32"/>
          <w:highlight w:val="none"/>
          <w:lang w:eastAsia="zh-CN"/>
        </w:rPr>
        <w:t>“人大代表培训费”“换届选举经费”“人民代表大会会议费”</w:t>
      </w:r>
      <w:r>
        <w:rPr>
          <w:rFonts w:hint="eastAsia" w:ascii="仿宋_GB2312" w:hAnsi="仿宋_GB2312" w:eastAsia="仿宋_GB2312" w:cs="仿宋_GB2312"/>
          <w:kern w:val="2"/>
          <w:sz w:val="32"/>
          <w:szCs w:val="24"/>
          <w:highlight w:val="none"/>
          <w:lang w:val="en-US" w:eastAsia="zh-CN" w:bidi="ar"/>
        </w:rPr>
        <w:t>等4个项目预算执行率100%，</w:t>
      </w:r>
      <w:r>
        <w:rPr>
          <w:rFonts w:hint="eastAsia" w:ascii="仿宋_GB2312" w:hAnsi="仿宋_GB2312" w:eastAsia="仿宋_GB2312" w:cs="仿宋_GB2312"/>
          <w:sz w:val="32"/>
          <w:szCs w:val="32"/>
          <w:highlight w:val="none"/>
          <w:lang w:eastAsia="zh-CN"/>
        </w:rPr>
        <w:t>“人大代表经费”</w:t>
      </w:r>
      <w:r>
        <w:rPr>
          <w:rFonts w:hint="eastAsia" w:ascii="仿宋_GB2312" w:hAnsi="仿宋_GB2312" w:eastAsia="仿宋_GB2312" w:cs="仿宋_GB2312"/>
          <w:kern w:val="2"/>
          <w:sz w:val="32"/>
          <w:szCs w:val="24"/>
          <w:highlight w:val="none"/>
          <w:lang w:val="en-US" w:eastAsia="zh-CN" w:bidi="ar"/>
        </w:rPr>
        <w:t>项目预算尚未实施完成，结转2021年度继续实施。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市人大常委会在市委的坚强领导下，坚持以习近平新时代中国特色社会主义思想为指导，深入学习贯彻党的十九届六中全会、中央人大工作会议和省委十一届十次全会、乐山市第八次党代会、峨眉山市第十五次党代会精神，依法履职抓重点抓关键，创新举措求突破求实效，为推动全市经济社会高质量发展和民主法治建设作出了积极贡献。全年共召开常委会会议、主任会议等各类会议51次，听取和审议“一府两院”各项工作报告17项，开展执法检查、视察调研等活动23次，全面完成市十七届人大六次会议确定的各项任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5、决算公开</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市人大办按照财政局通知要求进行了部门决算公开，公开到“款”级科目 ，并公开“三公”经费支出情况。</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楷体_GB2312" w:hAnsi="楷体_GB2312" w:eastAsia="楷体_GB2312" w:cs="楷体_GB2312"/>
          <w:kern w:val="0"/>
          <w:sz w:val="32"/>
          <w:szCs w:val="32"/>
          <w:highlight w:val="none"/>
          <w:shd w:val="clear" w:color="auto" w:fill="FFFFFF"/>
          <w:lang w:val="zh-CN"/>
        </w:rPr>
      </w:pPr>
      <w:r>
        <w:rPr>
          <w:rFonts w:hint="eastAsia" w:ascii="楷体_GB2312" w:hAnsi="楷体_GB2312" w:eastAsia="楷体_GB2312" w:cs="楷体_GB2312"/>
          <w:kern w:val="0"/>
          <w:sz w:val="32"/>
          <w:szCs w:val="32"/>
          <w:highlight w:val="none"/>
          <w:shd w:val="clear" w:color="auto" w:fill="FFFFFF"/>
          <w:lang w:val="zh-CN"/>
        </w:rPr>
        <w:t>（二）结果应用情况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2021年市人大办基本完成绩效目标，预算执行总体情况较好，较圆满完成年初预算目标任务，取得了一定经济和社会效益。单位财务制度基本健全，管理规范，得到有效执行。财政资金得到有效使用，行政效率得到提高。</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37"/>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针对2021年预算执行中存在项目未实施完成的情况，在2021年预算执行中将加大预算执行力度，加快项目实施进度，力争当年项目当年实施完成，预算执行率达到100%。</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hint="eastAsia" w:ascii="黑体" w:hAnsi="宋体" w:eastAsia="黑体" w:cs="宋体"/>
          <w:kern w:val="0"/>
          <w:sz w:val="32"/>
          <w:szCs w:val="32"/>
          <w:highlight w:val="none"/>
          <w:shd w:val="clear" w:color="auto" w:fill="FFFFFF"/>
        </w:rPr>
      </w:pPr>
      <w:r>
        <w:rPr>
          <w:rFonts w:hint="eastAsia" w:ascii="黑体" w:hAnsi="宋体" w:eastAsia="黑体" w:cs="宋体"/>
          <w:kern w:val="0"/>
          <w:sz w:val="32"/>
          <w:szCs w:val="32"/>
          <w:highlight w:val="none"/>
          <w:shd w:val="clear" w:color="auto" w:fill="FFFFFF"/>
        </w:rPr>
        <w:t>四、评价结论及建议</w:t>
      </w:r>
    </w:p>
    <w:p>
      <w:pPr>
        <w:keepNext w:val="0"/>
        <w:keepLines w:val="0"/>
        <w:pageBreakBefore w:val="0"/>
        <w:widowControl/>
        <w:numPr>
          <w:ilvl w:val="0"/>
          <w:numId w:val="4"/>
        </w:numPr>
        <w:kinsoku/>
        <w:wordWrap/>
        <w:overflowPunct/>
        <w:topLinePunct w:val="0"/>
        <w:autoSpaceDE/>
        <w:autoSpaceDN/>
        <w:bidi w:val="0"/>
        <w:adjustRightInd w:val="0"/>
        <w:snapToGrid w:val="0"/>
        <w:spacing w:line="620" w:lineRule="exact"/>
        <w:ind w:left="-199" w:leftChars="-95" w:firstLine="640" w:firstLineChars="200"/>
        <w:contextualSpacing/>
        <w:jc w:val="left"/>
        <w:textAlignment w:val="auto"/>
        <w:rPr>
          <w:rFonts w:hint="eastAsia" w:ascii="楷体_GB2312" w:hAnsi="楷体_GB2312" w:eastAsia="楷体_GB2312" w:cs="楷体_GB2312"/>
          <w:kern w:val="0"/>
          <w:sz w:val="32"/>
          <w:szCs w:val="32"/>
          <w:highlight w:val="none"/>
          <w:shd w:val="clear" w:color="auto" w:fill="FFFFFF"/>
          <w:lang w:val="zh-CN"/>
        </w:rPr>
      </w:pPr>
      <w:r>
        <w:rPr>
          <w:rFonts w:hint="eastAsia" w:ascii="楷体_GB2312" w:hAnsi="楷体_GB2312" w:eastAsia="楷体_GB2312" w:cs="楷体_GB2312"/>
          <w:kern w:val="0"/>
          <w:sz w:val="32"/>
          <w:szCs w:val="32"/>
          <w:highlight w:val="none"/>
          <w:shd w:val="clear" w:color="auto" w:fill="FFFFFF"/>
          <w:lang w:val="zh-CN"/>
        </w:rPr>
        <w:t>评价结论</w:t>
      </w:r>
    </w:p>
    <w:p>
      <w:pPr>
        <w:keepNext w:val="0"/>
        <w:keepLines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通过对2021年部门支出绩效进行自评，自评得分为95分。2021年预算执行中绩效目标基本完成，取得了一定经济和社会效益。单位财务制度基本健全，管理规范，得到有效执行。三公经费支出得到有效控制，财政资金得到有效使用，行政效率得到提高。</w:t>
      </w:r>
    </w:p>
    <w:tbl>
      <w:tblPr>
        <w:tblStyle w:val="12"/>
        <w:tblpPr w:leftFromText="180" w:rightFromText="180" w:vertAnchor="page" w:horzAnchor="page" w:tblpX="2322" w:tblpY="1613"/>
        <w:tblOverlap w:val="never"/>
        <w:tblW w:w="80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6"/>
        <w:gridCol w:w="409"/>
        <w:gridCol w:w="1571"/>
        <w:gridCol w:w="1207"/>
        <w:gridCol w:w="1334"/>
        <w:gridCol w:w="633"/>
        <w:gridCol w:w="469"/>
        <w:gridCol w:w="2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4" w:hRule="atLeast"/>
        </w:trPr>
        <w:tc>
          <w:tcPr>
            <w:tcW w:w="376" w:type="dxa"/>
            <w:vMerge w:val="restart"/>
            <w:tcBorders>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6"/>
                <w:szCs w:val="16"/>
                <w:u w:val="none"/>
              </w:rPr>
            </w:pPr>
            <w:r>
              <w:rPr>
                <w:rFonts w:hint="eastAsia" w:ascii="仿宋_GB2312" w:hAnsi="仿宋_GB2312" w:eastAsia="仿宋_GB2312" w:cs="仿宋_GB2312"/>
                <w:b/>
                <w:i w:val="0"/>
                <w:color w:val="000000"/>
                <w:kern w:val="0"/>
                <w:sz w:val="16"/>
                <w:szCs w:val="16"/>
                <w:u w:val="none"/>
                <w:lang w:val="en-US" w:eastAsia="zh-CN" w:bidi="ar"/>
              </w:rPr>
              <w:t>绩效情况</w:t>
            </w:r>
          </w:p>
        </w:tc>
        <w:tc>
          <w:tcPr>
            <w:tcW w:w="4521" w:type="dxa"/>
            <w:gridSpan w:val="4"/>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6"/>
                <w:szCs w:val="16"/>
                <w:u w:val="none"/>
              </w:rPr>
            </w:pPr>
            <w:r>
              <w:rPr>
                <w:rFonts w:hint="eastAsia" w:ascii="仿宋_GB2312" w:hAnsi="仿宋_GB2312" w:eastAsia="仿宋_GB2312" w:cs="仿宋_GB2312"/>
                <w:b/>
                <w:i w:val="0"/>
                <w:color w:val="000000"/>
                <w:kern w:val="0"/>
                <w:sz w:val="16"/>
                <w:szCs w:val="16"/>
                <w:u w:val="none"/>
                <w:lang w:val="en-US" w:eastAsia="zh-CN" w:bidi="ar"/>
              </w:rPr>
              <w:t>得  分</w:t>
            </w:r>
          </w:p>
        </w:tc>
        <w:tc>
          <w:tcPr>
            <w:tcW w:w="633" w:type="dxa"/>
            <w:tcBorders>
              <w:left w:val="single" w:color="000000" w:sz="4" w:space="0"/>
              <w:bottom w:val="single" w:color="000000" w:sz="4" w:space="0"/>
              <w:right w:val="single" w:color="000000" w:sz="4" w:space="0"/>
            </w:tcBorders>
            <w:shd w:val="clear" w:color="auto" w:fill="EDEDED"/>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6"/>
                <w:szCs w:val="16"/>
                <w:u w:val="none"/>
              </w:rPr>
            </w:pPr>
            <w:r>
              <w:rPr>
                <w:rFonts w:hint="eastAsia" w:ascii="仿宋_GB2312" w:hAnsi="仿宋_GB2312" w:eastAsia="仿宋_GB2312" w:cs="仿宋_GB2312"/>
                <w:b/>
                <w:i w:val="0"/>
                <w:color w:val="000000"/>
                <w:kern w:val="0"/>
                <w:sz w:val="16"/>
                <w:szCs w:val="16"/>
                <w:u w:val="none"/>
                <w:lang w:val="en-US" w:eastAsia="zh-CN" w:bidi="ar"/>
              </w:rPr>
              <w:t>100</w:t>
            </w:r>
          </w:p>
        </w:tc>
        <w:tc>
          <w:tcPr>
            <w:tcW w:w="469" w:type="dxa"/>
            <w:tcBorders>
              <w:left w:val="single" w:color="000000" w:sz="4" w:space="0"/>
              <w:bottom w:val="single" w:color="000000" w:sz="4" w:space="0"/>
              <w:right w:val="single" w:color="000000" w:sz="4" w:space="0"/>
            </w:tcBorders>
            <w:shd w:val="clear" w:color="auto" w:fill="EDEDED"/>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sz w:val="16"/>
                <w:szCs w:val="16"/>
                <w:u w:val="none"/>
                <w:lang w:val="en-US"/>
              </w:rPr>
            </w:pPr>
            <w:r>
              <w:rPr>
                <w:rFonts w:hint="eastAsia" w:ascii="仿宋_GB2312" w:hAnsi="仿宋_GB2312" w:eastAsia="仿宋_GB2312" w:cs="仿宋_GB2312"/>
                <w:b/>
                <w:i w:val="0"/>
                <w:color w:val="000000"/>
                <w:kern w:val="0"/>
                <w:sz w:val="16"/>
                <w:szCs w:val="16"/>
                <w:u w:val="none"/>
                <w:lang w:val="en-US" w:eastAsia="zh-CN" w:bidi="ar"/>
              </w:rPr>
              <w:t>95</w:t>
            </w:r>
          </w:p>
        </w:tc>
        <w:tc>
          <w:tcPr>
            <w:tcW w:w="2035" w:type="dxa"/>
            <w:tcBorders>
              <w:left w:val="single" w:color="000000" w:sz="4" w:space="0"/>
              <w:bottom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481" w:hRule="atLeast"/>
        </w:trPr>
        <w:tc>
          <w:tcPr>
            <w:tcW w:w="376" w:type="dxa"/>
            <w:vMerge w:val="continue"/>
            <w:tcBorders>
              <w:top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409"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6"/>
                <w:szCs w:val="16"/>
                <w:u w:val="none"/>
              </w:rPr>
            </w:pPr>
            <w:r>
              <w:rPr>
                <w:rFonts w:hint="eastAsia" w:ascii="仿宋_GB2312" w:hAnsi="仿宋_GB2312" w:eastAsia="仿宋_GB2312" w:cs="仿宋_GB2312"/>
                <w:b/>
                <w:i w:val="0"/>
                <w:color w:val="000000"/>
                <w:kern w:val="0"/>
                <w:sz w:val="16"/>
                <w:szCs w:val="16"/>
                <w:u w:val="none"/>
                <w:lang w:val="en-US" w:eastAsia="zh-CN" w:bidi="ar"/>
              </w:rPr>
              <w:t>管理指标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预算编制合理性</w:t>
            </w:r>
          </w:p>
        </w:tc>
        <w:tc>
          <w:tcPr>
            <w:tcW w:w="2541"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（管理指标不设绩效指标，按指标评价内容直接评分）</w:t>
            </w:r>
          </w:p>
        </w:tc>
        <w:tc>
          <w:tcPr>
            <w:tcW w:w="633" w:type="dxa"/>
            <w:tcBorders>
              <w:top w:val="single" w:color="000000" w:sz="4" w:space="0"/>
              <w:left w:val="single" w:color="000000" w:sz="4" w:space="0"/>
              <w:bottom w:val="single" w:color="000000" w:sz="4" w:space="0"/>
              <w:right w:val="single" w:color="000000" w:sz="4" w:space="0"/>
            </w:tcBorders>
            <w:shd w:val="clear" w:color="auto" w:fill="EDEDED"/>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10</w:t>
            </w:r>
          </w:p>
        </w:tc>
        <w:tc>
          <w:tcPr>
            <w:tcW w:w="2035"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1585" w:hRule="atLeast"/>
        </w:trPr>
        <w:tc>
          <w:tcPr>
            <w:tcW w:w="376" w:type="dxa"/>
            <w:vMerge w:val="continue"/>
            <w:tcBorders>
              <w:top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409"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预算执行率</w:t>
            </w:r>
          </w:p>
        </w:tc>
        <w:tc>
          <w:tcPr>
            <w:tcW w:w="2541"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预算执行率=1，得10分；预算执行率&lt;1时，按预算执行率*10计算；2&gt;预算执行率&gt;1时，按（2-预算执行率）*10计算；预算执行率≥2时，不得分。</w:t>
            </w:r>
          </w:p>
        </w:tc>
        <w:tc>
          <w:tcPr>
            <w:tcW w:w="633" w:type="dxa"/>
            <w:tcBorders>
              <w:top w:val="single" w:color="000000" w:sz="4" w:space="0"/>
              <w:left w:val="single" w:color="000000" w:sz="4" w:space="0"/>
              <w:bottom w:val="single" w:color="000000" w:sz="4" w:space="0"/>
              <w:right w:val="single" w:color="000000" w:sz="4" w:space="0"/>
            </w:tcBorders>
            <w:shd w:val="clear" w:color="auto" w:fill="EDEDED"/>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9</w:t>
            </w:r>
          </w:p>
        </w:tc>
        <w:tc>
          <w:tcPr>
            <w:tcW w:w="2035"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“人大代表经费”项目未执行完成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76" w:type="dxa"/>
            <w:vMerge w:val="continue"/>
            <w:tcBorders>
              <w:top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409"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三公经费控制率</w:t>
            </w:r>
          </w:p>
        </w:tc>
        <w:tc>
          <w:tcPr>
            <w:tcW w:w="2541"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（管理指标不设绩效指标，按指标评价内容直接评分）</w:t>
            </w:r>
          </w:p>
        </w:tc>
        <w:tc>
          <w:tcPr>
            <w:tcW w:w="633" w:type="dxa"/>
            <w:tcBorders>
              <w:top w:val="single" w:color="000000" w:sz="4" w:space="0"/>
              <w:left w:val="single" w:color="000000" w:sz="4" w:space="0"/>
              <w:bottom w:val="single" w:color="000000" w:sz="4" w:space="0"/>
              <w:right w:val="single" w:color="000000" w:sz="4" w:space="0"/>
            </w:tcBorders>
            <w:shd w:val="clear" w:color="auto" w:fill="EDEDED"/>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10</w:t>
            </w:r>
          </w:p>
        </w:tc>
        <w:tc>
          <w:tcPr>
            <w:tcW w:w="2035"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984" w:hRule="atLeast"/>
        </w:trPr>
        <w:tc>
          <w:tcPr>
            <w:tcW w:w="376" w:type="dxa"/>
            <w:vMerge w:val="continue"/>
            <w:tcBorders>
              <w:top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409"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财务管理制度健全性</w:t>
            </w:r>
          </w:p>
        </w:tc>
        <w:tc>
          <w:tcPr>
            <w:tcW w:w="2541"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（管理指标不设绩效指标，按指标评价内容直接评分）</w:t>
            </w:r>
          </w:p>
        </w:tc>
        <w:tc>
          <w:tcPr>
            <w:tcW w:w="633" w:type="dxa"/>
            <w:tcBorders>
              <w:top w:val="single" w:color="000000" w:sz="4" w:space="0"/>
              <w:left w:val="single" w:color="000000" w:sz="4" w:space="0"/>
              <w:bottom w:val="single" w:color="000000" w:sz="4" w:space="0"/>
              <w:right w:val="single" w:color="000000" w:sz="4" w:space="0"/>
            </w:tcBorders>
            <w:shd w:val="clear" w:color="auto" w:fill="EDEDED"/>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2035"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376" w:type="dxa"/>
            <w:vMerge w:val="continue"/>
            <w:tcBorders>
              <w:top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409"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资金使用合规性</w:t>
            </w:r>
          </w:p>
        </w:tc>
        <w:tc>
          <w:tcPr>
            <w:tcW w:w="2541"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（管理指标不设绩效指标，按指标评价内容直接评分）</w:t>
            </w:r>
          </w:p>
        </w:tc>
        <w:tc>
          <w:tcPr>
            <w:tcW w:w="633" w:type="dxa"/>
            <w:tcBorders>
              <w:top w:val="single" w:color="000000" w:sz="4" w:space="0"/>
              <w:left w:val="single" w:color="000000" w:sz="4" w:space="0"/>
              <w:bottom w:val="single" w:color="000000" w:sz="4" w:space="0"/>
              <w:right w:val="single" w:color="000000" w:sz="4" w:space="0"/>
            </w:tcBorders>
            <w:shd w:val="clear" w:color="auto" w:fill="EDEDED"/>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2035"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376" w:type="dxa"/>
            <w:vMerge w:val="continue"/>
            <w:tcBorders>
              <w:top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409"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政府采购规范性</w:t>
            </w:r>
          </w:p>
        </w:tc>
        <w:tc>
          <w:tcPr>
            <w:tcW w:w="2541"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（管理指标不设绩效指标，按指标评价内容直接评分）</w:t>
            </w:r>
          </w:p>
        </w:tc>
        <w:tc>
          <w:tcPr>
            <w:tcW w:w="633" w:type="dxa"/>
            <w:tcBorders>
              <w:top w:val="single" w:color="000000" w:sz="4" w:space="0"/>
              <w:left w:val="single" w:color="000000" w:sz="4" w:space="0"/>
              <w:bottom w:val="single" w:color="000000" w:sz="4" w:space="0"/>
              <w:right w:val="single" w:color="000000" w:sz="4" w:space="0"/>
            </w:tcBorders>
            <w:shd w:val="clear" w:color="auto" w:fill="EDEDED"/>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2035"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376" w:type="dxa"/>
            <w:vMerge w:val="continue"/>
            <w:tcBorders>
              <w:top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409"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资产管理有效性</w:t>
            </w:r>
          </w:p>
        </w:tc>
        <w:tc>
          <w:tcPr>
            <w:tcW w:w="2541"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（管理指标不设绩效指标，按指标评价内容直接评分）</w:t>
            </w:r>
          </w:p>
        </w:tc>
        <w:tc>
          <w:tcPr>
            <w:tcW w:w="633" w:type="dxa"/>
            <w:tcBorders>
              <w:top w:val="single" w:color="000000" w:sz="4" w:space="0"/>
              <w:left w:val="single" w:color="000000" w:sz="4" w:space="0"/>
              <w:bottom w:val="single" w:color="000000" w:sz="4" w:space="0"/>
              <w:right w:val="single" w:color="000000" w:sz="4" w:space="0"/>
            </w:tcBorders>
            <w:shd w:val="clear" w:color="auto" w:fill="EDEDED"/>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2035"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871" w:hRule="atLeast"/>
        </w:trPr>
        <w:tc>
          <w:tcPr>
            <w:tcW w:w="376" w:type="dxa"/>
            <w:vMerge w:val="continue"/>
            <w:tcBorders>
              <w:top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409"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6"/>
                <w:szCs w:val="16"/>
                <w:u w:val="none"/>
              </w:rPr>
            </w:pPr>
            <w:r>
              <w:rPr>
                <w:rFonts w:hint="eastAsia" w:ascii="仿宋_GB2312" w:hAnsi="仿宋_GB2312" w:eastAsia="仿宋_GB2312" w:cs="仿宋_GB2312"/>
                <w:b/>
                <w:i w:val="0"/>
                <w:color w:val="000000"/>
                <w:kern w:val="0"/>
                <w:sz w:val="16"/>
                <w:szCs w:val="16"/>
                <w:u w:val="none"/>
                <w:lang w:val="en-US" w:eastAsia="zh-CN" w:bidi="ar"/>
              </w:rPr>
              <w:t>履职情况</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完成情况</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（部门预期完成的收入金额、项目个数，质量，时效，成本等）</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（部门实际完成的收入金额、项目个数，质量，时效，成本等）</w:t>
            </w:r>
          </w:p>
        </w:tc>
        <w:tc>
          <w:tcPr>
            <w:tcW w:w="633" w:type="dxa"/>
            <w:tcBorders>
              <w:top w:val="single" w:color="000000" w:sz="4" w:space="0"/>
              <w:left w:val="single" w:color="000000" w:sz="4" w:space="0"/>
              <w:bottom w:val="single" w:color="000000" w:sz="4" w:space="0"/>
              <w:right w:val="single" w:color="000000" w:sz="4" w:space="0"/>
            </w:tcBorders>
            <w:shd w:val="clear" w:color="auto" w:fill="EDEDED"/>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sz w:val="16"/>
                <w:szCs w:val="16"/>
                <w:u w:val="none"/>
                <w:lang w:val="en-US"/>
              </w:rPr>
            </w:pPr>
            <w:r>
              <w:rPr>
                <w:rFonts w:hint="eastAsia" w:ascii="仿宋_GB2312" w:hAnsi="仿宋_GB2312" w:eastAsia="仿宋_GB2312" w:cs="仿宋_GB2312"/>
                <w:i w:val="0"/>
                <w:color w:val="000000"/>
                <w:kern w:val="0"/>
                <w:sz w:val="16"/>
                <w:szCs w:val="16"/>
                <w:u w:val="none"/>
                <w:lang w:val="en-US" w:eastAsia="zh-CN" w:bidi="ar"/>
              </w:rPr>
              <w:t>16</w:t>
            </w:r>
          </w:p>
        </w:tc>
        <w:tc>
          <w:tcPr>
            <w:tcW w:w="2035"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2021年预算项目5个，完成4个，“人大代表经费”项目未完成，结转2022年继续执行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592" w:hRule="atLeast"/>
        </w:trPr>
        <w:tc>
          <w:tcPr>
            <w:tcW w:w="376"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6"/>
                <w:szCs w:val="16"/>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效益情况</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（部门预期取得的效益及受益人员满意度等）</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（部门实际取得的效益及受益人员满意度等）</w:t>
            </w:r>
          </w:p>
        </w:tc>
        <w:tc>
          <w:tcPr>
            <w:tcW w:w="633" w:type="dxa"/>
            <w:tcBorders>
              <w:top w:val="single" w:color="000000" w:sz="4" w:space="0"/>
              <w:left w:val="single" w:color="000000" w:sz="4" w:space="0"/>
              <w:bottom w:val="single" w:color="000000" w:sz="4" w:space="0"/>
              <w:right w:val="single" w:color="000000" w:sz="4" w:space="0"/>
            </w:tcBorders>
            <w:shd w:val="clear" w:color="auto" w:fill="EDEDED"/>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30</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30</w:t>
            </w:r>
          </w:p>
        </w:tc>
        <w:tc>
          <w:tcPr>
            <w:tcW w:w="2035"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16"/>
                <w:szCs w:val="16"/>
                <w:u w:val="none"/>
              </w:rPr>
            </w:pPr>
          </w:p>
        </w:tc>
      </w:tr>
    </w:tbl>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（二）存在问题</w:t>
      </w:r>
    </w:p>
    <w:p>
      <w:pPr>
        <w:spacing w:line="600" w:lineRule="exact"/>
        <w:ind w:firstLine="640" w:firstLineChars="200"/>
        <w:rPr>
          <w:rFonts w:hint="eastAsia"/>
          <w:lang w:val="zh-CN"/>
        </w:rPr>
      </w:pPr>
      <w:r>
        <w:rPr>
          <w:rFonts w:hint="eastAsia" w:ascii="仿宋_GB2312" w:hAnsi="仿宋_GB2312" w:eastAsia="仿宋_GB2312" w:cs="仿宋_GB2312"/>
          <w:sz w:val="32"/>
          <w:szCs w:val="32"/>
          <w:shd w:val="clear" w:color="auto" w:fill="FFFFFF"/>
        </w:rPr>
        <w:t>通过对2021年部门支出进行绩效自评发现，我单位2021年预算执行情况总体较好，但仍存在有项目未在当年实施完成的情况。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（三）改进建议</w:t>
      </w:r>
    </w:p>
    <w:p>
      <w:pPr>
        <w:spacing w:line="600" w:lineRule="exact"/>
        <w:ind w:firstLine="640" w:firstLineChars="200"/>
        <w:rPr>
          <w:rFonts w:hint="eastAsia"/>
        </w:rPr>
      </w:pPr>
      <w:r>
        <w:rPr>
          <w:rFonts w:hint="eastAsia" w:ascii="仿宋_GB2312" w:hAnsi="仿宋_GB2312" w:eastAsia="仿宋_GB2312" w:cs="仿宋_GB2312"/>
          <w:sz w:val="32"/>
          <w:szCs w:val="32"/>
          <w:shd w:val="clear" w:color="auto" w:fill="FFFFFF"/>
        </w:rPr>
        <w:t>我单位将在继续加强预算管理，建立健全了内控机制，高度重视预、决算编制工作，做好年初预算编制工作，提高预算编制的科学性、准确性，严格执行预算，加强财务管理，在预算执行过程中加大对资金使用情况的跟踪，对预算执行进度</w:t>
      </w:r>
      <w:r>
        <w:rPr>
          <w:rFonts w:hint="eastAsia" w:ascii="仿宋_GB2312" w:hAnsi="仿宋_GB2312" w:eastAsia="仿宋_GB2312" w:cs="仿宋_GB2312"/>
          <w:sz w:val="32"/>
          <w:szCs w:val="32"/>
          <w:shd w:val="clear" w:color="auto" w:fill="FFFFFF"/>
          <w:lang w:eastAsia="zh-CN"/>
        </w:rPr>
        <w:t>较</w:t>
      </w:r>
      <w:r>
        <w:rPr>
          <w:rFonts w:hint="eastAsia" w:ascii="仿宋_GB2312" w:hAnsi="仿宋_GB2312" w:eastAsia="仿宋_GB2312" w:cs="仿宋_GB2312"/>
          <w:sz w:val="32"/>
          <w:szCs w:val="32"/>
          <w:shd w:val="clear" w:color="auto" w:fill="FFFFFF"/>
        </w:rPr>
        <w:t>慢的项目加大项目实施力度，及时支付，提高资金使用效益；认真做好2021年部门决算数据分析，通过数据分析，针对预算执行中不足的地方的问题将在2022年预算执行中改进和完善。</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bookmarkEnd w:id="12"/>
    <w:bookmarkEnd w:id="13"/>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bookmarkStart w:id="14" w:name="_Toc15377226"/>
      <w:r>
        <w:rPr>
          <w:rFonts w:hint="eastAsia" w:ascii="黑体" w:hAnsi="黑体" w:eastAsia="黑体" w:cs="黑体"/>
          <w:kern w:val="0"/>
          <w:sz w:val="32"/>
          <w:szCs w:val="32"/>
          <w:shd w:val="clear" w:color="auto" w:fill="FFFFFF"/>
          <w:lang w:val="zh-CN"/>
        </w:rPr>
        <w:t>附表</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目标自评</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b/>
          <w:sz w:val="44"/>
          <w:szCs w:val="44"/>
          <w:lang w:eastAsia="zh-CN"/>
        </w:rPr>
        <w:t>（</w:t>
      </w:r>
      <w:r>
        <w:rPr>
          <w:rFonts w:hint="eastAsia" w:ascii="仿宋_GB2312" w:hAnsi="宋体" w:cs="宋体"/>
          <w:color w:val="000000"/>
          <w:kern w:val="0"/>
          <w:sz w:val="32"/>
          <w:szCs w:val="24"/>
          <w:shd w:val="clear" w:color="auto" w:fill="FFFFFF"/>
          <w:lang w:val="en-US" w:eastAsia="zh-CN" w:bidi="ar"/>
        </w:rPr>
        <w:t>“</w:t>
      </w:r>
      <w:r>
        <w:rPr>
          <w:rFonts w:hint="eastAsia" w:ascii="仿宋_GB2312" w:hAnsi="仿宋_GB2312" w:eastAsia="仿宋_GB2312" w:cs="仿宋_GB2312"/>
          <w:sz w:val="32"/>
          <w:szCs w:val="32"/>
          <w:lang w:eastAsia="zh-CN"/>
        </w:rPr>
        <w:t>人大专项业务经费</w:t>
      </w:r>
      <w:r>
        <w:rPr>
          <w:rFonts w:hint="eastAsia" w:ascii="仿宋_GB2312" w:hAnsi="宋体" w:cs="宋体"/>
          <w:color w:val="000000"/>
          <w:kern w:val="0"/>
          <w:sz w:val="32"/>
          <w:szCs w:val="24"/>
          <w:shd w:val="clear" w:color="auto" w:fill="FFFFFF"/>
          <w:lang w:val="en-US" w:eastAsia="zh-CN" w:bidi="ar"/>
        </w:rPr>
        <w:t>”</w:t>
      </w:r>
      <w:r>
        <w:rPr>
          <w:rFonts w:hint="eastAsia" w:hAnsi="宋体" w:cs="宋体"/>
          <w:color w:val="000000"/>
          <w:kern w:val="0"/>
          <w:sz w:val="32"/>
          <w:szCs w:val="24"/>
          <w:shd w:val="clear" w:color="auto" w:fill="FFFFFF"/>
          <w:lang w:val="en-US" w:eastAsia="zh-CN" w:bidi="ar"/>
        </w:rPr>
        <w:t>项目</w:t>
      </w:r>
      <w:r>
        <w:rPr>
          <w:rFonts w:hint="eastAsia" w:ascii="方正小标宋_GBK" w:hAnsi="方正小标宋_GBK" w:eastAsia="方正小标宋_GBK" w:cs="方正小标宋_GBK"/>
          <w:b/>
          <w:sz w:val="44"/>
          <w:szCs w:val="44"/>
          <w:lang w:eastAsia="zh-CN"/>
        </w:rPr>
        <w:t>）</w:t>
      </w:r>
    </w:p>
    <w:tbl>
      <w:tblPr>
        <w:tblStyle w:val="12"/>
        <w:tblpPr w:leftFromText="180" w:rightFromText="180" w:vertAnchor="text" w:horzAnchor="page" w:tblpXSpec="center" w:tblpY="660"/>
        <w:tblOverlap w:val="never"/>
        <w:tblW w:w="10301" w:type="dxa"/>
        <w:jc w:val="center"/>
        <w:tblLayout w:type="fixed"/>
        <w:tblCellMar>
          <w:top w:w="0" w:type="dxa"/>
          <w:left w:w="108" w:type="dxa"/>
          <w:bottom w:w="0" w:type="dxa"/>
          <w:right w:w="108" w:type="dxa"/>
        </w:tblCellMar>
      </w:tblPr>
      <w:tblGrid>
        <w:gridCol w:w="1087"/>
        <w:gridCol w:w="1416"/>
        <w:gridCol w:w="1464"/>
        <w:gridCol w:w="2179"/>
        <w:gridCol w:w="1369"/>
        <w:gridCol w:w="2786"/>
      </w:tblGrid>
      <w:tr>
        <w:tblPrEx>
          <w:tblCellMar>
            <w:top w:w="0" w:type="dxa"/>
            <w:left w:w="108" w:type="dxa"/>
            <w:bottom w:w="0" w:type="dxa"/>
            <w:right w:w="108" w:type="dxa"/>
          </w:tblCellMar>
        </w:tblPrEx>
        <w:trPr>
          <w:trHeight w:val="254" w:hRule="atLeast"/>
          <w:jc w:val="center"/>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峨眉山市人大常委会办公室</w:t>
            </w:r>
          </w:p>
        </w:tc>
      </w:tr>
      <w:tr>
        <w:tblPrEx>
          <w:tblCellMar>
            <w:top w:w="0" w:type="dxa"/>
            <w:left w:w="108" w:type="dxa"/>
            <w:bottom w:w="0" w:type="dxa"/>
            <w:right w:w="108" w:type="dxa"/>
          </w:tblCellMar>
        </w:tblPrEx>
        <w:trPr>
          <w:trHeight w:val="341" w:hRule="atLeast"/>
          <w:jc w:val="center"/>
        </w:trPr>
        <w:tc>
          <w:tcPr>
            <w:tcW w:w="25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46.37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46.37</w:t>
            </w:r>
          </w:p>
        </w:tc>
      </w:tr>
      <w:tr>
        <w:tblPrEx>
          <w:tblCellMar>
            <w:top w:w="0" w:type="dxa"/>
            <w:left w:w="108" w:type="dxa"/>
            <w:bottom w:w="0" w:type="dxa"/>
            <w:right w:w="108" w:type="dxa"/>
          </w:tblCellMar>
        </w:tblPrEx>
        <w:trPr>
          <w:trHeight w:val="555" w:hRule="atLeast"/>
          <w:jc w:val="center"/>
        </w:trPr>
        <w:tc>
          <w:tcPr>
            <w:tcW w:w="2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46.37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46.37</w:t>
            </w:r>
          </w:p>
        </w:tc>
      </w:tr>
      <w:tr>
        <w:tblPrEx>
          <w:tblCellMar>
            <w:top w:w="0" w:type="dxa"/>
            <w:left w:w="108" w:type="dxa"/>
            <w:bottom w:w="0" w:type="dxa"/>
            <w:right w:w="108" w:type="dxa"/>
          </w:tblCellMar>
        </w:tblPrEx>
        <w:trPr>
          <w:trHeight w:val="341" w:hRule="atLeast"/>
          <w:jc w:val="center"/>
        </w:trPr>
        <w:tc>
          <w:tcPr>
            <w:tcW w:w="2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50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50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1"/>
                <w:szCs w:val="21"/>
                <w:lang w:eastAsia="zh-CN"/>
              </w:rPr>
              <w:t>完成</w:t>
            </w:r>
            <w:r>
              <w:rPr>
                <w:rFonts w:hint="eastAsia" w:ascii="仿宋_GB2312" w:hAnsi="仿宋_GB2312" w:eastAsia="仿宋_GB2312" w:cs="仿宋_GB2312"/>
                <w:sz w:val="21"/>
                <w:szCs w:val="21"/>
              </w:rPr>
              <w:t>2021年人大</w:t>
            </w:r>
            <w:r>
              <w:rPr>
                <w:rFonts w:hint="eastAsia" w:ascii="仿宋_GB2312" w:hAnsi="仿宋_GB2312" w:eastAsia="仿宋_GB2312" w:cs="仿宋_GB2312"/>
                <w:sz w:val="21"/>
                <w:szCs w:val="21"/>
                <w:lang w:eastAsia="zh-CN"/>
              </w:rPr>
              <w:t>常</w:t>
            </w:r>
            <w:r>
              <w:rPr>
                <w:rFonts w:hint="eastAsia" w:ascii="仿宋_GB2312" w:hAnsi="仿宋_GB2312" w:eastAsia="仿宋_GB2312" w:cs="仿宋_GB2312"/>
                <w:sz w:val="21"/>
                <w:szCs w:val="21"/>
              </w:rPr>
              <w:t>委会会议、党组会议等各项会议的筹备服务，人大常委会日常行政管理、文印、专同建设、常委会主任和各工委主任开展各类视察、调研工作以及完成交办的其他工作</w:t>
            </w:r>
            <w:r>
              <w:rPr>
                <w:rFonts w:hint="eastAsia" w:ascii="仿宋_GB2312" w:hAnsi="仿宋_GB2312" w:eastAsia="仿宋_GB2312" w:cs="仿宋_GB2312"/>
                <w:sz w:val="21"/>
                <w:szCs w:val="21"/>
                <w:lang w:eastAsia="zh-CN"/>
              </w:rPr>
              <w:t>。</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18"/>
                <w:szCs w:val="18"/>
                <w:lang w:eastAsia="zh-CN"/>
              </w:rPr>
              <w:t>全面完成</w:t>
            </w:r>
          </w:p>
        </w:tc>
      </w:tr>
      <w:tr>
        <w:tblPrEx>
          <w:tblCellMar>
            <w:top w:w="0" w:type="dxa"/>
            <w:left w:w="108" w:type="dxa"/>
            <w:bottom w:w="0" w:type="dxa"/>
            <w:right w:w="108" w:type="dxa"/>
          </w:tblCellMar>
        </w:tblPrEx>
        <w:trPr>
          <w:trHeight w:val="693" w:hRule="atLeast"/>
          <w:jc w:val="center"/>
        </w:trPr>
        <w:tc>
          <w:tcPr>
            <w:tcW w:w="108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41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1274" w:hRule="atLeast"/>
          <w:jc w:val="center"/>
        </w:trPr>
        <w:tc>
          <w:tcPr>
            <w:tcW w:w="108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人大</w:t>
            </w:r>
            <w:r>
              <w:rPr>
                <w:rFonts w:hint="eastAsia" w:ascii="仿宋_GB2312" w:hAnsi="仿宋_GB2312" w:eastAsia="仿宋_GB2312" w:cs="仿宋_GB2312"/>
                <w:sz w:val="21"/>
                <w:szCs w:val="21"/>
                <w:highlight w:val="none"/>
                <w:lang w:eastAsia="zh-CN"/>
              </w:rPr>
              <w:t>常</w:t>
            </w:r>
            <w:r>
              <w:rPr>
                <w:rFonts w:hint="eastAsia" w:ascii="仿宋_GB2312" w:hAnsi="仿宋_GB2312" w:eastAsia="仿宋_GB2312" w:cs="仿宋_GB2312"/>
                <w:sz w:val="21"/>
                <w:szCs w:val="21"/>
                <w:highlight w:val="none"/>
              </w:rPr>
              <w:t>委会会议、党组会议等各项会议的筹备服务</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52次</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完成</w:t>
            </w:r>
            <w:r>
              <w:rPr>
                <w:rFonts w:hint="eastAsia" w:ascii="仿宋_GB2312" w:hAnsi="仿宋_GB2312" w:eastAsia="仿宋_GB2312" w:cs="仿宋_GB2312"/>
                <w:sz w:val="21"/>
                <w:szCs w:val="21"/>
              </w:rPr>
              <w:t>人大</w:t>
            </w:r>
            <w:r>
              <w:rPr>
                <w:rFonts w:hint="eastAsia" w:ascii="仿宋_GB2312" w:hAnsi="仿宋_GB2312" w:eastAsia="仿宋_GB2312" w:cs="仿宋_GB2312"/>
                <w:sz w:val="21"/>
                <w:szCs w:val="21"/>
                <w:lang w:eastAsia="zh-CN"/>
              </w:rPr>
              <w:t>常</w:t>
            </w:r>
            <w:r>
              <w:rPr>
                <w:rFonts w:hint="eastAsia" w:ascii="仿宋_GB2312" w:hAnsi="仿宋_GB2312" w:eastAsia="仿宋_GB2312" w:cs="仿宋_GB2312"/>
                <w:sz w:val="21"/>
                <w:szCs w:val="21"/>
              </w:rPr>
              <w:t>委会会议、党组会议等各项会议的筹备服务</w:t>
            </w:r>
            <w:r>
              <w:rPr>
                <w:rFonts w:hint="eastAsia" w:ascii="仿宋_GB2312" w:hAnsi="仿宋_GB2312" w:eastAsia="仿宋_GB2312" w:cs="仿宋_GB2312"/>
                <w:sz w:val="21"/>
                <w:szCs w:val="21"/>
                <w:lang w:eastAsia="zh-CN"/>
              </w:rPr>
              <w:t>工作</w:t>
            </w:r>
          </w:p>
        </w:tc>
      </w:tr>
      <w:tr>
        <w:tblPrEx>
          <w:tblCellMar>
            <w:top w:w="0" w:type="dxa"/>
            <w:left w:w="108" w:type="dxa"/>
            <w:bottom w:w="0" w:type="dxa"/>
            <w:right w:w="108" w:type="dxa"/>
          </w:tblCellMar>
        </w:tblPrEx>
        <w:trPr>
          <w:trHeight w:val="415" w:hRule="atLeast"/>
          <w:jc w:val="center"/>
        </w:trPr>
        <w:tc>
          <w:tcPr>
            <w:tcW w:w="108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通过各项调研视察，履职行权，增强监督实效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r>
      <w:tr>
        <w:tblPrEx>
          <w:tblCellMar>
            <w:top w:w="0" w:type="dxa"/>
            <w:left w:w="108" w:type="dxa"/>
            <w:bottom w:w="0" w:type="dxa"/>
            <w:right w:w="108" w:type="dxa"/>
          </w:tblCellMar>
        </w:tblPrEx>
        <w:trPr>
          <w:trHeight w:val="415" w:hRule="atLeast"/>
          <w:jc w:val="center"/>
        </w:trPr>
        <w:tc>
          <w:tcPr>
            <w:tcW w:w="108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2021年度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blPrEx>
          <w:tblCellMar>
            <w:top w:w="0" w:type="dxa"/>
            <w:left w:w="108" w:type="dxa"/>
            <w:bottom w:w="0" w:type="dxa"/>
            <w:right w:w="108" w:type="dxa"/>
          </w:tblCellMar>
        </w:tblPrEx>
        <w:trPr>
          <w:trHeight w:val="497" w:hRule="atLeast"/>
          <w:jc w:val="center"/>
        </w:trPr>
        <w:tc>
          <w:tcPr>
            <w:tcW w:w="108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支出控制在预算内</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blPrEx>
          <w:tblCellMar>
            <w:top w:w="0" w:type="dxa"/>
            <w:left w:w="108" w:type="dxa"/>
            <w:bottom w:w="0" w:type="dxa"/>
            <w:right w:w="108" w:type="dxa"/>
          </w:tblCellMar>
        </w:tblPrEx>
        <w:trPr>
          <w:trHeight w:val="480" w:hRule="atLeast"/>
          <w:jc w:val="center"/>
        </w:trPr>
        <w:tc>
          <w:tcPr>
            <w:tcW w:w="108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服务社会经济发展，推动民主法制建设</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r>
      <w:tr>
        <w:tblPrEx>
          <w:tblCellMar>
            <w:top w:w="0" w:type="dxa"/>
            <w:left w:w="108" w:type="dxa"/>
            <w:bottom w:w="0" w:type="dxa"/>
            <w:right w:w="108" w:type="dxa"/>
          </w:tblCellMar>
        </w:tblPrEx>
        <w:trPr>
          <w:trHeight w:val="530" w:hRule="atLeast"/>
          <w:jc w:val="center"/>
        </w:trPr>
        <w:tc>
          <w:tcPr>
            <w:tcW w:w="108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代表满意度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bl>
    <w:p>
      <w:pPr>
        <w:widowControl/>
        <w:adjustRightInd w:val="0"/>
        <w:snapToGrid w:val="0"/>
        <w:spacing w:line="580" w:lineRule="exact"/>
        <w:contextualSpacing/>
        <w:jc w:val="left"/>
        <w:rPr>
          <w:rFonts w:hint="eastAsia" w:ascii="仿宋_GB2312" w:hAnsi="宋体" w:eastAsia="仿宋_GB2312" w:cs="宋体"/>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目标自评</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b/>
          <w:sz w:val="44"/>
          <w:szCs w:val="44"/>
          <w:lang w:eastAsia="zh-CN"/>
        </w:rPr>
        <w:t>（</w:t>
      </w:r>
      <w:r>
        <w:rPr>
          <w:rFonts w:hint="eastAsia" w:ascii="仿宋_GB2312" w:hAnsi="仿宋_GB2312" w:eastAsia="仿宋_GB2312" w:cs="仿宋_GB2312"/>
          <w:sz w:val="32"/>
          <w:szCs w:val="32"/>
          <w:lang w:eastAsia="zh-CN"/>
        </w:rPr>
        <w:t>“人大代表经费”</w:t>
      </w:r>
      <w:r>
        <w:rPr>
          <w:rFonts w:hint="eastAsia" w:hAnsi="宋体" w:cs="宋体"/>
          <w:color w:val="000000"/>
          <w:kern w:val="0"/>
          <w:sz w:val="32"/>
          <w:szCs w:val="24"/>
          <w:shd w:val="clear" w:color="auto" w:fill="FFFFFF"/>
          <w:lang w:val="en-US" w:eastAsia="zh-CN" w:bidi="ar"/>
        </w:rPr>
        <w:t>项目</w:t>
      </w:r>
      <w:r>
        <w:rPr>
          <w:rFonts w:hint="eastAsia" w:ascii="方正小标宋_GBK" w:hAnsi="方正小标宋_GBK" w:eastAsia="方正小标宋_GBK" w:cs="方正小标宋_GBK"/>
          <w:b/>
          <w:sz w:val="44"/>
          <w:szCs w:val="44"/>
          <w:lang w:eastAsia="zh-CN"/>
        </w:rPr>
        <w:t>）</w:t>
      </w:r>
    </w:p>
    <w:tbl>
      <w:tblPr>
        <w:tblStyle w:val="12"/>
        <w:tblpPr w:leftFromText="180" w:rightFromText="180" w:vertAnchor="text" w:horzAnchor="page" w:tblpXSpec="center" w:tblpY="660"/>
        <w:tblOverlap w:val="never"/>
        <w:tblW w:w="10301" w:type="dxa"/>
        <w:jc w:val="center"/>
        <w:tblLayout w:type="fixed"/>
        <w:tblCellMar>
          <w:top w:w="0" w:type="dxa"/>
          <w:left w:w="108" w:type="dxa"/>
          <w:bottom w:w="0" w:type="dxa"/>
          <w:right w:w="108" w:type="dxa"/>
        </w:tblCellMar>
      </w:tblPr>
      <w:tblGrid>
        <w:gridCol w:w="1438"/>
        <w:gridCol w:w="1065"/>
        <w:gridCol w:w="1464"/>
        <w:gridCol w:w="2179"/>
        <w:gridCol w:w="1369"/>
        <w:gridCol w:w="2786"/>
      </w:tblGrid>
      <w:tr>
        <w:tblPrEx>
          <w:tblCellMar>
            <w:top w:w="0" w:type="dxa"/>
            <w:left w:w="108" w:type="dxa"/>
            <w:bottom w:w="0" w:type="dxa"/>
            <w:right w:w="108" w:type="dxa"/>
          </w:tblCellMar>
        </w:tblPrEx>
        <w:trPr>
          <w:trHeight w:val="254" w:hRule="atLeast"/>
          <w:jc w:val="center"/>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峨眉山市人大常委会办公室</w:t>
            </w:r>
          </w:p>
        </w:tc>
      </w:tr>
      <w:tr>
        <w:tblPrEx>
          <w:tblCellMar>
            <w:top w:w="0" w:type="dxa"/>
            <w:left w:w="108" w:type="dxa"/>
            <w:bottom w:w="0" w:type="dxa"/>
            <w:right w:w="108" w:type="dxa"/>
          </w:tblCellMar>
        </w:tblPrEx>
        <w:trPr>
          <w:trHeight w:val="341" w:hRule="atLeast"/>
          <w:jc w:val="center"/>
        </w:trPr>
        <w:tc>
          <w:tcPr>
            <w:tcW w:w="25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14.96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14.96</w:t>
            </w:r>
          </w:p>
        </w:tc>
      </w:tr>
      <w:tr>
        <w:tblPrEx>
          <w:tblCellMar>
            <w:top w:w="0" w:type="dxa"/>
            <w:left w:w="108" w:type="dxa"/>
            <w:bottom w:w="0" w:type="dxa"/>
            <w:right w:w="108" w:type="dxa"/>
          </w:tblCellMar>
        </w:tblPrEx>
        <w:trPr>
          <w:trHeight w:val="555" w:hRule="atLeast"/>
          <w:jc w:val="center"/>
        </w:trPr>
        <w:tc>
          <w:tcPr>
            <w:tcW w:w="2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14.96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14.96</w:t>
            </w:r>
          </w:p>
        </w:tc>
      </w:tr>
      <w:tr>
        <w:trPr>
          <w:trHeight w:val="341" w:hRule="atLeast"/>
          <w:jc w:val="center"/>
        </w:trPr>
        <w:tc>
          <w:tcPr>
            <w:tcW w:w="2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1"/>
                <w:szCs w:val="21"/>
                <w:lang w:eastAsia="zh-CN"/>
              </w:rPr>
              <w:t>各级人大代表开展各类视察及调研活动。</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18"/>
                <w:szCs w:val="18"/>
                <w:lang w:eastAsia="zh-CN"/>
              </w:rPr>
              <w:t>全面完成</w:t>
            </w:r>
          </w:p>
        </w:tc>
      </w:tr>
      <w:tr>
        <w:tblPrEx>
          <w:tblCellMar>
            <w:top w:w="0" w:type="dxa"/>
            <w:left w:w="108" w:type="dxa"/>
            <w:bottom w:w="0" w:type="dxa"/>
            <w:right w:w="108" w:type="dxa"/>
          </w:tblCellMar>
        </w:tblPrEx>
        <w:trPr>
          <w:trHeight w:val="693" w:hRule="atLeast"/>
          <w:jc w:val="center"/>
        </w:trPr>
        <w:tc>
          <w:tcPr>
            <w:tcW w:w="14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rPr>
          <w:trHeight w:val="490"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人大代表视察、调研</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12次</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val="en-US" w:eastAsia="zh-CN"/>
              </w:rPr>
              <w:t>00%</w:t>
            </w:r>
          </w:p>
        </w:tc>
      </w:tr>
      <w:tr>
        <w:tblPrEx>
          <w:tblCellMar>
            <w:top w:w="0" w:type="dxa"/>
            <w:left w:w="108" w:type="dxa"/>
            <w:bottom w:w="0" w:type="dxa"/>
            <w:right w:w="108" w:type="dxa"/>
          </w:tblCellMar>
        </w:tblPrEx>
        <w:trPr>
          <w:trHeight w:val="567"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完成视察调研，形成调研报告</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基本完成</w:t>
            </w:r>
          </w:p>
        </w:tc>
      </w:tr>
      <w:tr>
        <w:tblPrEx>
          <w:tblCellMar>
            <w:top w:w="0" w:type="dxa"/>
            <w:left w:w="108" w:type="dxa"/>
            <w:bottom w:w="0" w:type="dxa"/>
            <w:right w:w="108" w:type="dxa"/>
          </w:tblCellMar>
        </w:tblPrEx>
        <w:trPr>
          <w:trHeight w:val="415"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2021年度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blPrEx>
          <w:tblCellMar>
            <w:top w:w="0" w:type="dxa"/>
            <w:left w:w="108" w:type="dxa"/>
            <w:bottom w:w="0" w:type="dxa"/>
            <w:right w:w="108" w:type="dxa"/>
          </w:tblCellMar>
        </w:tblPrEx>
        <w:trPr>
          <w:trHeight w:val="497"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支出控制在预算内</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rPr>
          <w:trHeight w:val="480"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确保代表履职行权，依法开展监督，促进社会经济发展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r>
      <w:tr>
        <w:tblPrEx>
          <w:tblCellMar>
            <w:top w:w="0" w:type="dxa"/>
            <w:left w:w="108" w:type="dxa"/>
            <w:bottom w:w="0" w:type="dxa"/>
            <w:right w:w="108" w:type="dxa"/>
          </w:tblCellMar>
        </w:tblPrEx>
        <w:trPr>
          <w:trHeight w:val="530" w:hRule="atLeast"/>
          <w:jc w:val="center"/>
        </w:trPr>
        <w:tc>
          <w:tcPr>
            <w:tcW w:w="143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代表满意度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目标自评</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b/>
          <w:sz w:val="44"/>
          <w:szCs w:val="44"/>
          <w:lang w:eastAsia="zh-CN"/>
        </w:rPr>
        <w:t>（</w:t>
      </w:r>
      <w:r>
        <w:rPr>
          <w:rFonts w:hint="eastAsia" w:ascii="仿宋_GB2312" w:hAnsi="仿宋_GB2312" w:eastAsia="仿宋_GB2312" w:cs="仿宋_GB2312"/>
          <w:sz w:val="32"/>
          <w:szCs w:val="32"/>
          <w:lang w:eastAsia="zh-CN"/>
        </w:rPr>
        <w:t>“人大代表培训费”</w:t>
      </w:r>
      <w:r>
        <w:rPr>
          <w:rFonts w:hint="eastAsia" w:hAnsi="仿宋_GB2312" w:cs="仿宋_GB2312"/>
          <w:sz w:val="32"/>
          <w:szCs w:val="32"/>
          <w:lang w:eastAsia="zh-CN"/>
        </w:rPr>
        <w:t>项目</w:t>
      </w:r>
      <w:r>
        <w:rPr>
          <w:rFonts w:hint="eastAsia" w:ascii="方正小标宋_GBK" w:hAnsi="方正小标宋_GBK" w:eastAsia="方正小标宋_GBK" w:cs="方正小标宋_GBK"/>
          <w:b/>
          <w:sz w:val="44"/>
          <w:szCs w:val="44"/>
          <w:lang w:eastAsia="zh-CN"/>
        </w:rPr>
        <w:t>）</w:t>
      </w:r>
    </w:p>
    <w:tbl>
      <w:tblPr>
        <w:tblStyle w:val="12"/>
        <w:tblpPr w:leftFromText="180" w:rightFromText="180" w:vertAnchor="text" w:horzAnchor="page" w:tblpXSpec="center" w:tblpY="660"/>
        <w:tblOverlap w:val="never"/>
        <w:tblW w:w="10301" w:type="dxa"/>
        <w:jc w:val="center"/>
        <w:tblLayout w:type="fixed"/>
        <w:tblCellMar>
          <w:top w:w="0" w:type="dxa"/>
          <w:left w:w="108" w:type="dxa"/>
          <w:bottom w:w="0" w:type="dxa"/>
          <w:right w:w="108" w:type="dxa"/>
        </w:tblCellMar>
      </w:tblPr>
      <w:tblGrid>
        <w:gridCol w:w="1438"/>
        <w:gridCol w:w="1065"/>
        <w:gridCol w:w="1464"/>
        <w:gridCol w:w="2179"/>
        <w:gridCol w:w="1369"/>
        <w:gridCol w:w="2786"/>
      </w:tblGrid>
      <w:tr>
        <w:tblPrEx>
          <w:tblCellMar>
            <w:top w:w="0" w:type="dxa"/>
            <w:left w:w="108" w:type="dxa"/>
            <w:bottom w:w="0" w:type="dxa"/>
            <w:right w:w="108" w:type="dxa"/>
          </w:tblCellMar>
        </w:tblPrEx>
        <w:trPr>
          <w:trHeight w:val="254" w:hRule="atLeast"/>
          <w:jc w:val="center"/>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峨眉山市人大常委会办公室</w:t>
            </w:r>
          </w:p>
        </w:tc>
      </w:tr>
      <w:tr>
        <w:tblPrEx>
          <w:tblCellMar>
            <w:top w:w="0" w:type="dxa"/>
            <w:left w:w="108" w:type="dxa"/>
            <w:bottom w:w="0" w:type="dxa"/>
            <w:right w:w="108" w:type="dxa"/>
          </w:tblCellMar>
        </w:tblPrEx>
        <w:trPr>
          <w:trHeight w:val="341" w:hRule="atLeast"/>
          <w:jc w:val="center"/>
        </w:trPr>
        <w:tc>
          <w:tcPr>
            <w:tcW w:w="25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2.90</w:t>
            </w:r>
          </w:p>
        </w:tc>
      </w:tr>
      <w:tr>
        <w:tblPrEx>
          <w:tblCellMar>
            <w:top w:w="0" w:type="dxa"/>
            <w:left w:w="108" w:type="dxa"/>
            <w:bottom w:w="0" w:type="dxa"/>
            <w:right w:w="108" w:type="dxa"/>
          </w:tblCellMar>
        </w:tblPrEx>
        <w:trPr>
          <w:trHeight w:val="555" w:hRule="atLeast"/>
          <w:jc w:val="center"/>
        </w:trPr>
        <w:tc>
          <w:tcPr>
            <w:tcW w:w="2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2.90</w:t>
            </w:r>
          </w:p>
        </w:tc>
      </w:tr>
      <w:tr>
        <w:tblPrEx>
          <w:tblCellMar>
            <w:top w:w="0" w:type="dxa"/>
            <w:left w:w="108" w:type="dxa"/>
            <w:bottom w:w="0" w:type="dxa"/>
            <w:right w:w="108" w:type="dxa"/>
          </w:tblCellMar>
        </w:tblPrEx>
        <w:trPr>
          <w:trHeight w:val="341" w:hRule="atLeast"/>
          <w:jc w:val="center"/>
        </w:trPr>
        <w:tc>
          <w:tcPr>
            <w:tcW w:w="2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1"/>
                <w:szCs w:val="21"/>
                <w:lang w:eastAsia="zh-CN"/>
              </w:rPr>
              <w:t>2021年组织各级代表参加省内外培训，组织人大代表本地培训等工作</w:t>
            </w:r>
            <w:r>
              <w:rPr>
                <w:rFonts w:hint="eastAsia"/>
              </w:rPr>
              <w:t>。</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18"/>
                <w:szCs w:val="18"/>
                <w:lang w:eastAsia="zh-CN"/>
              </w:rPr>
              <w:t>全面完成</w:t>
            </w:r>
          </w:p>
        </w:tc>
      </w:tr>
      <w:tr>
        <w:tblPrEx>
          <w:tblCellMar>
            <w:top w:w="0" w:type="dxa"/>
            <w:left w:w="108" w:type="dxa"/>
            <w:bottom w:w="0" w:type="dxa"/>
            <w:right w:w="108" w:type="dxa"/>
          </w:tblCellMar>
        </w:tblPrEx>
        <w:trPr>
          <w:trHeight w:val="693" w:hRule="atLeast"/>
          <w:jc w:val="center"/>
        </w:trPr>
        <w:tc>
          <w:tcPr>
            <w:tcW w:w="14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90"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人大代表视察、调研</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12次</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val="en-US" w:eastAsia="zh-CN"/>
              </w:rPr>
              <w:t>00%</w:t>
            </w:r>
          </w:p>
        </w:tc>
      </w:tr>
      <w:tr>
        <w:tblPrEx>
          <w:tblCellMar>
            <w:top w:w="0" w:type="dxa"/>
            <w:left w:w="108" w:type="dxa"/>
            <w:bottom w:w="0" w:type="dxa"/>
            <w:right w:w="108" w:type="dxa"/>
          </w:tblCellMar>
        </w:tblPrEx>
        <w:trPr>
          <w:trHeight w:val="567"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完成视察调研，形成调研报告</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基本完成</w:t>
            </w:r>
          </w:p>
        </w:tc>
      </w:tr>
      <w:tr>
        <w:tblPrEx>
          <w:tblCellMar>
            <w:top w:w="0" w:type="dxa"/>
            <w:left w:w="108" w:type="dxa"/>
            <w:bottom w:w="0" w:type="dxa"/>
            <w:right w:w="108" w:type="dxa"/>
          </w:tblCellMar>
        </w:tblPrEx>
        <w:trPr>
          <w:trHeight w:val="415"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2021年度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blPrEx>
          <w:tblCellMar>
            <w:top w:w="0" w:type="dxa"/>
            <w:left w:w="108" w:type="dxa"/>
            <w:bottom w:w="0" w:type="dxa"/>
            <w:right w:w="108" w:type="dxa"/>
          </w:tblCellMar>
        </w:tblPrEx>
        <w:trPr>
          <w:trHeight w:val="497"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支出控制在预算内</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blPrEx>
          <w:tblCellMar>
            <w:top w:w="0" w:type="dxa"/>
            <w:left w:w="108" w:type="dxa"/>
            <w:bottom w:w="0" w:type="dxa"/>
            <w:right w:w="108" w:type="dxa"/>
          </w:tblCellMar>
        </w:tblPrEx>
        <w:trPr>
          <w:trHeight w:val="480"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确保代表履职行权，依法开展监督，促进社会经济发展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r>
      <w:tr>
        <w:tblPrEx>
          <w:tblCellMar>
            <w:top w:w="0" w:type="dxa"/>
            <w:left w:w="108" w:type="dxa"/>
            <w:bottom w:w="0" w:type="dxa"/>
            <w:right w:w="108" w:type="dxa"/>
          </w:tblCellMar>
        </w:tblPrEx>
        <w:trPr>
          <w:trHeight w:val="530" w:hRule="atLeast"/>
          <w:jc w:val="center"/>
        </w:trPr>
        <w:tc>
          <w:tcPr>
            <w:tcW w:w="143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代表满意度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目标自评</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b/>
          <w:sz w:val="44"/>
          <w:szCs w:val="44"/>
          <w:lang w:eastAsia="zh-CN"/>
        </w:rPr>
        <w:t>（</w:t>
      </w:r>
      <w:r>
        <w:rPr>
          <w:rFonts w:hint="eastAsia" w:ascii="仿宋_GB2312" w:hAnsi="仿宋_GB2312" w:eastAsia="仿宋_GB2312" w:cs="仿宋_GB2312"/>
          <w:sz w:val="32"/>
          <w:szCs w:val="32"/>
          <w:lang w:eastAsia="zh-CN"/>
        </w:rPr>
        <w:t>“换届选举经费”</w:t>
      </w:r>
      <w:r>
        <w:rPr>
          <w:rFonts w:hint="eastAsia" w:hAnsi="仿宋_GB2312" w:cs="仿宋_GB2312"/>
          <w:sz w:val="32"/>
          <w:szCs w:val="32"/>
          <w:lang w:eastAsia="zh-CN"/>
        </w:rPr>
        <w:t>项目</w:t>
      </w:r>
      <w:r>
        <w:rPr>
          <w:rFonts w:hint="eastAsia" w:ascii="方正小标宋_GBK" w:hAnsi="方正小标宋_GBK" w:eastAsia="方正小标宋_GBK" w:cs="方正小标宋_GBK"/>
          <w:b/>
          <w:sz w:val="44"/>
          <w:szCs w:val="44"/>
          <w:lang w:eastAsia="zh-CN"/>
        </w:rPr>
        <w:t>）</w:t>
      </w:r>
    </w:p>
    <w:tbl>
      <w:tblPr>
        <w:tblStyle w:val="12"/>
        <w:tblpPr w:leftFromText="180" w:rightFromText="180" w:vertAnchor="text" w:horzAnchor="page" w:tblpXSpec="center" w:tblpY="660"/>
        <w:tblOverlap w:val="never"/>
        <w:tblW w:w="10301" w:type="dxa"/>
        <w:jc w:val="center"/>
        <w:tblLayout w:type="fixed"/>
        <w:tblCellMar>
          <w:top w:w="0" w:type="dxa"/>
          <w:left w:w="108" w:type="dxa"/>
          <w:bottom w:w="0" w:type="dxa"/>
          <w:right w:w="108" w:type="dxa"/>
        </w:tblCellMar>
      </w:tblPr>
      <w:tblGrid>
        <w:gridCol w:w="1438"/>
        <w:gridCol w:w="1065"/>
        <w:gridCol w:w="1464"/>
        <w:gridCol w:w="2179"/>
        <w:gridCol w:w="1369"/>
        <w:gridCol w:w="2786"/>
      </w:tblGrid>
      <w:tr>
        <w:tblPrEx>
          <w:tblCellMar>
            <w:top w:w="0" w:type="dxa"/>
            <w:left w:w="108" w:type="dxa"/>
            <w:bottom w:w="0" w:type="dxa"/>
            <w:right w:w="108" w:type="dxa"/>
          </w:tblCellMar>
        </w:tblPrEx>
        <w:trPr>
          <w:trHeight w:val="254" w:hRule="atLeast"/>
          <w:jc w:val="center"/>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峨眉山市人大常委会办公室</w:t>
            </w:r>
          </w:p>
        </w:tc>
      </w:tr>
      <w:tr>
        <w:trPr>
          <w:trHeight w:val="235" w:hRule="atLeast"/>
          <w:jc w:val="center"/>
        </w:trPr>
        <w:tc>
          <w:tcPr>
            <w:tcW w:w="25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19.60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19.60</w:t>
            </w:r>
          </w:p>
        </w:tc>
      </w:tr>
      <w:tr>
        <w:tblPrEx>
          <w:tblCellMar>
            <w:top w:w="0" w:type="dxa"/>
            <w:left w:w="108" w:type="dxa"/>
            <w:bottom w:w="0" w:type="dxa"/>
            <w:right w:w="108" w:type="dxa"/>
          </w:tblCellMar>
        </w:tblPrEx>
        <w:trPr>
          <w:trHeight w:val="555" w:hRule="atLeast"/>
          <w:jc w:val="center"/>
        </w:trPr>
        <w:tc>
          <w:tcPr>
            <w:tcW w:w="2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19.60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19.60</w:t>
            </w:r>
          </w:p>
        </w:tc>
      </w:tr>
      <w:tr>
        <w:trPr>
          <w:trHeight w:val="341" w:hRule="atLeast"/>
          <w:jc w:val="center"/>
        </w:trPr>
        <w:tc>
          <w:tcPr>
            <w:tcW w:w="2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rPr>
          <w:trHeight w:val="387"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1"/>
                <w:szCs w:val="21"/>
                <w:lang w:eastAsia="zh-CN"/>
              </w:rPr>
              <w:t>第十八届人民代表大会</w:t>
            </w:r>
            <w:r>
              <w:rPr>
                <w:rFonts w:hint="eastAsia" w:ascii="仿宋_GB2312" w:hAnsi="仿宋_GB2312" w:eastAsia="仿宋_GB2312" w:cs="仿宋_GB2312"/>
                <w:sz w:val="21"/>
                <w:szCs w:val="21"/>
                <w:lang w:val="en-US" w:eastAsia="zh-CN"/>
              </w:rPr>
              <w:t>2021因各种原因导致代表出缺组织补选</w:t>
            </w:r>
            <w:r>
              <w:rPr>
                <w:rFonts w:hint="eastAsia"/>
              </w:rPr>
              <w:t>。</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18"/>
                <w:szCs w:val="18"/>
                <w:lang w:eastAsia="zh-CN"/>
              </w:rPr>
              <w:t>全面完成</w:t>
            </w:r>
          </w:p>
        </w:tc>
      </w:tr>
      <w:tr>
        <w:tblPrEx>
          <w:tblCellMar>
            <w:top w:w="0" w:type="dxa"/>
            <w:left w:w="108" w:type="dxa"/>
            <w:bottom w:w="0" w:type="dxa"/>
            <w:right w:w="108" w:type="dxa"/>
          </w:tblCellMar>
        </w:tblPrEx>
        <w:trPr>
          <w:trHeight w:val="693" w:hRule="atLeast"/>
          <w:jc w:val="center"/>
        </w:trPr>
        <w:tc>
          <w:tcPr>
            <w:tcW w:w="14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rPr>
          <w:trHeight w:val="490"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按出缺数补选市人大代表和乡镇人大代表</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完成出缺补选</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val="en-US" w:eastAsia="zh-CN"/>
              </w:rPr>
              <w:t>00%</w:t>
            </w:r>
          </w:p>
        </w:tc>
      </w:tr>
      <w:tr>
        <w:tblPrEx>
          <w:tblCellMar>
            <w:top w:w="0" w:type="dxa"/>
            <w:left w:w="108" w:type="dxa"/>
            <w:bottom w:w="0" w:type="dxa"/>
            <w:right w:w="108" w:type="dxa"/>
          </w:tblCellMar>
        </w:tblPrEx>
        <w:trPr>
          <w:trHeight w:val="567"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通过法定程序补选人大代表</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rPr>
          <w:trHeight w:val="415"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2021年度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blPrEx>
          <w:tblCellMar>
            <w:top w:w="0" w:type="dxa"/>
            <w:left w:w="108" w:type="dxa"/>
            <w:bottom w:w="0" w:type="dxa"/>
            <w:right w:w="108" w:type="dxa"/>
          </w:tblCellMar>
        </w:tblPrEx>
        <w:trPr>
          <w:trHeight w:val="497"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支出控制在预算内</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rPr>
          <w:trHeight w:val="480"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推进社会经济发展，促进法律监督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r>
      <w:tr>
        <w:tblPrEx>
          <w:tblCellMar>
            <w:top w:w="0" w:type="dxa"/>
            <w:left w:w="108" w:type="dxa"/>
            <w:bottom w:w="0" w:type="dxa"/>
            <w:right w:w="108" w:type="dxa"/>
          </w:tblCellMar>
        </w:tblPrEx>
        <w:trPr>
          <w:trHeight w:val="530" w:hRule="atLeast"/>
          <w:jc w:val="center"/>
        </w:trPr>
        <w:tc>
          <w:tcPr>
            <w:tcW w:w="143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代表满意度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pStyle w:val="2"/>
        <w:rPr>
          <w:rFonts w:hint="eastAsia"/>
        </w:rPr>
      </w:pPr>
    </w:p>
    <w:p>
      <w:pPr>
        <w:pStyle w:val="2"/>
        <w:rPr>
          <w:rFonts w:hint="eastAsia"/>
        </w:rPr>
      </w:pP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目标自评</w:t>
      </w:r>
    </w:p>
    <w:p>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b/>
          <w:sz w:val="44"/>
          <w:szCs w:val="44"/>
          <w:lang w:eastAsia="zh-CN"/>
        </w:rPr>
        <w:t>（</w:t>
      </w:r>
      <w:r>
        <w:rPr>
          <w:rFonts w:hint="eastAsia" w:ascii="仿宋_GB2312" w:hAnsi="仿宋_GB2312" w:eastAsia="仿宋_GB2312" w:cs="仿宋_GB2312"/>
          <w:sz w:val="32"/>
          <w:szCs w:val="32"/>
          <w:lang w:eastAsia="zh-CN"/>
        </w:rPr>
        <w:t>“人民代表大会会议费”</w:t>
      </w:r>
      <w:r>
        <w:rPr>
          <w:rFonts w:hint="eastAsia" w:hAnsi="仿宋_GB2312" w:cs="仿宋_GB2312"/>
          <w:sz w:val="32"/>
          <w:szCs w:val="32"/>
          <w:lang w:eastAsia="zh-CN"/>
        </w:rPr>
        <w:t>项目</w:t>
      </w:r>
      <w:r>
        <w:rPr>
          <w:rFonts w:hint="eastAsia" w:ascii="方正小标宋_GBK" w:hAnsi="方正小标宋_GBK" w:eastAsia="方正小标宋_GBK" w:cs="方正小标宋_GBK"/>
          <w:b/>
          <w:sz w:val="44"/>
          <w:szCs w:val="44"/>
          <w:lang w:eastAsia="zh-CN"/>
        </w:rPr>
        <w:t>）</w:t>
      </w:r>
    </w:p>
    <w:tbl>
      <w:tblPr>
        <w:tblStyle w:val="12"/>
        <w:tblpPr w:leftFromText="180" w:rightFromText="180" w:vertAnchor="text" w:horzAnchor="page" w:tblpXSpec="center" w:tblpY="660"/>
        <w:tblOverlap w:val="never"/>
        <w:tblW w:w="10301" w:type="dxa"/>
        <w:jc w:val="center"/>
        <w:tblLayout w:type="fixed"/>
        <w:tblCellMar>
          <w:top w:w="0" w:type="dxa"/>
          <w:left w:w="108" w:type="dxa"/>
          <w:bottom w:w="0" w:type="dxa"/>
          <w:right w:w="108" w:type="dxa"/>
        </w:tblCellMar>
      </w:tblPr>
      <w:tblGrid>
        <w:gridCol w:w="1438"/>
        <w:gridCol w:w="1065"/>
        <w:gridCol w:w="1464"/>
        <w:gridCol w:w="2179"/>
        <w:gridCol w:w="1369"/>
        <w:gridCol w:w="2786"/>
      </w:tblGrid>
      <w:tr>
        <w:tblPrEx>
          <w:tblCellMar>
            <w:top w:w="0" w:type="dxa"/>
            <w:left w:w="108" w:type="dxa"/>
            <w:bottom w:w="0" w:type="dxa"/>
            <w:right w:w="108" w:type="dxa"/>
          </w:tblCellMar>
        </w:tblPrEx>
        <w:trPr>
          <w:trHeight w:val="254" w:hRule="atLeast"/>
          <w:jc w:val="center"/>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峨眉山市人大常委会办公室</w:t>
            </w:r>
          </w:p>
        </w:tc>
      </w:tr>
      <w:tr>
        <w:tblPrEx>
          <w:tblCellMar>
            <w:top w:w="0" w:type="dxa"/>
            <w:left w:w="108" w:type="dxa"/>
            <w:bottom w:w="0" w:type="dxa"/>
            <w:right w:w="108" w:type="dxa"/>
          </w:tblCellMar>
        </w:tblPrEx>
        <w:trPr>
          <w:trHeight w:val="341" w:hRule="atLeast"/>
          <w:jc w:val="center"/>
        </w:trPr>
        <w:tc>
          <w:tcPr>
            <w:tcW w:w="25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25.92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25.92</w:t>
            </w:r>
          </w:p>
        </w:tc>
      </w:tr>
      <w:tr>
        <w:tblPrEx>
          <w:tblCellMar>
            <w:top w:w="0" w:type="dxa"/>
            <w:left w:w="108" w:type="dxa"/>
            <w:bottom w:w="0" w:type="dxa"/>
            <w:right w:w="108" w:type="dxa"/>
          </w:tblCellMar>
        </w:tblPrEx>
        <w:trPr>
          <w:trHeight w:val="555" w:hRule="atLeast"/>
          <w:jc w:val="center"/>
        </w:trPr>
        <w:tc>
          <w:tcPr>
            <w:tcW w:w="2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25.92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25.92</w:t>
            </w:r>
          </w:p>
        </w:tc>
      </w:tr>
      <w:tr>
        <w:tblPrEx>
          <w:tblCellMar>
            <w:top w:w="0" w:type="dxa"/>
            <w:left w:w="108" w:type="dxa"/>
            <w:bottom w:w="0" w:type="dxa"/>
            <w:right w:w="108" w:type="dxa"/>
          </w:tblCellMar>
        </w:tblPrEx>
        <w:trPr>
          <w:trHeight w:val="341" w:hRule="atLeast"/>
          <w:jc w:val="center"/>
        </w:trPr>
        <w:tc>
          <w:tcPr>
            <w:tcW w:w="2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1"/>
                <w:szCs w:val="21"/>
                <w:lang w:eastAsia="zh-CN"/>
              </w:rPr>
              <w:t>结算2021年第十七届六次人民代表大会所有产生的会议费用</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18"/>
                <w:szCs w:val="18"/>
                <w:lang w:eastAsia="zh-CN"/>
              </w:rPr>
              <w:t>全面完成</w:t>
            </w:r>
          </w:p>
        </w:tc>
      </w:tr>
      <w:tr>
        <w:tblPrEx>
          <w:tblCellMar>
            <w:top w:w="0" w:type="dxa"/>
            <w:left w:w="108" w:type="dxa"/>
            <w:bottom w:w="0" w:type="dxa"/>
            <w:right w:w="108" w:type="dxa"/>
          </w:tblCellMar>
        </w:tblPrEx>
        <w:trPr>
          <w:trHeight w:val="693" w:hRule="atLeast"/>
          <w:jc w:val="center"/>
        </w:trPr>
        <w:tc>
          <w:tcPr>
            <w:tcW w:w="14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90"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第十七届六次人民代表大会会议天数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3天</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val="en-US" w:eastAsia="zh-CN"/>
              </w:rPr>
              <w:t>00%</w:t>
            </w:r>
          </w:p>
        </w:tc>
      </w:tr>
      <w:tr>
        <w:tblPrEx>
          <w:tblCellMar>
            <w:top w:w="0" w:type="dxa"/>
            <w:left w:w="108" w:type="dxa"/>
            <w:bottom w:w="0" w:type="dxa"/>
            <w:right w:w="108" w:type="dxa"/>
          </w:tblCellMar>
        </w:tblPrEx>
        <w:trPr>
          <w:trHeight w:val="567"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达到会议预期效果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blPrEx>
          <w:tblCellMar>
            <w:top w:w="0" w:type="dxa"/>
            <w:left w:w="108" w:type="dxa"/>
            <w:bottom w:w="0" w:type="dxa"/>
            <w:right w:w="108" w:type="dxa"/>
          </w:tblCellMar>
        </w:tblPrEx>
        <w:trPr>
          <w:trHeight w:val="415"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2021年度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blPrEx>
          <w:tblCellMar>
            <w:top w:w="0" w:type="dxa"/>
            <w:left w:w="108" w:type="dxa"/>
            <w:bottom w:w="0" w:type="dxa"/>
            <w:right w:w="108" w:type="dxa"/>
          </w:tblCellMar>
        </w:tblPrEx>
        <w:trPr>
          <w:trHeight w:val="497"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严格控制支出，将支出控制在预算内</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r>
        <w:tblPrEx>
          <w:tblCellMar>
            <w:top w:w="0" w:type="dxa"/>
            <w:left w:w="108" w:type="dxa"/>
            <w:bottom w:w="0" w:type="dxa"/>
            <w:right w:w="108" w:type="dxa"/>
          </w:tblCellMar>
        </w:tblPrEx>
        <w:trPr>
          <w:trHeight w:val="480" w:hRule="atLeast"/>
          <w:jc w:val="center"/>
        </w:trPr>
        <w:tc>
          <w:tcPr>
            <w:tcW w:w="143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为社会经济持续发展提供保障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基本完成</w:t>
            </w:r>
          </w:p>
        </w:tc>
      </w:tr>
      <w:tr>
        <w:tblPrEx>
          <w:tblCellMar>
            <w:top w:w="0" w:type="dxa"/>
            <w:left w:w="108" w:type="dxa"/>
            <w:bottom w:w="0" w:type="dxa"/>
            <w:right w:w="108" w:type="dxa"/>
          </w:tblCellMar>
        </w:tblPrEx>
        <w:trPr>
          <w:trHeight w:val="530" w:hRule="atLeast"/>
          <w:jc w:val="center"/>
        </w:trPr>
        <w:tc>
          <w:tcPr>
            <w:tcW w:w="143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代表满意度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附表）</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jc w:val="center"/>
        <w:textAlignment w:val="auto"/>
        <w:outlineLvl w:val="0"/>
        <w:rPr>
          <w:rStyle w:val="24"/>
          <w:rFonts w:hint="eastAsia" w:ascii="方正小标宋_GBK" w:hAnsi="方正小标宋_GBK" w:eastAsia="方正小标宋_GBK" w:cs="方正小标宋_GBK"/>
          <w:b w:val="0"/>
          <w:sz w:val="44"/>
          <w:szCs w:val="44"/>
        </w:rPr>
      </w:pPr>
      <w:bookmarkStart w:id="15" w:name="_Toc15396618"/>
      <w:r>
        <w:rPr>
          <w:rStyle w:val="24"/>
          <w:rFonts w:hint="eastAsia" w:ascii="方正小标宋_GBK" w:hAnsi="方正小标宋_GBK" w:eastAsia="方正小标宋_GBK" w:cs="方正小标宋_GBK"/>
          <w:b w:val="0"/>
          <w:sz w:val="44"/>
          <w:szCs w:val="44"/>
        </w:rPr>
        <w:t>附表</w:t>
      </w:r>
      <w:bookmarkEnd w:id="14"/>
      <w:bookmarkEnd w:id="15"/>
      <w:bookmarkStart w:id="16" w:name="_Toc15396619"/>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1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17" w:name="_Toc15396620"/>
      <w:r>
        <w:rPr>
          <w:rFonts w:hint="eastAsia" w:ascii="仿宋_GB2312" w:hAnsi="仿宋_GB2312" w:eastAsia="仿宋_GB2312" w:cs="仿宋_GB2312"/>
          <w:sz w:val="32"/>
          <w:szCs w:val="32"/>
        </w:rPr>
        <w:t>二、收入决算表</w:t>
      </w:r>
      <w:bookmarkEnd w:id="1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18" w:name="_Toc15396621"/>
      <w:r>
        <w:rPr>
          <w:rFonts w:hint="eastAsia" w:ascii="仿宋_GB2312" w:hAnsi="仿宋_GB2312" w:eastAsia="仿宋_GB2312" w:cs="仿宋_GB2312"/>
          <w:sz w:val="32"/>
          <w:szCs w:val="32"/>
        </w:rPr>
        <w:t>三、支出决算表</w:t>
      </w:r>
      <w:bookmarkEnd w:id="1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19" w:name="_Toc15396622"/>
      <w:r>
        <w:rPr>
          <w:rFonts w:hint="eastAsia" w:ascii="仿宋_GB2312" w:hAnsi="仿宋_GB2312" w:eastAsia="仿宋_GB2312" w:cs="仿宋_GB2312"/>
          <w:sz w:val="32"/>
          <w:szCs w:val="32"/>
        </w:rPr>
        <w:t>四、财政拨款收入支出决算总表</w:t>
      </w:r>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0" w:name="_Toc15396623"/>
      <w:r>
        <w:rPr>
          <w:rFonts w:hint="eastAsia" w:ascii="仿宋_GB2312" w:hAnsi="仿宋_GB2312" w:eastAsia="仿宋_GB2312" w:cs="仿宋_GB2312"/>
          <w:sz w:val="32"/>
          <w:szCs w:val="32"/>
        </w:rPr>
        <w:t>五、财政拨款支出决算明细表</w:t>
      </w:r>
      <w:bookmarkEnd w:id="20"/>
      <w:bookmarkStart w:id="21"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2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2" w:name="_Toc15396625"/>
      <w:r>
        <w:rPr>
          <w:rFonts w:hint="eastAsia" w:ascii="仿宋_GB2312" w:hAnsi="仿宋_GB2312" w:eastAsia="仿宋_GB2312" w:cs="仿宋_GB2312"/>
          <w:sz w:val="32"/>
          <w:szCs w:val="32"/>
        </w:rPr>
        <w:t>七、一般公共预算财政拨款支出决算明细表</w:t>
      </w:r>
      <w:bookmarkEnd w:id="2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3" w:name="_Toc15396626"/>
      <w:r>
        <w:rPr>
          <w:rFonts w:hint="eastAsia" w:ascii="仿宋_GB2312" w:hAnsi="仿宋_GB2312" w:eastAsia="仿宋_GB2312" w:cs="仿宋_GB2312"/>
          <w:sz w:val="32"/>
          <w:szCs w:val="32"/>
        </w:rPr>
        <w:t>八、一般公共预算财政拨款基本支出决算表</w:t>
      </w:r>
      <w:bookmarkEnd w:id="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4" w:name="_Toc15396627"/>
      <w:r>
        <w:rPr>
          <w:rFonts w:hint="eastAsia" w:ascii="仿宋_GB2312" w:hAnsi="仿宋_GB2312" w:eastAsia="仿宋_GB2312" w:cs="仿宋_GB2312"/>
          <w:sz w:val="32"/>
          <w:szCs w:val="32"/>
        </w:rPr>
        <w:t>九、一般公共预算财政拨款项目支出决算表</w:t>
      </w:r>
      <w:bookmarkEnd w:id="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5" w:name="_Toc15396628"/>
      <w:r>
        <w:rPr>
          <w:rFonts w:hint="eastAsia" w:ascii="仿宋_GB2312" w:hAnsi="仿宋_GB2312" w:eastAsia="仿宋_GB2312" w:cs="仿宋_GB2312"/>
          <w:sz w:val="32"/>
          <w:szCs w:val="32"/>
        </w:rPr>
        <w:t>十、一般公共预算财政拨款“三公”经费支出决算表</w:t>
      </w:r>
      <w:bookmarkEnd w:id="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6" w:name="_Toc15396629"/>
      <w:r>
        <w:rPr>
          <w:rFonts w:hint="eastAsia" w:ascii="仿宋_GB2312" w:hAnsi="仿宋_GB2312" w:eastAsia="仿宋_GB2312" w:cs="仿宋_GB2312"/>
          <w:sz w:val="32"/>
          <w:szCs w:val="32"/>
        </w:rPr>
        <w:t>十一、政府性基金预算财政拨款收入支出决算表</w:t>
      </w:r>
      <w:bookmarkEnd w:id="2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7" w:name="_Toc15396630"/>
      <w:r>
        <w:rPr>
          <w:rFonts w:hint="eastAsia" w:ascii="仿宋_GB2312" w:hAnsi="仿宋_GB2312" w:eastAsia="仿宋_GB2312" w:cs="仿宋_GB2312"/>
          <w:sz w:val="32"/>
          <w:szCs w:val="32"/>
        </w:rPr>
        <w:t>十二、政府性基金预算财政拨款“三公”经费支出决算表</w:t>
      </w:r>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8" w:name="_Toc15396631"/>
      <w:r>
        <w:rPr>
          <w:rFonts w:hint="eastAsia" w:ascii="仿宋_GB2312" w:hAnsi="仿宋_GB2312" w:eastAsia="仿宋_GB2312" w:cs="仿宋_GB2312"/>
          <w:sz w:val="32"/>
          <w:szCs w:val="32"/>
        </w:rPr>
        <w:t>十三、国有资本经营预算财政拨款收入支出决算表</w:t>
      </w:r>
      <w:bookmarkEnd w:id="2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2114"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11252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8.95pt;height:20.45pt;width:87.6pt;mso-position-horizontal:outside;mso-position-horizontal-relative:margin;z-index:251659264;mso-width-relative:page;mso-height-relative:page;" filled="f" stroked="f" coordsize="21600,21600" o:gfxdata="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Y0xt5NYAAAAHAQAADwAAAAAAAAABACAAAAA4AAAAZHJzL2Rvd25yZXYu&#10;eG1sUEsBAhQAFAAAAAgAh07iQCqf0JIgAgAAKgQAAA4AAAAAAAAAAQAgAAAAOwEAAGRycy9lMm9E&#10;b2MueG1sUEsFBgAAAAAGAAYAWQEAAM0FAAAAAA==&#10;">
              <v:fill on="f" focussize="0,0"/>
              <v:stroke on="f" weight="0.5pt"/>
              <v:imagedata o:title=""/>
              <o:lock v:ext="edit" aspectratio="f"/>
              <v:textbox inset="0mm,0mm,0mm,0mm">
                <w:txbxContent>
                  <w:p>
                    <w:pPr>
                      <w:pStyle w:val="8"/>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3p/yzdUAAAAIAQAADwAAAAAAAAABACAAAAA4AAAAZHJzL2Rvd25yZXYueG1sUEsB&#10;AhQAFAAAAAgAh07iQDwWIvIbAgAAKQQAAA4AAAAAAAAAAQAgAAAAOgEAAGRycy9lMm9Eb2MueG1s&#10;UEsFBgAAAAAGAAYAWQEAAMc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171AA"/>
    <w:multiLevelType w:val="singleLevel"/>
    <w:tmpl w:val="C58171AA"/>
    <w:lvl w:ilvl="0" w:tentative="0">
      <w:start w:val="1"/>
      <w:numFmt w:val="chineseCounting"/>
      <w:suff w:val="nothing"/>
      <w:lvlText w:val="（%1）"/>
      <w:lvlJc w:val="left"/>
      <w:rPr>
        <w:rFonts w:hint="eastAsia"/>
      </w:rPr>
    </w:lvl>
  </w:abstractNum>
  <w:abstractNum w:abstractNumId="1">
    <w:nsid w:val="CF438C2A"/>
    <w:multiLevelType w:val="singleLevel"/>
    <w:tmpl w:val="CF438C2A"/>
    <w:lvl w:ilvl="0" w:tentative="0">
      <w:start w:val="5"/>
      <w:numFmt w:val="chineseCounting"/>
      <w:suff w:val="space"/>
      <w:lvlText w:val="第%1部分"/>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767C873"/>
    <w:multiLevelType w:val="singleLevel"/>
    <w:tmpl w:val="6767C873"/>
    <w:lvl w:ilvl="0" w:tentative="0">
      <w:start w:val="2"/>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OTRmNDhmODRiZTFmODc0MTY3MjI4MWZiMTYwYj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216A9"/>
    <w:rsid w:val="00335A74"/>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97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A4B87"/>
    <w:rsid w:val="014B08FF"/>
    <w:rsid w:val="019D55FE"/>
    <w:rsid w:val="02F96864"/>
    <w:rsid w:val="0361440A"/>
    <w:rsid w:val="049A2F7D"/>
    <w:rsid w:val="04AD3DAA"/>
    <w:rsid w:val="058645FB"/>
    <w:rsid w:val="06190FCC"/>
    <w:rsid w:val="066E0107"/>
    <w:rsid w:val="06A328BA"/>
    <w:rsid w:val="06CC17AD"/>
    <w:rsid w:val="06D870D9"/>
    <w:rsid w:val="07154822"/>
    <w:rsid w:val="073D2F61"/>
    <w:rsid w:val="07996F6E"/>
    <w:rsid w:val="084F33CB"/>
    <w:rsid w:val="09151F1E"/>
    <w:rsid w:val="093027E3"/>
    <w:rsid w:val="098F1CD1"/>
    <w:rsid w:val="09C556F2"/>
    <w:rsid w:val="0A2032A3"/>
    <w:rsid w:val="0A3D172D"/>
    <w:rsid w:val="0AF008B2"/>
    <w:rsid w:val="0B0E149A"/>
    <w:rsid w:val="0B3F7184"/>
    <w:rsid w:val="0BF00EAC"/>
    <w:rsid w:val="0C5F7626"/>
    <w:rsid w:val="0C937D2A"/>
    <w:rsid w:val="0CA830A9"/>
    <w:rsid w:val="0CAD246E"/>
    <w:rsid w:val="0CCF0636"/>
    <w:rsid w:val="0DA675E9"/>
    <w:rsid w:val="0DF50570"/>
    <w:rsid w:val="0E382A7D"/>
    <w:rsid w:val="0EA37FCC"/>
    <w:rsid w:val="0F4E23BB"/>
    <w:rsid w:val="0F6D2A6B"/>
    <w:rsid w:val="0F853B2C"/>
    <w:rsid w:val="101860EC"/>
    <w:rsid w:val="105C48D7"/>
    <w:rsid w:val="10675755"/>
    <w:rsid w:val="10991687"/>
    <w:rsid w:val="10AD6EE0"/>
    <w:rsid w:val="10B63E9F"/>
    <w:rsid w:val="10C055FF"/>
    <w:rsid w:val="11581A54"/>
    <w:rsid w:val="11586E4C"/>
    <w:rsid w:val="117F262B"/>
    <w:rsid w:val="118107EC"/>
    <w:rsid w:val="11B147AE"/>
    <w:rsid w:val="1255087E"/>
    <w:rsid w:val="12CB6193"/>
    <w:rsid w:val="12CC5D44"/>
    <w:rsid w:val="133C0E3F"/>
    <w:rsid w:val="135A334F"/>
    <w:rsid w:val="138A3509"/>
    <w:rsid w:val="13D50BC4"/>
    <w:rsid w:val="156475B5"/>
    <w:rsid w:val="156C5221"/>
    <w:rsid w:val="15C54CCC"/>
    <w:rsid w:val="163F05DA"/>
    <w:rsid w:val="16BB723D"/>
    <w:rsid w:val="16BE4570"/>
    <w:rsid w:val="17465999"/>
    <w:rsid w:val="17742506"/>
    <w:rsid w:val="190A3122"/>
    <w:rsid w:val="191915B7"/>
    <w:rsid w:val="192835A8"/>
    <w:rsid w:val="19966C6C"/>
    <w:rsid w:val="19BE215E"/>
    <w:rsid w:val="19C1487C"/>
    <w:rsid w:val="1A134258"/>
    <w:rsid w:val="1A22449B"/>
    <w:rsid w:val="1AC375B2"/>
    <w:rsid w:val="1B1A33C4"/>
    <w:rsid w:val="1B6C00C4"/>
    <w:rsid w:val="1BE8440E"/>
    <w:rsid w:val="1BF34341"/>
    <w:rsid w:val="1CD1084A"/>
    <w:rsid w:val="1D155CEE"/>
    <w:rsid w:val="1D7B74B9"/>
    <w:rsid w:val="1DFB579B"/>
    <w:rsid w:val="1E567219"/>
    <w:rsid w:val="1E7601F6"/>
    <w:rsid w:val="1EA31286"/>
    <w:rsid w:val="1F071A1B"/>
    <w:rsid w:val="1F1C1B35"/>
    <w:rsid w:val="1F5E03BA"/>
    <w:rsid w:val="1F6D7F66"/>
    <w:rsid w:val="1F6F6249"/>
    <w:rsid w:val="1FCB1131"/>
    <w:rsid w:val="1FDA66DC"/>
    <w:rsid w:val="1FE03448"/>
    <w:rsid w:val="203F3519"/>
    <w:rsid w:val="20DD2ECA"/>
    <w:rsid w:val="21195ADF"/>
    <w:rsid w:val="21420E31"/>
    <w:rsid w:val="215E6489"/>
    <w:rsid w:val="22460F43"/>
    <w:rsid w:val="22484CBB"/>
    <w:rsid w:val="224D0523"/>
    <w:rsid w:val="230D7DB3"/>
    <w:rsid w:val="23860B96"/>
    <w:rsid w:val="239161EE"/>
    <w:rsid w:val="23DD5D26"/>
    <w:rsid w:val="23DE7685"/>
    <w:rsid w:val="23E1433B"/>
    <w:rsid w:val="23FE3883"/>
    <w:rsid w:val="240371BF"/>
    <w:rsid w:val="243674C1"/>
    <w:rsid w:val="245060A9"/>
    <w:rsid w:val="24A106B2"/>
    <w:rsid w:val="24BE1264"/>
    <w:rsid w:val="24E35931"/>
    <w:rsid w:val="25171EA5"/>
    <w:rsid w:val="25180974"/>
    <w:rsid w:val="258C3110"/>
    <w:rsid w:val="25AE12D9"/>
    <w:rsid w:val="25E116AE"/>
    <w:rsid w:val="26802C75"/>
    <w:rsid w:val="27372229"/>
    <w:rsid w:val="27455C6D"/>
    <w:rsid w:val="27B44EE0"/>
    <w:rsid w:val="27C13E34"/>
    <w:rsid w:val="27FF406E"/>
    <w:rsid w:val="289E73E3"/>
    <w:rsid w:val="28AD2483"/>
    <w:rsid w:val="28C52950"/>
    <w:rsid w:val="29671ECA"/>
    <w:rsid w:val="29A459D3"/>
    <w:rsid w:val="29FD04D3"/>
    <w:rsid w:val="2A1D6A2D"/>
    <w:rsid w:val="2A7A6782"/>
    <w:rsid w:val="2B05500C"/>
    <w:rsid w:val="2B465B0F"/>
    <w:rsid w:val="2BD77548"/>
    <w:rsid w:val="2C1C51EE"/>
    <w:rsid w:val="2C8A61B5"/>
    <w:rsid w:val="2CAB6572"/>
    <w:rsid w:val="2D482013"/>
    <w:rsid w:val="2D4F6EFD"/>
    <w:rsid w:val="2DA37249"/>
    <w:rsid w:val="2DF04E50"/>
    <w:rsid w:val="2EA00433"/>
    <w:rsid w:val="2FF124EE"/>
    <w:rsid w:val="300F3372"/>
    <w:rsid w:val="302D6791"/>
    <w:rsid w:val="307F72C7"/>
    <w:rsid w:val="30BF25EC"/>
    <w:rsid w:val="31575186"/>
    <w:rsid w:val="319F7F4E"/>
    <w:rsid w:val="31D64DBC"/>
    <w:rsid w:val="324059AE"/>
    <w:rsid w:val="326610F0"/>
    <w:rsid w:val="3293788C"/>
    <w:rsid w:val="32B67A1F"/>
    <w:rsid w:val="331309CD"/>
    <w:rsid w:val="3381002D"/>
    <w:rsid w:val="33A44631"/>
    <w:rsid w:val="34796F56"/>
    <w:rsid w:val="34C44675"/>
    <w:rsid w:val="355D2962"/>
    <w:rsid w:val="35CC0F4C"/>
    <w:rsid w:val="35D456FC"/>
    <w:rsid w:val="35DF103A"/>
    <w:rsid w:val="36051FA5"/>
    <w:rsid w:val="369C7F24"/>
    <w:rsid w:val="36AA5135"/>
    <w:rsid w:val="36CA5847"/>
    <w:rsid w:val="37AA30FD"/>
    <w:rsid w:val="37DA2850"/>
    <w:rsid w:val="37E16F03"/>
    <w:rsid w:val="38044D88"/>
    <w:rsid w:val="385950D4"/>
    <w:rsid w:val="387168C2"/>
    <w:rsid w:val="3950297B"/>
    <w:rsid w:val="39CB20B2"/>
    <w:rsid w:val="3A940645"/>
    <w:rsid w:val="3AEA2723"/>
    <w:rsid w:val="3B653D90"/>
    <w:rsid w:val="3B844B5E"/>
    <w:rsid w:val="3C253932"/>
    <w:rsid w:val="3C267D1C"/>
    <w:rsid w:val="3C7B5F91"/>
    <w:rsid w:val="3CDE71C1"/>
    <w:rsid w:val="3D406621"/>
    <w:rsid w:val="3D98207C"/>
    <w:rsid w:val="3DA60DBB"/>
    <w:rsid w:val="3DF74320"/>
    <w:rsid w:val="3E742C68"/>
    <w:rsid w:val="3EE651E8"/>
    <w:rsid w:val="3F4A5777"/>
    <w:rsid w:val="3F7B0026"/>
    <w:rsid w:val="3FA0699A"/>
    <w:rsid w:val="3FEC2CD2"/>
    <w:rsid w:val="3FFA53EF"/>
    <w:rsid w:val="410A1661"/>
    <w:rsid w:val="414508EB"/>
    <w:rsid w:val="41594397"/>
    <w:rsid w:val="417861C1"/>
    <w:rsid w:val="41967399"/>
    <w:rsid w:val="41BB669D"/>
    <w:rsid w:val="42291FBB"/>
    <w:rsid w:val="44110F59"/>
    <w:rsid w:val="442F13DF"/>
    <w:rsid w:val="448E5375"/>
    <w:rsid w:val="44BF6C07"/>
    <w:rsid w:val="44E268DA"/>
    <w:rsid w:val="45091B37"/>
    <w:rsid w:val="45097E82"/>
    <w:rsid w:val="45CA743B"/>
    <w:rsid w:val="45ED1125"/>
    <w:rsid w:val="45F66658"/>
    <w:rsid w:val="460C19D8"/>
    <w:rsid w:val="46C2478C"/>
    <w:rsid w:val="46C85294"/>
    <w:rsid w:val="478D6B48"/>
    <w:rsid w:val="47C06F1E"/>
    <w:rsid w:val="47D06A35"/>
    <w:rsid w:val="48311BC9"/>
    <w:rsid w:val="48B9669B"/>
    <w:rsid w:val="48C42A3E"/>
    <w:rsid w:val="48D427F6"/>
    <w:rsid w:val="49777AB0"/>
    <w:rsid w:val="49951CE4"/>
    <w:rsid w:val="49B838DE"/>
    <w:rsid w:val="4A627F82"/>
    <w:rsid w:val="4A987CDE"/>
    <w:rsid w:val="4AB03279"/>
    <w:rsid w:val="4ACC7988"/>
    <w:rsid w:val="4AE271AB"/>
    <w:rsid w:val="4B1D01E3"/>
    <w:rsid w:val="4B272E10"/>
    <w:rsid w:val="4B412124"/>
    <w:rsid w:val="4B4F25DA"/>
    <w:rsid w:val="4BE068DB"/>
    <w:rsid w:val="4BFC429C"/>
    <w:rsid w:val="4C7C718B"/>
    <w:rsid w:val="4CD55219"/>
    <w:rsid w:val="4D577224"/>
    <w:rsid w:val="4D793EED"/>
    <w:rsid w:val="4DBA4CA2"/>
    <w:rsid w:val="4EAB630A"/>
    <w:rsid w:val="4ECE2238"/>
    <w:rsid w:val="4EFA67A2"/>
    <w:rsid w:val="4F326E3A"/>
    <w:rsid w:val="502B02F9"/>
    <w:rsid w:val="505F5F83"/>
    <w:rsid w:val="50A95C5D"/>
    <w:rsid w:val="512A5408"/>
    <w:rsid w:val="51497F84"/>
    <w:rsid w:val="51693F8C"/>
    <w:rsid w:val="517B5C63"/>
    <w:rsid w:val="51C94C21"/>
    <w:rsid w:val="524D13AE"/>
    <w:rsid w:val="52524C16"/>
    <w:rsid w:val="535935E2"/>
    <w:rsid w:val="54260108"/>
    <w:rsid w:val="54D9517B"/>
    <w:rsid w:val="55677E6B"/>
    <w:rsid w:val="557650C0"/>
    <w:rsid w:val="55C67DF5"/>
    <w:rsid w:val="561C7481"/>
    <w:rsid w:val="56C90DDF"/>
    <w:rsid w:val="57256D9D"/>
    <w:rsid w:val="573174F0"/>
    <w:rsid w:val="58753A6F"/>
    <w:rsid w:val="587F428B"/>
    <w:rsid w:val="58D520FD"/>
    <w:rsid w:val="590B1FC3"/>
    <w:rsid w:val="59144D9C"/>
    <w:rsid w:val="598D40DE"/>
    <w:rsid w:val="59FD7B5D"/>
    <w:rsid w:val="5A1F7AD4"/>
    <w:rsid w:val="5A680EF2"/>
    <w:rsid w:val="5AE50ED9"/>
    <w:rsid w:val="5AEE538A"/>
    <w:rsid w:val="5AF92295"/>
    <w:rsid w:val="5B266C19"/>
    <w:rsid w:val="5B392E17"/>
    <w:rsid w:val="5B3A26EB"/>
    <w:rsid w:val="5B465534"/>
    <w:rsid w:val="5BB301A7"/>
    <w:rsid w:val="5BE32D83"/>
    <w:rsid w:val="5C366DE5"/>
    <w:rsid w:val="5CC2174F"/>
    <w:rsid w:val="5CD71FC4"/>
    <w:rsid w:val="5CF625FD"/>
    <w:rsid w:val="5D9E3405"/>
    <w:rsid w:val="5DC55B71"/>
    <w:rsid w:val="5E2C0A11"/>
    <w:rsid w:val="5E565A8E"/>
    <w:rsid w:val="5E8819C0"/>
    <w:rsid w:val="5E940365"/>
    <w:rsid w:val="5F1F2324"/>
    <w:rsid w:val="5F32372B"/>
    <w:rsid w:val="5FBE7D8F"/>
    <w:rsid w:val="605C6581"/>
    <w:rsid w:val="60972449"/>
    <w:rsid w:val="60F8107F"/>
    <w:rsid w:val="610712C2"/>
    <w:rsid w:val="61446072"/>
    <w:rsid w:val="614D0248"/>
    <w:rsid w:val="61720E31"/>
    <w:rsid w:val="61C80A51"/>
    <w:rsid w:val="62702235"/>
    <w:rsid w:val="629B6165"/>
    <w:rsid w:val="63A159FD"/>
    <w:rsid w:val="64882719"/>
    <w:rsid w:val="64947310"/>
    <w:rsid w:val="649B38B5"/>
    <w:rsid w:val="64E738E4"/>
    <w:rsid w:val="650049A6"/>
    <w:rsid w:val="65532D27"/>
    <w:rsid w:val="66174A55"/>
    <w:rsid w:val="664D59C9"/>
    <w:rsid w:val="66634050"/>
    <w:rsid w:val="66DE4873"/>
    <w:rsid w:val="678371C8"/>
    <w:rsid w:val="67B33FC3"/>
    <w:rsid w:val="682F24A1"/>
    <w:rsid w:val="68A65864"/>
    <w:rsid w:val="68B47F81"/>
    <w:rsid w:val="697E40EB"/>
    <w:rsid w:val="6A276531"/>
    <w:rsid w:val="6ABC4ECB"/>
    <w:rsid w:val="6B054AC4"/>
    <w:rsid w:val="6B8A4FC9"/>
    <w:rsid w:val="6BE97F42"/>
    <w:rsid w:val="6BFD1C3F"/>
    <w:rsid w:val="6C4A05C8"/>
    <w:rsid w:val="6C5A2BED"/>
    <w:rsid w:val="6CB542C8"/>
    <w:rsid w:val="6CBC27AF"/>
    <w:rsid w:val="6DB1683D"/>
    <w:rsid w:val="6DBB3B60"/>
    <w:rsid w:val="6DC347C2"/>
    <w:rsid w:val="6E0A419F"/>
    <w:rsid w:val="6E6B7334"/>
    <w:rsid w:val="6E7E3605"/>
    <w:rsid w:val="6ED87CC7"/>
    <w:rsid w:val="6EDF562C"/>
    <w:rsid w:val="6F433E0D"/>
    <w:rsid w:val="6FE13912"/>
    <w:rsid w:val="6FF5CC65"/>
    <w:rsid w:val="709F1517"/>
    <w:rsid w:val="70AC7790"/>
    <w:rsid w:val="715C0E4B"/>
    <w:rsid w:val="71995F66"/>
    <w:rsid w:val="71A1071C"/>
    <w:rsid w:val="71A4190C"/>
    <w:rsid w:val="71DE0782"/>
    <w:rsid w:val="72734A09"/>
    <w:rsid w:val="72734D90"/>
    <w:rsid w:val="728C7879"/>
    <w:rsid w:val="72EC0317"/>
    <w:rsid w:val="73944C37"/>
    <w:rsid w:val="73AD73D5"/>
    <w:rsid w:val="73B6EB34"/>
    <w:rsid w:val="741144D9"/>
    <w:rsid w:val="74B83297"/>
    <w:rsid w:val="75814041"/>
    <w:rsid w:val="76D35A76"/>
    <w:rsid w:val="77F35CA4"/>
    <w:rsid w:val="786D5A56"/>
    <w:rsid w:val="78AA6B5B"/>
    <w:rsid w:val="793F73F3"/>
    <w:rsid w:val="796C21B2"/>
    <w:rsid w:val="79C618C2"/>
    <w:rsid w:val="79EE5BA4"/>
    <w:rsid w:val="79FD523D"/>
    <w:rsid w:val="7A0B5527"/>
    <w:rsid w:val="7A894339"/>
    <w:rsid w:val="7B204C45"/>
    <w:rsid w:val="7B22577D"/>
    <w:rsid w:val="7BB23535"/>
    <w:rsid w:val="7BC82AD2"/>
    <w:rsid w:val="7C09018C"/>
    <w:rsid w:val="7C2324AB"/>
    <w:rsid w:val="7C562E44"/>
    <w:rsid w:val="7CB669DC"/>
    <w:rsid w:val="7CDB7433"/>
    <w:rsid w:val="7D100764"/>
    <w:rsid w:val="7D472D1A"/>
    <w:rsid w:val="7DB04244"/>
    <w:rsid w:val="7DC96D6F"/>
    <w:rsid w:val="7DCC321F"/>
    <w:rsid w:val="7DCD6A61"/>
    <w:rsid w:val="7DFD54DE"/>
    <w:rsid w:val="7E0724A9"/>
    <w:rsid w:val="7E155453"/>
    <w:rsid w:val="7E933D3D"/>
    <w:rsid w:val="7EEF11D3"/>
    <w:rsid w:val="7F65392B"/>
    <w:rsid w:val="7FA30C79"/>
    <w:rsid w:val="7FC96657"/>
    <w:rsid w:val="A6744C8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NormalCharacter"/>
    <w:semiHidden/>
    <w:qFormat/>
    <w:uiPriority w:val="0"/>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9992;&#25143;&#30446;&#24405;\Desktop\&#20915;&#31639;\2021\2021&#24180;&#20915;&#31639;&#20844;&#24320;\&#22270;&#34920;1.et"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9992;&#25143;&#30446;&#24405;\Desktop\&#20915;&#31639;\2021\2021&#24180;&#20915;&#31639;&#20844;&#24320;\&#22270;&#34920;1.et"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9992;&#25143;&#30446;&#24405;\Desktop\&#20915;&#31639;\2021\2021&#24180;&#20915;&#31639;&#20844;&#24320;\&#22270;&#34920;1.e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9992;&#25143;&#30446;&#24405;\Desktop\&#20915;&#31639;\2021\2021&#24180;&#20915;&#31639;&#20844;&#24320;\&#22270;&#34920;1.et"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9992;&#25143;&#30446;&#24405;\Desktop\&#20915;&#31639;\2021\2021&#24180;&#20915;&#31639;&#20844;&#24320;\&#22270;&#34920;1.et"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9992;&#25143;&#30446;&#24405;\Desktop\&#20915;&#31639;\2021\2021&#24180;&#20915;&#31639;&#20844;&#24320;\&#22270;&#34920;1.et"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9992;&#25143;&#30446;&#24405;\Desktop\&#20915;&#31639;\2021\2021&#24180;&#20915;&#31639;&#20844;&#24320;\&#22270;&#34920;1.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09125060062028"/>
          <c:y val="0.0746425530007619"/>
        </c:manualLayout>
      </c:layout>
      <c:overlay val="false"/>
      <c:spPr>
        <a:noFill/>
        <a:ln>
          <a:noFill/>
        </a:ln>
        <a:effectLst/>
      </c:spPr>
      <c:txPr>
        <a:bodyPr rot="0" spcFirstLastPara="0" vertOverflow="ellipsis" vert="horz" wrap="square" anchor="ctr" anchorCtr="true"/>
        <a:lstStyle/>
        <a:p>
          <a:pPr algn="ctr">
            <a:defRPr lang="zh-CN" sz="1400" b="1"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857777777777778"/>
          <c:y val="0.184722222222222"/>
          <c:w val="0.882"/>
          <c:h val="0.711666666666667"/>
        </c:manualLayout>
      </c:layout>
      <c:barChart>
        <c:barDir val="col"/>
        <c:grouping val="clustered"/>
        <c:varyColors val="false"/>
        <c:ser>
          <c:idx val="0"/>
          <c:order val="0"/>
          <c:tx>
            <c:strRef>
              <c:f>[图表1.et]Sheet1!$B$1</c:f>
              <c:strCache>
                <c:ptCount val="1"/>
                <c:pt idx="0">
                  <c:v>收、支决算总计变动情况</c:v>
                </c:pt>
              </c:strCache>
            </c:strRef>
          </c:tx>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1184.48</a:t>
                    </a:r>
                    <a:r>
                      <a:t>万元</a:t>
                    </a:r>
                    <a:endParaRPr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1228.20</a:t>
                    </a:r>
                    <a:r>
                      <a:t>万元</a:t>
                    </a:r>
                    <a:endParaRPr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trendline>
            <c:spPr>
              <a:ln w="19050" cap="rnd" cmpd="sng" algn="ctr">
                <a:solidFill>
                  <a:schemeClr val="accent1"/>
                </a:solidFill>
                <a:prstDash val="sysDot"/>
                <a:round/>
              </a:ln>
              <a:effectLst/>
            </c:spPr>
            <c:trendlineType val="linear"/>
            <c:forward val="0"/>
            <c:backward val="0"/>
            <c:dispRSqr val="false"/>
            <c:dispEq val="false"/>
          </c:trendline>
          <c:cat>
            <c:strRef>
              <c:f>[图表1.et]Sheet1!$A$2:$A$3</c:f>
              <c:strCache>
                <c:ptCount val="2"/>
                <c:pt idx="0">
                  <c:v>2020年</c:v>
                </c:pt>
                <c:pt idx="1">
                  <c:v>2021年</c:v>
                </c:pt>
              </c:strCache>
            </c:strRef>
          </c:cat>
          <c:val>
            <c:numRef>
              <c:f>[图表1.et]Sheet1!$B$2:$B$3</c:f>
              <c:numCache>
                <c:formatCode>General</c:formatCode>
                <c:ptCount val="2"/>
                <c:pt idx="0">
                  <c:v>1184.48</c:v>
                </c:pt>
                <c:pt idx="1">
                  <c:v>1228.2</c:v>
                </c:pt>
              </c:numCache>
            </c:numRef>
          </c:val>
        </c:ser>
        <c:dLbls>
          <c:showLegendKey val="false"/>
          <c:showVal val="false"/>
          <c:showCatName val="false"/>
          <c:showSerName val="false"/>
          <c:showPercent val="false"/>
          <c:showBubbleSize val="false"/>
        </c:dLbls>
        <c:gapWidth val="219"/>
        <c:overlap val="-27"/>
        <c:axId val="784485942"/>
        <c:axId val="856677913"/>
      </c:barChart>
      <c:catAx>
        <c:axId val="784485942"/>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56677913"/>
        <c:crosses val="autoZero"/>
        <c:auto val="true"/>
        <c:lblAlgn val="ctr"/>
        <c:lblOffset val="100"/>
        <c:noMultiLvlLbl val="false"/>
      </c:catAx>
      <c:valAx>
        <c:axId val="856677913"/>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8448594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91905480140774"/>
          <c:y val="0.0196629213483146"/>
        </c:manualLayout>
      </c:layout>
      <c:overlay val="false"/>
      <c:spPr>
        <a:noFill/>
        <a:ln>
          <a:noFill/>
        </a:ln>
        <a:effectLst/>
      </c:spPr>
      <c:txPr>
        <a:bodyPr rot="0" spcFirstLastPara="0" vertOverflow="ellipsis" vert="horz" wrap="square" anchor="ctr" anchorCtr="true"/>
        <a:lstStyle/>
        <a:p>
          <a:pPr>
            <a:defRPr lang="zh-CN" sz="1400" b="1"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[图表1.et]Sheet2!$B$1</c:f>
              <c:strCache>
                <c:ptCount val="1"/>
                <c:pt idx="0">
                  <c:v>收入决算结构</c:v>
                </c:pt>
              </c:strCache>
            </c:strRef>
          </c:tx>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Pt>
            <c:idx val="4"/>
            <c:bubble3D val="false"/>
            <c:explosion val="0"/>
            <c:spPr>
              <a:solidFill>
                <a:schemeClr val="accent5"/>
              </a:solidFill>
              <a:ln w="19050">
                <a:solidFill>
                  <a:schemeClr val="lt1"/>
                </a:solidFill>
              </a:ln>
              <a:effectLst/>
            </c:spPr>
          </c:dPt>
          <c:dPt>
            <c:idx val="5"/>
            <c:bubble3D val="false"/>
            <c:explosion val="0"/>
            <c:spPr>
              <a:solidFill>
                <a:schemeClr val="accent6"/>
              </a:solidFill>
              <a:ln w="19050">
                <a:solidFill>
                  <a:schemeClr val="lt1"/>
                </a:solidFill>
              </a:ln>
              <a:effectLst/>
            </c:spPr>
          </c:dPt>
          <c:dPt>
            <c:idx val="6"/>
            <c:bubble3D val="false"/>
            <c:explosion val="0"/>
            <c:spPr>
              <a:solidFill>
                <a:schemeClr val="accent1">
                  <a:lumMod val="60000"/>
                </a:schemeClr>
              </a:solidFill>
              <a:ln w="19050">
                <a:solidFill>
                  <a:schemeClr val="lt1"/>
                </a:solidFill>
              </a:ln>
              <a:effectLst/>
            </c:spPr>
          </c:dPt>
          <c:dLbls>
            <c:dLbl>
              <c:idx val="0"/>
              <c:layout>
                <c:manualLayout>
                  <c:x val="0.295441705985828"/>
                  <c:y val="0.0747449257155357"/>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a:t>
                    </a:r>
                    <a:r>
                      <a:rPr lang="en-US" altLang="zh-CN"/>
                      <a:t>1221.22</a:t>
                    </a:r>
                    <a:r>
                      <a:t>万元, 100%</a:t>
                    </a:r>
                    <a:endParaRPr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true"/>
              <c:spPr>
                <a:noFill/>
                <a:ln w="3175">
                  <a:solidFill>
                    <a:schemeClr val="accent1"/>
                  </a:soli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true"/>
              <c:showVal val="true"/>
              <c:showCatName val="false"/>
              <c:showSerName val="false"/>
              <c:showPercent val="true"/>
              <c:showBubbleSize val="false"/>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dk1"/>
                        </a:solidFill>
                        <a:latin typeface="+mn-lt"/>
                        <a:ea typeface="+mn-ea"/>
                        <a:cs typeface="+mn-cs"/>
                      </a:defRPr>
                    </a:pPr>
                    <a:r>
                      <a:rPr>
                        <a:solidFill>
                          <a:schemeClr val="dk1"/>
                        </a:solidFill>
                        <a:latin typeface="+mn-lt"/>
                        <a:ea typeface="+mn-ea"/>
                        <a:cs typeface="+mn-cs"/>
                      </a:rPr>
                      <a:t>0, 0%</a:t>
                    </a:r>
                    <a:endParaRPr sz="900" b="0" i="0" u="none" strike="noStrike" baseline="0">
                      <a:solidFill>
                        <a:schemeClr val="dk1"/>
                      </a:solidFill>
                      <a:latin typeface="+mn-lt"/>
                      <a:ea typeface="+mn-ea"/>
                      <a:cs typeface="+mn-cs"/>
                    </a:endParaRPr>
                  </a:p>
                </c:rich>
              </c:tx>
              <c:numFmt formatCode="General" sourceLinked="true"/>
              <c:spPr>
                <a:solidFill>
                  <a:schemeClr val="lt1"/>
                </a:solidFill>
                <a:ln w="3175" cap="flat" cmpd="sng" algn="ctr">
                  <a:solidFill>
                    <a:schemeClr val="accent1"/>
                  </a:solidFill>
                  <a:prstDash val="solid"/>
                  <a:miter lim="800000"/>
                </a:ln>
                <a:effectLst/>
                <a:sp3d>
                  <a:extrusionClr>
                    <a:srgbClr val="FFFFFF"/>
                  </a:extrusionClr>
                  <a:contourClr>
                    <a:srgbClr val="FFFFFF"/>
                  </a:contourClr>
                </a:sp3d>
              </c:spPr>
              <c:txPr>
                <a:bodyPr rot="0" spcFirstLastPara="0" vertOverflow="ellipsis" vert="horz" wrap="square" lIns="38100" tIns="19050" rIns="38100" bIns="19050" anchor="ctr" anchorCtr="true"/>
                <a:lstStyle/>
                <a:p>
                  <a:pPr>
                    <a:defRPr lang="zh-CN" sz="900" b="0" i="0" u="none" strike="noStrike" kern="1200" baseline="0">
                      <a:solidFill>
                        <a:schemeClr val="dk1"/>
                      </a:solidFill>
                      <a:latin typeface="+mn-lt"/>
                      <a:ea typeface="+mn-ea"/>
                      <a:cs typeface="+mn-cs"/>
                    </a:defRPr>
                  </a:pPr>
                </a:p>
              </c:txPr>
              <c:dLblPos val="bestFit"/>
              <c:showLegendKey val="true"/>
              <c:showVal val="true"/>
              <c:showCatName val="false"/>
              <c:showSerName val="false"/>
              <c:showPercent val="true"/>
              <c:showBubbleSize val="false"/>
              <c:extLst>
                <c:ext xmlns:c15="http://schemas.microsoft.com/office/drawing/2012/chart" uri="{CE6537A1-D6FC-4f65-9D91-7224C49458BB}"/>
              </c:extLst>
            </c:dLbl>
            <c:dLbl>
              <c:idx val="5"/>
              <c:delete val="true"/>
            </c:dLbl>
            <c:dLbl>
              <c:idx val="6"/>
              <c:delete val="true"/>
            </c:dLbl>
            <c:numFmt formatCode="General" sourceLinked="true"/>
            <c:spPr>
              <a:noFill/>
              <a:ln w="3175">
                <a:solidFill>
                  <a:schemeClr val="accent1"/>
                </a:soli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tru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[图表1.et]Sheet2!$A$2:$A$8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[图表1.et]Sheet2!$B$2:$B$8</c:f>
              <c:numCache>
                <c:formatCode>General</c:formatCode>
                <c:ptCount val="7"/>
                <c:pt idx="0">
                  <c:v>1221.22</c:v>
                </c:pt>
                <c:pt idx="1">
                  <c:v>0</c:v>
                </c:pt>
                <c:pt idx="2">
                  <c:v>0</c:v>
                </c:pt>
                <c:pt idx="3">
                  <c:v>0</c:v>
                </c:pt>
                <c:pt idx="4">
                  <c:v>0</c:v>
                </c:pt>
                <c:pt idx="5">
                  <c:v>0</c:v>
                </c:pt>
                <c:pt idx="6">
                  <c:v>0</c:v>
                </c:pt>
              </c:numCache>
            </c:numRef>
          </c:val>
        </c:ser>
        <c:ser>
          <c:idx val="1"/>
          <c:order val="1"/>
          <c:tx>
            <c:strRef>
              <c:f>[图表1.et]Sheet2!$C$1</c:f>
              <c:strCache>
                <c:ptCount val="1"/>
                <c:pt idx="0">
                  <c:v/>
                </c:pt>
              </c:strCache>
            </c:strRef>
          </c:tx>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Pt>
            <c:idx val="4"/>
            <c:bubble3D val="false"/>
            <c:explosion val="0"/>
            <c:spPr>
              <a:solidFill>
                <a:schemeClr val="accent5"/>
              </a:solidFill>
              <a:ln w="19050">
                <a:solidFill>
                  <a:schemeClr val="lt1"/>
                </a:solidFill>
              </a:ln>
              <a:effectLst/>
            </c:spPr>
          </c:dPt>
          <c:dPt>
            <c:idx val="5"/>
            <c:bubble3D val="false"/>
            <c:explosion val="0"/>
            <c:spPr>
              <a:solidFill>
                <a:schemeClr val="accent6"/>
              </a:solidFill>
              <a:ln w="19050">
                <a:solidFill>
                  <a:schemeClr val="lt1"/>
                </a:solidFill>
              </a:ln>
              <a:effectLst/>
            </c:spPr>
          </c:dPt>
          <c:dPt>
            <c:idx val="6"/>
            <c:bubble3D val="false"/>
            <c:explosion val="0"/>
            <c:spPr>
              <a:solidFill>
                <a:schemeClr val="accent1">
                  <a:lumMod val="60000"/>
                </a:schemeClr>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[图表1.et]Sheet2!$A$2:$A$8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[图表1.et]Sheet2!$C$2:$C$8</c:f>
              <c:numCache>
                <c:formatCode>0.00%</c:formatCode>
                <c:ptCount val="7"/>
                <c:pt idx="0">
                  <c:v>1</c:v>
                </c:pt>
                <c:pt idx="1">
                  <c:v>0</c:v>
                </c:pt>
                <c:pt idx="2">
                  <c:v>0</c:v>
                </c:pt>
                <c:pt idx="3">
                  <c:v>0</c:v>
                </c:pt>
                <c:pt idx="4">
                  <c:v>0</c:v>
                </c:pt>
                <c:pt idx="5">
                  <c:v>0</c:v>
                </c:pt>
                <c:pt idx="6">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102391629297459"/>
          <c:y val="0.695019157088123"/>
          <c:w val="0.320129546586946"/>
          <c:h val="0.294252873563218"/>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121944444444444"/>
          <c:y val="0.12037037037037"/>
          <c:w val="0.8025"/>
          <c:h val="0.66712962962963"/>
        </c:manualLayout>
      </c:layout>
      <c:pieChart>
        <c:varyColors val="true"/>
        <c:ser>
          <c:idx val="0"/>
          <c:order val="0"/>
          <c:tx>
            <c:strRef>
              <c:f>[图表1.et]Sheet3!$B$1</c:f>
              <c:strCache>
                <c:ptCount val="1"/>
                <c:pt idx="0">
                  <c:v>支出决算结构</c:v>
                </c:pt>
              </c:strCache>
            </c:strRef>
          </c:tx>
          <c:spPr>
            <a:scene3d>
              <a:camera prst="orthographicFront"/>
              <a:lightRig rig="threePt" dir="t"/>
            </a:scene3d>
            <a:sp3d contourW="25400"/>
          </c:spPr>
          <c:explosion val="0"/>
          <c:dPt>
            <c:idx val="0"/>
            <c:bubble3D val="false"/>
            <c:explosion val="30"/>
            <c:spPr>
              <a:solidFill>
                <a:schemeClr val="accent1"/>
              </a:solidFill>
              <a:ln w="25400">
                <a:solidFill>
                  <a:schemeClr val="lt1"/>
                </a:solidFill>
              </a:ln>
              <a:effectLst/>
              <a:scene3d>
                <a:camera prst="orthographicFront"/>
                <a:lightRig rig="threePt" dir="t"/>
              </a:scene3d>
              <a:sp3d contourW="25400"/>
            </c:spPr>
          </c:dPt>
          <c:dPt>
            <c:idx val="1"/>
            <c:bubble3D val="false"/>
            <c:explosion val="0"/>
            <c:spPr>
              <a:solidFill>
                <a:schemeClr val="accent2"/>
              </a:solidFill>
              <a:ln w="25400">
                <a:solidFill>
                  <a:schemeClr val="lt1"/>
                </a:solidFill>
              </a:ln>
              <a:effectLst/>
              <a:scene3d>
                <a:camera prst="orthographicFront"/>
                <a:lightRig rig="threePt" dir="t"/>
              </a:scene3d>
              <a:sp3d contourW="25400"/>
            </c:spPr>
          </c:dPt>
          <c:dLbls>
            <c:dLbl>
              <c:idx val="0"/>
              <c:layout>
                <c:manualLayout>
                  <c:x val="0.225431804942325"/>
                  <c:y val="-0.089078569854576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基本支出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1115.57</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91.04%</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layout>
                <c:manualLayout>
                  <c:x val="-0.203333333333333"/>
                  <c:y val="0.0527777777777778"/>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 项目支出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109.75</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8.96%</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[图表1.et]Sheet3!$A$2:$A$3</c:f>
              <c:strCache>
                <c:ptCount val="2"/>
                <c:pt idx="0">
                  <c:v>基本支出</c:v>
                </c:pt>
                <c:pt idx="1">
                  <c:v>项目支出</c:v>
                </c:pt>
              </c:strCache>
            </c:strRef>
          </c:cat>
          <c:val>
            <c:numRef>
              <c:f>[图表1.et]Sheet3!$B$2:$B$3</c:f>
              <c:numCache>
                <c:formatCode>General</c:formatCode>
                <c:ptCount val="2"/>
                <c:pt idx="0">
                  <c:v>1115.57</c:v>
                </c:pt>
                <c:pt idx="1">
                  <c:v>109.75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[图表1.et]Sheet4!$B$1</c:f>
              <c:strCache>
                <c:ptCount val="1"/>
                <c:pt idx="0">
                  <c:v>财政拨款收、支决算总计变动情况</c:v>
                </c:pt>
              </c:strCache>
            </c:strRef>
          </c:tx>
          <c:spPr>
            <a:solidFill>
              <a:schemeClr val="accent1"/>
            </a:solidFill>
            <a:ln>
              <a:noFill/>
            </a:ln>
            <a:effectLst/>
          </c:spPr>
          <c:invertIfNegative val="false"/>
          <c:dLbls>
            <c:dLbl>
              <c:idx val="0"/>
              <c:layout>
                <c:manualLayout>
                  <c:x val="-0.00166666666666667"/>
                  <c:y val="-0.00277777777777778"/>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1180.92</a:t>
                    </a:r>
                    <a:r>
                      <a:t>万元</a:t>
                    </a:r>
                    <a:endParaRPr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66666666666667"/>
                  <c:y val="-0.0111111111111111"/>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1226.20</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trendline>
            <c:spPr>
              <a:ln w="19050" cap="rnd" cmpd="sng" algn="ctr">
                <a:solidFill>
                  <a:schemeClr val="accent1"/>
                </a:solidFill>
                <a:prstDash val="sysDot"/>
                <a:round/>
              </a:ln>
              <a:effectLst/>
            </c:spPr>
            <c:trendlineType val="linear"/>
            <c:forward val="0"/>
            <c:backward val="0"/>
            <c:dispRSqr val="false"/>
            <c:dispEq val="false"/>
          </c:trendline>
          <c:cat>
            <c:strRef>
              <c:f>[图表1.et]Sheet4!$A$2:$A$3</c:f>
              <c:strCache>
                <c:ptCount val="2"/>
                <c:pt idx="0">
                  <c:v>2020年</c:v>
                </c:pt>
                <c:pt idx="1">
                  <c:v>2021年</c:v>
                </c:pt>
              </c:strCache>
            </c:strRef>
          </c:cat>
          <c:val>
            <c:numRef>
              <c:f>[图表1.et]Sheet4!$B$2:$B$3</c:f>
              <c:numCache>
                <c:formatCode>General</c:formatCode>
                <c:ptCount val="2"/>
                <c:pt idx="0">
                  <c:v>1180.92</c:v>
                </c:pt>
                <c:pt idx="1">
                  <c:v>1226.2</c:v>
                </c:pt>
              </c:numCache>
            </c:numRef>
          </c:val>
        </c:ser>
        <c:dLbls>
          <c:showLegendKey val="false"/>
          <c:showVal val="false"/>
          <c:showCatName val="false"/>
          <c:showSerName val="false"/>
          <c:showPercent val="false"/>
          <c:showBubbleSize val="false"/>
        </c:dLbls>
        <c:gapWidth val="219"/>
        <c:overlap val="-27"/>
        <c:axId val="951670591"/>
        <c:axId val="674772831"/>
      </c:barChart>
      <c:catAx>
        <c:axId val="951670591"/>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74772831"/>
        <c:crosses val="autoZero"/>
        <c:auto val="true"/>
        <c:lblAlgn val="ctr"/>
        <c:lblOffset val="100"/>
        <c:noMultiLvlLbl val="false"/>
      </c:catAx>
      <c:valAx>
        <c:axId val="674772831"/>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5167059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[图表1.et]Sheet6!$B$1</c:f>
              <c:strCache>
                <c:ptCount val="1"/>
                <c:pt idx="0">
                  <c:v>一般公共预算财政拨款支出决算变动情况</c:v>
                </c:pt>
              </c:strCache>
            </c:strRef>
          </c:tx>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1173.65</a:t>
                    </a:r>
                    <a:r>
                      <a:t>万元</a:t>
                    </a:r>
                    <a:endParaRPr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manualLayout>
                  <c:x val="0.00166666666666667"/>
                  <c:y val="0"/>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1224.76</a:t>
                    </a:r>
                    <a:r>
                      <a:t>万元</a:t>
                    </a:r>
                    <a:endParaRPr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trendline>
            <c:spPr>
              <a:ln w="19050" cap="rnd" cmpd="sng" algn="ctr">
                <a:solidFill>
                  <a:schemeClr val="accent1"/>
                </a:solidFill>
                <a:prstDash val="sysDot"/>
                <a:round/>
              </a:ln>
              <a:effectLst/>
            </c:spPr>
            <c:trendlineType val="linear"/>
            <c:forward val="0"/>
            <c:backward val="0"/>
            <c:dispRSqr val="false"/>
            <c:dispEq val="false"/>
          </c:trendline>
          <c:cat>
            <c:strRef>
              <c:f>[图表1.et]Sheet6!$A$2:$A$3</c:f>
              <c:strCache>
                <c:ptCount val="2"/>
                <c:pt idx="0">
                  <c:v>2020年</c:v>
                </c:pt>
                <c:pt idx="1">
                  <c:v>2021年</c:v>
                </c:pt>
              </c:strCache>
            </c:strRef>
          </c:cat>
          <c:val>
            <c:numRef>
              <c:f>[图表1.et]Sheet6!$B$2:$B$3</c:f>
              <c:numCache>
                <c:formatCode>General</c:formatCode>
                <c:ptCount val="2"/>
                <c:pt idx="0">
                  <c:v>1173.65</c:v>
                </c:pt>
                <c:pt idx="1">
                  <c:v>1224.76</c:v>
                </c:pt>
              </c:numCache>
            </c:numRef>
          </c:val>
        </c:ser>
        <c:dLbls>
          <c:showLegendKey val="false"/>
          <c:showVal val="false"/>
          <c:showCatName val="false"/>
          <c:showSerName val="false"/>
          <c:showPercent val="false"/>
          <c:showBubbleSize val="false"/>
        </c:dLbls>
        <c:gapWidth val="219"/>
        <c:overlap val="-27"/>
        <c:axId val="850562712"/>
        <c:axId val="743845293"/>
      </c:barChart>
      <c:catAx>
        <c:axId val="850562712"/>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43845293"/>
        <c:crosses val="autoZero"/>
        <c:auto val="true"/>
        <c:lblAlgn val="ctr"/>
        <c:lblOffset val="100"/>
        <c:noMultiLvlLbl val="false"/>
      </c:catAx>
      <c:valAx>
        <c:axId val="743845293"/>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5056271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405555555555556"/>
          <c:y val="0.151388888888889"/>
          <c:w val="0.938888888888889"/>
          <c:h val="0.677314814814815"/>
        </c:manualLayout>
      </c:layout>
      <c:pieChart>
        <c:varyColors val="true"/>
        <c:ser>
          <c:idx val="0"/>
          <c:order val="0"/>
          <c:tx>
            <c:strRef>
              <c:f>[图表1.et]Sheet7!$B$1</c:f>
              <c:strCache>
                <c:ptCount val="1"/>
                <c:pt idx="0">
                  <c:v>一般公共预算财政拨款支出决算结构</c:v>
                </c:pt>
              </c:strCache>
            </c:strRef>
          </c:tx>
          <c:spPr>
            <a:scene3d>
              <a:camera prst="orthographicFront"/>
              <a:lightRig rig="threePt" dir="t"/>
            </a:scene3d>
            <a:sp3d contourW="25400"/>
          </c:spPr>
          <c:explosion val="0"/>
          <c:dPt>
            <c:idx val="0"/>
            <c:bubble3D val="false"/>
            <c:explosion val="0"/>
            <c:spPr>
              <a:solidFill>
                <a:schemeClr val="accent1"/>
              </a:solidFill>
              <a:ln w="25400">
                <a:solidFill>
                  <a:schemeClr val="lt1"/>
                </a:solidFill>
              </a:ln>
              <a:effectLst/>
              <a:scene3d>
                <a:camera prst="orthographicFront"/>
                <a:lightRig rig="threePt" dir="t"/>
              </a:scene3d>
              <a:sp3d contourW="25400"/>
            </c:spPr>
          </c:dPt>
          <c:dPt>
            <c:idx val="1"/>
            <c:bubble3D val="false"/>
            <c:explosion val="0"/>
            <c:spPr>
              <a:solidFill>
                <a:schemeClr val="accent2"/>
              </a:solidFill>
              <a:ln w="25400">
                <a:solidFill>
                  <a:schemeClr val="lt1"/>
                </a:solidFill>
              </a:ln>
              <a:effectLst/>
              <a:scene3d>
                <a:camera prst="orthographicFront"/>
                <a:lightRig rig="threePt" dir="t"/>
              </a:scene3d>
              <a:sp3d contourW="25400"/>
            </c:spPr>
          </c:dPt>
          <c:dPt>
            <c:idx val="2"/>
            <c:bubble3D val="false"/>
            <c:explosion val="0"/>
            <c:spPr>
              <a:solidFill>
                <a:schemeClr val="accent3"/>
              </a:solidFill>
              <a:ln w="25400">
                <a:solidFill>
                  <a:schemeClr val="lt1"/>
                </a:solidFill>
              </a:ln>
              <a:effectLst/>
              <a:scene3d>
                <a:camera prst="orthographicFront"/>
                <a:lightRig rig="threePt" dir="t"/>
              </a:scene3d>
              <a:sp3d contourW="25400"/>
            </c:spPr>
          </c:dPt>
          <c:dPt>
            <c:idx val="3"/>
            <c:bubble3D val="false"/>
            <c:explosion val="0"/>
            <c:spPr>
              <a:solidFill>
                <a:schemeClr val="accent4"/>
              </a:solidFill>
              <a:ln w="25400">
                <a:solidFill>
                  <a:schemeClr val="lt1"/>
                </a:solidFill>
              </a:ln>
              <a:effectLst/>
              <a:scene3d>
                <a:camera prst="orthographicFront"/>
                <a:lightRig rig="threePt" dir="t"/>
              </a:scene3d>
              <a:sp3d contourW="25400"/>
            </c:spPr>
          </c:dPt>
          <c:dLbls>
            <c:dLbl>
              <c:idx val="0"/>
              <c:layout>
                <c:manualLayout>
                  <c:x val="0.085859713103936"/>
                  <c:y val="0.0611111111111111"/>
                </c:manualLayout>
              </c:layout>
              <c:tx>
                <c:rich>
                  <a:bodyPr rot="0" spcFirstLastPara="0" vertOverflow="ellipsis" vert="horz" wrap="square" lIns="38100" tIns="19050" rIns="38100" bIns="19050" anchor="ctr" anchorCtr="true"/>
                  <a:lstStyle/>
                  <a:p>
                    <a:pPr defTabSz="914400">
                      <a:defRPr lang="zh-CN" sz="800" b="0" i="0" u="none" strike="noStrike" kern="1200" baseline="0">
                        <a:solidFill>
                          <a:schemeClr val="tx1">
                            <a:lumMod val="75000"/>
                            <a:lumOff val="25000"/>
                          </a:schemeClr>
                        </a:solidFill>
                        <a:latin typeface="+mn-lt"/>
                        <a:ea typeface="+mn-ea"/>
                        <a:cs typeface="+mn-cs"/>
                      </a:defRPr>
                    </a:pPr>
                    <a:r>
                      <a:rPr sz="800" b="0" i="0" u="none" strike="noStrike" baseline="0">
                        <a:solidFill>
                          <a:srgbClr val="333333"/>
                        </a:solidFill>
                        <a:latin typeface="宋体" panose="02010600030101010101" charset="-122"/>
                        <a:ea typeface="宋体" panose="02010600030101010101" charset="-122"/>
                        <a:cs typeface="宋体" panose="02010600030101010101" charset="-122"/>
                      </a:rPr>
                      <a:t>一般公共服务（类）支出</a:t>
                    </a:r>
                    <a:endParaRPr sz="8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800" b="0" i="0" u="none" strike="noStrike" kern="1200" baseline="0">
                        <a:solidFill>
                          <a:schemeClr val="tx1">
                            <a:lumMod val="75000"/>
                            <a:lumOff val="25000"/>
                          </a:schemeClr>
                        </a:solidFill>
                        <a:latin typeface="+mn-lt"/>
                        <a:ea typeface="+mn-ea"/>
                        <a:cs typeface="+mn-cs"/>
                      </a:defRPr>
                    </a:pPr>
                    <a:r>
                      <a:rPr lang="en-US" altLang="zh-CN" sz="800" b="0" i="0" u="none" strike="noStrike" baseline="0">
                        <a:solidFill>
                          <a:srgbClr val="333333"/>
                        </a:solidFill>
                        <a:latin typeface="宋体" panose="02010600030101010101" charset="-122"/>
                        <a:ea typeface="宋体" panose="02010600030101010101" charset="-122"/>
                        <a:cs typeface="宋体" panose="02010600030101010101" charset="-122"/>
                      </a:rPr>
                      <a:t>930.47</a:t>
                    </a:r>
                    <a:r>
                      <a:rPr sz="800" b="0" i="0" u="none" strike="noStrike" baseline="0">
                        <a:solidFill>
                          <a:srgbClr val="333333"/>
                        </a:solidFill>
                        <a:latin typeface="宋体" panose="02010600030101010101" charset="-122"/>
                        <a:ea typeface="宋体" panose="02010600030101010101" charset="-122"/>
                        <a:cs typeface="宋体" panose="02010600030101010101" charset="-122"/>
                      </a:rPr>
                      <a:t>万元,</a:t>
                    </a:r>
                    <a:r>
                      <a:rPr lang="en-US" altLang="zh-CN" sz="800" b="0" i="0" u="none" strike="noStrike" baseline="0">
                        <a:solidFill>
                          <a:srgbClr val="333333"/>
                        </a:solidFill>
                        <a:latin typeface="宋体" panose="02010600030101010101" charset="-122"/>
                        <a:ea typeface="宋体" panose="02010600030101010101" charset="-122"/>
                        <a:cs typeface="宋体" panose="02010600030101010101" charset="-122"/>
                      </a:rPr>
                      <a:t>75.97</a:t>
                    </a:r>
                    <a:r>
                      <a:rPr sz="8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tx1"/>
                  </a:solidFill>
                </a:ln>
                <a:effectLst/>
              </c:spPr>
              <c:txPr>
                <a:bodyPr rot="0" spcFirstLastPara="0"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true"/>
              <c:showSerName val="false"/>
              <c:showPercent val="true"/>
              <c:showBubbleSize val="false"/>
              <c:extLst>
                <c:ext xmlns:c15="http://schemas.microsoft.com/office/drawing/2012/chart" uri="{CE6537A1-D6FC-4f65-9D91-7224C49458BB}">
                  <c15:layout>
                    <c:manualLayout>
                      <c:w val="0.223426427678199"/>
                      <c:h val="0.181944444444444"/>
                    </c:manualLayout>
                  </c15:layout>
                </c:ext>
              </c:extLst>
            </c:dLbl>
            <c:dLbl>
              <c:idx val="1"/>
              <c:layout>
                <c:manualLayout>
                  <c:x val="-0.161293884873399"/>
                  <c:y val="0.236111111111111"/>
                </c:manualLayout>
              </c:layout>
              <c:tx>
                <c:rich>
                  <a:bodyPr rot="0" spcFirstLastPara="0" vertOverflow="ellipsis" vert="horz" wrap="square" lIns="38100" tIns="19050" rIns="38100" bIns="19050" anchor="ctr" anchorCtr="true"/>
                  <a:lstStyle/>
                  <a:p>
                    <a:pPr defTabSz="914400">
                      <a:defRPr lang="zh-CN" sz="800" b="0" i="0" u="none" strike="noStrike" kern="1200" baseline="0">
                        <a:solidFill>
                          <a:schemeClr val="tx1">
                            <a:lumMod val="75000"/>
                            <a:lumOff val="25000"/>
                          </a:schemeClr>
                        </a:solidFill>
                        <a:latin typeface="+mn-lt"/>
                        <a:ea typeface="+mn-ea"/>
                        <a:cs typeface="+mn-cs"/>
                      </a:defRPr>
                    </a:pPr>
                    <a:r>
                      <a:rPr sz="800"/>
                      <a:t>社会保障和就业（类）支出  </a:t>
                    </a:r>
                    <a:r>
                      <a:rPr lang="en-US" altLang="zh-CN" sz="800"/>
                      <a:t>159.67</a:t>
                    </a:r>
                    <a:r>
                      <a:rPr sz="800"/>
                      <a:t>万元,</a:t>
                    </a:r>
                    <a:r>
                      <a:rPr lang="en-US" altLang="zh-CN" sz="800"/>
                      <a:t>13.03</a:t>
                    </a:r>
                    <a:r>
                      <a:rPr sz="800"/>
                      <a:t>%</a:t>
                    </a:r>
                    <a:endParaRPr sz="8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tx1"/>
                  </a:solidFill>
                </a:ln>
                <a:effectLst/>
              </c:spPr>
              <c:txPr>
                <a:bodyPr rot="0" spcFirstLastPara="0"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dLbl>
              <c:idx val="2"/>
              <c:layout>
                <c:manualLayout>
                  <c:x val="-0.226666666666667"/>
                  <c:y val="0.108333333333333"/>
                </c:manualLayout>
              </c:layout>
              <c:tx>
                <c:rich>
                  <a:bodyPr rot="0" spcFirstLastPara="0" vertOverflow="ellipsis" vert="horz" wrap="square" lIns="38100" tIns="19050" rIns="38100" bIns="19050" anchor="ctr" anchorCtr="true"/>
                  <a:lstStyle/>
                  <a:p>
                    <a:pPr defTabSz="914400">
                      <a:defRPr lang="zh-CN" sz="800" b="0" i="0" u="none" strike="noStrike" kern="1200" baseline="0">
                        <a:solidFill>
                          <a:schemeClr val="tx1">
                            <a:lumMod val="75000"/>
                            <a:lumOff val="25000"/>
                          </a:schemeClr>
                        </a:solidFill>
                        <a:latin typeface="+mn-lt"/>
                        <a:ea typeface="+mn-ea"/>
                        <a:cs typeface="+mn-cs"/>
                      </a:defRPr>
                    </a:pPr>
                    <a:r>
                      <a:rPr sz="800"/>
                      <a:t>卫生健康支出 </a:t>
                    </a:r>
                    <a:r>
                      <a:rPr lang="en-US" altLang="zh-CN" sz="800"/>
                      <a:t>38.29</a:t>
                    </a:r>
                    <a:r>
                      <a:rPr sz="800"/>
                      <a:t>万元, </a:t>
                    </a:r>
                    <a:r>
                      <a:rPr lang="en-US" altLang="zh-CN" sz="800"/>
                      <a:t>3.13</a:t>
                    </a:r>
                    <a:r>
                      <a:rPr sz="800"/>
                      <a:t>%</a:t>
                    </a:r>
                    <a:endParaRPr sz="8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tx1"/>
                  </a:solidFill>
                </a:ln>
                <a:effectLst/>
              </c:spPr>
              <c:txPr>
                <a:bodyPr rot="0" spcFirstLastPara="0"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dLbl>
              <c:idx val="3"/>
              <c:layout>
                <c:manualLayout>
                  <c:x val="-0.225"/>
                  <c:y val="0.0277777777777778"/>
                </c:manualLayout>
              </c:layout>
              <c:tx>
                <c:rich>
                  <a:bodyPr rot="0" spcFirstLastPara="0" vertOverflow="ellipsis" vert="horz" wrap="square" lIns="38100" tIns="19050" rIns="38100" bIns="19050" anchor="ctr" anchorCtr="true"/>
                  <a:lstStyle/>
                  <a:p>
                    <a:pPr defTabSz="914400">
                      <a:defRPr lang="zh-CN" sz="800" b="0" i="0" u="none" strike="noStrike" kern="1200" baseline="0">
                        <a:solidFill>
                          <a:schemeClr val="tx1">
                            <a:lumMod val="75000"/>
                            <a:lumOff val="25000"/>
                          </a:schemeClr>
                        </a:solidFill>
                        <a:latin typeface="+mn-lt"/>
                        <a:ea typeface="+mn-ea"/>
                        <a:cs typeface="+mn-cs"/>
                      </a:defRPr>
                    </a:pPr>
                    <a:r>
                      <a:rPr sz="800"/>
                      <a:t>住房保障支出 </a:t>
                    </a:r>
                    <a:r>
                      <a:rPr lang="en-US" altLang="zh-CN" sz="800"/>
                      <a:t>96.33</a:t>
                    </a:r>
                    <a:r>
                      <a:rPr sz="800"/>
                      <a:t>万元,</a:t>
                    </a:r>
                    <a:r>
                      <a:rPr lang="en-US" altLang="zh-CN" sz="800"/>
                      <a:t>7.87</a:t>
                    </a:r>
                    <a:r>
                      <a:rPr sz="800"/>
                      <a:t>%</a:t>
                    </a:r>
                    <a:endParaRPr sz="8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tx1"/>
                  </a:solidFill>
                </a:ln>
                <a:effectLst/>
              </c:spPr>
              <c:txPr>
                <a:bodyPr rot="0" spcFirstLastPara="0"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numFmt formatCode="General" sourceLinked="true"/>
            <c:spPr>
              <a:noFill/>
              <a:ln>
                <a:solidFill>
                  <a:schemeClr val="tx1"/>
                </a:solidFill>
              </a:ln>
              <a:effectLst/>
            </c:spPr>
            <c:txPr>
              <a:bodyPr rot="0" spcFirstLastPara="0"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[图表1.et]Sheet7!$A$2:$A$5</c:f>
              <c:strCache>
                <c:ptCount val="4"/>
                <c:pt idx="0">
                  <c:v>一般公共服务（类）支出</c:v>
                </c:pt>
                <c:pt idx="1">
                  <c:v>社会保障和就业（类）支出</c:v>
                </c:pt>
                <c:pt idx="2">
                  <c:v>卫生健康支出</c:v>
                </c:pt>
                <c:pt idx="3">
                  <c:v>住房保障支出</c:v>
                </c:pt>
              </c:strCache>
            </c:strRef>
          </c:cat>
          <c:val>
            <c:numRef>
              <c:f>[图表1.et]Sheet7!$B$2:$B$5</c:f>
              <c:numCache>
                <c:formatCode>General</c:formatCode>
                <c:ptCount val="4"/>
                <c:pt idx="0">
                  <c:v>930.48</c:v>
                </c:pt>
                <c:pt idx="1">
                  <c:v>159.66</c:v>
                </c:pt>
                <c:pt idx="2">
                  <c:v>38.29</c:v>
                </c:pt>
                <c:pt idx="3">
                  <c:v>96.33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00416840350145894"/>
          <c:y val="0.873148148148148"/>
          <c:w val="0.75"/>
          <c:h val="0.0990740740740741"/>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289136078157711"/>
          <c:y val="0.198051470588235"/>
          <c:w val="0.425077459874389"/>
          <c:h val="0.622075163398693"/>
        </c:manualLayout>
      </c:layout>
      <c:pieChart>
        <c:varyColors val="false"/>
        <c:ser>
          <c:idx val="0"/>
          <c:order val="0"/>
          <c:tx>
            <c:strRef>
              <c:f>[图表1.et]Sheet8!$B$1</c:f>
              <c:strCache>
                <c:ptCount val="1"/>
                <c:pt idx="0">
                  <c:v>“三公”经费财政拨款支出结构</c:v>
                </c:pt>
              </c:strCache>
            </c:strRef>
          </c:tx>
          <c:spPr>
            <a:solidFill>
              <a:schemeClr val="accent1"/>
            </a:solidFill>
            <a:ln w="19050">
              <a:solidFill>
                <a:schemeClr val="lt1"/>
              </a:solidFill>
            </a:ln>
            <a:effectLst/>
          </c:spPr>
          <c:explosion val="0"/>
          <c:dLbls>
            <c:dLbl>
              <c:idx val="0"/>
              <c:layout>
                <c:manualLayout>
                  <c:x val="0.313463596185159"/>
                  <c:y val="0.025"/>
                </c:manualLayout>
              </c:layout>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600" b="0" i="0" u="none" strike="noStrike" kern="1200" baseline="0">
                      <a:solidFill>
                        <a:schemeClr val="tx1">
                          <a:lumMod val="75000"/>
                          <a:lumOff val="25000"/>
                        </a:schemeClr>
                      </a:solidFill>
                      <a:latin typeface="+mn-lt"/>
                      <a:ea typeface="+mn-ea"/>
                      <a:cs typeface="+mn-cs"/>
                    </a:defRPr>
                  </a:pPr>
                </a:p>
              </c:txPr>
              <c:dLblPos val="bestFit"/>
              <c:showLegendKey val="true"/>
              <c:showVal val="true"/>
              <c:showCatName val="true"/>
              <c:showSerName val="false"/>
              <c:showPercent val="false"/>
              <c:showBubbleSize val="false"/>
              <c:extLst>
                <c:ext xmlns:c15="http://schemas.microsoft.com/office/drawing/2012/chart" uri="{CE6537A1-D6FC-4f65-9D91-7224C49458BB}">
                  <c15:layout/>
                </c:ext>
              </c:extLst>
            </c:dLbl>
            <c:dLbl>
              <c:idx val="1"/>
              <c:layout>
                <c:manualLayout>
                  <c:x val="-0.301908473718276"/>
                  <c:y val="0.0422223583897467"/>
                </c:manualLayout>
              </c:layout>
              <c:tx>
                <c:rich>
                  <a:bodyPr rot="0" spcFirstLastPara="0" vertOverflow="ellipsis" vert="horz" wrap="square" lIns="38100" tIns="19050" rIns="38100" bIns="19050" anchor="ctr" anchorCtr="true"/>
                  <a:lstStyle/>
                  <a:p>
                    <a:pPr defTabSz="914400">
                      <a:defRPr lang="zh-CN" sz="600" b="0" i="0" u="none" strike="noStrike" kern="1200" baseline="0">
                        <a:solidFill>
                          <a:schemeClr val="tx1">
                            <a:lumMod val="75000"/>
                            <a:lumOff val="25000"/>
                          </a:schemeClr>
                        </a:solidFill>
                        <a:latin typeface="+mn-lt"/>
                        <a:ea typeface="+mn-ea"/>
                        <a:cs typeface="+mn-cs"/>
                      </a:defRPr>
                    </a:pPr>
                    <a:r>
                      <a:rPr sz="600" b="0" i="0" u="none" strike="noStrike" baseline="0">
                        <a:solidFill>
                          <a:srgbClr val="333333"/>
                        </a:solidFill>
                        <a:latin typeface="宋体" panose="02010600030101010101" charset="-122"/>
                        <a:ea typeface="宋体" panose="02010600030101010101" charset="-122"/>
                        <a:cs typeface="宋体" panose="02010600030101010101" charset="-122"/>
                      </a:rPr>
                      <a:t>公务用车购置及运行维护费支出, 0万元，</a:t>
                    </a:r>
                    <a:r>
                      <a:rPr lang="en-US" altLang="zh-CN" sz="6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0%</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600" b="0" i="0" u="none" strike="noStrike" kern="1200" baseline="0">
                      <a:solidFill>
                        <a:schemeClr val="tx1">
                          <a:lumMod val="75000"/>
                          <a:lumOff val="25000"/>
                        </a:schemeClr>
                      </a:solidFill>
                      <a:latin typeface="+mn-lt"/>
                      <a:ea typeface="+mn-ea"/>
                      <a:cs typeface="+mn-cs"/>
                    </a:defRPr>
                  </a:pPr>
                </a:p>
              </c:txPr>
              <c:dLblPos val="bestFit"/>
              <c:showLegendKey val="true"/>
              <c:showVal val="true"/>
              <c:showCatName val="true"/>
              <c:showSerName val="false"/>
              <c:showPercent val="false"/>
              <c:showBubbleSize val="false"/>
              <c:extLst>
                <c:ext xmlns:c15="http://schemas.microsoft.com/office/drawing/2012/chart" uri="{CE6537A1-D6FC-4f65-9D91-7224C49458BB}">
                  <c15:layout/>
                </c:ext>
              </c:extLst>
            </c:dLbl>
            <c:dLbl>
              <c:idx val="2"/>
              <c:layout>
                <c:manualLayout>
                  <c:x val="0.308316886048096"/>
                  <c:y val="-0.0384377131004431"/>
                </c:manualLayout>
              </c:layout>
              <c:tx>
                <c:rich>
                  <a:bodyPr rot="0" spcFirstLastPara="0" vertOverflow="ellipsis" vert="horz" wrap="square" lIns="38100" tIns="19050" rIns="38100" bIns="19050" anchor="ctr" anchorCtr="true"/>
                  <a:lstStyle/>
                  <a:p>
                    <a:pPr defTabSz="914400">
                      <a:defRPr lang="zh-CN" sz="600" b="0" i="0" u="none" strike="noStrike" kern="1200" baseline="0">
                        <a:solidFill>
                          <a:schemeClr val="tx1">
                            <a:lumMod val="75000"/>
                            <a:lumOff val="25000"/>
                          </a:schemeClr>
                        </a:solidFill>
                        <a:latin typeface="+mn-lt"/>
                        <a:ea typeface="+mn-ea"/>
                        <a:cs typeface="+mn-cs"/>
                      </a:defRPr>
                    </a:pPr>
                    <a:r>
                      <a:rPr sz="600" b="0" i="0" u="none" strike="noStrike" baseline="0">
                        <a:solidFill>
                          <a:srgbClr val="333333"/>
                        </a:solidFill>
                        <a:latin typeface="宋体" panose="02010600030101010101" charset="-122"/>
                        <a:ea typeface="宋体" panose="02010600030101010101" charset="-122"/>
                        <a:cs typeface="宋体" panose="02010600030101010101" charset="-122"/>
                      </a:rPr>
                      <a:t>公务接待费支出,  </a:t>
                    </a:r>
                    <a:endParaRPr sz="6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600" b="0" i="0" u="none" strike="noStrike" kern="1200" baseline="0">
                        <a:solidFill>
                          <a:schemeClr val="tx1">
                            <a:lumMod val="75000"/>
                            <a:lumOff val="25000"/>
                          </a:schemeClr>
                        </a:solidFill>
                        <a:latin typeface="+mn-lt"/>
                        <a:ea typeface="+mn-ea"/>
                        <a:cs typeface="+mn-cs"/>
                      </a:defRPr>
                    </a:pPr>
                    <a:r>
                      <a:rPr lang="en-US" altLang="zh-CN" sz="600" b="0" i="0" u="none" strike="noStrike" baseline="0">
                        <a:solidFill>
                          <a:srgbClr val="333333"/>
                        </a:solidFill>
                        <a:latin typeface="宋体" panose="02010600030101010101" charset="-122"/>
                        <a:ea typeface="宋体" panose="02010600030101010101" charset="-122"/>
                        <a:cs typeface="宋体" panose="02010600030101010101" charset="-122"/>
                      </a:rPr>
                      <a:t>1.80</a:t>
                    </a:r>
                    <a:r>
                      <a:rPr sz="600" b="0" i="0" u="none" strike="noStrike" baseline="0">
                        <a:solidFill>
                          <a:srgbClr val="333333"/>
                        </a:solidFill>
                        <a:latin typeface="宋体" panose="02010600030101010101" charset="-122"/>
                        <a:ea typeface="宋体" panose="02010600030101010101" charset="-122"/>
                        <a:cs typeface="宋体" panose="02010600030101010101" charset="-122"/>
                      </a:rPr>
                      <a:t>,万元 100%</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600" b="0" i="0" u="none" strike="noStrike" kern="1200" baseline="0">
                      <a:solidFill>
                        <a:schemeClr val="tx1">
                          <a:lumMod val="75000"/>
                          <a:lumOff val="25000"/>
                        </a:schemeClr>
                      </a:solidFill>
                      <a:latin typeface="+mn-lt"/>
                      <a:ea typeface="+mn-ea"/>
                      <a:cs typeface="+mn-cs"/>
                    </a:defRPr>
                  </a:pPr>
                </a:p>
              </c:txPr>
              <c:dLblPos val="bestFit"/>
              <c:showLegendKey val="true"/>
              <c:showVal val="true"/>
              <c:showCatName val="true"/>
              <c:showSerName val="false"/>
              <c:showPercent val="true"/>
              <c:showBubbleSize val="false"/>
              <c:extLst>
                <c:ext xmlns:c15="http://schemas.microsoft.com/office/drawing/2012/chart" uri="{CE6537A1-D6FC-4f65-9D91-7224C49458BB}">
                  <c15:layout/>
                </c:ext>
              </c:extLst>
            </c:dLbl>
            <c:numFmt formatCode="General" sourceLinked="true"/>
            <c:spPr>
              <a:noFill/>
              <a:ln>
                <a:solidFill>
                  <a:schemeClr val="accent1"/>
                </a:solidFill>
              </a:ln>
              <a:effectLst/>
            </c:spPr>
            <c:txPr>
              <a:bodyPr rot="0" spcFirstLastPara="0" vertOverflow="ellipsis" vert="horz" wrap="square" lIns="38100" tIns="19050" rIns="38100" bIns="19050" anchor="ctr" anchorCtr="true"/>
              <a:lstStyle/>
              <a:p>
                <a:pPr>
                  <a:defRPr lang="zh-CN" sz="600" b="0" i="0" u="none" strike="noStrike" kern="1200" baseline="0">
                    <a:solidFill>
                      <a:schemeClr val="tx1">
                        <a:lumMod val="75000"/>
                        <a:lumOff val="25000"/>
                      </a:schemeClr>
                    </a:solidFill>
                    <a:latin typeface="+mn-lt"/>
                    <a:ea typeface="+mn-ea"/>
                    <a:cs typeface="+mn-cs"/>
                  </a:defRPr>
                </a:pPr>
              </a:p>
            </c:txPr>
            <c:dLblPos val="bestFit"/>
            <c:showLegendKey val="tru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[图表1.et]Sheet8!$A$2:$A$4</c:f>
              <c:strCache>
                <c:ptCount val="3"/>
                <c:pt idx="0">
                  <c:v>因公出国（境）经费支出</c:v>
                </c:pt>
                <c:pt idx="1">
                  <c:v>公务用车购置及运行维护费支出</c:v>
                </c:pt>
                <c:pt idx="2">
                  <c:v>公务接待费支出</c:v>
                </c:pt>
              </c:strCache>
            </c:strRef>
          </c:cat>
          <c:val>
            <c:numRef>
              <c:f>[图表1.et]Sheet8!$B$2:$B$4</c:f>
              <c:numCache>
                <c:formatCode>General</c:formatCode>
                <c:ptCount val="3"/>
                <c:pt idx="0">
                  <c:v>0</c:v>
                </c:pt>
                <c:pt idx="1">
                  <c:v>0</c:v>
                </c:pt>
                <c:pt idx="2">
                  <c:v>1.8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solidFill>
      <a:prstDash val="solid"/>
      <a:round/>
    </a:ln>
    <a:effectLst/>
  </c:spPr>
  <c:txPr>
    <a:bodyPr wrap="square"/>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11914</Words>
  <Characters>12959</Characters>
  <Lines>57</Lines>
  <Paragraphs>16</Paragraphs>
  <TotalTime>2</TotalTime>
  <ScaleCrop>false</ScaleCrop>
  <LinksUpToDate>false</LinksUpToDate>
  <CharactersWithSpaces>13107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2022-10-31T11:46:00Z</cp:lastPrinted>
  <dcterms:modified xsi:type="dcterms:W3CDTF">2025-03-06T16:17:42Z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5A175235E4984F68811CD2A122170EDC</vt:lpwstr>
  </property>
</Properties>
</file>