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865F">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77425"/>
      <w:bookmarkStart w:id="3" w:name="_Toc15378441"/>
      <w:bookmarkStart w:id="4" w:name="_Toc15396597"/>
      <w:bookmarkStart w:id="5" w:name="_Toc15306267"/>
    </w:p>
    <w:p w14:paraId="0886C3C6">
      <w:pPr>
        <w:spacing w:line="600" w:lineRule="exact"/>
        <w:jc w:val="center"/>
        <w:outlineLvl w:val="0"/>
        <w:rPr>
          <w:rFonts w:ascii="方正小标宋简体" w:hAnsi="宋体" w:eastAsia="方正小标宋简体"/>
          <w:sz w:val="72"/>
          <w:szCs w:val="72"/>
        </w:rPr>
      </w:pPr>
    </w:p>
    <w:p w14:paraId="688C77E4">
      <w:pPr>
        <w:spacing w:line="600" w:lineRule="exact"/>
        <w:jc w:val="center"/>
        <w:outlineLvl w:val="0"/>
        <w:rPr>
          <w:rFonts w:ascii="方正小标宋简体" w:hAnsi="宋体" w:eastAsia="方正小标宋简体"/>
          <w:sz w:val="72"/>
          <w:szCs w:val="72"/>
        </w:rPr>
      </w:pPr>
    </w:p>
    <w:p w14:paraId="64C5E404">
      <w:pPr>
        <w:spacing w:line="600" w:lineRule="exact"/>
        <w:jc w:val="center"/>
        <w:outlineLvl w:val="0"/>
        <w:rPr>
          <w:rFonts w:ascii="方正小标宋简体" w:hAnsi="宋体" w:eastAsia="方正小标宋简体"/>
          <w:sz w:val="72"/>
          <w:szCs w:val="72"/>
        </w:rPr>
      </w:pPr>
    </w:p>
    <w:p w14:paraId="5760BCD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14:paraId="02B1DEC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8442"/>
      <w:bookmarkStart w:id="9" w:name="_Toc15377426"/>
      <w:bookmarkStart w:id="10" w:name="_Toc15377194"/>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峨眉山市住房和城乡建设局部门决算</w:t>
      </w:r>
      <w:bookmarkEnd w:id="6"/>
      <w:bookmarkEnd w:id="7"/>
      <w:bookmarkEnd w:id="8"/>
      <w:bookmarkEnd w:id="9"/>
      <w:bookmarkEnd w:id="10"/>
      <w:bookmarkEnd w:id="11"/>
    </w:p>
    <w:p w14:paraId="1F7D8545">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  录</w:t>
      </w:r>
    </w:p>
    <w:p w14:paraId="5C119283">
      <w:pPr>
        <w:pStyle w:val="11"/>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p>
    <w:p w14:paraId="11EE2D32">
      <w:pPr>
        <w:spacing w:line="600" w:lineRule="exact"/>
      </w:pPr>
    </w:p>
    <w:p w14:paraId="6216127D">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14:paraId="774DB9E5">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........................1</w:t>
      </w:r>
    </w:p>
    <w:p w14:paraId="75F24511">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..................................9</w:t>
      </w:r>
    </w:p>
    <w:p w14:paraId="662828E0">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14:paraId="50CE0C97">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..................10</w:t>
      </w:r>
    </w:p>
    <w:p w14:paraId="121060CF">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..........................10</w:t>
      </w:r>
    </w:p>
    <w:p w14:paraId="07915231">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..........................11</w:t>
      </w:r>
    </w:p>
    <w:p w14:paraId="10D011ED">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..........12</w:t>
      </w:r>
    </w:p>
    <w:p w14:paraId="17265BF1">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......13</w:t>
      </w:r>
    </w:p>
    <w:p w14:paraId="542B79E2">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..17</w:t>
      </w:r>
    </w:p>
    <w:p w14:paraId="0B5C1AED">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.......17</w:t>
      </w:r>
    </w:p>
    <w:p w14:paraId="11459743">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............20</w:t>
      </w:r>
    </w:p>
    <w:p w14:paraId="1FB76ABF">
      <w:pPr>
        <w:pStyle w:val="12"/>
        <w:adjustRightInd w:val="0"/>
        <w:snapToGrid w:val="0"/>
        <w:spacing w:line="600" w:lineRule="exact"/>
        <w:ind w:leftChars="0"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..........20</w:t>
      </w:r>
    </w:p>
    <w:p w14:paraId="14DAEDFC">
      <w:pPr>
        <w:adjustRightInd w:val="0"/>
        <w:snapToGrid w:val="0"/>
        <w:spacing w:line="600" w:lineRule="exact"/>
        <w:ind w:firstLine="640" w:firstLineChars="200"/>
        <w:jc w:val="left"/>
        <w:rPr>
          <w:rFonts w:ascii="仿宋_GB2312" w:hAnsi="仿宋_GB2312" w:eastAsia="仿宋_GB2312" w:cs="仿宋_GB2312"/>
          <w:sz w:val="32"/>
          <w:szCs w:val="32"/>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ab/>
      </w:r>
    </w:p>
    <w:p w14:paraId="5D534A29">
      <w:pPr>
        <w:pStyle w:val="11"/>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..................................22</w:t>
      </w:r>
    </w:p>
    <w:p w14:paraId="63F359D3">
      <w:pPr>
        <w:pStyle w:val="11"/>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......................................29</w:t>
      </w:r>
    </w:p>
    <w:p w14:paraId="37EB5182">
      <w:pPr>
        <w:pStyle w:val="11"/>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......................................46</w:t>
      </w:r>
    </w:p>
    <w:p w14:paraId="48628ECC">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5704BEDA">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48F0DC0B">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3C188320">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43339519">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45FFB2D1">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34F4471E">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35BCB9F1">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20DB9698">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46621092">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14AB1182">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4CCB6E26">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3CD205FF">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538EA69D">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07C5178A">
      <w:pPr>
        <w:widowControl/>
        <w:spacing w:line="600" w:lineRule="exact"/>
        <w:jc w:val="left"/>
        <w:rPr>
          <w:rFonts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14:paraId="276A3A50">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14:paraId="2CA75442">
      <w:pPr>
        <w:spacing w:line="600" w:lineRule="exact"/>
        <w:rPr>
          <w:rFonts w:ascii="仿宋_GB2312" w:hAnsi="仿宋_GB2312" w:eastAsia="仿宋_GB2312" w:cs="仿宋_GB2312"/>
          <w:sz w:val="32"/>
          <w:szCs w:val="32"/>
        </w:rPr>
      </w:pPr>
    </w:p>
    <w:p w14:paraId="362F76A4">
      <w:pPr>
        <w:spacing w:line="600" w:lineRule="exact"/>
        <w:ind w:firstLine="640" w:firstLineChars="200"/>
        <w:rPr>
          <w:rFonts w:ascii="黑体" w:hAnsi="黑体" w:eastAsia="黑体" w:cs="黑体"/>
          <w:sz w:val="32"/>
          <w:szCs w:val="32"/>
        </w:rPr>
      </w:pPr>
      <w:bookmarkStart w:id="14" w:name="_Toc15396600"/>
      <w:bookmarkStart w:id="15" w:name="_Toc15377197"/>
      <w:r>
        <w:rPr>
          <w:rFonts w:hint="eastAsia" w:ascii="黑体" w:hAnsi="黑体" w:eastAsia="黑体" w:cs="黑体"/>
          <w:sz w:val="32"/>
          <w:szCs w:val="32"/>
        </w:rPr>
        <w:t>一、基本职能及主要工作</w:t>
      </w:r>
      <w:bookmarkEnd w:id="14"/>
      <w:bookmarkEnd w:id="15"/>
    </w:p>
    <w:p w14:paraId="1EC486B3">
      <w:pPr>
        <w:spacing w:line="600" w:lineRule="exact"/>
        <w:ind w:firstLine="640" w:firstLineChars="200"/>
        <w:rPr>
          <w:rFonts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bookmarkStart w:id="18" w:name="_Toc15378446"/>
      <w:bookmarkStart w:id="19" w:name="_Toc15377199"/>
    </w:p>
    <w:p w14:paraId="102F47A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峨眉山市住建局的基本职能:贯彻国家、省住房和城乡建设的法律、法规、方针、政策，研究拟定全市住房保障、工程建设、建筑业、房屋装饰装修业、住宅与房地产业、市政公用事业、环境卫生、风景名胜与园林绿化事业的有关规定及相关发展战略；负责基本建设（含重点建设）项目的实施。 </w:t>
      </w:r>
    </w:p>
    <w:p w14:paraId="199599F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承办市委市政府交办的其他事项。</w:t>
      </w:r>
    </w:p>
    <w:p w14:paraId="50BB84D3">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（二）2021年重点工作完成情况。</w:t>
      </w:r>
      <w:bookmarkEnd w:id="18"/>
      <w:bookmarkEnd w:id="19"/>
    </w:p>
    <w:p w14:paraId="723004E0">
      <w:pPr>
        <w:pStyle w:val="32"/>
        <w:numPr>
          <w:ilvl w:val="0"/>
          <w:numId w:val="1"/>
        </w:num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主要经济指标完成情况 </w:t>
      </w:r>
    </w:p>
    <w:p w14:paraId="71C68D8F">
      <w:pPr>
        <w:pStyle w:val="32"/>
        <w:adjustRightInd w:val="0"/>
        <w:spacing w:line="60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2021年实现固定资产投资50亿元，完成全年目标任务51亿元的98.05%；实现建筑业产值22.01亿元，完成全年目标任务38亿元的57.9%；实现非税收入26258.99万元；新建商品房销售面积59.88万平方米，同比去年下降25.5％。</w:t>
      </w:r>
    </w:p>
    <w:p w14:paraId="7F410CBD">
      <w:pPr>
        <w:pStyle w:val="32"/>
        <w:adjustRightInd w:val="0"/>
        <w:spacing w:line="600" w:lineRule="exact"/>
        <w:ind w:firstLine="600" w:firstLineChars="200"/>
        <w:rPr>
          <w:rFonts w:ascii="仿宋_GB2312" w:hAnsi="仿宋_GB2312" w:eastAsia="仿宋_GB2312" w:cs="仿宋_GB2312"/>
          <w:sz w:val="32"/>
          <w:szCs w:val="32"/>
        </w:rPr>
      </w:pPr>
      <w:r>
        <w:rPr>
          <w:rFonts w:hint="eastAsia" w:ascii="黑体" w:hAnsi="黑体"/>
          <w:color w:val="000000"/>
          <w:sz w:val="30"/>
          <w:szCs w:val="30"/>
        </w:rPr>
        <w:t>2.</w:t>
      </w:r>
      <w:r>
        <w:rPr>
          <w:rFonts w:hint="eastAsia" w:ascii="仿宋_GB2312" w:hAnsi="仿宋_GB2312" w:eastAsia="仿宋_GB2312" w:cs="仿宋_GB2312"/>
          <w:sz w:val="32"/>
          <w:szCs w:val="32"/>
        </w:rPr>
        <w:t>城乡建设工作</w:t>
      </w:r>
    </w:p>
    <w:p w14:paraId="05F944A0">
      <w:pPr>
        <w:pStyle w:val="32"/>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城市建设。重点推进十四五排水防涝规划；城镇老旧小区改造项目；峨眉河骑游道规划方案；滨河路道路续建工程；佛光南路与光明大道交通组织优化工程；饿涝堰截洪分流整治工程等项目。相继完成安川花海环境整治、饿涝堰（圆梦酒店侧）堡坎维修工程、峨眉站站前配套设施改造、城西棚改维修等14个项目。</w:t>
      </w:r>
    </w:p>
    <w:p w14:paraId="3938E885">
      <w:pPr>
        <w:pStyle w:val="32"/>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（二）安置房建设及维修。完成药博园菜场安置点二期B区及房屋周边配套道路竣工验收；维修安置房200余套280余套，门市100余个。</w:t>
      </w:r>
    </w:p>
    <w:p w14:paraId="1E114F2B">
      <w:pPr>
        <w:adjustRightIn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三）集镇建设。协调推动符溪镇、高桥镇成功进入省级中心镇候选库名单，推进符溪镇申报参加2021年度的省级中心镇评选工作；新（改）建农村公厕5座；召开2021年农村建筑工匠培训会；开展农村房屋安全隐患排查整治工作，共排查66663户，整治223户。</w:t>
      </w:r>
    </w:p>
    <w:p w14:paraId="6A8ED701">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（四）杆管线迁改。12个杆管线迁改项目，已完成5个,已进场3个；基本完成胜利至黄湾输油管线迁改；城西片区220千伏电力线路建设工程正开展拆线工作。</w:t>
      </w:r>
    </w:p>
    <w:p w14:paraId="6D28FBD6">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绿化亮化提升。一是完成城区5万平方米的绿化死角绿地建设以及“引青济峨”节点绿化景观补植工作；完成峨秀湖大坝观景平台及栈道600平方米维修改造工作；完成308线(西环线）城西绿化6000平方米种植工作；完成对城区公园、行道树树池、园林设施维修90余次，排除安全隐患30余处；审查观山寓等15个建设项目18万平方米绿地、绿地指标；对峨眉山市文经武略学校一期等30个建设项目29万平方米绿地进行绿地指标确认，新增城市绿地30万平方米；加强城区95株名木古树和67株名木古树后备树源进行日常管理；查处破坏绿地行为2处；办理建设项目绿化行政许可证7件；加强对建成区多条道路绿化树木的修剪。二是抓好亮化工作。完成梅燕路、胜燕路路灯安装；正安装省道308线绥山镇太泉村至大楠村道路路灯。</w:t>
      </w:r>
    </w:p>
    <w:p w14:paraId="7821476B">
      <w:pPr>
        <w:pStyle w:val="32"/>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3.管理工作</w:t>
      </w:r>
    </w:p>
    <w:p w14:paraId="3E367158">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（一）公共租赁住房管理。已</w:t>
      </w:r>
      <w:r>
        <w:rPr>
          <w:rFonts w:ascii="仿宋_GB2312" w:hAnsi="仿宋_GB2312" w:eastAsia="仿宋_GB2312" w:cs="仿宋_GB2312"/>
          <w:sz w:val="32"/>
          <w:szCs w:val="32"/>
        </w:rPr>
        <w:t>发放第一、二季度租金补贴</w:t>
      </w:r>
      <w:r>
        <w:rPr>
          <w:rFonts w:hint="eastAsia" w:ascii="仿宋_GB2312" w:hAnsi="仿宋_GB2312" w:eastAsia="仿宋_GB2312" w:cs="仿宋_GB2312"/>
          <w:sz w:val="32"/>
          <w:szCs w:val="32"/>
        </w:rPr>
        <w:t>99</w:t>
      </w:r>
      <w:r>
        <w:rPr>
          <w:rFonts w:ascii="仿宋_GB2312" w:hAnsi="仿宋_GB2312" w:eastAsia="仿宋_GB2312" w:cs="仿宋_GB2312"/>
          <w:sz w:val="32"/>
          <w:szCs w:val="32"/>
        </w:rPr>
        <w:t>户</w:t>
      </w:r>
      <w:r>
        <w:rPr>
          <w:rFonts w:hint="eastAsia" w:ascii="仿宋_GB2312" w:hAnsi="仿宋_GB2312" w:eastAsia="仿宋_GB2312" w:cs="仿宋_GB2312"/>
          <w:sz w:val="32"/>
          <w:szCs w:val="32"/>
        </w:rPr>
        <w:t>共8.8</w:t>
      </w:r>
      <w:r>
        <w:rPr>
          <w:rFonts w:ascii="仿宋_GB2312" w:hAnsi="仿宋_GB2312" w:eastAsia="仿宋_GB2312" w:cs="仿宋_GB2312"/>
          <w:sz w:val="32"/>
          <w:szCs w:val="32"/>
        </w:rPr>
        <w:t>万</w:t>
      </w:r>
      <w:r>
        <w:rPr>
          <w:rFonts w:hint="eastAsia" w:ascii="仿宋_GB2312" w:hAnsi="仿宋_GB2312" w:eastAsia="仿宋_GB2312" w:cs="仿宋_GB2312"/>
          <w:sz w:val="32"/>
          <w:szCs w:val="32"/>
        </w:rPr>
        <w:t>余</w:t>
      </w:r>
      <w:r>
        <w:rPr>
          <w:rFonts w:ascii="仿宋_GB2312" w:hAnsi="仿宋_GB2312" w:eastAsia="仿宋_GB2312" w:cs="仿宋_GB2312"/>
          <w:sz w:val="32"/>
          <w:szCs w:val="32"/>
        </w:rPr>
        <w:t>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完成</w:t>
      </w:r>
      <w:r>
        <w:rPr>
          <w:rFonts w:hint="eastAsia" w:ascii="仿宋_GB2312" w:hAnsi="仿宋_GB2312" w:eastAsia="仿宋_GB2312" w:cs="仿宋_GB2312"/>
          <w:sz w:val="32"/>
          <w:szCs w:val="32"/>
        </w:rPr>
        <w:t>35</w:t>
      </w:r>
      <w:r>
        <w:rPr>
          <w:rFonts w:ascii="仿宋_GB2312" w:hAnsi="仿宋_GB2312" w:eastAsia="仿宋_GB2312" w:cs="仿宋_GB2312"/>
          <w:sz w:val="32"/>
          <w:szCs w:val="32"/>
        </w:rPr>
        <w:t>套公共租赁住房分配工作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收缴公共租赁住房租金</w:t>
      </w:r>
      <w:r>
        <w:rPr>
          <w:rFonts w:hint="eastAsia" w:ascii="仿宋_GB2312" w:hAnsi="仿宋_GB2312" w:eastAsia="仿宋_GB2312" w:cs="仿宋_GB2312"/>
          <w:sz w:val="32"/>
          <w:szCs w:val="32"/>
        </w:rPr>
        <w:t>366</w:t>
      </w:r>
      <w:r>
        <w:rPr>
          <w:rFonts w:ascii="仿宋_GB2312" w:hAnsi="仿宋_GB2312" w:eastAsia="仿宋_GB2312" w:cs="仿宋_GB2312"/>
          <w:sz w:val="32"/>
          <w:szCs w:val="32"/>
        </w:rPr>
        <w:t>万余元</w:t>
      </w:r>
      <w:r>
        <w:rPr>
          <w:rFonts w:hint="eastAsia" w:ascii="仿宋_GB2312" w:hAnsi="仿宋_GB2312" w:eastAsia="仿宋_GB2312" w:cs="仿宋_GB2312"/>
          <w:sz w:val="32"/>
          <w:szCs w:val="32"/>
        </w:rPr>
        <w:t>，追缴历欠租金74万余元，整改3户转借转租，追回违规享受租金补贴家庭3户共计0.6万余元，</w:t>
      </w:r>
      <w:r>
        <w:rPr>
          <w:rFonts w:ascii="仿宋_GB2312" w:hAnsi="仿宋_GB2312" w:eastAsia="仿宋_GB2312" w:cs="仿宋_GB2312"/>
          <w:sz w:val="32"/>
          <w:szCs w:val="32"/>
        </w:rPr>
        <w:t>清退</w:t>
      </w:r>
      <w:r>
        <w:rPr>
          <w:rFonts w:hint="eastAsia" w:ascii="仿宋_GB2312" w:hAnsi="仿宋_GB2312" w:eastAsia="仿宋_GB2312" w:cs="仿宋_GB2312"/>
          <w:sz w:val="32"/>
          <w:szCs w:val="32"/>
        </w:rPr>
        <w:t>80余</w:t>
      </w:r>
      <w:r>
        <w:rPr>
          <w:rFonts w:ascii="仿宋_GB2312" w:hAnsi="仿宋_GB2312" w:eastAsia="仿宋_GB2312" w:cs="仿宋_GB2312"/>
          <w:sz w:val="32"/>
          <w:szCs w:val="32"/>
        </w:rPr>
        <w:t>户不符合保障条件的</w:t>
      </w:r>
      <w:r>
        <w:rPr>
          <w:rFonts w:hint="eastAsia" w:ascii="仿宋_GB2312" w:hAnsi="仿宋_GB2312" w:eastAsia="仿宋_GB2312" w:cs="仿宋_GB2312"/>
          <w:sz w:val="32"/>
          <w:szCs w:val="32"/>
        </w:rPr>
        <w:t>公租</w:t>
      </w:r>
      <w:r>
        <w:rPr>
          <w:rFonts w:ascii="仿宋_GB2312" w:hAnsi="仿宋_GB2312" w:eastAsia="仿宋_GB2312" w:cs="仿宋_GB2312"/>
          <w:sz w:val="32"/>
          <w:szCs w:val="32"/>
        </w:rPr>
        <w:t>承租户</w:t>
      </w:r>
      <w:r>
        <w:rPr>
          <w:rFonts w:hint="eastAsia" w:ascii="仿宋_GB2312" w:hAnsi="仿宋_GB2312" w:eastAsia="仿宋_GB2312" w:cs="仿宋_GB2312"/>
          <w:sz w:val="32"/>
          <w:szCs w:val="32"/>
        </w:rPr>
        <w:t>。</w:t>
      </w:r>
    </w:p>
    <w:p w14:paraId="76FE0B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行业管理。一是房地产管理。督查全市所有开发企业项目售楼部及中介机构经营场所“二码联查”工作，多次约谈中介机构和开发企业，并对2家违规企业做出停止网签备案的处罚，对1家中介机构和1家企业作出了扣除信用积分的处罚；纳入资金监管项目35个，顺利交房8个项目；收缴维修资金约6637万元，建立安置房维修资金收缴使用体系；购房补贴已发放29批次；积极推进“问题”楼盘化解处置工作。坚持“问题”楼盘工作周报制度，督促各专项工作组将工作安排落到实处，牵头或配合参与项目均稳步推进，现有5个“问题楼盘”顺利销号。</w:t>
      </w:r>
    </w:p>
    <w:p w14:paraId="1003F3D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建筑业管理。全市在建项目58个，其中房地产项目29个，建筑面积约390万平方米，市政项目5个，投资约3亿元；联合发改等部门对有关招投标项目进行检查，对四家招标代理机构违规行为进行了依法处理；完成72个项目的施工图审查，28个项目的招标备案管理，29个项目的竣工验收备案，10个业绩审查，295个入库业绩审查，30个项目的安全文明施工测评，28个项目的工程竣工结算备案；完成13个项目消防设计审查，9个项目消防验收，9个项目消防备案；处理民工工资矛盾纠纷11余起，涉及金额830余万元，通报批评未履行民工工资主体责任的4家施工总包企业，2家劳务分包企业。</w:t>
      </w:r>
    </w:p>
    <w:p w14:paraId="68B8BC8D">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物业管理。对全市113个物业小区59家进行疫情防控、消防防汛全覆盖检查；约谈并指导整改3家存在重大安全隐患的物业企业；对7家违反管理办法的物业企业进行信用积分扣减处罚；初步拟定《关于进一步加强物业管理工作的意见》。</w:t>
      </w:r>
    </w:p>
    <w:p w14:paraId="522566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市政管理。修补人行道砖3500余平方米；路沿石约320米；沥青路面1600平方米；维修道路隔离带围栏165余次，清理城区建筑垃圾约80余次；更换市政围栏草皮约9000余平方米；更换破损井盖840余个；更换破损雨水篦子960余个；新安装道路标识牌21个。检查燃气企业13次共11家，整改隐患65项，发出责令整改通知书3份。完成燃气领域无证经营专项整治，推动峨眉燃气对富鑫公司实施并购，政府常务会议审定供气区域调整，彻底解决了燃气行业无证和超范围经营历史遗留问题。</w:t>
      </w:r>
    </w:p>
    <w:p w14:paraId="0B4C79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人防工作管理。制定并下发《峨眉山市结合民用建筑修建防空地下室审批管理程序》、《峨眉山市住房和城乡建设局应急指挥通信保障预案》等7个人防工作管理制度；与市自然资源局、市行政审批局建立了并联审批制度，进一步健全人防内控制度和审批制度；对人防行业突出问题进行系统治理整改，今年人防易地建设缴费项目办理7件,追缴、补交项目32个共1744.52万元。审批项目5个，批准修建面积3.31万平方米。开工4个项目，报监备案1个。</w:t>
      </w:r>
    </w:p>
    <w:p w14:paraId="6A90AF11">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（五）行政执法管理。行政处罚7个在建工地扬尘治理违法与未批先建违法企业，处罚金额49.915万元，处罚施工企业6家，监理单位1家。</w:t>
      </w:r>
    </w:p>
    <w:p w14:paraId="2A6CA75D">
      <w:pPr>
        <w:pStyle w:val="32"/>
        <w:adjustRightInd w:val="0"/>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4.环境保护工作</w:t>
      </w:r>
    </w:p>
    <w:p w14:paraId="753E3049">
      <w:pPr>
        <w:pStyle w:val="7"/>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做好污水处理设施建设和管理工作。启动峨眉河流域水环境综合治理项目，其中桂花桥镇29个小区雨污分流改造已全部完成，双福镇18个小区完成80%，罗目镇即将进场施工；实施第二批次污水管道非开挖修复工程，现已完成4条线路，修复管道3.3公里；加强全市城镇污水处理厂（站）运营管理，确保出水水质稳定达标；制订《峨眉山市污水管网排查制度》，持续开展污水管网非开挖修复整治。</w:t>
      </w:r>
    </w:p>
    <w:p w14:paraId="0ECF7CC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（二）加强建筑施工领域扬尘治理。各在建工地全部实行围挡封闭施工，建筑工地出入口全部做到硬化处理并配备车辆冲洗设备，工地渣土、建筑垃圾全部进行清运。全面禁止现场搅拌砂浆。</w:t>
      </w:r>
    </w:p>
    <w:p w14:paraId="1F5BA75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（三）强化环境卫生工作。开展2021年农村“垃圾革</w:t>
      </w:r>
    </w:p>
    <w:p w14:paraId="4C301E64">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命”工作，年底完成全市所有农村露天垃圾池的整改销号工作；发放100辆农村生活垃圾前端收集车，配齐保洁员，行政村生活垃圾收转运处置覆盖率达到100%；各组保洁覆盖率达100%；积极协助乡镇做好“场镇提升行动”和“五清行动”工作；会同自然资源局拆除城市规划区外的公路周边可视范围内违法设置的中小型户外广告。</w:t>
      </w:r>
    </w:p>
    <w:p w14:paraId="42362620">
      <w:pPr>
        <w:pStyle w:val="2"/>
        <w:spacing w:before="93"/>
      </w:pPr>
    </w:p>
    <w:p w14:paraId="5B28F9C2">
      <w:pPr>
        <w:spacing w:line="600" w:lineRule="exact"/>
        <w:ind w:firstLine="640" w:firstLineChars="200"/>
        <w:rPr>
          <w:rFonts w:ascii="黑体" w:hAnsi="黑体" w:eastAsia="黑体" w:cs="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14:paraId="409C0F2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峨眉山市住房和城乡建设局下属二级单位6个，其中行政单位1个，参照公务员法管理的事业单位0个，其他事业单位5个。</w:t>
      </w:r>
    </w:p>
    <w:p w14:paraId="6A5F9A7C">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纳入峨眉山市住房和城乡建设局2021年度部门决算编制范围的二级预算单位包括：</w:t>
      </w:r>
    </w:p>
    <w:p w14:paraId="0E067EC3">
      <w:pPr>
        <w:numPr>
          <w:ilvl w:val="0"/>
          <w:numId w:val="2"/>
        </w:numPr>
        <w:ind w:firstLine="640" w:firstLineChars="200"/>
        <w:rPr>
          <w:rFonts w:ascii="仿宋" w:hAnsi="仿宋" w:eastAsia="仿宋" w:cs="仿宋"/>
          <w:sz w:val="32"/>
          <w:szCs w:val="32"/>
        </w:rPr>
      </w:pPr>
      <w:bookmarkStart w:id="22" w:name="_Toc15377433"/>
      <w:bookmarkStart w:id="23" w:name="_Toc15377202"/>
      <w:bookmarkStart w:id="24" w:name="_Toc15306276"/>
      <w:bookmarkStart w:id="25" w:name="_Toc15378449"/>
      <w:r>
        <w:rPr>
          <w:rFonts w:hint="eastAsia" w:ascii="仿宋_GB2312" w:hAnsi="仿宋_GB2312" w:eastAsia="仿宋_GB2312" w:cs="仿宋_GB2312"/>
          <w:sz w:val="32"/>
          <w:szCs w:val="32"/>
        </w:rPr>
        <w:t>峨眉山市住房和城乡建设局</w:t>
      </w:r>
      <w:r>
        <w:rPr>
          <w:rFonts w:hint="eastAsia" w:ascii="仿宋" w:hAnsi="仿宋" w:eastAsia="仿宋" w:cs="仿宋"/>
          <w:sz w:val="32"/>
          <w:szCs w:val="32"/>
        </w:rPr>
        <w:t>（本级）</w:t>
      </w:r>
    </w:p>
    <w:p w14:paraId="61ECAE48">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峨眉山市城乡建设保障服务中心（原峨眉山市城市绿化保障中心）</w:t>
      </w:r>
    </w:p>
    <w:p w14:paraId="1DACE4BA">
      <w:pPr>
        <w:numPr>
          <w:ilvl w:val="0"/>
          <w:numId w:val="2"/>
        </w:num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峨眉山市住房保障和房地产事务中心</w:t>
      </w:r>
    </w:p>
    <w:p w14:paraId="0272F7ED">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峨眉山市建设工程质量安全中心</w:t>
      </w:r>
    </w:p>
    <w:p w14:paraId="21AA71E9">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峨眉山市环境卫生服务中心</w:t>
      </w:r>
    </w:p>
    <w:p w14:paraId="553EF259">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峨眉山市城乡建设服务中心</w:t>
      </w:r>
    </w:p>
    <w:bookmarkEnd w:id="22"/>
    <w:bookmarkEnd w:id="23"/>
    <w:bookmarkEnd w:id="24"/>
    <w:bookmarkEnd w:id="25"/>
    <w:p w14:paraId="1C36069B">
      <w:pPr>
        <w:widowControl/>
        <w:jc w:val="left"/>
        <w:rPr>
          <w:rFonts w:ascii="仿宋" w:hAnsi="仿宋" w:eastAsia="仿宋"/>
          <w:kern w:val="0"/>
          <w:sz w:val="32"/>
          <w:szCs w:val="32"/>
        </w:rPr>
      </w:pPr>
      <w:r>
        <w:rPr>
          <w:rFonts w:ascii="仿宋" w:hAnsi="仿宋" w:eastAsia="仿宋"/>
          <w:sz w:val="32"/>
          <w:szCs w:val="32"/>
        </w:rPr>
        <w:br w:type="page"/>
      </w:r>
    </w:p>
    <w:p w14:paraId="04C5C14F">
      <w:pPr>
        <w:spacing w:line="600" w:lineRule="exact"/>
        <w:jc w:val="center"/>
        <w:rPr>
          <w:rFonts w:ascii="方正小标宋_GBK" w:hAnsi="方正小标宋_GBK" w:eastAsia="方正小标宋_GBK" w:cs="方正小标宋_GBK"/>
          <w:sz w:val="44"/>
          <w:szCs w:val="44"/>
        </w:rPr>
      </w:pPr>
      <w:bookmarkStart w:id="26" w:name="_Toc15377204"/>
      <w:bookmarkStart w:id="27" w:name="_Toc15396602"/>
      <w:r>
        <w:rPr>
          <w:rFonts w:hint="eastAsia" w:ascii="方正小标宋_GBK" w:hAnsi="方正小标宋_GBK" w:eastAsia="方正小标宋_GBK" w:cs="方正小标宋_GBK"/>
          <w:sz w:val="44"/>
          <w:szCs w:val="44"/>
        </w:rPr>
        <w:t>第二部分 2021年度部门决算情况说明</w:t>
      </w:r>
      <w:bookmarkEnd w:id="26"/>
      <w:bookmarkEnd w:id="27"/>
    </w:p>
    <w:p w14:paraId="2DCB9592">
      <w:pPr>
        <w:spacing w:line="600" w:lineRule="exact"/>
      </w:pPr>
    </w:p>
    <w:p w14:paraId="1AAE8950">
      <w:pPr>
        <w:pStyle w:val="25"/>
        <w:numPr>
          <w:ilvl w:val="0"/>
          <w:numId w:val="3"/>
        </w:numPr>
        <w:spacing w:line="600" w:lineRule="exact"/>
        <w:ind w:firstLineChars="0"/>
        <w:outlineLvl w:val="1"/>
        <w:rPr>
          <w:rStyle w:val="27"/>
          <w:rFonts w:ascii="黑体" w:hAnsi="黑体" w:eastAsia="黑体"/>
          <w:b w:val="0"/>
        </w:rPr>
      </w:pPr>
      <w:bookmarkStart w:id="28" w:name="_Toc15396603"/>
      <w:bookmarkStart w:id="29"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8"/>
      <w:bookmarkEnd w:id="29"/>
    </w:p>
    <w:p w14:paraId="3055397C">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2021年度收、支总计96145.89万元。与2020年相比，收、支总计各增加6147.04万元，增长6.83%。主要变动原因是</w:t>
      </w:r>
      <w:r>
        <w:rPr>
          <w:rFonts w:hint="eastAsia" w:ascii="仿宋_GB2312" w:hAnsi="仿宋" w:eastAsia="仿宋_GB2312"/>
          <w:sz w:val="32"/>
          <w:szCs w:val="32"/>
        </w:rPr>
        <w:t>财政下拨存量资金归往年工程款，老旧小区改造项目、市政基础设施维护、棚户区改造建设一期项目。</w:t>
      </w:r>
      <w:r>
        <w:rPr>
          <w:rFonts w:hint="eastAsia" w:ascii="仿宋_GB2312" w:hAnsi="仿宋_GB2312" w:eastAsia="仿宋_GB2312" w:cs="仿宋_GB2312"/>
          <w:sz w:val="32"/>
          <w:szCs w:val="32"/>
        </w:rPr>
        <w:t>（图1：收、支决算总计变动情况图）（柱状图）</w:t>
      </w:r>
    </w:p>
    <w:p w14:paraId="7E9FF972">
      <w:pPr>
        <w:pStyle w:val="2"/>
        <w:spacing w:before="93"/>
        <w:jc w:val="center"/>
      </w:pPr>
      <w:r>
        <w:drawing>
          <wp:inline distT="0" distB="0" distL="0" distR="0">
            <wp:extent cx="5486400" cy="2833370"/>
            <wp:effectExtent l="19050" t="0" r="1905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4ED55A">
      <w:pPr>
        <w:pStyle w:val="25"/>
        <w:numPr>
          <w:ilvl w:val="0"/>
          <w:numId w:val="3"/>
        </w:numPr>
        <w:spacing w:line="600" w:lineRule="exact"/>
        <w:ind w:firstLineChars="0"/>
        <w:outlineLvl w:val="1"/>
        <w:rPr>
          <w:rStyle w:val="27"/>
          <w:rFonts w:ascii="黑体" w:hAnsi="黑体" w:eastAsia="黑体"/>
          <w:b w:val="0"/>
        </w:rPr>
      </w:pPr>
      <w:bookmarkStart w:id="30" w:name="_Toc15396604"/>
      <w:bookmarkStart w:id="31" w:name="_Toc15377206"/>
      <w:r>
        <w:rPr>
          <w:rFonts w:hint="eastAsia" w:ascii="黑体" w:hAnsi="黑体" w:eastAsia="黑体"/>
          <w:sz w:val="32"/>
          <w:szCs w:val="32"/>
        </w:rPr>
        <w:t>收</w:t>
      </w:r>
      <w:r>
        <w:rPr>
          <w:rStyle w:val="27"/>
          <w:rFonts w:hint="eastAsia" w:ascii="黑体" w:hAnsi="黑体" w:eastAsia="黑体"/>
          <w:b w:val="0"/>
        </w:rPr>
        <w:t>入决算情况说明</w:t>
      </w:r>
      <w:bookmarkEnd w:id="30"/>
      <w:bookmarkEnd w:id="31"/>
    </w:p>
    <w:p w14:paraId="1E0268B9">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56928.23万元，其中：一般公共预算财政拨款收入30052.02万元，占52.79%；政府性基金预算财政拨款收入26876.21万元，占47.21%；国有资本经营预算财政拨款收入0万元，占0%；上级补助收入0万元，占0%；事业收入0万元，占0%；经营收入0万元，占0%；附属单位上缴收入0万元，占0%；其他收入0万元，占0%。（图2：收入决算结构图）（饼状图）</w:t>
      </w:r>
    </w:p>
    <w:p w14:paraId="0EC9E79A">
      <w:pPr>
        <w:jc w:val="center"/>
        <w:rPr>
          <w:rFonts w:ascii="仿宋_GB2312" w:eastAsia="仿宋_GB2312"/>
          <w:sz w:val="32"/>
          <w:szCs w:val="32"/>
        </w:rPr>
      </w:pPr>
      <w:r>
        <w:rPr>
          <w:rFonts w:ascii="仿宋_GB2312" w:eastAsia="仿宋_GB2312"/>
          <w:sz w:val="32"/>
          <w:szCs w:val="32"/>
        </w:rPr>
        <w:drawing>
          <wp:inline distT="0" distB="0" distL="0" distR="0">
            <wp:extent cx="5486400" cy="3064510"/>
            <wp:effectExtent l="19050" t="0" r="19050" b="25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2D0CDD">
      <w:pPr>
        <w:pStyle w:val="25"/>
        <w:numPr>
          <w:ilvl w:val="0"/>
          <w:numId w:val="3"/>
        </w:numPr>
        <w:spacing w:line="600" w:lineRule="exact"/>
        <w:ind w:firstLineChars="0"/>
        <w:outlineLvl w:val="1"/>
        <w:rPr>
          <w:rStyle w:val="27"/>
          <w:rFonts w:ascii="黑体" w:hAnsi="黑体" w:eastAsia="黑体"/>
          <w:b w:val="0"/>
        </w:rPr>
      </w:pPr>
      <w:bookmarkStart w:id="32" w:name="_Toc15396605"/>
      <w:bookmarkStart w:id="33" w:name="_Toc15377207"/>
      <w:r>
        <w:rPr>
          <w:rFonts w:hint="eastAsia" w:ascii="黑体" w:hAnsi="黑体" w:eastAsia="黑体"/>
          <w:sz w:val="32"/>
          <w:szCs w:val="32"/>
        </w:rPr>
        <w:t>支</w:t>
      </w:r>
      <w:r>
        <w:rPr>
          <w:rStyle w:val="27"/>
          <w:rFonts w:hint="eastAsia" w:ascii="黑体" w:hAnsi="黑体" w:eastAsia="黑体"/>
          <w:b w:val="0"/>
        </w:rPr>
        <w:t>出决算情况说明</w:t>
      </w:r>
      <w:bookmarkEnd w:id="32"/>
      <w:bookmarkEnd w:id="33"/>
    </w:p>
    <w:p w14:paraId="24D26BB7">
      <w:pPr>
        <w:spacing w:line="600" w:lineRule="exact"/>
        <w:ind w:firstLine="640" w:firstLineChars="200"/>
        <w:outlineLvl w:val="1"/>
        <w:rPr>
          <w:rFonts w:ascii="仿宋_GB2312" w:hAnsi="仿宋_GB2312" w:eastAsia="仿宋_GB2312" w:cs="仿宋_GB2312"/>
          <w:bCs/>
          <w:color w:val="FF0000"/>
          <w:sz w:val="32"/>
          <w:szCs w:val="32"/>
        </w:rPr>
      </w:pPr>
      <w:r>
        <w:rPr>
          <w:rFonts w:hint="eastAsia" w:ascii="仿宋_GB2312" w:hAnsi="仿宋_GB2312" w:eastAsia="仿宋_GB2312" w:cs="仿宋_GB2312"/>
          <w:sz w:val="32"/>
          <w:szCs w:val="32"/>
        </w:rPr>
        <w:t>2021年本年支出合计84312.57万元，其中：基本支出2538.66万元，占3.01%；项目支出81773.91万元，占96.99%；上缴上级支出0万元，占0%；经营支出0万元，占0%；对附属单位补助支出0万元，占0%。</w:t>
      </w:r>
      <w:r>
        <w:rPr>
          <w:rFonts w:hint="eastAsia" w:ascii="仿宋_GB2312" w:hAnsi="仿宋_GB2312" w:eastAsia="仿宋_GB2312" w:cs="仿宋_GB2312"/>
          <w:bCs/>
          <w:sz w:val="32"/>
          <w:szCs w:val="32"/>
        </w:rPr>
        <w:t>（图3：支出决算结构图）（饼状图）</w:t>
      </w:r>
    </w:p>
    <w:p w14:paraId="7AB6C97E">
      <w:pPr>
        <w:jc w:val="center"/>
        <w:rPr>
          <w:rFonts w:ascii="仿宋_GB2312" w:eastAsia="仿宋_GB2312"/>
          <w:sz w:val="32"/>
          <w:szCs w:val="32"/>
        </w:rPr>
      </w:pPr>
      <w:r>
        <w:rPr>
          <w:rFonts w:ascii="仿宋_GB2312" w:eastAsia="仿宋_GB2312"/>
          <w:sz w:val="32"/>
          <w:szCs w:val="32"/>
        </w:rPr>
        <w:drawing>
          <wp:inline distT="0" distB="0" distL="0" distR="0">
            <wp:extent cx="4606290" cy="2713355"/>
            <wp:effectExtent l="19050" t="0" r="2270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FAB9FD">
      <w:pPr>
        <w:spacing w:line="600" w:lineRule="exact"/>
        <w:ind w:firstLine="640" w:firstLineChars="200"/>
        <w:outlineLvl w:val="1"/>
        <w:rPr>
          <w:rStyle w:val="27"/>
          <w:rFonts w:ascii="黑体" w:hAnsi="黑体" w:eastAsia="黑体"/>
          <w:b w:val="0"/>
        </w:rPr>
      </w:pPr>
      <w:bookmarkStart w:id="34" w:name="_Toc15396606"/>
      <w:bookmarkStart w:id="35"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4"/>
      <w:bookmarkEnd w:id="35"/>
    </w:p>
    <w:p w14:paraId="22FAF60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2021年财政拨款收、支总计95724.27万元。与2020年相比，财政拨款收、支总计各增加6147.55万元，增长6.86%。主要变动原因是</w:t>
      </w:r>
      <w:r>
        <w:rPr>
          <w:rFonts w:hint="eastAsia" w:ascii="仿宋_GB2312" w:hAnsi="仿宋" w:eastAsia="仿宋_GB2312"/>
          <w:sz w:val="32"/>
          <w:szCs w:val="32"/>
        </w:rPr>
        <w:t>财政下拨存量资金归往年工程款，老旧小区改造项目、市政基础设施维护、棚户区改造建设一期项目。</w:t>
      </w:r>
      <w:r>
        <w:rPr>
          <w:rFonts w:hint="eastAsia" w:ascii="仿宋_GB2312" w:hAnsi="仿宋_GB2312" w:eastAsia="仿宋_GB2312" w:cs="仿宋_GB2312"/>
          <w:sz w:val="32"/>
          <w:szCs w:val="32"/>
        </w:rPr>
        <w:t>（图4：财政拨款收、支决算总计变动情况）（柱状图）</w:t>
      </w:r>
    </w:p>
    <w:p w14:paraId="0CDC0FD7">
      <w:pPr>
        <w:jc w:val="center"/>
        <w:rPr>
          <w:rFonts w:ascii="仿宋" w:hAnsi="仿宋" w:eastAsia="仿宋"/>
          <w:b/>
          <w:color w:val="FF0000"/>
          <w:sz w:val="32"/>
          <w:szCs w:val="32"/>
        </w:rPr>
      </w:pPr>
      <w:r>
        <w:rPr>
          <w:rFonts w:ascii="仿宋" w:hAnsi="仿宋" w:eastAsia="仿宋"/>
          <w:b/>
          <w:color w:val="FF0000"/>
          <w:sz w:val="32"/>
          <w:szCs w:val="32"/>
        </w:rPr>
        <w:drawing>
          <wp:inline distT="0" distB="0" distL="0" distR="0">
            <wp:extent cx="5133975" cy="2790825"/>
            <wp:effectExtent l="19050" t="0" r="9525"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EE6611">
      <w:pPr>
        <w:spacing w:line="600" w:lineRule="exact"/>
        <w:ind w:firstLine="640" w:firstLineChars="200"/>
        <w:outlineLvl w:val="1"/>
        <w:rPr>
          <w:rStyle w:val="27"/>
          <w:rFonts w:ascii="黑体" w:hAnsi="黑体" w:eastAsia="黑体"/>
          <w:b w:val="0"/>
        </w:rPr>
      </w:pPr>
      <w:bookmarkStart w:id="36" w:name="_Toc15396607"/>
      <w:bookmarkStart w:id="37"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6"/>
      <w:bookmarkEnd w:id="37"/>
    </w:p>
    <w:p w14:paraId="1E9B6A63">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5C366A6F">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21年一般公共预算财政拨款支出58386.80万元，占本年支出合计的69.25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20年相比，一般公共预算财政拨款支出增加10996.75万元，增长23.20</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rPr>
        <w:t>财政下拨存量资金归往年工程款，老旧小区改造项目、市政基础设施维护、棚户区改造建设一期项目。</w:t>
      </w:r>
      <w:r>
        <w:rPr>
          <w:rFonts w:hint="eastAsia" w:ascii="仿宋" w:hAnsi="仿宋" w:eastAsia="仿宋"/>
          <w:sz w:val="32"/>
          <w:szCs w:val="32"/>
        </w:rPr>
        <w:t>（图5：一般公共预算财政拨款支出决算变动情况）（柱状图）</w:t>
      </w:r>
    </w:p>
    <w:p w14:paraId="3B897FBF">
      <w:pPr>
        <w:jc w:val="center"/>
        <w:rPr>
          <w:rFonts w:ascii="仿宋" w:hAnsi="仿宋" w:eastAsia="仿宋"/>
          <w:sz w:val="32"/>
          <w:szCs w:val="32"/>
        </w:rPr>
      </w:pPr>
      <w:r>
        <w:rPr>
          <w:rFonts w:ascii="仿宋" w:hAnsi="仿宋" w:eastAsia="仿宋"/>
          <w:sz w:val="32"/>
          <w:szCs w:val="32"/>
        </w:rPr>
        <w:drawing>
          <wp:inline distT="0" distB="0" distL="0" distR="0">
            <wp:extent cx="5486400" cy="3020060"/>
            <wp:effectExtent l="19050" t="0" r="1905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AE635A">
      <w:pPr>
        <w:spacing w:line="600" w:lineRule="exact"/>
        <w:ind w:firstLine="643" w:firstLineChars="2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14:paraId="7B5BE23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58386.80万元，主要用于以下方面:一般公共服务（类）支出408.39万元，占0.71%；国防支出（类）928.98万元，占1.59%；教育支出（类）1298.00万元，占2.22%；社会保障和就业（类）支出305.80万元，占0.52%；卫生健康支出（类）54.97万元，占0.09%；城乡社区支出（类）50820.88万元，占87.04%；农林水支出（类）2500.00万元，占4.28%；住房保障支出（类）2061.01万元，占3.53%；灾害防治及应急管理支出（类）8.77万元，占0.02%。（图6：一般公共预算财政拨款支出决算结构）（饼状图）</w:t>
      </w:r>
    </w:p>
    <w:p w14:paraId="2C063B9C">
      <w:pPr>
        <w:rPr>
          <w:rFonts w:ascii="仿宋_GB2312" w:hAnsi="仿宋_GB2312" w:eastAsia="仿宋_GB2312" w:cs="仿宋_GB2312"/>
          <w:color w:val="FF0000"/>
          <w:sz w:val="32"/>
          <w:szCs w:val="32"/>
        </w:rPr>
      </w:pPr>
      <w:r>
        <w:rPr>
          <w:rFonts w:ascii="仿宋_GB2312" w:hAnsi="仿宋_GB2312" w:eastAsia="仿宋_GB2312" w:cs="仿宋_GB2312"/>
          <w:color w:val="FF0000"/>
          <w:sz w:val="32"/>
          <w:szCs w:val="32"/>
        </w:rPr>
        <w:drawing>
          <wp:inline distT="0" distB="0" distL="0" distR="0">
            <wp:extent cx="5486400" cy="3002915"/>
            <wp:effectExtent l="19050" t="0" r="19050"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A821D9">
      <w:pPr>
        <w:spacing w:line="600" w:lineRule="exact"/>
        <w:ind w:firstLine="640" w:firstLineChars="200"/>
        <w:outlineLvl w:val="2"/>
        <w:rPr>
          <w:rFonts w:ascii="楷体_GB2312" w:hAnsi="楷体_GB2312" w:eastAsia="楷体_GB2312" w:cs="楷体_GB2312"/>
          <w:bCs/>
          <w:sz w:val="32"/>
          <w:szCs w:val="32"/>
        </w:rPr>
      </w:pPr>
      <w:bookmarkStart w:id="40" w:name="_Toc15377212"/>
      <w:r>
        <w:rPr>
          <w:rFonts w:hint="eastAsia" w:ascii="楷体_GB2312" w:hAnsi="楷体_GB2312" w:eastAsia="楷体_GB2312" w:cs="楷体_GB2312"/>
          <w:bCs/>
          <w:sz w:val="32"/>
          <w:szCs w:val="32"/>
        </w:rPr>
        <w:t>（三）一般公共预算财政拨款支出决算具体情况</w:t>
      </w:r>
      <w:bookmarkEnd w:id="40"/>
    </w:p>
    <w:p w14:paraId="65CC0B20">
      <w:pPr>
        <w:spacing w:line="600" w:lineRule="exact"/>
        <w:ind w:firstLine="640" w:firstLineChars="200"/>
        <w:outlineLvl w:val="2"/>
        <w:rPr>
          <w:rFonts w:ascii="仿宋_GB2312" w:hAnsi="仿宋_GB2312" w:eastAsia="仿宋_GB2312" w:cs="仿宋_GB2312"/>
          <w:bCs/>
          <w:sz w:val="32"/>
          <w:szCs w:val="32"/>
        </w:rPr>
      </w:pPr>
      <w:bookmarkStart w:id="41" w:name="_Toc15378460"/>
      <w:bookmarkStart w:id="42" w:name="_Toc15377444"/>
      <w:bookmarkStart w:id="43" w:name="_Toc15377213"/>
      <w:r>
        <w:rPr>
          <w:rFonts w:hint="eastAsia" w:ascii="仿宋_GB2312" w:hAnsi="仿宋_GB2312" w:eastAsia="仿宋_GB2312" w:cs="仿宋_GB2312"/>
          <w:bCs/>
          <w:sz w:val="32"/>
          <w:szCs w:val="32"/>
        </w:rPr>
        <w:t>2021年一般公共预算支出决算数为58386.80，</w:t>
      </w:r>
      <w:r>
        <w:rPr>
          <w:rStyle w:val="16"/>
          <w:rFonts w:hint="eastAsia" w:ascii="仿宋_GB2312" w:hAnsi="仿宋_GB2312" w:eastAsia="仿宋_GB2312" w:cs="仿宋_GB2312"/>
          <w:b w:val="0"/>
          <w:bCs/>
          <w:sz w:val="32"/>
          <w:szCs w:val="32"/>
        </w:rPr>
        <w:t>完成预算100%。其中：</w:t>
      </w:r>
      <w:bookmarkEnd w:id="41"/>
      <w:bookmarkEnd w:id="42"/>
      <w:bookmarkEnd w:id="43"/>
    </w:p>
    <w:p w14:paraId="03971345">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1.一般公共服务支出（类）政府办公厅室及相关机构事务（款）事业运行(项): 支出决算为408.39万元，完成预算100%。</w:t>
      </w:r>
    </w:p>
    <w:p w14:paraId="63169BBE">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2.</w:t>
      </w:r>
      <w:r>
        <w:rPr>
          <w:rFonts w:hint="eastAsia" w:ascii="仿宋_GB2312" w:eastAsia="仿宋_GB2312"/>
          <w:sz w:val="32"/>
          <w:szCs w:val="32"/>
        </w:rPr>
        <w:t>国防支出(类)国防动员(款)人民防空(项)</w:t>
      </w:r>
      <w:r>
        <w:rPr>
          <w:rStyle w:val="16"/>
          <w:rFonts w:hint="eastAsia" w:ascii="仿宋_GB2312" w:hAnsi="仿宋_GB2312" w:eastAsia="仿宋_GB2312" w:cs="仿宋_GB2312"/>
          <w:b w:val="0"/>
          <w:bCs/>
          <w:sz w:val="32"/>
          <w:szCs w:val="32"/>
        </w:rPr>
        <w:t>: 支出决算为928.98万元，完成预算100%。</w:t>
      </w:r>
    </w:p>
    <w:p w14:paraId="4A39D6FC">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3.</w:t>
      </w:r>
      <w:r>
        <w:rPr>
          <w:rFonts w:hint="eastAsia" w:ascii="仿宋_GB2312" w:hAnsi="Calibri" w:eastAsia="仿宋_GB2312" w:cs="仿宋"/>
          <w:kern w:val="0"/>
          <w:sz w:val="32"/>
          <w:szCs w:val="32"/>
        </w:rPr>
        <w:t>教育支出（类）教育费附加安排的支出（款）农村中小学校舍建设（项）</w:t>
      </w:r>
      <w:r>
        <w:rPr>
          <w:rStyle w:val="16"/>
          <w:rFonts w:hint="eastAsia" w:ascii="仿宋_GB2312" w:hAnsi="仿宋_GB2312" w:eastAsia="仿宋_GB2312" w:cs="仿宋_GB2312"/>
          <w:b w:val="0"/>
          <w:bCs/>
          <w:sz w:val="32"/>
          <w:szCs w:val="32"/>
        </w:rPr>
        <w:t>: 支出决算为1298.00万元，完成预算100%。</w:t>
      </w:r>
    </w:p>
    <w:p w14:paraId="04318337">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4.</w:t>
      </w:r>
      <w:r>
        <w:rPr>
          <w:rFonts w:hint="eastAsia" w:ascii="仿宋_GB2312" w:hAnsi="Calibri" w:eastAsia="仿宋_GB2312" w:cs="仿宋"/>
          <w:kern w:val="0"/>
          <w:sz w:val="32"/>
          <w:szCs w:val="32"/>
        </w:rPr>
        <w:t>社会保障和就业支出(类)行政事业单位养老支出(款)机关事业单位基本养老保险缴费支出(项)</w:t>
      </w:r>
      <w:r>
        <w:rPr>
          <w:rStyle w:val="16"/>
          <w:rFonts w:hint="eastAsia" w:ascii="仿宋_GB2312" w:hAnsi="仿宋_GB2312" w:eastAsia="仿宋_GB2312" w:cs="仿宋_GB2312"/>
          <w:b w:val="0"/>
          <w:bCs/>
          <w:sz w:val="32"/>
          <w:szCs w:val="32"/>
        </w:rPr>
        <w:t>: 支出决算为139.08万元，完成预算100%。</w:t>
      </w:r>
    </w:p>
    <w:p w14:paraId="5CBE1DCD">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5.</w:t>
      </w:r>
      <w:r>
        <w:rPr>
          <w:rFonts w:hint="eastAsia" w:ascii="仿宋_GB2312" w:hAnsi="Calibri" w:eastAsia="仿宋_GB2312" w:cs="仿宋"/>
          <w:kern w:val="0"/>
          <w:sz w:val="32"/>
          <w:szCs w:val="32"/>
        </w:rPr>
        <w:t>社会保障和就业支出(类)行政事业单位养老支出(款)机关事业单位职业年金缴费支出(项)</w:t>
      </w:r>
      <w:r>
        <w:rPr>
          <w:rStyle w:val="16"/>
          <w:rFonts w:hint="eastAsia" w:ascii="仿宋_GB2312" w:hAnsi="仿宋_GB2312" w:eastAsia="仿宋_GB2312" w:cs="仿宋_GB2312"/>
          <w:b w:val="0"/>
          <w:bCs/>
          <w:sz w:val="32"/>
          <w:szCs w:val="32"/>
        </w:rPr>
        <w:t>:支出决算为70.34万元，完成预算100%。</w:t>
      </w:r>
    </w:p>
    <w:p w14:paraId="2A84337C">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6.社会保障和就业支出(类)抚恤(款)死亡抚恤(项):</w:t>
      </w:r>
      <w:r>
        <w:rPr>
          <w:rStyle w:val="16"/>
          <w:rFonts w:hint="eastAsia" w:ascii="仿宋_GB2312" w:hAnsi="仿宋_GB2312" w:eastAsia="仿宋_GB2312" w:cs="仿宋_GB2312"/>
          <w:b w:val="0"/>
          <w:bCs/>
          <w:sz w:val="32"/>
          <w:szCs w:val="32"/>
        </w:rPr>
        <w:t>支出决算为24.80万元，完成预算100%。</w:t>
      </w:r>
    </w:p>
    <w:p w14:paraId="1E576C83">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7.社会保障和就业支出(类)抚恤(款)其他优抚支出(项):</w:t>
      </w:r>
      <w:r>
        <w:rPr>
          <w:rStyle w:val="16"/>
          <w:rFonts w:hint="eastAsia" w:ascii="仿宋_GB2312" w:hAnsi="仿宋_GB2312" w:eastAsia="仿宋_GB2312" w:cs="仿宋_GB2312"/>
          <w:b w:val="0"/>
          <w:bCs/>
          <w:sz w:val="32"/>
          <w:szCs w:val="32"/>
        </w:rPr>
        <w:t>支出决算为4.53万元，完成预算100%。</w:t>
      </w:r>
    </w:p>
    <w:p w14:paraId="6DDD4024">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8.社会保障和就业支出(类)其他社会保障和就业支出(款)其他社会保障和就业支出（项）：</w:t>
      </w:r>
      <w:r>
        <w:rPr>
          <w:rStyle w:val="16"/>
          <w:rFonts w:hint="eastAsia" w:ascii="仿宋_GB2312" w:hAnsi="仿宋_GB2312" w:eastAsia="仿宋_GB2312" w:cs="仿宋_GB2312"/>
          <w:b w:val="0"/>
          <w:bCs/>
          <w:sz w:val="32"/>
          <w:szCs w:val="32"/>
        </w:rPr>
        <w:t>支出决算为67.05万元，完成预算100%。</w:t>
      </w:r>
    </w:p>
    <w:p w14:paraId="699805B9">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9.卫生健康支出(类)行政事业单位医疗(款)行政单位医疗(项):</w:t>
      </w:r>
      <w:r>
        <w:rPr>
          <w:rStyle w:val="16"/>
          <w:rFonts w:hint="eastAsia" w:ascii="仿宋_GB2312" w:hAnsi="仿宋_GB2312" w:eastAsia="仿宋_GB2312" w:cs="仿宋_GB2312"/>
          <w:b w:val="0"/>
          <w:bCs/>
          <w:sz w:val="32"/>
          <w:szCs w:val="32"/>
        </w:rPr>
        <w:t>支出决算为9.33万元，完成预算100%。</w:t>
      </w:r>
    </w:p>
    <w:p w14:paraId="50EE6DE3">
      <w:pPr>
        <w:spacing w:line="600" w:lineRule="exact"/>
        <w:ind w:firstLine="640" w:firstLineChars="200"/>
        <w:rPr>
          <w:rStyle w:val="16"/>
          <w:rFonts w:ascii="仿宋_GB2312" w:hAnsi="仿宋_GB2312" w:eastAsia="仿宋_GB2312" w:cs="仿宋_GB2312"/>
          <w:b w:val="0"/>
          <w:bCs/>
          <w:sz w:val="32"/>
          <w:szCs w:val="32"/>
        </w:rPr>
      </w:pPr>
      <w:r>
        <w:rPr>
          <w:rFonts w:hint="eastAsia" w:ascii="仿宋_GB2312" w:hAnsi="Calibri" w:eastAsia="仿宋_GB2312" w:cs="仿宋"/>
          <w:kern w:val="0"/>
          <w:sz w:val="32"/>
          <w:szCs w:val="32"/>
        </w:rPr>
        <w:t>10.卫生健康支出(类)行政事业单位医疗(款)事业单位医疗(项):</w:t>
      </w:r>
      <w:r>
        <w:rPr>
          <w:rStyle w:val="16"/>
          <w:rFonts w:hint="eastAsia" w:ascii="仿宋_GB2312" w:hAnsi="仿宋_GB2312" w:eastAsia="仿宋_GB2312" w:cs="仿宋_GB2312"/>
          <w:b w:val="0"/>
          <w:bCs/>
          <w:sz w:val="32"/>
          <w:szCs w:val="32"/>
        </w:rPr>
        <w:t>支出决算为45.64万元，完成预算100%。</w:t>
      </w:r>
    </w:p>
    <w:p w14:paraId="7E549A4D">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11.城乡社区支出(类)城乡社区管理事务(款)行政运行(项):</w:t>
      </w:r>
      <w:r>
        <w:rPr>
          <w:rStyle w:val="16"/>
          <w:rFonts w:hint="eastAsia" w:ascii="仿宋_GB2312" w:hAnsi="仿宋_GB2312" w:eastAsia="仿宋_GB2312" w:cs="仿宋_GB2312"/>
          <w:b w:val="0"/>
          <w:bCs/>
          <w:sz w:val="32"/>
          <w:szCs w:val="32"/>
        </w:rPr>
        <w:t>支出决算为348.58万元，完成预算100%。</w:t>
      </w:r>
    </w:p>
    <w:p w14:paraId="408EB1C6">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12.城乡社区支出(类)城乡社区管理事务(款)一般行政管理事务(项):</w:t>
      </w:r>
      <w:r>
        <w:rPr>
          <w:rStyle w:val="16"/>
          <w:rFonts w:hint="eastAsia" w:ascii="仿宋_GB2312" w:hAnsi="仿宋_GB2312" w:eastAsia="仿宋_GB2312" w:cs="仿宋_GB2312"/>
          <w:b w:val="0"/>
          <w:bCs/>
          <w:sz w:val="32"/>
          <w:szCs w:val="32"/>
        </w:rPr>
        <w:t>支出决算为8.01万元，完成预算100%。</w:t>
      </w:r>
    </w:p>
    <w:p w14:paraId="37A4534E">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13.城乡社区支出(类)城乡社区管理事务(款)住宅建设与房地产市场监管(项):</w:t>
      </w:r>
      <w:r>
        <w:rPr>
          <w:rStyle w:val="16"/>
          <w:rFonts w:hint="eastAsia" w:ascii="仿宋_GB2312" w:hAnsi="仿宋_GB2312" w:eastAsia="仿宋_GB2312" w:cs="仿宋_GB2312"/>
          <w:b w:val="0"/>
          <w:bCs/>
          <w:sz w:val="32"/>
          <w:szCs w:val="32"/>
        </w:rPr>
        <w:t>支出决算为343.45万元，完成预算100%。</w:t>
      </w:r>
    </w:p>
    <w:p w14:paraId="64CD7288">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14.城乡社区支出(类)城乡社区管理事务(款)其他城乡社区管理事务支出(项):</w:t>
      </w:r>
      <w:r>
        <w:rPr>
          <w:rStyle w:val="16"/>
          <w:rFonts w:hint="eastAsia" w:ascii="仿宋_GB2312" w:hAnsi="仿宋_GB2312" w:eastAsia="仿宋_GB2312" w:cs="仿宋_GB2312"/>
          <w:b w:val="0"/>
          <w:bCs/>
          <w:sz w:val="32"/>
          <w:szCs w:val="32"/>
        </w:rPr>
        <w:t>支出决算为4272.99万元，完成预算100%。</w:t>
      </w:r>
    </w:p>
    <w:p w14:paraId="4E26727D">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15.城乡社区支出(类)城乡社区环境卫生(款)城乡社区环境卫生（项):</w:t>
      </w:r>
      <w:r>
        <w:rPr>
          <w:rStyle w:val="16"/>
          <w:rFonts w:hint="eastAsia" w:ascii="仿宋_GB2312" w:hAnsi="仿宋_GB2312" w:eastAsia="仿宋_GB2312" w:cs="仿宋_GB2312"/>
          <w:b w:val="0"/>
          <w:bCs/>
          <w:sz w:val="32"/>
          <w:szCs w:val="32"/>
        </w:rPr>
        <w:t>支出决算为806.06万元，完成预算100%。</w:t>
      </w:r>
    </w:p>
    <w:p w14:paraId="1BB8450D">
      <w:pPr>
        <w:spacing w:line="600" w:lineRule="exact"/>
        <w:ind w:firstLine="640" w:firstLineChars="200"/>
        <w:rPr>
          <w:rStyle w:val="16"/>
          <w:rFonts w:ascii="仿宋_GB2312" w:hAnsi="仿宋_GB2312" w:eastAsia="仿宋_GB2312" w:cs="仿宋_GB2312"/>
          <w:b w:val="0"/>
          <w:bCs/>
          <w:sz w:val="32"/>
          <w:szCs w:val="32"/>
        </w:rPr>
      </w:pPr>
      <w:r>
        <w:rPr>
          <w:rFonts w:hint="eastAsia" w:ascii="仿宋_GB2312" w:hAnsi="Calibri" w:eastAsia="仿宋_GB2312" w:cs="仿宋"/>
          <w:kern w:val="0"/>
          <w:sz w:val="32"/>
          <w:szCs w:val="32"/>
        </w:rPr>
        <w:t>16.城乡社区支出（类）建设市场管理与监督（款）建设市场管理与监督（项）：</w:t>
      </w:r>
      <w:r>
        <w:rPr>
          <w:rStyle w:val="16"/>
          <w:rFonts w:hint="eastAsia" w:ascii="仿宋_GB2312" w:hAnsi="仿宋_GB2312" w:eastAsia="仿宋_GB2312" w:cs="仿宋_GB2312"/>
          <w:b w:val="0"/>
          <w:bCs/>
          <w:sz w:val="32"/>
          <w:szCs w:val="32"/>
        </w:rPr>
        <w:t xml:space="preserve">支出决算为126.04万元，完成预算100%。          </w:t>
      </w:r>
    </w:p>
    <w:p w14:paraId="20A1B366">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17.城乡社区</w:t>
      </w:r>
      <w:r>
        <w:rPr>
          <w:rFonts w:hint="eastAsia" w:ascii="仿宋_GB2312" w:hAnsi="Calibri" w:eastAsia="仿宋_GB2312" w:cs="仿宋"/>
          <w:kern w:val="0"/>
          <w:sz w:val="32"/>
          <w:szCs w:val="32"/>
        </w:rPr>
        <w:t>支出(类)其他城乡社区支出（款）其他城乡社区支出（项）:</w:t>
      </w:r>
      <w:r>
        <w:rPr>
          <w:rStyle w:val="16"/>
          <w:rFonts w:hint="eastAsia" w:ascii="仿宋_GB2312" w:hAnsi="仿宋_GB2312" w:eastAsia="仿宋_GB2312" w:cs="仿宋_GB2312"/>
          <w:b w:val="0"/>
          <w:bCs/>
          <w:sz w:val="32"/>
          <w:szCs w:val="32"/>
        </w:rPr>
        <w:t>支出决算为44915.75万元，完成预算100%。</w:t>
      </w:r>
    </w:p>
    <w:p w14:paraId="5D8E4860">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18.农林水支出（类）水利（款）其他水利支出（项）：</w:t>
      </w:r>
      <w:r>
        <w:rPr>
          <w:rStyle w:val="16"/>
          <w:rFonts w:hint="eastAsia" w:ascii="仿宋_GB2312" w:hAnsi="仿宋_GB2312" w:eastAsia="仿宋_GB2312" w:cs="仿宋_GB2312"/>
          <w:b w:val="0"/>
          <w:bCs/>
          <w:sz w:val="32"/>
          <w:szCs w:val="32"/>
        </w:rPr>
        <w:t>支出决算为2499.00万元，完成预算100%。</w:t>
      </w:r>
    </w:p>
    <w:p w14:paraId="15AFA8A1">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19.农林水支出（类）扶贫（款）其他扶贫支出（项）：</w:t>
      </w:r>
      <w:r>
        <w:rPr>
          <w:rStyle w:val="16"/>
          <w:rFonts w:hint="eastAsia" w:ascii="仿宋_GB2312" w:hAnsi="仿宋_GB2312" w:eastAsia="仿宋_GB2312" w:cs="仿宋_GB2312"/>
          <w:b w:val="0"/>
          <w:bCs/>
          <w:sz w:val="32"/>
          <w:szCs w:val="32"/>
        </w:rPr>
        <w:t>支出决算为1.00万元，完成预算100%。</w:t>
      </w:r>
    </w:p>
    <w:p w14:paraId="44963386">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20.住房保障支出(类)保障性安居工程支出(款)农村危房改造(项):</w:t>
      </w:r>
      <w:r>
        <w:rPr>
          <w:rStyle w:val="16"/>
          <w:rFonts w:hint="eastAsia" w:ascii="仿宋_GB2312" w:hAnsi="仿宋_GB2312" w:eastAsia="仿宋_GB2312" w:cs="仿宋_GB2312"/>
          <w:b w:val="0"/>
          <w:bCs/>
          <w:sz w:val="32"/>
          <w:szCs w:val="32"/>
        </w:rPr>
        <w:t>支出决算为25.20万元，完成预算100%。</w:t>
      </w:r>
    </w:p>
    <w:p w14:paraId="1660917A">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21.住房保障支出(类)保障性安居工程支出(款)保障性住房租金补贴(项):</w:t>
      </w:r>
      <w:r>
        <w:rPr>
          <w:rStyle w:val="16"/>
          <w:rFonts w:hint="eastAsia" w:ascii="仿宋_GB2312" w:hAnsi="仿宋_GB2312" w:eastAsia="仿宋_GB2312" w:cs="仿宋_GB2312"/>
          <w:b w:val="0"/>
          <w:bCs/>
          <w:sz w:val="32"/>
          <w:szCs w:val="32"/>
        </w:rPr>
        <w:t>支出决算为7.07万元，完成预算100%。</w:t>
      </w:r>
    </w:p>
    <w:p w14:paraId="3D4ABE96">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22.住房保障支出(类)保障性安居工程支出(款)老旧小区改造(项):</w:t>
      </w:r>
      <w:r>
        <w:rPr>
          <w:rStyle w:val="16"/>
          <w:rFonts w:hint="eastAsia" w:ascii="仿宋_GB2312" w:hAnsi="仿宋_GB2312" w:eastAsia="仿宋_GB2312" w:cs="仿宋_GB2312"/>
          <w:b w:val="0"/>
          <w:bCs/>
          <w:sz w:val="32"/>
          <w:szCs w:val="32"/>
        </w:rPr>
        <w:t>支出决算为400.62万元，完成预算100%。</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23.住房保障支出(类)保障性安居工程支出(款)其他保障性安居工程支出(项):</w:t>
      </w:r>
      <w:r>
        <w:rPr>
          <w:rStyle w:val="16"/>
          <w:rFonts w:hint="eastAsia" w:ascii="仿宋_GB2312" w:hAnsi="仿宋_GB2312" w:eastAsia="仿宋_GB2312" w:cs="仿宋_GB2312"/>
          <w:b w:val="0"/>
          <w:bCs/>
          <w:sz w:val="32"/>
          <w:szCs w:val="32"/>
        </w:rPr>
        <w:t>支出决算为1451.23万元，完成预算100%。</w:t>
      </w:r>
    </w:p>
    <w:p w14:paraId="1DCBA41B">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24.住房保障支出(类)住房改革支出(款)住房公积金(项):</w:t>
      </w:r>
      <w:r>
        <w:rPr>
          <w:rStyle w:val="16"/>
          <w:rFonts w:hint="eastAsia" w:ascii="仿宋_GB2312" w:hAnsi="仿宋_GB2312" w:eastAsia="仿宋_GB2312" w:cs="仿宋_GB2312"/>
          <w:b w:val="0"/>
          <w:bCs/>
          <w:sz w:val="32"/>
          <w:szCs w:val="32"/>
        </w:rPr>
        <w:t>支出决算为176.89万元，完成预算100%。</w:t>
      </w:r>
    </w:p>
    <w:p w14:paraId="79C7E471">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25.灾害防治及应急管理支出（类）消防事务（款）其他消防事务支出（项）:</w:t>
      </w:r>
      <w:r>
        <w:rPr>
          <w:rStyle w:val="16"/>
          <w:rFonts w:hint="eastAsia" w:ascii="仿宋_GB2312" w:hAnsi="仿宋_GB2312" w:eastAsia="仿宋_GB2312" w:cs="仿宋_GB2312"/>
          <w:b w:val="0"/>
          <w:bCs/>
          <w:sz w:val="32"/>
          <w:szCs w:val="32"/>
        </w:rPr>
        <w:t>支出决算为8.77万元，完成预算100%。</w:t>
      </w:r>
    </w:p>
    <w:p w14:paraId="57DA4B59">
      <w:pPr>
        <w:spacing w:line="600" w:lineRule="exact"/>
        <w:ind w:firstLine="640"/>
        <w:rPr>
          <w:rFonts w:ascii="仿宋_GB2312" w:hAnsi="仿宋_GB2312" w:eastAsia="仿宋_GB2312" w:cs="仿宋_GB2312"/>
          <w:bCs/>
          <w:sz w:val="32"/>
          <w:szCs w:val="32"/>
        </w:rPr>
      </w:pPr>
    </w:p>
    <w:p w14:paraId="18DD0CD2">
      <w:pPr>
        <w:tabs>
          <w:tab w:val="right" w:pos="8306"/>
        </w:tabs>
        <w:spacing w:line="600" w:lineRule="exact"/>
        <w:ind w:firstLine="640"/>
        <w:outlineLvl w:val="1"/>
        <w:rPr>
          <w:rStyle w:val="27"/>
        </w:rPr>
      </w:pPr>
      <w:bookmarkStart w:id="44" w:name="_Toc15396608"/>
      <w:bookmarkStart w:id="4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4"/>
      <w:bookmarkEnd w:id="45"/>
      <w:r>
        <w:rPr>
          <w:rStyle w:val="27"/>
          <w:rFonts w:ascii="黑体" w:hAnsi="黑体" w:eastAsia="黑体"/>
          <w:b w:val="0"/>
        </w:rPr>
        <w:tab/>
      </w:r>
    </w:p>
    <w:p w14:paraId="50037B42">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2021年一般公共预算财政拨款基本支出2538.66万元，其中：</w:t>
      </w:r>
    </w:p>
    <w:p w14:paraId="5A767C18">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2328.54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210.12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1B6013F">
      <w:pPr>
        <w:spacing w:line="600" w:lineRule="exact"/>
        <w:ind w:firstLine="640"/>
        <w:rPr>
          <w:rFonts w:ascii="仿宋_GB2312" w:hAnsi="仿宋_GB2312" w:eastAsia="仿宋_GB2312" w:cs="仿宋_GB2312"/>
          <w:sz w:val="32"/>
          <w:szCs w:val="32"/>
        </w:rPr>
      </w:pPr>
    </w:p>
    <w:p w14:paraId="6E395F06">
      <w:pPr>
        <w:spacing w:line="600" w:lineRule="exact"/>
        <w:ind w:firstLine="640"/>
        <w:outlineLvl w:val="1"/>
        <w:rPr>
          <w:rStyle w:val="27"/>
          <w:rFonts w:ascii="黑体" w:hAnsi="黑体" w:eastAsia="黑体"/>
          <w:b w:val="0"/>
        </w:rPr>
      </w:pPr>
      <w:bookmarkStart w:id="46" w:name="_Toc15377215"/>
      <w:bookmarkStart w:id="47"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6"/>
      <w:bookmarkEnd w:id="47"/>
    </w:p>
    <w:p w14:paraId="4234F9C5">
      <w:pPr>
        <w:spacing w:line="600" w:lineRule="exact"/>
        <w:ind w:firstLine="640"/>
        <w:outlineLvl w:val="2"/>
        <w:rPr>
          <w:rFonts w:ascii="楷体_GB2312" w:hAnsi="楷体_GB2312" w:eastAsia="楷体_GB2312" w:cs="楷体_GB2312"/>
          <w:bCs/>
          <w:sz w:val="32"/>
          <w:szCs w:val="32"/>
        </w:rPr>
      </w:pPr>
      <w:bookmarkStart w:id="48" w:name="_Toc15377216"/>
      <w:r>
        <w:rPr>
          <w:rFonts w:hint="eastAsia" w:ascii="楷体_GB2312" w:hAnsi="楷体_GB2312" w:eastAsia="楷体_GB2312" w:cs="楷体_GB2312"/>
          <w:bCs/>
          <w:sz w:val="32"/>
          <w:szCs w:val="32"/>
        </w:rPr>
        <w:t>（一）“三公”经费财政拨款支出决算总体情况说明</w:t>
      </w:r>
      <w:bookmarkEnd w:id="48"/>
    </w:p>
    <w:p w14:paraId="404BE099">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2021年“三公”经费财政拨款支出决算为36.85万元，完成预算100%。</w:t>
      </w:r>
    </w:p>
    <w:p w14:paraId="7263C5D6">
      <w:pPr>
        <w:spacing w:line="600" w:lineRule="exact"/>
        <w:ind w:firstLine="640"/>
        <w:outlineLvl w:val="2"/>
        <w:rPr>
          <w:rFonts w:ascii="楷体_GB2312" w:hAnsi="楷体_GB2312" w:eastAsia="楷体_GB2312" w:cs="楷体_GB2312"/>
          <w:bCs/>
          <w:sz w:val="32"/>
          <w:szCs w:val="32"/>
        </w:rPr>
      </w:pPr>
      <w:bookmarkStart w:id="49" w:name="_Toc15377217"/>
      <w:r>
        <w:rPr>
          <w:rFonts w:hint="eastAsia" w:ascii="楷体_GB2312" w:hAnsi="楷体_GB2312" w:eastAsia="楷体_GB2312" w:cs="楷体_GB2312"/>
          <w:bCs/>
          <w:sz w:val="32"/>
          <w:szCs w:val="32"/>
        </w:rPr>
        <w:t>（二）“三公”经费财政拨款支出决算具体情况说明</w:t>
      </w:r>
      <w:bookmarkEnd w:id="49"/>
    </w:p>
    <w:p w14:paraId="7AA77AF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35.58万元，占96.55%；公务接待费支出决算1.27万元，占3.45%。具体情况如下：（图7：“三公”经费财政拨款支出结构）（饼状图）</w:t>
      </w:r>
    </w:p>
    <w:p w14:paraId="1AC306EF">
      <w:pPr>
        <w:jc w:val="center"/>
        <w:outlineLvl w:val="1"/>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66285" cy="2740025"/>
            <wp:effectExtent l="19050" t="0" r="24269" b="3132"/>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7ECEFF">
      <w:pPr>
        <w:numPr>
          <w:ilvl w:val="0"/>
          <w:numId w:val="4"/>
        </w:num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因公出国（境）经费支出0万元，</w:t>
      </w:r>
      <w:r>
        <w:rPr>
          <w:rStyle w:val="16"/>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全年安排因公出国（境）团组0次，出国（境）0人。因公出国（境）支出决算与2020年持平。</w:t>
      </w:r>
    </w:p>
    <w:p w14:paraId="3CC0F78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2．公务用车购置及运行维护费支出35.58万元,</w:t>
      </w:r>
      <w:r>
        <w:rPr>
          <w:rStyle w:val="16"/>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公务用车购置及运行维护费支出决算比2020年增加19.66万元，增长123.49%。主要原因是更新购置1辆公务用车。</w:t>
      </w:r>
    </w:p>
    <w:p w14:paraId="7B3D9CB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其中：公务用车购置支出23.27万元。全年按规定更新购置公务用车1辆，其中：轿车0辆、金额0万元，越野车1辆、金额23.27万元，载客汽车0辆、金额0万元，主要用于</w:t>
      </w:r>
      <w:r>
        <w:rPr>
          <w:rFonts w:hint="eastAsia" w:ascii="仿宋_GB2312" w:hAnsi="仿宋_GB2312" w:eastAsia="仿宋_GB2312" w:cs="仿宋_GB2312"/>
          <w:bCs/>
          <w:sz w:val="32"/>
          <w:szCs w:val="32"/>
        </w:rPr>
        <w:t>市政基础设施建设、绿化亮化工程、建筑施工监管业务、农村危房业务、保障性住房建设、风景区违规建房监管等业务</w:t>
      </w:r>
      <w:r>
        <w:rPr>
          <w:rFonts w:hint="eastAsia" w:ascii="仿宋_GB2312" w:hAnsi="仿宋_GB2312" w:eastAsia="仿宋_GB2312" w:cs="仿宋_GB2312"/>
          <w:sz w:val="32"/>
          <w:szCs w:val="32"/>
        </w:rPr>
        <w:t>。截至2021年12月底，单位共有公务用车7辆，其中：轿车6辆、越野车1辆、载客汽车0辆。</w:t>
      </w:r>
    </w:p>
    <w:p w14:paraId="464025B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公务用车运行维护费支出12.31万元。</w:t>
      </w:r>
      <w:r>
        <w:rPr>
          <w:rFonts w:hint="eastAsia" w:ascii="仿宋" w:hAnsi="仿宋" w:eastAsia="仿宋" w:cs="仿宋"/>
          <w:color w:val="000000"/>
          <w:sz w:val="32"/>
          <w:szCs w:val="32"/>
        </w:rPr>
        <w:t>主</w:t>
      </w:r>
      <w:r>
        <w:rPr>
          <w:rFonts w:hint="eastAsia" w:ascii="仿宋_GB2312" w:hAnsi="仿宋_GB2312" w:eastAsia="仿宋_GB2312" w:cs="仿宋_GB2312"/>
          <w:sz w:val="32"/>
          <w:szCs w:val="32"/>
        </w:rPr>
        <w:t>要用于市政基础设施建设、绿化亮化工程、建筑施工监管业务、农房危房业务、保障性住房建设、风景区违规建房监管等管理所需的公务用车燃料费、维修（护）费、过路过桥费、保险费等支出。</w:t>
      </w:r>
    </w:p>
    <w:p w14:paraId="7743ABA8">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公务接待费支出1.27万元，</w:t>
      </w:r>
      <w:r>
        <w:rPr>
          <w:rStyle w:val="16"/>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Cs/>
          <w:sz w:val="32"/>
          <w:szCs w:val="32"/>
        </w:rPr>
        <w:t>公务接待费支出决算比2020年增加1.27万元。主要原因是相关部门执行公务及开展业务活动。其中：</w:t>
      </w:r>
    </w:p>
    <w:p w14:paraId="39CE9745">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1.27万元，主要用于执行公务、开展业务活动开支的用餐费等。国内公务接待3批次，144人次（不包括陪同人员），共计支出1.27万元，具体内容包括：配合乐山市人防办、自贡市人防办跨区域应急支援通信保障拉动训练，金额0.21万元；省住建厅、乐山市住建局赴峨眉山市对城镇污水处理</w:t>
      </w:r>
      <w:r>
        <w:rPr>
          <w:rFonts w:hint="eastAsia" w:ascii="仿宋_GB2312" w:hAnsi="仿宋_GB2312" w:eastAsia="仿宋_GB2312" w:cs="仿宋_GB2312"/>
          <w:bCs/>
          <w:sz w:val="32"/>
          <w:szCs w:val="32"/>
          <w:lang w:eastAsia="zh-CN"/>
        </w:rPr>
        <w:t>提</w:t>
      </w:r>
      <w:r>
        <w:rPr>
          <w:rFonts w:hint="eastAsia" w:ascii="仿宋_GB2312" w:hAnsi="仿宋_GB2312" w:eastAsia="仿宋_GB2312" w:cs="仿宋_GB2312"/>
          <w:bCs/>
          <w:sz w:val="32"/>
          <w:szCs w:val="32"/>
        </w:rPr>
        <w:t>质增效工作开展调研，金额0.13万元；省住建厅、省村镇建设发展中心、乐山市住建局在峨眉山市组织召开乐山市农房风险普查和“省级百强中心镇</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培育建设培训会，金额0.93万元。</w:t>
      </w:r>
    </w:p>
    <w:p w14:paraId="1E63D79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外事接待支出0万元，外事接待0批次，0人，共计支出0万元。</w:t>
      </w:r>
    </w:p>
    <w:p w14:paraId="485F2D99">
      <w:pPr>
        <w:spacing w:line="600" w:lineRule="exact"/>
        <w:ind w:firstLine="640"/>
        <w:outlineLvl w:val="1"/>
        <w:rPr>
          <w:rStyle w:val="27"/>
          <w:rFonts w:ascii="黑体" w:hAnsi="黑体" w:eastAsia="黑体"/>
        </w:rPr>
      </w:pPr>
      <w:bookmarkStart w:id="50" w:name="_Toc15396610"/>
      <w:bookmarkStart w:id="51" w:name="_Toc15377218"/>
      <w:r>
        <w:rPr>
          <w:rFonts w:hint="eastAsia" w:ascii="黑体" w:eastAsia="黑体"/>
          <w:sz w:val="32"/>
          <w:szCs w:val="32"/>
        </w:rPr>
        <w:t>八、</w:t>
      </w:r>
      <w:r>
        <w:rPr>
          <w:rStyle w:val="27"/>
          <w:rFonts w:hint="eastAsia" w:ascii="黑体" w:hAnsi="黑体" w:eastAsia="黑体"/>
          <w:b w:val="0"/>
        </w:rPr>
        <w:t>政府性基金预算支出决算情况说明</w:t>
      </w:r>
      <w:bookmarkEnd w:id="50"/>
      <w:bookmarkEnd w:id="51"/>
    </w:p>
    <w:p w14:paraId="66DA092F">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21年政府性基金预算财政拨款支出25925.77万元。</w:t>
      </w:r>
    </w:p>
    <w:p w14:paraId="6C2359B6">
      <w:pPr>
        <w:spacing w:line="600" w:lineRule="exact"/>
        <w:ind w:firstLine="640"/>
        <w:rPr>
          <w:rFonts w:ascii="仿宋_GB2312" w:eastAsia="仿宋_GB2312"/>
          <w:sz w:val="32"/>
          <w:szCs w:val="32"/>
        </w:rPr>
      </w:pPr>
    </w:p>
    <w:p w14:paraId="68B709A2">
      <w:pPr>
        <w:numPr>
          <w:ilvl w:val="0"/>
          <w:numId w:val="5"/>
        </w:numPr>
        <w:spacing w:line="600" w:lineRule="exact"/>
        <w:ind w:firstLine="640"/>
        <w:outlineLvl w:val="1"/>
        <w:rPr>
          <w:rStyle w:val="27"/>
          <w:rFonts w:ascii="黑体" w:hAnsi="黑体" w:eastAsia="黑体"/>
          <w:b w:val="0"/>
        </w:rPr>
      </w:pPr>
      <w:bookmarkStart w:id="52" w:name="_Toc15377219"/>
      <w:bookmarkStart w:id="53" w:name="_Toc15396611"/>
      <w:r>
        <w:rPr>
          <w:rStyle w:val="27"/>
          <w:rFonts w:hint="eastAsia" w:ascii="黑体" w:hAnsi="黑体" w:eastAsia="黑体"/>
          <w:b w:val="0"/>
        </w:rPr>
        <w:t>国有资本经营预算支出决算情况说明</w:t>
      </w:r>
      <w:bookmarkEnd w:id="52"/>
      <w:bookmarkEnd w:id="53"/>
    </w:p>
    <w:p w14:paraId="41798B35">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211DD6FC">
      <w:pPr>
        <w:spacing w:line="600" w:lineRule="exact"/>
        <w:jc w:val="center"/>
        <w:rPr>
          <w:rFonts w:ascii="方正小标宋简体" w:hAnsi="方正小标宋简体" w:eastAsia="方正小标宋简体" w:cs="方正小标宋简体"/>
          <w:sz w:val="44"/>
          <w:szCs w:val="44"/>
        </w:rPr>
      </w:pPr>
    </w:p>
    <w:p w14:paraId="2299F5A7">
      <w:pPr>
        <w:numPr>
          <w:ilvl w:val="0"/>
          <w:numId w:val="5"/>
        </w:numPr>
        <w:spacing w:line="600" w:lineRule="exact"/>
        <w:ind w:firstLine="640"/>
        <w:outlineLvl w:val="1"/>
        <w:rPr>
          <w:rStyle w:val="27"/>
          <w:rFonts w:ascii="黑体" w:hAnsi="黑体" w:eastAsia="黑体"/>
          <w:b w:val="0"/>
        </w:rPr>
      </w:pPr>
      <w:bookmarkStart w:id="54" w:name="_Toc15377221"/>
      <w:bookmarkStart w:id="55" w:name="_Toc15396612"/>
      <w:r>
        <w:rPr>
          <w:rStyle w:val="27"/>
          <w:rFonts w:hint="eastAsia" w:ascii="黑体" w:hAnsi="黑体" w:eastAsia="黑体"/>
          <w:b w:val="0"/>
        </w:rPr>
        <w:t>其他重要事项的情况说明</w:t>
      </w:r>
      <w:bookmarkEnd w:id="54"/>
      <w:bookmarkEnd w:id="55"/>
    </w:p>
    <w:p w14:paraId="7FDF04AE">
      <w:pPr>
        <w:spacing w:line="600" w:lineRule="exact"/>
        <w:ind w:firstLine="640" w:firstLineChars="200"/>
        <w:outlineLvl w:val="2"/>
        <w:rPr>
          <w:rFonts w:ascii="楷体_GB2312" w:hAnsi="楷体_GB2312" w:eastAsia="楷体_GB2312" w:cs="楷体_GB2312"/>
          <w:bCs/>
          <w:sz w:val="32"/>
          <w:szCs w:val="32"/>
        </w:rPr>
      </w:pPr>
      <w:bookmarkStart w:id="56" w:name="_Toc15377222"/>
      <w:r>
        <w:rPr>
          <w:rFonts w:hint="eastAsia" w:ascii="楷体_GB2312" w:hAnsi="楷体_GB2312" w:eastAsia="楷体_GB2312" w:cs="楷体_GB2312"/>
          <w:bCs/>
          <w:sz w:val="32"/>
          <w:szCs w:val="32"/>
        </w:rPr>
        <w:t>（一）机关运行经费支出情况</w:t>
      </w:r>
      <w:bookmarkEnd w:id="56"/>
    </w:p>
    <w:p w14:paraId="790F0E9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2021年，峨眉山市住房和城乡建设局机关运行经费支出68.03万元，比2020年增加3.65万元，增长5.37%。主要原因是人员增加。</w:t>
      </w:r>
    </w:p>
    <w:p w14:paraId="331F235C">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7" w:name="_Toc15377223"/>
      <w:r>
        <w:rPr>
          <w:rFonts w:hint="eastAsia" w:ascii="楷体_GB2312" w:hAnsi="楷体_GB2312" w:eastAsia="楷体_GB2312" w:cs="楷体_GB2312"/>
          <w:bCs/>
          <w:sz w:val="32"/>
          <w:szCs w:val="32"/>
        </w:rPr>
        <w:t>（二）政府采购支出情况</w:t>
      </w:r>
      <w:bookmarkEnd w:id="57"/>
    </w:p>
    <w:p w14:paraId="64DFD63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2021年，峨眉山市住房和城乡建设局（汇总）政府采购支出总额1525.63万元，其中：政府采购货物支出245.64万元、政府采购工程支出1117.15万元、政府采购服务支出162.84万元。主要用于</w:t>
      </w:r>
      <w:r>
        <w:rPr>
          <w:rFonts w:hint="eastAsia" w:ascii="仿宋_GB2312" w:hAnsi="仿宋" w:eastAsia="仿宋_GB2312" w:cs="仿宋"/>
          <w:bCs/>
          <w:color w:val="000000"/>
          <w:sz w:val="32"/>
          <w:szCs w:val="32"/>
        </w:rPr>
        <w:t>城市风貌改造项目、弱电网改造项目、污水处理站点提标改造项目资金、城区雨污分流改造工程尾款及城区道路景观环境整治提升设计费、乐都九里罗目省道103线亮化项目、</w:t>
      </w:r>
      <w:r>
        <w:rPr>
          <w:rFonts w:hint="eastAsia" w:ascii="仿宋" w:hAnsi="仿宋" w:eastAsia="仿宋" w:cs="仿宋"/>
          <w:sz w:val="32"/>
          <w:szCs w:val="32"/>
          <w:lang w:val="zh-CN"/>
        </w:rPr>
        <w:t>线路迁改工程；公厕规划及修建；城区道路景点维护费、绿化亮化工程；环卫设施设备维修维护费等</w:t>
      </w:r>
      <w:r>
        <w:rPr>
          <w:rFonts w:hint="eastAsia" w:ascii="仿宋_GB2312" w:hAnsi="仿宋_GB2312" w:eastAsia="仿宋_GB2312" w:cs="仿宋_GB2312"/>
          <w:sz w:val="32"/>
          <w:szCs w:val="32"/>
        </w:rPr>
        <w:t>。授予中小企业合同金额0万元，占政府采购支出总额的0%，其中：授予小微企业合同金额0万元，占政府采购支出总额的0%。</w:t>
      </w:r>
    </w:p>
    <w:p w14:paraId="75FD1191">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8" w:name="_Toc15377224"/>
      <w:r>
        <w:rPr>
          <w:rFonts w:hint="eastAsia" w:ascii="楷体_GB2312" w:hAnsi="楷体_GB2312" w:eastAsia="楷体_GB2312" w:cs="楷体_GB2312"/>
          <w:bCs/>
          <w:sz w:val="32"/>
          <w:szCs w:val="32"/>
        </w:rPr>
        <w:t>（三）国有资产占有使用情况</w:t>
      </w:r>
      <w:bookmarkEnd w:id="58"/>
    </w:p>
    <w:p w14:paraId="6D4C6EF5">
      <w:pPr>
        <w:autoSpaceDE w:val="0"/>
        <w:autoSpaceDN w:val="0"/>
        <w:adjustRightInd w:val="0"/>
        <w:spacing w:line="600" w:lineRule="exact"/>
        <w:ind w:firstLine="640" w:firstLineChars="200"/>
        <w:jc w:val="left"/>
        <w:rPr>
          <w:rFonts w:ascii="仿宋" w:hAnsi="仿宋" w:eastAsia="仿宋" w:cs="仿宋"/>
          <w:color w:val="000000"/>
          <w:sz w:val="32"/>
          <w:szCs w:val="32"/>
        </w:rPr>
      </w:pPr>
      <w:r>
        <w:rPr>
          <w:rFonts w:hint="eastAsia" w:ascii="仿宋_GB2312" w:hAnsi="仿宋_GB2312" w:eastAsia="仿宋_GB2312" w:cs="仿宋_GB2312"/>
          <w:sz w:val="32"/>
          <w:szCs w:val="32"/>
        </w:rPr>
        <w:t>截至2021年12月31日，峨眉山市住房和城乡建设局（汇总）</w:t>
      </w:r>
      <w:r>
        <w:rPr>
          <w:rFonts w:hint="eastAsia" w:ascii="仿宋" w:hAnsi="仿宋" w:eastAsia="仿宋" w:cs="仿宋"/>
          <w:color w:val="000000"/>
          <w:sz w:val="32"/>
          <w:szCs w:val="32"/>
        </w:rPr>
        <w:t>共有车辆128辆，其中：主要领导干部用车0辆、机要通信用车0辆、应急保障用车4辆、其他用车124辆，其他用车主要是市政基础设施管理、房地产业务管理、绿化亮化提升管理业务、城区环境卫生管理等。单价50万元以上通用设备0台（套），单价100万元以上专用设备0台（套）。</w:t>
      </w:r>
    </w:p>
    <w:p w14:paraId="6F9FE6A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F33B9F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住棚户区改造一期项目、保障性安居工程等建设项目、海天水务污水处理费、峨眉山市城市绿化保障中心城区绿化及道路景点维护费、峨眉山市住房保障和房地产事务中心购房补贴、峨眉山市环境卫生服务中心生活垃圾处理费、峨眉山市城乡建设服务中心运行费等42个项目开展了预算事前绩效评估，对42个项目编制了绩效目标，预算执行过程中，选取42个项目开展绩效监控，年终执行完毕后，对42个项目开展了绩效自评。同时，本部门对2021年部门整体开展绩效自评，《2021年峨眉山市住房和城乡建设局部门整体绩效评价报告》见附件（第四部分）。</w:t>
      </w:r>
    </w:p>
    <w:p w14:paraId="13B3FDF6">
      <w:pPr>
        <w:widowControl/>
        <w:spacing w:line="600" w:lineRule="exact"/>
        <w:jc w:val="left"/>
        <w:rPr>
          <w:rFonts w:ascii="仿宋_GB2312" w:eastAsia="仿宋_GB2312"/>
          <w:b/>
          <w:sz w:val="32"/>
          <w:szCs w:val="32"/>
        </w:rPr>
      </w:pPr>
      <w:r>
        <w:rPr>
          <w:rFonts w:ascii="仿宋_GB2312" w:eastAsia="仿宋_GB2312"/>
          <w:b/>
          <w:sz w:val="32"/>
          <w:szCs w:val="32"/>
        </w:rPr>
        <w:br w:type="page"/>
      </w:r>
    </w:p>
    <w:p w14:paraId="03B87A3F">
      <w:pPr>
        <w:spacing w:line="600" w:lineRule="exact"/>
        <w:jc w:val="center"/>
        <w:outlineLvl w:val="0"/>
        <w:rPr>
          <w:rStyle w:val="26"/>
          <w:rFonts w:ascii="方正小标宋_GBK" w:hAnsi="方正小标宋_GBK" w:eastAsia="方正小标宋_GBK" w:cs="方正小标宋_GBK"/>
          <w:b w:val="0"/>
        </w:rPr>
      </w:pPr>
      <w:bookmarkStart w:id="59" w:name="_Toc15377225"/>
      <w:bookmarkStart w:id="60" w:name="_Toc15396613"/>
      <w:r>
        <w:rPr>
          <w:rFonts w:hint="eastAsia" w:ascii="方正小标宋_GBK" w:hAnsi="方正小标宋_GBK" w:eastAsia="方正小标宋_GBK" w:cs="方正小标宋_GBK"/>
          <w:sz w:val="44"/>
          <w:szCs w:val="44"/>
        </w:rPr>
        <w:t>第三部分 名</w:t>
      </w:r>
      <w:r>
        <w:rPr>
          <w:rStyle w:val="26"/>
          <w:rFonts w:hint="eastAsia" w:ascii="方正小标宋_GBK" w:hAnsi="方正小标宋_GBK" w:eastAsia="方正小标宋_GBK" w:cs="方正小标宋_GBK"/>
          <w:b w:val="0"/>
        </w:rPr>
        <w:t>词解释</w:t>
      </w:r>
      <w:bookmarkEnd w:id="59"/>
      <w:bookmarkEnd w:id="60"/>
    </w:p>
    <w:p w14:paraId="677BE90D">
      <w:pPr>
        <w:spacing w:line="600" w:lineRule="exact"/>
        <w:jc w:val="left"/>
        <w:rPr>
          <w:rFonts w:ascii="宋体"/>
          <w:b/>
          <w:sz w:val="44"/>
          <w:szCs w:val="44"/>
        </w:rPr>
      </w:pPr>
    </w:p>
    <w:p w14:paraId="5343FFA9">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63AA8AA8">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14:paraId="15EDD43E">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14:paraId="09C1436D">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w:t>
      </w:r>
    </w:p>
    <w:p w14:paraId="2A5B5429">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14:paraId="6AAE8590">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14:paraId="6E7E57A0">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14:paraId="5D0E7558">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14:paraId="1814A1C2">
      <w:pPr>
        <w:pStyle w:val="24"/>
        <w:spacing w:line="600" w:lineRule="exact"/>
        <w:ind w:firstLine="640" w:firstLineChars="200"/>
        <w:rPr>
          <w:rFonts w:ascii="仿宋_GB2312" w:eastAsia="仿宋_GB2312"/>
          <w:color w:val="auto"/>
          <w:sz w:val="32"/>
          <w:szCs w:val="32"/>
        </w:rPr>
      </w:pPr>
      <w:r>
        <w:rPr>
          <w:rFonts w:hint="eastAsia" w:hAnsi="仿宋"/>
          <w:sz w:val="32"/>
          <w:szCs w:val="32"/>
        </w:rPr>
        <w:t>九、</w:t>
      </w:r>
      <w:r>
        <w:rPr>
          <w:rFonts w:hint="eastAsia" w:ascii="仿宋_GB2312" w:eastAsia="仿宋_GB2312"/>
          <w:color w:val="auto"/>
          <w:sz w:val="32"/>
          <w:szCs w:val="32"/>
        </w:rPr>
        <w:t>一般公共服务支出（类）政府办公厅室及相关机构事务（款）事业运行(项)：反映事业单位的基本支出，不包括行政单位（包括实行公务员管理的事业单位）后勤服务中心、医务室等附属事业单位。</w:t>
      </w:r>
    </w:p>
    <w:p w14:paraId="67F94ED2">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十、国防支出(类)国防动员(款)人民防空(项): 指反映人民防空工程建设、宣传等方面支出。</w:t>
      </w:r>
    </w:p>
    <w:p w14:paraId="1BA4AF7D">
      <w:pPr>
        <w:pStyle w:val="2"/>
        <w:spacing w:before="93"/>
        <w:rPr>
          <w:rFonts w:hAnsi="Calibri" w:cs="仿宋"/>
          <w:sz w:val="32"/>
          <w:szCs w:val="32"/>
        </w:rPr>
      </w:pPr>
      <w:r>
        <w:rPr>
          <w:rFonts w:hint="eastAsia" w:ascii="仿宋" w:hAnsi="仿宋" w:eastAsia="仿宋" w:cs="仿宋"/>
          <w:sz w:val="32"/>
          <w:szCs w:val="32"/>
        </w:rPr>
        <w:t xml:space="preserve">    十一、</w:t>
      </w:r>
      <w:r>
        <w:rPr>
          <w:rFonts w:hint="eastAsia" w:hAnsi="Calibri" w:cs="仿宋"/>
          <w:sz w:val="32"/>
          <w:szCs w:val="32"/>
        </w:rPr>
        <w:t>教育支出（类）教育费附加安排的支出（款）农村中小学校舍建设（项）：指反映教育费附加安排用于农村中小学校舍新建、改建、修缮和维护的支出。</w:t>
      </w:r>
    </w:p>
    <w:p w14:paraId="6A73C6FD">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十二、社会保障和就业支出(类)行政事业单位养老支出(款)机关事业单位基本养老保险缴费支出(项):指反映机关事业单位实施养老保险制度由单位缴纳的基本养老保险费支出。</w:t>
      </w:r>
    </w:p>
    <w:p w14:paraId="0169B23B">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十三、社会保障和就业支出(类)行政事业单位养老支出(款)机关事业单位职业年金缴费支出(项):指反映机关事业单位实施养老保险制度由单位实际缴纳的职业年金支出。</w:t>
      </w:r>
    </w:p>
    <w:p w14:paraId="63988676">
      <w:pPr>
        <w:spacing w:line="500" w:lineRule="exact"/>
        <w:ind w:firstLine="663"/>
        <w:rPr>
          <w:rFonts w:ascii="仿宋_GB2312" w:hAnsi="Calibri" w:eastAsia="仿宋_GB2312" w:cs="仿宋"/>
          <w:kern w:val="0"/>
          <w:sz w:val="32"/>
          <w:szCs w:val="32"/>
        </w:rPr>
      </w:pPr>
      <w:r>
        <w:rPr>
          <w:rFonts w:hint="eastAsia" w:ascii="仿宋_GB2312" w:hAnsi="Calibri" w:eastAsia="仿宋_GB2312" w:cs="仿宋"/>
          <w:kern w:val="0"/>
          <w:sz w:val="32"/>
          <w:szCs w:val="32"/>
        </w:rPr>
        <w:t>十四、社会保障和就业支出(类)抚恤(款)死亡抚恤(项):指反映按规定用于烈士和牺牲、病故人员家属的一次性和定期抚恤金以及丧葬补助费。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十五、社会保障和就业支出(类)抚恤(款)其他优抚支出(项):指反映除上述项目以外其他用于优抚方面的支出。</w:t>
      </w:r>
    </w:p>
    <w:p w14:paraId="25423052">
      <w:pPr>
        <w:spacing w:line="500" w:lineRule="exact"/>
        <w:ind w:firstLine="663"/>
        <w:rPr>
          <w:rFonts w:ascii="仿宋_GB2312" w:hAnsi="Calibri" w:eastAsia="仿宋_GB2312" w:cs="仿宋"/>
          <w:kern w:val="0"/>
          <w:sz w:val="32"/>
          <w:szCs w:val="32"/>
        </w:rPr>
      </w:pPr>
      <w:r>
        <w:rPr>
          <w:rFonts w:hint="eastAsia" w:ascii="仿宋_GB2312" w:hAnsi="Calibri" w:eastAsia="仿宋_GB2312" w:cs="仿宋"/>
          <w:kern w:val="0"/>
          <w:sz w:val="32"/>
          <w:szCs w:val="32"/>
        </w:rPr>
        <w:t>十六、社会保障和就业支出(类)其他社会保障和就业支出(款)其他社会保障和就业支出（项）：指反映上述项目以外其他用于社会保障和就业方面的支出。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十七、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十八、卫生健康支出(类)行政事业单位医疗(款)事业单位医疗(项):指反映财政部门安排的事业单位基本医疗保险缴费经费,未参加医疗保险的事业单位的公费医疗经费,按国家规定享受离休人员待遇人员的医疗经费。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十九、城乡社区支出(类)城乡社区管理事务(款)行政运行(项):指反映行政单位(包括实行公务员管理的事业单位)的基本支出。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二十、城乡社区支出(类)城乡社区管理事务(款)一般行政管理事务(项):指反映行政单位(包括实行公务员管理的事业单位)未单独设置项级科目的其他项目支出。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一、城乡社区支出(类)城乡社区管理事务(款)住宅建设与房地产市场监管(项):指反映调控房地产市场运行、研究拟定城镇住房制度改革法规、对住房公积金和其他房改资金进行政策指导并监督使用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二十二、城乡社区支出(类)城乡社区管理事务(款)其他城乡社区管理事务支出(项):指反映除上述项目以外其他用于其他城乡社区管理事务方面的支出。</w:t>
      </w:r>
    </w:p>
    <w:p w14:paraId="0B51AFC8">
      <w:pPr>
        <w:spacing w:line="500" w:lineRule="exact"/>
        <w:ind w:firstLine="663"/>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二十三、城乡社区支出(类)城乡社区公共设施(款)其他城乡社区公共设施支出(项):指反映除上述项目以外其他用于城乡公共设施方面的支出。 </w:t>
      </w:r>
    </w:p>
    <w:p w14:paraId="2F271768">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二十四、城乡社区支出(类)城乡社区环境卫生(款)城乡社区环境卫生（项):指反映除城乡社区道路清扫、垃圾清运与处理、公厕建设与维护、园林绿化等方面的支出。</w:t>
      </w:r>
    </w:p>
    <w:p w14:paraId="77B849E5">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五、城乡社区支出（类）建设市场管理与监督（款）建设市场管理与监督（项）：指反映各类建筑工程强制性和推荐性标准及规范的制定与修改、建筑工程招投标等市场管理、建筑工程质量与安全监督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二十六、城乡社区支出(类)国有土地使用权出让收入安排的支出(款)土地开发支出(项):指反映新疆</w:t>
      </w:r>
      <w:r>
        <w:rPr>
          <w:rFonts w:hint="eastAsia" w:ascii="仿宋_GB2312" w:hAnsi="Calibri" w:eastAsia="仿宋_GB2312" w:cs="仿宋"/>
          <w:kern w:val="0"/>
          <w:sz w:val="32"/>
          <w:szCs w:val="32"/>
          <w:lang w:eastAsia="zh-CN"/>
        </w:rPr>
        <w:t>生产</w:t>
      </w:r>
      <w:r>
        <w:rPr>
          <w:rFonts w:hint="eastAsia" w:ascii="仿宋_GB2312" w:hAnsi="Calibri" w:eastAsia="仿宋_GB2312" w:cs="仿宋"/>
          <w:kern w:val="0"/>
          <w:sz w:val="32"/>
          <w:szCs w:val="32"/>
        </w:rPr>
        <w:t>建设兵团和地方政府用于前期土地开发性支出以及前期土地开发相关的费用等支出。</w:t>
      </w:r>
    </w:p>
    <w:p w14:paraId="52D472F5">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二十七、城乡社区支出(类)国有土地使用权出让收入安排的支出(款)城市建设支出(项):指反映土地出让收入用于完善国有土地使用功能的配套设施建设和城市基础设施建设支出。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八、城乡社区支出(类)国有土地使用权出让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14:paraId="2BDA92E0">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二十九、城乡社区支出(类)国有土地收益基金安排的支出(款)土地开发支出(项):指反映从国有土地收益基金安排用于收购储备土地需要支付的前期土地开发性支出以及前期土地开发相关的费用等支出。</w:t>
      </w:r>
    </w:p>
    <w:p w14:paraId="6449E88E">
      <w:pPr>
        <w:pStyle w:val="2"/>
        <w:spacing w:before="93"/>
        <w:ind w:firstLine="640" w:firstLineChars="200"/>
        <w:rPr>
          <w:rFonts w:hAnsi="Calibri" w:cs="仿宋"/>
          <w:sz w:val="32"/>
          <w:szCs w:val="32"/>
        </w:rPr>
      </w:pPr>
      <w:r>
        <w:rPr>
          <w:rFonts w:hint="eastAsia" w:hAnsi="Calibri" w:cs="仿宋"/>
          <w:sz w:val="32"/>
          <w:szCs w:val="32"/>
        </w:rPr>
        <w:t>三十、城乡社区支出(类)国有土地收益基金安排的支出(款)其他国有土地收益基金安排的支出(项):指反映从国有土地收益基金安排用于其他支出。</w:t>
      </w:r>
    </w:p>
    <w:p w14:paraId="2703B5F4">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三十一、城乡社区支出(类)农业土地开发资金安排的支出（款）农业土地开发资金安排的支出（项）：指反映从计提的农业土地开发资金中安排用于农业土地开发的支出。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三十二、城乡社区支出(类)城市基础设施配套费安排的支出(款)城市公共设施(项):指反映城市基础设施配套费安排用于城市道路、桥涵、公共交通、道路照明、供排水、燃气、供热等公共设施维护、建设和管理方面的支出。</w:t>
      </w:r>
    </w:p>
    <w:p w14:paraId="4F328D87">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三十三、城乡社区支出(类)城市基础设施配套费安排的支出(款)城市环境卫生(项):指反映城市基础设施配套费安排用于道路清扫、垃圾清运与处理、污水处理、园林绿化等方面的支出。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三十四、城乡社区支出(类)城市基础设施配套费安排的支出(款)其他城市基础设施配套费安排的支出(项):指反映上述项目以外的城市基础设施配套费支出。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三十五、城乡社区支出(类)污水处理费安排的支出(款)其他污水处理费安排的支出(项):指反映用污水处理费安排的用于污水处理设施建设和运营方面的支出。</w:t>
      </w:r>
    </w:p>
    <w:p w14:paraId="360C6820">
      <w:pPr>
        <w:pStyle w:val="2"/>
        <w:spacing w:before="93"/>
        <w:ind w:firstLine="640" w:firstLineChars="200"/>
        <w:rPr>
          <w:rFonts w:hAnsi="Calibri" w:cs="仿宋"/>
          <w:sz w:val="32"/>
          <w:szCs w:val="32"/>
        </w:rPr>
      </w:pPr>
      <w:r>
        <w:rPr>
          <w:rFonts w:hint="eastAsia" w:hAnsi="Calibri" w:cs="仿宋"/>
          <w:sz w:val="32"/>
          <w:szCs w:val="32"/>
        </w:rPr>
        <w:t>三十六、城乡社区支出(类)污水处理费安排的支出(款)污水处理设施建设和运营(项)：指反映用污水处理费安排的其他支出。</w:t>
      </w:r>
    </w:p>
    <w:p w14:paraId="549F444C">
      <w:pPr>
        <w:pStyle w:val="2"/>
        <w:spacing w:before="93"/>
        <w:ind w:firstLine="640" w:firstLineChars="200"/>
        <w:rPr>
          <w:rFonts w:hAnsi="Calibri" w:cs="仿宋"/>
          <w:sz w:val="32"/>
          <w:szCs w:val="32"/>
        </w:rPr>
      </w:pPr>
      <w:r>
        <w:rPr>
          <w:rFonts w:hint="eastAsia" w:hAnsi="Calibri" w:cs="仿宋"/>
          <w:sz w:val="32"/>
          <w:szCs w:val="32"/>
        </w:rPr>
        <w:t>三十七、城乡社区支出(类)其他城乡社区支出（款）其他城乡社区支出（项）:指反映上述项目以外其他用于城乡社区方面的支出。</w:t>
      </w:r>
    </w:p>
    <w:p w14:paraId="25E9D98C">
      <w:pPr>
        <w:pStyle w:val="2"/>
        <w:spacing w:before="93"/>
        <w:ind w:firstLine="640" w:firstLineChars="200"/>
        <w:rPr>
          <w:rFonts w:hAnsi="Calibri" w:cs="仿宋"/>
          <w:sz w:val="32"/>
          <w:szCs w:val="32"/>
        </w:rPr>
      </w:pPr>
      <w:r>
        <w:rPr>
          <w:rFonts w:hint="eastAsia" w:hAnsi="Calibri" w:cs="仿宋"/>
          <w:sz w:val="32"/>
          <w:szCs w:val="32"/>
        </w:rPr>
        <w:t>三十八、农林水支出（类）水利（款）其他水利支出（项）：指反映除上述项目以外其他用于水利方面的支出。</w:t>
      </w:r>
    </w:p>
    <w:p w14:paraId="3DCB5005">
      <w:pPr>
        <w:pStyle w:val="2"/>
        <w:spacing w:before="93"/>
        <w:ind w:firstLine="640" w:firstLineChars="200"/>
        <w:rPr>
          <w:rFonts w:hAnsi="Calibri" w:cs="仿宋"/>
          <w:sz w:val="32"/>
          <w:szCs w:val="32"/>
        </w:rPr>
      </w:pPr>
      <w:r>
        <w:rPr>
          <w:rFonts w:hint="eastAsia" w:hAnsi="Calibri" w:cs="仿宋"/>
          <w:sz w:val="32"/>
          <w:szCs w:val="32"/>
        </w:rPr>
        <w:t>三十九、农林水支出（类）扶贫（款）其他扶贫支出（项）：指反映除上述项目以外其他用于扶贫方面的支出。</w:t>
      </w:r>
    </w:p>
    <w:p w14:paraId="2D3DBA18">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四十、住房保障支出(类)保障性安居工程支出(款)农村危房改造(项):指反映用于农村危房改造方面的支出。</w:t>
      </w:r>
    </w:p>
    <w:p w14:paraId="05B1B78A">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四十一、住房保障支出(类)保障性安居工程支出(款)保障性住房租金补贴(项):指反映用于各级政府向低收入住房保障家庭发放的住房租赁补贴支出。</w:t>
      </w:r>
    </w:p>
    <w:p w14:paraId="5B05A573">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四十二、住房保障支出(类)保障性安居工程支出(款)老旧小区改造(项):指反映用于老旧小区改造方面的支出。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四十三、住房保障支出(类)保障性安居工程支出(款)其他保障性安居工程支出(项):指反映除上述项目以外其他用于保障性住房方面的支出。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四十四、住房保障支出(类)住房改革支出(款)住房公积金(项):指反映行政事业单位按人力资源和社会保障部、财政部规定的基本工资和津贴补贴以及规定比例为职工缴纳的住房公积金。</w:t>
      </w:r>
    </w:p>
    <w:p w14:paraId="6307530F">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四十五、灾害防治及应急管理支出（类）消防事务（款）其他消防事务支出（项）:指反映除上述项目以外其他用于消防方面的支出。</w:t>
      </w:r>
    </w:p>
    <w:p w14:paraId="387A0239">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四十六、其他支出（类）其他政府性基金及对应专项债务收入安排的支出（款）其他政府性基金安排的支出（项）：指反映其他政府性基金安排的支出（包括用以前年度欠款收入安排的支出）。</w:t>
      </w:r>
    </w:p>
    <w:p w14:paraId="34E0D01A">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四十七、其他支出（类）其他政府性基金及对应专项债务收入安排的支出（款）其他地方自行试点项目收益专项债券收入安排的支出（项）：指其他地方自行试点项目收益专项债券收入安排的支出。</w:t>
      </w:r>
    </w:p>
    <w:p w14:paraId="5360CADE">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四十八、基本支出：指为保障机构正常运转、完成日常工作任务而发生的人员支出和公用支出。</w:t>
      </w:r>
    </w:p>
    <w:p w14:paraId="34B6F957">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四十九、项目支出：指在基本支出之外为完成特定行政任务和事业发展目标所发生的支出。 </w:t>
      </w:r>
    </w:p>
    <w:p w14:paraId="3098B922">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五十、经营支出：指事业单位在专业业务活动及其辅助活动之外开展非独立核算经营活动发生的支出。</w:t>
      </w:r>
    </w:p>
    <w:p w14:paraId="1301BFF1">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十一、“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42BD946">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十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6ACD0D">
      <w:pPr>
        <w:spacing w:line="600" w:lineRule="exact"/>
        <w:jc w:val="center"/>
        <w:outlineLvl w:val="0"/>
        <w:rPr>
          <w:rStyle w:val="26"/>
          <w:rFonts w:ascii="方正小标宋_GBK" w:hAnsi="方正小标宋_GBK" w:eastAsia="方正小标宋_GBK" w:cs="方正小标宋_GBK"/>
          <w:b w:val="0"/>
          <w:bCs w:val="0"/>
        </w:rPr>
      </w:pPr>
      <w:bookmarkStart w:id="61" w:name="_Toc15377226"/>
      <w:r>
        <w:rPr>
          <w:rFonts w:ascii="宋体"/>
          <w:b/>
          <w:sz w:val="44"/>
          <w:szCs w:val="44"/>
        </w:rPr>
        <w:br w:type="page"/>
      </w:r>
      <w:bookmarkStart w:id="62" w:name="_Toc15396614"/>
      <w:r>
        <w:rPr>
          <w:rFonts w:hint="eastAsia" w:ascii="方正小标宋_GBK" w:hAnsi="方正小标宋_GBK" w:eastAsia="方正小标宋_GBK" w:cs="方正小标宋_GBK"/>
          <w:sz w:val="44"/>
          <w:szCs w:val="44"/>
        </w:rPr>
        <w:t>第</w:t>
      </w:r>
      <w:r>
        <w:rPr>
          <w:rStyle w:val="26"/>
          <w:rFonts w:hint="eastAsia" w:ascii="方正小标宋_GBK" w:hAnsi="方正小标宋_GBK" w:eastAsia="方正小标宋_GBK" w:cs="方正小标宋_GBK"/>
          <w:b w:val="0"/>
          <w:bCs w:val="0"/>
        </w:rPr>
        <w:t>四部分 附件</w:t>
      </w:r>
      <w:bookmarkEnd w:id="62"/>
    </w:p>
    <w:p w14:paraId="73B3F5DE">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56A2A023">
      <w:pPr>
        <w:spacing w:line="600" w:lineRule="exact"/>
        <w:jc w:val="center"/>
        <w:rPr>
          <w:rFonts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2021年峨眉山市住房和城乡建设局部门整体绩效评价报告</w:t>
      </w:r>
    </w:p>
    <w:p w14:paraId="007299CE">
      <w:pPr>
        <w:widowControl/>
        <w:spacing w:line="600" w:lineRule="exact"/>
        <w:ind w:firstLine="640" w:firstLineChars="200"/>
        <w:contextualSpacing/>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（报告范围包括机关和下属单位）</w:t>
      </w:r>
    </w:p>
    <w:p w14:paraId="154D63B9">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14:paraId="746D5204">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6052BC8A">
      <w:pPr>
        <w:widowControl/>
        <w:adjustRightInd w:val="0"/>
        <w:snapToGrid w:val="0"/>
        <w:spacing w:line="600" w:lineRule="exact"/>
        <w:ind w:firstLine="640" w:firstLineChars="200"/>
        <w:contextualSpacing/>
        <w:jc w:val="left"/>
        <w:rPr>
          <w:rFonts w:ascii="仿宋_GB2312" w:eastAsia="仿宋_GB2312"/>
          <w:sz w:val="32"/>
          <w:szCs w:val="32"/>
          <w:lang w:val="zh-CN"/>
        </w:rPr>
      </w:pPr>
      <w:r>
        <w:rPr>
          <w:rFonts w:hint="eastAsia" w:ascii="楷体_GB2312" w:hAnsi="楷体_GB2312" w:eastAsia="楷体_GB2312" w:cs="楷体_GB2312"/>
          <w:kern w:val="0"/>
          <w:sz w:val="32"/>
          <w:szCs w:val="32"/>
          <w:shd w:val="clear" w:color="auto" w:fill="FFFFFF"/>
          <w:lang w:val="zh-CN"/>
        </w:rPr>
        <w:t>（</w:t>
      </w:r>
      <w:r>
        <w:rPr>
          <w:rFonts w:hint="eastAsia" w:ascii="仿宋_GB2312" w:eastAsia="仿宋_GB2312"/>
          <w:sz w:val="32"/>
          <w:szCs w:val="32"/>
          <w:lang w:val="zh-CN"/>
        </w:rPr>
        <w:t>一）机构组成</w:t>
      </w:r>
    </w:p>
    <w:p w14:paraId="6DDE27CD">
      <w:pPr>
        <w:spacing w:line="600" w:lineRule="exact"/>
        <w:ind w:firstLine="640" w:firstLineChars="200"/>
        <w:rPr>
          <w:lang w:val="zh-CN"/>
        </w:rPr>
      </w:pPr>
      <w:r>
        <w:rPr>
          <w:rFonts w:hint="eastAsia" w:ascii="仿宋_GB2312" w:eastAsia="仿宋_GB2312"/>
          <w:sz w:val="32"/>
          <w:szCs w:val="32"/>
        </w:rPr>
        <w:t>峨眉山市住房和城乡规划建设局包括行政单位</w:t>
      </w:r>
      <w:r>
        <w:rPr>
          <w:rFonts w:ascii="仿宋_GB2312" w:eastAsia="仿宋_GB2312"/>
          <w:sz w:val="32"/>
          <w:szCs w:val="32"/>
        </w:rPr>
        <w:t>1</w:t>
      </w:r>
      <w:r>
        <w:rPr>
          <w:rFonts w:hint="eastAsia" w:ascii="仿宋_GB2312" w:eastAsia="仿宋_GB2312"/>
          <w:sz w:val="32"/>
          <w:szCs w:val="32"/>
        </w:rPr>
        <w:t>个，下属二级预算单位5个，其中行政单位</w:t>
      </w:r>
      <w:r>
        <w:rPr>
          <w:rFonts w:ascii="仿宋_GB2312" w:eastAsia="仿宋_GB2312"/>
          <w:sz w:val="32"/>
          <w:szCs w:val="32"/>
        </w:rPr>
        <w:t>0</w:t>
      </w:r>
      <w:r>
        <w:rPr>
          <w:rFonts w:hint="eastAsia" w:ascii="仿宋_GB2312" w:eastAsia="仿宋_GB2312"/>
          <w:sz w:val="32"/>
          <w:szCs w:val="32"/>
        </w:rPr>
        <w:t>个，参照公务员法管理的事业单位</w:t>
      </w:r>
      <w:r>
        <w:rPr>
          <w:rFonts w:hint="eastAsia" w:ascii="仿宋_GB2312"/>
          <w:sz w:val="32"/>
          <w:szCs w:val="32"/>
        </w:rPr>
        <w:t>0</w:t>
      </w:r>
      <w:r>
        <w:rPr>
          <w:rFonts w:hint="eastAsia" w:ascii="仿宋_GB2312" w:eastAsia="仿宋_GB2312"/>
          <w:sz w:val="32"/>
          <w:szCs w:val="32"/>
        </w:rPr>
        <w:t>个，其他事业单位</w:t>
      </w:r>
      <w:r>
        <w:rPr>
          <w:rFonts w:hint="eastAsia" w:ascii="仿宋_GB2312"/>
          <w:sz w:val="32"/>
          <w:szCs w:val="32"/>
        </w:rPr>
        <w:t>5</w:t>
      </w:r>
      <w:r>
        <w:rPr>
          <w:rFonts w:hint="eastAsia" w:ascii="仿宋_GB2312" w:eastAsia="仿宋_GB2312"/>
          <w:sz w:val="32"/>
          <w:szCs w:val="32"/>
        </w:rPr>
        <w:t>个。包括：峨眉山市城乡建设服务中心、峨眉山市住房保障和房地产事务中心、峨眉山市建设工程质量监督站、峨眉山市城市绿化保障中心、峨眉山市环境卫生服务中心。局内设机构6个，分别为：办公室、城市建设股、政策法规股、建筑业管理股、村镇建设股、房地产业管理股。</w:t>
      </w:r>
    </w:p>
    <w:p w14:paraId="2A78F2E4">
      <w:pPr>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（二）机构职能</w:t>
      </w:r>
    </w:p>
    <w:p w14:paraId="6E73135A">
      <w:pPr>
        <w:spacing w:line="600" w:lineRule="exact"/>
        <w:ind w:firstLine="640" w:firstLineChars="200"/>
        <w:rPr>
          <w:rFonts w:ascii="仿宋_GB2312" w:eastAsia="仿宋_GB2312"/>
          <w:sz w:val="32"/>
          <w:szCs w:val="32"/>
        </w:rPr>
      </w:pPr>
      <w:r>
        <w:rPr>
          <w:rFonts w:hint="eastAsia" w:ascii="仿宋_GB2312" w:eastAsia="仿宋_GB2312"/>
          <w:sz w:val="32"/>
          <w:szCs w:val="32"/>
        </w:rPr>
        <w:t>（1）主要职能</w:t>
      </w:r>
    </w:p>
    <w:p w14:paraId="7C1CA17C">
      <w:pPr>
        <w:spacing w:line="600" w:lineRule="exact"/>
        <w:ind w:firstLine="640" w:firstLineChars="200"/>
        <w:rPr>
          <w:rFonts w:ascii="仿宋_GB2312" w:eastAsia="仿宋_GB2312"/>
          <w:sz w:val="32"/>
          <w:szCs w:val="32"/>
        </w:rPr>
      </w:pPr>
      <w:r>
        <w:rPr>
          <w:rFonts w:hint="eastAsia" w:ascii="仿宋_GB2312" w:eastAsia="仿宋_GB2312"/>
          <w:sz w:val="32"/>
          <w:szCs w:val="32"/>
        </w:rPr>
        <w:t>1、贯彻国家、省住房和城乡规划建设的法律、法规、方针、政策，研究拟订全市住房保障、城乡规划、工程建设、城市建设、村镇建设、建筑业、测绘、房屋装饰装修业、住宅与房地产业、勘察设计咨询业、市政公用事业、风景名胜与园林绿化事业的有关规定以及相关发展战略，中长期规划并指导实施，进行行业管理。负责本系统、本部门依法行政工作，落实行政执法责任制。  </w:t>
      </w:r>
      <w:r>
        <w:rPr>
          <w:rFonts w:hint="eastAsia" w:ascii="仿宋_GB2312" w:eastAsia="仿宋_GB2312"/>
          <w:sz w:val="32"/>
          <w:szCs w:val="32"/>
        </w:rPr>
        <w:br w:type="textWrapping"/>
      </w:r>
      <w:r>
        <w:rPr>
          <w:rFonts w:hint="eastAsia" w:ascii="仿宋_GB2312" w:eastAsia="仿宋_GB2312"/>
          <w:sz w:val="32"/>
          <w:szCs w:val="32"/>
        </w:rPr>
        <w:t xml:space="preserve">    2、承担推进住房制度改革、保障城镇中低收入家庭住房的责任。拟订全市住房及住房保障相关政策措施并指导实施，推进全市住房建设和住房制度改革；会同有关部门做好保障性住房资金安排并组织实施；编制住房保障发展规划和年度计划并组织实施。  </w:t>
      </w:r>
      <w:r>
        <w:rPr>
          <w:rFonts w:hint="eastAsia" w:ascii="仿宋_GB2312" w:eastAsia="仿宋_GB2312"/>
          <w:sz w:val="32"/>
          <w:szCs w:val="32"/>
        </w:rPr>
        <w:br w:type="textWrapping"/>
      </w:r>
      <w:r>
        <w:rPr>
          <w:rFonts w:hint="eastAsia" w:ascii="仿宋_GB2312" w:eastAsia="仿宋_GB2312"/>
          <w:sz w:val="32"/>
          <w:szCs w:val="32"/>
        </w:rPr>
        <w:t xml:space="preserve">    3、承担城乡规划的制定和实施责任。负责拟订全市城乡发展战略和城乡规划的地方性政策，负责组织城市总体规划的编制和报批；负责各镇乡的城乡规划和各类开发区、风景名胜区规划的编制和监督实施，负责各镇乡的总体规划和各类开发区审查、报批和督促、检查工作；负责组织编制城市详细规划、专项规划、城市设计；参与土地利用总体规划的审核，负责核定出让地块规划条件，参与地块出让、转让工作，指导城市地下空间的开发利用；负责规划区范围内建设项目选址许可、建设用地规划许可和建设工程规划许可、核实工作；负责乡、村规划区范围内集体建设用地上建设工程、使用原有宅基地进行农村村民住宅建设的规划许可；负责户外广告设置审批工作。  </w:t>
      </w:r>
      <w:r>
        <w:rPr>
          <w:rFonts w:hint="eastAsia" w:ascii="仿宋_GB2312" w:eastAsia="仿宋_GB2312"/>
          <w:sz w:val="32"/>
          <w:szCs w:val="32"/>
        </w:rPr>
        <w:br w:type="textWrapping"/>
      </w:r>
      <w:r>
        <w:rPr>
          <w:rFonts w:hint="eastAsia" w:ascii="仿宋_GB2312" w:eastAsia="仿宋_GB2312"/>
          <w:sz w:val="32"/>
          <w:szCs w:val="32"/>
        </w:rPr>
        <w:t xml:space="preserve">    4、承担工程建设标准体系监督实施的责任。组织实施工程建设实施阶段的国家标准、全国统一定额和行业标准定额；组织实施工程建设的地方标准、全省统一定额、投资估算指标、建设工期定额、建设用地指标；指导监督各类工程建设标准定额和工程计价的实施；组织制定与省工程造价管理法规、规定配套的地方性规定；组织发布工程造价信息。  </w:t>
      </w:r>
      <w:r>
        <w:rPr>
          <w:rFonts w:hint="eastAsia" w:ascii="仿宋_GB2312" w:eastAsia="仿宋_GB2312"/>
          <w:sz w:val="32"/>
          <w:szCs w:val="32"/>
        </w:rPr>
        <w:br w:type="textWrapping"/>
      </w:r>
      <w:r>
        <w:rPr>
          <w:rFonts w:hint="eastAsia" w:ascii="仿宋_GB2312" w:eastAsia="仿宋_GB2312"/>
          <w:sz w:val="32"/>
          <w:szCs w:val="32"/>
        </w:rPr>
        <w:t xml:space="preserve">    5、承担监督管理建筑市场、规范市场各方主体行为的责任。综合管理和指导建筑活动；拟订工程建设、建筑业及装饰装修业发展战略、中长期规划、产业政策、规章制度并监督执行。组织实施房屋和市政工程项目招标投标活动的监督执法，拟订建设工程施工、监理以及规范建筑市场各方主体行为的规章制度并监督执行。负责建筑工程质量安全的监督管理工作；拟订建筑工程质量、建筑安全生产和竣工验收备案的规章制度并监督执行，组织或参与工程质量、安全事故的调查处理。  </w:t>
      </w:r>
      <w:r>
        <w:rPr>
          <w:rFonts w:hint="eastAsia" w:ascii="仿宋_GB2312" w:eastAsia="仿宋_GB2312"/>
          <w:sz w:val="32"/>
          <w:szCs w:val="32"/>
        </w:rPr>
        <w:br w:type="textWrapping"/>
      </w:r>
      <w:r>
        <w:rPr>
          <w:rFonts w:hint="eastAsia" w:ascii="仿宋_GB2312" w:eastAsia="仿宋_GB2312"/>
          <w:sz w:val="32"/>
          <w:szCs w:val="32"/>
        </w:rPr>
        <w:t xml:space="preserve">    6、承担规范房地产市场秩序、监督管理房地产市场的责任。贯彻执行房地产市场监督管理政策，会同有关部门拟订相关规作配套办法；指导城镇土地使用有偿转让和开发利用工作；拟订房地产业发展规划；监督执行房地产业政策和房地产开发、房屋权属管作理、房屋租赁、房屋面积管理、危房鉴定、白蚁防治、房屋拆迁、棚户区改造、房地产估价与经纪管理、物业管理的规章制度。</w:t>
      </w:r>
      <w:r>
        <w:rPr>
          <w:rFonts w:hint="eastAsia" w:ascii="仿宋_GB2312" w:eastAsia="仿宋_GB2312"/>
          <w:sz w:val="32"/>
          <w:szCs w:val="32"/>
        </w:rPr>
        <w:br w:type="textWrapping"/>
      </w:r>
      <w:r>
        <w:rPr>
          <w:rFonts w:hint="eastAsia" w:ascii="仿宋_GB2312" w:eastAsia="仿宋_GB2312"/>
          <w:sz w:val="32"/>
          <w:szCs w:val="32"/>
        </w:rPr>
        <w:t xml:space="preserve">    7、承担监督管理全市勘察设计市场秩序和勘察设计咨询质量的责任。拟订工程勘察设计咨询业的发展战略、中长期规划、幼木减改革方案、产业技术政策、规章制度并组织实施。指导建设工程抗震设防工作；执行房屋建筑和市政设施抗震技术地方规范和标准图集；指导和规范勘察设计市场；负责勘察设计技术质量管理；新负责各类房屋建筑及其附属设施和市政工程项目的初步设计审查、施工图审查备案。  </w:t>
      </w:r>
      <w:r>
        <w:rPr>
          <w:rFonts w:hint="eastAsia" w:ascii="仿宋_GB2312" w:eastAsia="仿宋_GB2312"/>
          <w:sz w:val="32"/>
          <w:szCs w:val="32"/>
        </w:rPr>
        <w:br w:type="textWrapping"/>
      </w:r>
      <w:r>
        <w:rPr>
          <w:rFonts w:hint="eastAsia" w:ascii="仿宋_GB2312" w:eastAsia="仿宋_GB2312"/>
          <w:sz w:val="32"/>
          <w:szCs w:val="32"/>
        </w:rPr>
        <w:t xml:space="preserve">    8、承担测绘管理工作。负责拟订全市测绘事业发展的政策措施、规划和年度计划；监督管理勘测、测绘市场；组织协调城市资测绘项目的实施；指导全市区域内各种比例尺地形图测绘管理、全市测绘和航空遥感事业管理；指导全市测绘资料和测绘标志管理。  </w:t>
      </w:r>
      <w:r>
        <w:rPr>
          <w:rFonts w:hint="eastAsia" w:ascii="仿宋_GB2312" w:eastAsia="仿宋_GB2312"/>
          <w:sz w:val="32"/>
          <w:szCs w:val="32"/>
        </w:rPr>
        <w:br w:type="textWrapping"/>
      </w:r>
      <w:r>
        <w:rPr>
          <w:rFonts w:hint="eastAsia" w:ascii="仿宋_GB2312" w:eastAsia="仿宋_GB2312"/>
          <w:sz w:val="32"/>
          <w:szCs w:val="32"/>
        </w:rPr>
        <w:t xml:space="preserve">    9、承担全市城镇建设管理的责任，贯彻城镇建设的相关政策，拟订城镇建设规划并指导实施。负责城镇道路、燃气、排水和污水处理等市政公用设施的建设管理；负责基本建设（含安负资置房等重点建设）项目的实施；负责城市空间的开发利用；负责城市综合开发管理、环境综合整治、道路挖掘、污水处理以及城市防洪设施建设工作；负责全市小城镇规划建设、村镇房屋产权劳事管理和城镇建设档案管理工作。  </w:t>
      </w:r>
      <w:r>
        <w:rPr>
          <w:rFonts w:hint="eastAsia" w:ascii="仿宋_GB2312" w:eastAsia="仿宋_GB2312"/>
          <w:sz w:val="32"/>
          <w:szCs w:val="32"/>
        </w:rPr>
        <w:br w:type="textWrapping"/>
      </w:r>
      <w:r>
        <w:rPr>
          <w:rFonts w:hint="eastAsia" w:ascii="仿宋_GB2312" w:eastAsia="仿宋_GB2312"/>
          <w:sz w:val="32"/>
          <w:szCs w:val="32"/>
        </w:rPr>
        <w:t xml:space="preserve">    10、主管全市风景名胜区和城市园林绿化工作；指导城市规划区和风景名胜区生物多样性保护工作；负责城市园林绿化工作；负责城市公园、城市广场、城市雕塑的建设、维护和管理工作；负责城区古树名木的管理工作。  </w:t>
      </w:r>
      <w:r>
        <w:rPr>
          <w:rFonts w:hint="eastAsia" w:ascii="仿宋_GB2312" w:eastAsia="仿宋_GB2312"/>
          <w:sz w:val="32"/>
          <w:szCs w:val="32"/>
        </w:rPr>
        <w:br w:type="textWrapping"/>
      </w:r>
      <w:r>
        <w:rPr>
          <w:rFonts w:hint="eastAsia" w:ascii="仿宋_GB2312" w:eastAsia="仿宋_GB2312"/>
          <w:sz w:val="32"/>
          <w:szCs w:val="32"/>
        </w:rPr>
        <w:t xml:space="preserve">    11、负责城市建筑物及公共设施容貌管理，建筑工地文明施工审查。  </w:t>
      </w:r>
      <w:r>
        <w:rPr>
          <w:rFonts w:hint="eastAsia" w:ascii="仿宋_GB2312" w:eastAsia="仿宋_GB2312"/>
          <w:sz w:val="32"/>
          <w:szCs w:val="32"/>
        </w:rPr>
        <w:br w:type="textWrapping"/>
      </w:r>
      <w:r>
        <w:rPr>
          <w:rFonts w:hint="eastAsia" w:ascii="仿宋_GB2312" w:eastAsia="仿宋_GB2312"/>
          <w:sz w:val="32"/>
          <w:szCs w:val="32"/>
        </w:rPr>
        <w:t xml:space="preserve">    12、承担推进建筑节能、城镇减排的责任。贯彻执行建筑节能政策，拟订住房和城乡规划建设行业的科技发展规划和技术经济政策并组织实施；组织实施重大建筑节能项目，推进节能减排；组织重大科研项目攻关和成果推广，承担推进墙体材料草新的责任；负责指导散装水泥的推广使用工作。  </w:t>
      </w:r>
      <w:r>
        <w:rPr>
          <w:rFonts w:hint="eastAsia" w:ascii="仿宋_GB2312" w:eastAsia="仿宋_GB2312"/>
          <w:sz w:val="32"/>
          <w:szCs w:val="32"/>
        </w:rPr>
        <w:br w:type="textWrapping"/>
      </w:r>
      <w:r>
        <w:rPr>
          <w:rFonts w:hint="eastAsia" w:ascii="仿宋_GB2312" w:eastAsia="仿宋_GB2312"/>
          <w:sz w:val="32"/>
          <w:szCs w:val="32"/>
        </w:rPr>
        <w:t xml:space="preserve">    13、管理建筑行业的对外经济技术合作，指导企事业单位开拓国内外建筑市场和房地产市场，组织协调建设企业参与对外工程承包、建筑劳务合作；指导和协调全市建设系统的招商引资和经济交流与合作。  </w:t>
      </w:r>
      <w:r>
        <w:rPr>
          <w:rFonts w:hint="eastAsia" w:ascii="仿宋_GB2312" w:eastAsia="仿宋_GB2312"/>
          <w:sz w:val="32"/>
          <w:szCs w:val="32"/>
        </w:rPr>
        <w:br w:type="textWrapping"/>
      </w:r>
      <w:r>
        <w:rPr>
          <w:rFonts w:hint="eastAsia" w:ascii="仿宋_GB2312" w:eastAsia="仿宋_GB2312"/>
          <w:sz w:val="32"/>
          <w:szCs w:val="32"/>
        </w:rPr>
        <w:t xml:space="preserve">    14、组织开展城市建筑物抗震性能普查、鉴定加固和改造工作；指导村镇和农村建筑抗震工作，指导和组织灾后恢复重建工作。  </w:t>
      </w:r>
      <w:r>
        <w:rPr>
          <w:rFonts w:hint="eastAsia" w:ascii="仿宋_GB2312" w:eastAsia="仿宋_GB2312"/>
          <w:sz w:val="32"/>
          <w:szCs w:val="32"/>
        </w:rPr>
        <w:br w:type="textWrapping"/>
      </w:r>
      <w:r>
        <w:rPr>
          <w:rFonts w:hint="eastAsia" w:ascii="仿宋_GB2312" w:eastAsia="仿宋_GB2312"/>
          <w:sz w:val="32"/>
          <w:szCs w:val="32"/>
        </w:rPr>
        <w:t xml:space="preserve">    15、制定建设行业人才培养和教育发展规划并组织实施；负责指导建设行业科技人才队伍建设、专业技术职务评审和执业资格管理工作；指导和监督建设行业协会、学会的工作。</w:t>
      </w:r>
    </w:p>
    <w:p w14:paraId="557FA90C">
      <w:pPr>
        <w:spacing w:line="600" w:lineRule="exact"/>
        <w:ind w:firstLine="640" w:firstLineChars="200"/>
        <w:rPr>
          <w:rFonts w:ascii="仿宋_GB2312" w:eastAsia="仿宋_GB2312"/>
          <w:sz w:val="32"/>
          <w:szCs w:val="32"/>
        </w:rPr>
      </w:pPr>
      <w:r>
        <w:rPr>
          <w:rFonts w:hint="eastAsia" w:ascii="仿宋_GB2312" w:eastAsia="仿宋_GB2312"/>
          <w:sz w:val="32"/>
          <w:szCs w:val="32"/>
        </w:rPr>
        <w:t>16、负责局机关和所属事业单位的机构编制和人事管理、劳动工资、财务、审计和国有资产管理工作；负责局机关和所属事业单位的党群和纪检工作；负责指导行业的思想政治工作和精神文明建设。  </w:t>
      </w:r>
      <w:r>
        <w:rPr>
          <w:rFonts w:hint="eastAsia" w:ascii="仿宋_GB2312" w:eastAsia="仿宋_GB2312"/>
          <w:sz w:val="32"/>
          <w:szCs w:val="32"/>
        </w:rPr>
        <w:br w:type="textWrapping"/>
      </w:r>
      <w:r>
        <w:rPr>
          <w:rFonts w:hint="eastAsia" w:ascii="仿宋_GB2312" w:eastAsia="仿宋_GB2312"/>
          <w:sz w:val="32"/>
          <w:szCs w:val="32"/>
        </w:rPr>
        <w:t xml:space="preserve">    17、承担市政府公布的有关行政审批事项。  </w:t>
      </w:r>
      <w:r>
        <w:rPr>
          <w:rFonts w:hint="eastAsia" w:ascii="仿宋_GB2312" w:eastAsia="仿宋_GB2312"/>
          <w:sz w:val="32"/>
          <w:szCs w:val="32"/>
        </w:rPr>
        <w:br w:type="textWrapping"/>
      </w:r>
      <w:r>
        <w:rPr>
          <w:rFonts w:hint="eastAsia" w:ascii="仿宋_GB2312" w:eastAsia="仿宋_GB2312"/>
          <w:sz w:val="32"/>
          <w:szCs w:val="32"/>
        </w:rPr>
        <w:t xml:space="preserve">    18、承办市委市政府交办的其他事项。</w:t>
      </w:r>
    </w:p>
    <w:p w14:paraId="1F38AD9E">
      <w:pPr>
        <w:spacing w:line="600" w:lineRule="exact"/>
        <w:ind w:firstLine="640" w:firstLineChars="200"/>
        <w:rPr>
          <w:rFonts w:ascii="仿宋_GB2312" w:eastAsia="仿宋_GB2312"/>
          <w:sz w:val="32"/>
          <w:szCs w:val="32"/>
        </w:rPr>
      </w:pPr>
      <w:r>
        <w:rPr>
          <w:rFonts w:hint="eastAsia" w:ascii="仿宋_GB2312" w:eastAsia="仿宋_GB2312"/>
          <w:sz w:val="32"/>
          <w:szCs w:val="32"/>
        </w:rPr>
        <w:t>(2)关于职责调整</w:t>
      </w:r>
      <w:r>
        <w:rPr>
          <w:rFonts w:hint="eastAsia" w:ascii="仿宋_GB2312" w:eastAsia="仿宋_GB2312"/>
          <w:sz w:val="32"/>
          <w:szCs w:val="32"/>
        </w:rPr>
        <w:br w:type="textWrapping"/>
      </w:r>
      <w:r>
        <w:rPr>
          <w:rFonts w:hint="eastAsia" w:ascii="仿宋_GB2312" w:eastAsia="仿宋_GB2312"/>
          <w:sz w:val="32"/>
          <w:szCs w:val="32"/>
        </w:rPr>
        <w:t>    根据《峨眉山市机构改革方案》（峨委发[2019]2号）和《关于&lt;峨眉山市机构改革方案&gt;的实施意见》（峨编发[2019]1号）精神，经市委编委会议研究，将我局有关机构编制事项调整如下：</w:t>
      </w:r>
      <w:r>
        <w:rPr>
          <w:rFonts w:hint="eastAsia" w:ascii="仿宋_GB2312" w:eastAsia="仿宋_GB2312"/>
          <w:sz w:val="32"/>
          <w:szCs w:val="32"/>
        </w:rPr>
        <w:br w:type="textWrapping"/>
      </w:r>
      <w:r>
        <w:rPr>
          <w:rFonts w:hint="eastAsia" w:ascii="仿宋_GB2312" w:eastAsia="仿宋_GB2312"/>
          <w:sz w:val="32"/>
          <w:szCs w:val="32"/>
        </w:rPr>
        <w:t xml:space="preserve">    1.将原市城市管理行政执法局的环境卫生管理职责划入我局。</w:t>
      </w:r>
      <w:r>
        <w:rPr>
          <w:rFonts w:hint="eastAsia" w:ascii="仿宋_GB2312" w:eastAsia="仿宋_GB2312"/>
          <w:sz w:val="32"/>
          <w:szCs w:val="32"/>
        </w:rPr>
        <w:br w:type="textWrapping"/>
      </w:r>
      <w:r>
        <w:rPr>
          <w:rFonts w:hint="eastAsia" w:ascii="仿宋_GB2312" w:eastAsia="仿宋_GB2312"/>
          <w:sz w:val="32"/>
          <w:szCs w:val="32"/>
        </w:rPr>
        <w:t xml:space="preserve">    2.将城乡规划管理职责、测绘地理信息职责划到市自然资源局。</w:t>
      </w:r>
      <w:r>
        <w:rPr>
          <w:rFonts w:hint="eastAsia" w:ascii="仿宋_GB2312" w:eastAsia="仿宋_GB2312"/>
          <w:sz w:val="32"/>
          <w:szCs w:val="32"/>
        </w:rPr>
        <w:br w:type="textWrapping"/>
      </w:r>
      <w:r>
        <w:rPr>
          <w:rFonts w:hint="eastAsia" w:ascii="仿宋_GB2312" w:eastAsia="仿宋_GB2312"/>
          <w:sz w:val="32"/>
          <w:szCs w:val="32"/>
        </w:rPr>
        <w:t xml:space="preserve">    3.将相关行政审批职责划到市行政审批局。</w:t>
      </w:r>
      <w:r>
        <w:rPr>
          <w:rFonts w:hint="eastAsia" w:ascii="仿宋_GB2312" w:eastAsia="仿宋_GB2312"/>
          <w:sz w:val="32"/>
          <w:szCs w:val="32"/>
        </w:rPr>
        <w:br w:type="textWrapping"/>
      </w:r>
      <w:r>
        <w:rPr>
          <w:rFonts w:hint="eastAsia" w:ascii="仿宋_GB2312" w:eastAsia="仿宋_GB2312"/>
          <w:sz w:val="32"/>
          <w:szCs w:val="32"/>
        </w:rPr>
        <w:t xml:space="preserve">    4.不再挂市人民防空办公室牌子，职责由城市建设股（住房改革与保障股）承担。</w:t>
      </w:r>
      <w:r>
        <w:rPr>
          <w:rFonts w:hint="eastAsia" w:ascii="仿宋_GB2312" w:eastAsia="仿宋_GB2312"/>
          <w:sz w:val="32"/>
          <w:szCs w:val="32"/>
        </w:rPr>
        <w:br w:type="textWrapping"/>
      </w:r>
      <w:r>
        <w:rPr>
          <w:rFonts w:hint="eastAsia" w:ascii="仿宋_GB2312" w:eastAsia="仿宋_GB2312"/>
          <w:sz w:val="32"/>
          <w:szCs w:val="32"/>
        </w:rPr>
        <w:t xml:space="preserve">    5.统筹推进承担行政职能的事业单位改革，市园林管理局、市房地产管理局、市建设工程质量监督站、市城市发展建设办公室、市环境卫生管理局不再承担相关行政职责，交由我局机关有关内设机构承担。</w:t>
      </w:r>
      <w:r>
        <w:rPr>
          <w:rFonts w:hint="eastAsia" w:ascii="仿宋_GB2312" w:eastAsia="仿宋_GB2312"/>
          <w:sz w:val="32"/>
          <w:szCs w:val="32"/>
        </w:rPr>
        <w:br w:type="textWrapping"/>
      </w:r>
      <w:r>
        <w:rPr>
          <w:rFonts w:hint="eastAsia" w:ascii="仿宋_GB2312" w:eastAsia="仿宋_GB2312"/>
          <w:sz w:val="32"/>
          <w:szCs w:val="32"/>
        </w:rPr>
        <w:t xml:space="preserve">    6.负责职责范围内的安全生产和职业健康、生态环境保护、审批服务便民化等工作。</w:t>
      </w:r>
    </w:p>
    <w:p w14:paraId="2DA909E6">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（三）人员概况</w:t>
      </w:r>
    </w:p>
    <w:p w14:paraId="68BE66D5">
      <w:pPr>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峨眉山市住房和城乡建设局系统现有人员</w:t>
      </w:r>
      <w:r>
        <w:rPr>
          <w:rFonts w:hint="eastAsia" w:ascii="仿宋_GB2312" w:eastAsia="仿宋_GB2312"/>
          <w:sz w:val="32"/>
          <w:szCs w:val="32"/>
        </w:rPr>
        <w:t>127人，其中行政人员2</w:t>
      </w:r>
      <w:r>
        <w:rPr>
          <w:rFonts w:ascii="仿宋_GB2312" w:eastAsia="仿宋_GB2312"/>
          <w:sz w:val="32"/>
          <w:szCs w:val="32"/>
        </w:rPr>
        <w:t>1</w:t>
      </w:r>
      <w:r>
        <w:rPr>
          <w:rFonts w:hint="eastAsia" w:ascii="仿宋_GB2312" w:eastAsia="仿宋_GB2312"/>
          <w:sz w:val="32"/>
          <w:szCs w:val="32"/>
        </w:rPr>
        <w:t>人，事业人员106人。</w:t>
      </w:r>
    </w:p>
    <w:p w14:paraId="6355D337">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4D4C5538">
      <w:pPr>
        <w:widowControl/>
        <w:adjustRightInd w:val="0"/>
        <w:snapToGrid w:val="0"/>
        <w:spacing w:line="560" w:lineRule="exact"/>
        <w:ind w:firstLine="640" w:firstLineChars="200"/>
        <w:contextualSpacing/>
        <w:jc w:val="left"/>
        <w:rPr>
          <w:rFonts w:ascii="仿宋_GB2312" w:eastAsia="仿宋_GB2312"/>
          <w:sz w:val="32"/>
          <w:szCs w:val="32"/>
          <w:lang w:val="zh-CN"/>
        </w:rPr>
      </w:pPr>
      <w:r>
        <w:rPr>
          <w:rFonts w:hint="eastAsia" w:ascii="楷体_GB2312" w:hAnsi="楷体_GB2312" w:eastAsia="楷体_GB2312" w:cs="楷体_GB2312"/>
          <w:kern w:val="0"/>
          <w:sz w:val="32"/>
          <w:szCs w:val="32"/>
          <w:shd w:val="clear" w:color="auto" w:fill="FFFFFF"/>
          <w:lang w:val="zh-CN"/>
        </w:rPr>
        <w:t>（一）</w:t>
      </w:r>
      <w:r>
        <w:rPr>
          <w:rFonts w:hint="eastAsia" w:ascii="仿宋_GB2312" w:eastAsia="仿宋_GB2312"/>
          <w:sz w:val="32"/>
          <w:szCs w:val="32"/>
          <w:lang w:val="zh-CN"/>
        </w:rPr>
        <w:t>部门财政资金收入情况</w:t>
      </w:r>
    </w:p>
    <w:p w14:paraId="2A74E1E8">
      <w:pPr>
        <w:spacing w:line="600" w:lineRule="exact"/>
        <w:ind w:firstLine="640" w:firstLineChars="200"/>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lang w:val="zh-CN"/>
        </w:rPr>
        <w:t>202</w:t>
      </w:r>
      <w:r>
        <w:rPr>
          <w:rFonts w:ascii="仿宋_GB2312" w:eastAsia="仿宋_GB2312"/>
          <w:sz w:val="32"/>
          <w:szCs w:val="32"/>
        </w:rPr>
        <w:t>1</w:t>
      </w:r>
      <w:r>
        <w:rPr>
          <w:rFonts w:hint="eastAsia" w:ascii="仿宋_GB2312" w:eastAsia="仿宋_GB2312"/>
          <w:sz w:val="32"/>
          <w:szCs w:val="32"/>
          <w:lang w:val="zh-CN"/>
        </w:rPr>
        <w:t>年本年收入合计</w:t>
      </w:r>
      <w:r>
        <w:rPr>
          <w:rFonts w:ascii="仿宋_GB2312" w:eastAsia="仿宋_GB2312"/>
          <w:sz w:val="32"/>
          <w:szCs w:val="32"/>
        </w:rPr>
        <w:t>56928.23</w:t>
      </w:r>
      <w:r>
        <w:rPr>
          <w:rFonts w:hint="eastAsia" w:ascii="仿宋_GB2312" w:eastAsia="仿宋_GB2312"/>
          <w:sz w:val="32"/>
          <w:szCs w:val="32"/>
          <w:lang w:val="zh-CN"/>
        </w:rPr>
        <w:t>万元，其中：一般公共预算财政拨款收入</w:t>
      </w:r>
      <w:r>
        <w:rPr>
          <w:rFonts w:hint="eastAsia" w:ascii="仿宋_GB2312" w:eastAsia="仿宋_GB2312"/>
          <w:sz w:val="32"/>
          <w:szCs w:val="32"/>
        </w:rPr>
        <w:t>30052.02</w:t>
      </w:r>
      <w:r>
        <w:rPr>
          <w:rFonts w:hint="eastAsia" w:ascii="仿宋_GB2312" w:eastAsia="仿宋_GB2312"/>
          <w:sz w:val="32"/>
          <w:szCs w:val="32"/>
          <w:lang w:val="zh-CN"/>
        </w:rPr>
        <w:t>万元，占</w:t>
      </w:r>
      <w:r>
        <w:rPr>
          <w:rFonts w:hint="eastAsia" w:ascii="仿宋_GB2312" w:eastAsia="仿宋_GB2312"/>
          <w:sz w:val="32"/>
          <w:szCs w:val="32"/>
        </w:rPr>
        <w:t>52.79</w:t>
      </w:r>
      <w:r>
        <w:rPr>
          <w:rFonts w:hint="eastAsia" w:ascii="仿宋_GB2312" w:eastAsia="仿宋_GB2312"/>
          <w:sz w:val="32"/>
          <w:szCs w:val="32"/>
          <w:lang w:val="zh-CN"/>
        </w:rPr>
        <w:t>%；政府性基金预算财政拨款收入</w:t>
      </w:r>
      <w:r>
        <w:rPr>
          <w:rFonts w:hint="eastAsia" w:ascii="仿宋_GB2312" w:eastAsia="仿宋_GB2312"/>
          <w:sz w:val="32"/>
          <w:szCs w:val="32"/>
        </w:rPr>
        <w:t>26876.21</w:t>
      </w:r>
      <w:r>
        <w:rPr>
          <w:rFonts w:hint="eastAsia" w:ascii="仿宋_GB2312" w:eastAsia="仿宋_GB2312"/>
          <w:sz w:val="32"/>
          <w:szCs w:val="32"/>
          <w:lang w:val="zh-CN"/>
        </w:rPr>
        <w:t>万元，占</w:t>
      </w:r>
      <w:r>
        <w:rPr>
          <w:rFonts w:hint="eastAsia" w:ascii="仿宋_GB2312" w:eastAsia="仿宋_GB2312"/>
          <w:sz w:val="32"/>
          <w:szCs w:val="32"/>
        </w:rPr>
        <w:t>47.21</w:t>
      </w:r>
      <w:r>
        <w:rPr>
          <w:rFonts w:hint="eastAsia" w:ascii="仿宋_GB2312" w:eastAsia="仿宋_GB2312"/>
          <w:sz w:val="32"/>
          <w:szCs w:val="32"/>
          <w:lang w:val="zh-CN"/>
        </w:rPr>
        <w:t>%。</w:t>
      </w:r>
    </w:p>
    <w:p w14:paraId="55208648">
      <w:pPr>
        <w:spacing w:line="600" w:lineRule="exact"/>
        <w:ind w:firstLine="640" w:firstLineChars="200"/>
        <w:rPr>
          <w:rFonts w:ascii="仿宋_GB2312" w:eastAsia="仿宋_GB2312"/>
          <w:sz w:val="32"/>
          <w:szCs w:val="32"/>
          <w:lang w:val="zh-CN"/>
        </w:rPr>
      </w:pPr>
      <w:r>
        <w:rPr>
          <w:rFonts w:hint="eastAsia" w:ascii="楷体_GB2312" w:hAnsi="楷体_GB2312" w:eastAsia="楷体_GB2312" w:cs="楷体_GB2312"/>
          <w:kern w:val="0"/>
          <w:sz w:val="32"/>
          <w:szCs w:val="32"/>
          <w:shd w:val="clear" w:color="auto" w:fill="FFFFFF"/>
          <w:lang w:val="zh-CN"/>
        </w:rPr>
        <w:t>（二）</w:t>
      </w:r>
      <w:r>
        <w:rPr>
          <w:rFonts w:hint="eastAsia" w:ascii="仿宋_GB2312" w:eastAsia="仿宋_GB2312"/>
          <w:sz w:val="32"/>
          <w:szCs w:val="32"/>
          <w:lang w:val="zh-CN"/>
        </w:rPr>
        <w:t>部门财政资金支出情况</w:t>
      </w:r>
    </w:p>
    <w:p w14:paraId="0734A655">
      <w:pPr>
        <w:spacing w:line="600" w:lineRule="exact"/>
        <w:ind w:firstLine="640" w:firstLineChars="200"/>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lang w:val="zh-CN"/>
        </w:rPr>
        <w:t>202</w:t>
      </w:r>
      <w:r>
        <w:rPr>
          <w:rFonts w:hint="eastAsia" w:ascii="仿宋_GB2312" w:eastAsia="仿宋_GB2312"/>
          <w:sz w:val="32"/>
          <w:szCs w:val="32"/>
        </w:rPr>
        <w:t>1</w:t>
      </w:r>
      <w:r>
        <w:rPr>
          <w:rFonts w:hint="eastAsia" w:ascii="仿宋_GB2312" w:eastAsia="仿宋_GB2312"/>
          <w:sz w:val="32"/>
          <w:szCs w:val="32"/>
          <w:lang w:val="zh-CN"/>
        </w:rPr>
        <w:t>年本年支出合计</w:t>
      </w:r>
      <w:r>
        <w:rPr>
          <w:rFonts w:hint="eastAsia" w:ascii="仿宋_GB2312" w:eastAsia="仿宋_GB2312"/>
          <w:sz w:val="32"/>
          <w:szCs w:val="32"/>
        </w:rPr>
        <w:t>84312.58</w:t>
      </w:r>
      <w:r>
        <w:rPr>
          <w:rFonts w:hint="eastAsia" w:ascii="仿宋_GB2312" w:eastAsia="仿宋_GB2312"/>
          <w:sz w:val="32"/>
          <w:szCs w:val="32"/>
          <w:lang w:val="zh-CN"/>
        </w:rPr>
        <w:t>万元，其中：基本支出</w:t>
      </w:r>
      <w:r>
        <w:rPr>
          <w:rFonts w:hint="eastAsia" w:ascii="仿宋_GB2312" w:eastAsia="仿宋_GB2312"/>
          <w:sz w:val="32"/>
          <w:szCs w:val="32"/>
        </w:rPr>
        <w:t>2538.66</w:t>
      </w:r>
      <w:r>
        <w:rPr>
          <w:rFonts w:hint="eastAsia" w:ascii="仿宋_GB2312" w:eastAsia="仿宋_GB2312"/>
          <w:sz w:val="32"/>
          <w:szCs w:val="32"/>
          <w:lang w:val="zh-CN"/>
        </w:rPr>
        <w:t>万元，占</w:t>
      </w:r>
      <w:r>
        <w:rPr>
          <w:rFonts w:hint="eastAsia" w:ascii="仿宋_GB2312" w:eastAsia="仿宋_GB2312"/>
          <w:sz w:val="32"/>
          <w:szCs w:val="32"/>
        </w:rPr>
        <w:t>3.01</w:t>
      </w:r>
      <w:r>
        <w:rPr>
          <w:rFonts w:hint="eastAsia" w:ascii="仿宋_GB2312" w:eastAsia="仿宋_GB2312"/>
          <w:sz w:val="32"/>
          <w:szCs w:val="32"/>
          <w:lang w:val="zh-CN"/>
        </w:rPr>
        <w:t>%；项目支出</w:t>
      </w:r>
      <w:r>
        <w:rPr>
          <w:rFonts w:hint="eastAsia" w:ascii="仿宋_GB2312" w:eastAsia="仿宋_GB2312"/>
          <w:sz w:val="32"/>
          <w:szCs w:val="32"/>
        </w:rPr>
        <w:t>81773.92</w:t>
      </w:r>
      <w:r>
        <w:rPr>
          <w:rFonts w:hint="eastAsia" w:ascii="仿宋_GB2312" w:eastAsia="仿宋_GB2312"/>
          <w:sz w:val="32"/>
          <w:szCs w:val="32"/>
          <w:lang w:val="zh-CN"/>
        </w:rPr>
        <w:t>万元，占</w:t>
      </w:r>
      <w:r>
        <w:rPr>
          <w:rFonts w:hint="eastAsia" w:ascii="仿宋_GB2312" w:eastAsia="仿宋_GB2312"/>
          <w:sz w:val="32"/>
          <w:szCs w:val="32"/>
        </w:rPr>
        <w:t>96.99</w:t>
      </w:r>
      <w:r>
        <w:rPr>
          <w:rFonts w:hint="eastAsia" w:ascii="仿宋_GB2312" w:eastAsia="仿宋_GB2312"/>
          <w:sz w:val="32"/>
          <w:szCs w:val="32"/>
          <w:lang w:val="zh-CN"/>
        </w:rPr>
        <w:t>%。　　</w:t>
      </w:r>
    </w:p>
    <w:p w14:paraId="05DAB304">
      <w:pPr>
        <w:widowControl/>
        <w:numPr>
          <w:ilvl w:val="0"/>
          <w:numId w:val="3"/>
        </w:numPr>
        <w:adjustRightInd w:val="0"/>
        <w:snapToGrid w:val="0"/>
        <w:spacing w:line="600" w:lineRule="exact"/>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部门整体预算绩效管理情况</w:t>
      </w:r>
    </w:p>
    <w:p w14:paraId="67049D2F">
      <w:pPr>
        <w:widowControl/>
        <w:adjustRightInd w:val="0"/>
        <w:snapToGrid w:val="0"/>
        <w:spacing w:line="600" w:lineRule="exact"/>
        <w:ind w:left="640"/>
        <w:contextualSpacing/>
        <w:jc w:val="left"/>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lang w:val="zh-CN"/>
        </w:rPr>
        <w:t>（一）部门预算项目绩效管理</w:t>
      </w:r>
    </w:p>
    <w:p w14:paraId="79A694F0">
      <w:pPr>
        <w:widowControl/>
        <w:adjustRightInd w:val="0"/>
        <w:snapToGrid w:val="0"/>
        <w:spacing w:line="580" w:lineRule="exact"/>
        <w:ind w:firstLine="720"/>
        <w:jc w:val="left"/>
        <w:rPr>
          <w:rFonts w:ascii="仿宋_GB2312" w:hAnsi="宋体" w:cs="宋体"/>
          <w:color w:val="000000"/>
          <w:kern w:val="0"/>
          <w:sz w:val="28"/>
          <w:szCs w:val="28"/>
          <w:shd w:val="clear" w:color="auto" w:fill="FFFFFF"/>
          <w:lang w:val="zh-CN"/>
        </w:rPr>
      </w:pPr>
      <w:r>
        <w:rPr>
          <w:rFonts w:hint="eastAsia" w:ascii="仿宋_GB2312" w:eastAsia="仿宋_GB2312"/>
          <w:sz w:val="32"/>
          <w:szCs w:val="32"/>
          <w:lang w:val="zh-CN"/>
        </w:rPr>
        <w:t>峨眉山市住房和城乡建设局部门预算编制按照预算管理有关规定执行，部门预算的编制实行综合预算制度，即全部收入和支出都反映在预算中。决算编制严格按照《会计法》、《政府会计准则》等法律法规编制；绩效目标的填报严格按照《预算法》的相关规定合理进行绩效目标填报。</w:t>
      </w:r>
    </w:p>
    <w:p w14:paraId="351115B3">
      <w:pPr>
        <w:widowControl/>
        <w:adjustRightInd w:val="0"/>
        <w:snapToGrid w:val="0"/>
        <w:spacing w:line="60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（二）执行管理情况</w:t>
      </w:r>
    </w:p>
    <w:p w14:paraId="5AB35999">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2021年市住房和城乡建设局严格按照绩效目标的要求，合理安排使用资金，严格控制资金的计划、审批和使用，并按照进度要求及时与财政部门对接，发挥各项资金的最大绩效。</w:t>
      </w:r>
    </w:p>
    <w:p w14:paraId="35DAA258">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（三）支出绩效情况</w:t>
      </w:r>
    </w:p>
    <w:p w14:paraId="72031D02">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1．部门支出绩效。</w:t>
      </w:r>
    </w:p>
    <w:p w14:paraId="75A4ECDB">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（1）行政及事业运转保障。</w:t>
      </w:r>
    </w:p>
    <w:p w14:paraId="56A50638">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2021年住建部门机关、下属事业单位等机构运转正常，基本工资、津贴补贴等人员经费及时发放；办公费、印刷费、水电费、办公设备购置等日常公用经费正常使用。财政资金的使用有力</w:t>
      </w:r>
      <w:r>
        <w:rPr>
          <w:rFonts w:hint="eastAsia" w:ascii="仿宋_GB2312" w:eastAsia="仿宋_GB2312"/>
          <w:sz w:val="32"/>
          <w:szCs w:val="32"/>
          <w:lang w:val="zh-CN"/>
        </w:rPr>
        <w:t>保障住建局机关运转和履行职能职责，</w:t>
      </w:r>
      <w:r>
        <w:rPr>
          <w:rFonts w:hint="eastAsia" w:ascii="仿宋_GB2312" w:eastAsia="仿宋_GB2312"/>
          <w:sz w:val="32"/>
          <w:szCs w:val="32"/>
        </w:rPr>
        <w:t>2021年预算支出资金主要用于：机关及下属事业单位人员工资、日常运转以及为完成特定行政工作任务和事业发展目标而安排的年度项目支出，主要包括：一般公共服务支出、棚户区改造支出、国防支出人民防空支出、城乡社区事务支出、住房保障支出、城市建设支出、建设市场管理与监管支出、老旧小区改造支出、住宅建设与房地产市场监管支出、城市污水处理费、灾害防治及应急管理支出等</w:t>
      </w:r>
      <w:r>
        <w:rPr>
          <w:rFonts w:hint="eastAsia" w:ascii="仿宋_GB2312" w:eastAsia="仿宋_GB2312"/>
          <w:sz w:val="32"/>
          <w:szCs w:val="32"/>
          <w:lang w:val="zh-CN"/>
        </w:rPr>
        <w:t>。</w:t>
      </w:r>
    </w:p>
    <w:p w14:paraId="0394FB87">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（2）三公经费支出情况。</w:t>
      </w:r>
    </w:p>
    <w:p w14:paraId="61D65A86">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2021年没有发生</w:t>
      </w:r>
      <w:r>
        <w:rPr>
          <w:rFonts w:hint="eastAsia" w:ascii="仿宋_GB2312" w:eastAsia="仿宋_GB2312"/>
          <w:sz w:val="32"/>
          <w:szCs w:val="32"/>
          <w:lang w:val="zh-CN"/>
        </w:rPr>
        <w:t>机关因公出国（境）费用，车辆购置及运行费用支出</w:t>
      </w:r>
      <w:r>
        <w:rPr>
          <w:rFonts w:hint="eastAsia" w:ascii="仿宋_GB2312" w:eastAsia="仿宋_GB2312"/>
          <w:sz w:val="32"/>
          <w:szCs w:val="32"/>
        </w:rPr>
        <w:t>35.58万</w:t>
      </w:r>
      <w:r>
        <w:rPr>
          <w:rFonts w:hint="eastAsia" w:ascii="仿宋_GB2312" w:eastAsia="仿宋_GB2312"/>
          <w:sz w:val="32"/>
          <w:szCs w:val="32"/>
          <w:lang w:val="zh-CN"/>
        </w:rPr>
        <w:t>元，购置</w:t>
      </w:r>
      <w:r>
        <w:rPr>
          <w:rFonts w:hint="eastAsia" w:ascii="仿宋_GB2312" w:eastAsia="仿宋_GB2312"/>
          <w:sz w:val="32"/>
          <w:szCs w:val="32"/>
        </w:rPr>
        <w:t>费23.27万元，公车运行费下降了22.69%。</w:t>
      </w:r>
      <w:r>
        <w:rPr>
          <w:rFonts w:hint="eastAsia" w:ascii="仿宋_GB2312" w:eastAsia="仿宋_GB2312"/>
          <w:sz w:val="32"/>
          <w:szCs w:val="32"/>
          <w:lang w:val="zh-CN"/>
        </w:rPr>
        <w:t>公务接待经费支出</w:t>
      </w:r>
      <w:r>
        <w:rPr>
          <w:rFonts w:hint="eastAsia" w:ascii="仿宋_GB2312" w:eastAsia="仿宋_GB2312"/>
          <w:sz w:val="32"/>
          <w:szCs w:val="32"/>
        </w:rPr>
        <w:t>1.27万</w:t>
      </w:r>
      <w:r>
        <w:rPr>
          <w:rFonts w:hint="eastAsia" w:ascii="仿宋_GB2312" w:eastAsia="仿宋_GB2312"/>
          <w:sz w:val="32"/>
          <w:szCs w:val="32"/>
          <w:lang w:val="zh-CN"/>
        </w:rPr>
        <w:t>元。</w:t>
      </w:r>
    </w:p>
    <w:p w14:paraId="527CF5D3">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（3）项目支出情况。</w:t>
      </w:r>
    </w:p>
    <w:p w14:paraId="7CE6085F">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住建局支付棚户区改造一期项目工程款46496.891万元；支出保障性安居工程等建设项目979.30万元；支出海天水务污水处理费2100万元；支付地方政府债券项目资金900万元；支付城乡环境整治项目346.19万元；支付市政设施零星维修资金300万元；支付乡镇及城市污水处理厂运行费、污水处理费262.5万元；支付老旧小区改造资金274.61万元；支付城乡建设三推项目专项资金200万元；支付景区违建搬迁资金116万元。</w:t>
      </w:r>
    </w:p>
    <w:p w14:paraId="45A9090B">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城建中心支付春节工程款资金1108.76万元；城镇一体化建设一期PPP项目资金1200万元；支付路灯电费1329.23万元；支付春节氛围营造亮化提升项目资金139.39万元；支付路灯维护费106.02万元；</w:t>
      </w:r>
    </w:p>
    <w:p w14:paraId="31315B1F">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环卫中心支付生活垃圾处理费1650.38万元；支付设备设施维护费297万元；支付车辆燃油、修理及保险费211.98万元；</w:t>
      </w:r>
    </w:p>
    <w:p w14:paraId="3B2FA6C6">
      <w:pPr>
        <w:widowControl/>
        <w:adjustRightInd w:val="0"/>
        <w:snapToGrid w:val="0"/>
        <w:spacing w:line="580" w:lineRule="exact"/>
        <w:ind w:firstLine="720"/>
        <w:jc w:val="left"/>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rPr>
        <w:t>绿化保障中心支付城区绿化及道路景点维护费647.54万元。</w:t>
      </w:r>
      <w:r>
        <w:rPr>
          <w:rFonts w:hint="eastAsia" w:ascii="黑体" w:hAnsi="宋体" w:eastAsia="黑体" w:cs="宋体"/>
          <w:kern w:val="0"/>
          <w:sz w:val="32"/>
          <w:szCs w:val="32"/>
          <w:shd w:val="clear" w:color="auto" w:fill="FFFFFF"/>
        </w:rPr>
        <w:t>四、评价结论及建议</w:t>
      </w:r>
    </w:p>
    <w:p w14:paraId="6EB65C9A">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本部门按要求对2021年部门整体支出开展绩效自评，从评价情况来看保障房等建设项目</w:t>
      </w:r>
      <w:r>
        <w:rPr>
          <w:rFonts w:hint="eastAsia" w:ascii="仿宋_GB2312" w:eastAsia="仿宋_GB2312"/>
          <w:sz w:val="32"/>
          <w:szCs w:val="32"/>
          <w:lang w:val="zh-CN"/>
        </w:rPr>
        <w:t>按时完成了保障性安居工程建设施工和乡镇污水处理设施项目建设，保障了城市污水处理、垃圾处理、环境卫生清扫、园林绿化工作、市政设施及亮化设施的正常运转，资金使用做到合理可行，有规可依。资金使用规范，成本控制达到目标要求，工程质量达标；自评得分</w:t>
      </w:r>
      <w:r>
        <w:rPr>
          <w:rFonts w:hint="eastAsia" w:ascii="仿宋_GB2312" w:eastAsia="仿宋_GB2312"/>
          <w:sz w:val="32"/>
          <w:szCs w:val="32"/>
        </w:rPr>
        <w:t>95.9分，扣分项主要原因为部分项目资金年终结余率超10%。</w:t>
      </w:r>
    </w:p>
    <w:p w14:paraId="5DCD7520">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lang w:val="zh-CN"/>
        </w:rPr>
        <w:t>峨眉山市住房和城乡建设局部门运转资金和项目资金的使用，保障了我市</w:t>
      </w:r>
      <w:r>
        <w:rPr>
          <w:rFonts w:hint="eastAsia" w:ascii="仿宋_GB2312" w:eastAsia="仿宋_GB2312"/>
          <w:sz w:val="32"/>
          <w:szCs w:val="32"/>
        </w:rPr>
        <w:t>保障性安居工程等建设项目的实施，有效提升了峨眉山市城区及集镇的基础设施水平，解决了一系列因城市市政设施不配套引发的问题，为保障了城市功能的正常运转，提高了市民及农村居民的生活水平和满意度，打造绿水青山典范城市和世界重要旅游目的地城市提供了有力支撑。</w:t>
      </w:r>
    </w:p>
    <w:p w14:paraId="09384EAE">
      <w:pPr>
        <w:pStyle w:val="2"/>
        <w:spacing w:before="93"/>
      </w:pPr>
    </w:p>
    <w:p w14:paraId="2FDC170C">
      <w:pPr>
        <w:pStyle w:val="2"/>
        <w:spacing w:before="93" w:line="600" w:lineRule="exact"/>
        <w:rPr>
          <w:rFonts w:hAnsi="宋体" w:cs="宋体"/>
          <w:sz w:val="32"/>
          <w:szCs w:val="32"/>
          <w:shd w:val="clear" w:color="auto" w:fill="FFFFFF"/>
          <w:lang w:val="zh-CN"/>
        </w:rPr>
      </w:pPr>
    </w:p>
    <w:p w14:paraId="67AEECDB">
      <w:pPr>
        <w:pStyle w:val="2"/>
        <w:spacing w:before="93" w:line="600" w:lineRule="exact"/>
        <w:rPr>
          <w:rFonts w:hAnsi="宋体" w:cs="宋体"/>
          <w:sz w:val="32"/>
          <w:szCs w:val="32"/>
          <w:shd w:val="clear" w:color="auto" w:fill="FFFFFF"/>
          <w:lang w:val="zh-CN"/>
        </w:rPr>
      </w:pPr>
    </w:p>
    <w:p w14:paraId="107185E8">
      <w:pPr>
        <w:pStyle w:val="2"/>
        <w:spacing w:before="93" w:line="600" w:lineRule="exact"/>
        <w:rPr>
          <w:rFonts w:hAnsi="宋体" w:cs="宋体"/>
          <w:sz w:val="32"/>
          <w:szCs w:val="32"/>
          <w:shd w:val="clear" w:color="auto" w:fill="FFFFFF"/>
          <w:lang w:val="zh-CN"/>
        </w:rPr>
      </w:pPr>
    </w:p>
    <w:p w14:paraId="63A7F678">
      <w:pPr>
        <w:pStyle w:val="2"/>
        <w:spacing w:before="93" w:line="600" w:lineRule="exact"/>
        <w:rPr>
          <w:rFonts w:ascii="黑体" w:hAnsi="黑体" w:eastAsia="黑体" w:cs="黑体"/>
          <w:sz w:val="32"/>
          <w:szCs w:val="32"/>
          <w:shd w:val="clear" w:color="auto" w:fill="FFFFFF"/>
          <w:lang w:val="zh-CN"/>
        </w:rPr>
      </w:pPr>
    </w:p>
    <w:p w14:paraId="6544DA16">
      <w:pPr>
        <w:pStyle w:val="2"/>
        <w:spacing w:before="93" w:line="600" w:lineRule="exact"/>
        <w:rPr>
          <w:rFonts w:ascii="黑体" w:hAnsi="黑体" w:eastAsia="黑体" w:cs="黑体"/>
          <w:sz w:val="32"/>
          <w:szCs w:val="32"/>
          <w:shd w:val="clear" w:color="auto" w:fill="FFFFFF"/>
          <w:lang w:val="zh-CN"/>
        </w:rPr>
      </w:pPr>
    </w:p>
    <w:p w14:paraId="14003453">
      <w:pPr>
        <w:pStyle w:val="2"/>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14:paraId="2538E33D">
      <w:pPr>
        <w:pStyle w:val="2"/>
        <w:spacing w:before="93" w:line="600" w:lineRule="exact"/>
        <w:rPr>
          <w:rFonts w:ascii="黑体" w:hAnsi="黑体" w:eastAsia="黑体" w:cs="黑体"/>
          <w:sz w:val="32"/>
          <w:szCs w:val="32"/>
          <w:shd w:val="clear" w:color="auto" w:fill="FFFFFF"/>
          <w:lang w:val="zh-CN"/>
        </w:rPr>
      </w:pPr>
    </w:p>
    <w:p w14:paraId="201CA38F">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专项预算项目支出绩效自评报告范本</w:t>
      </w:r>
    </w:p>
    <w:p w14:paraId="2082BF8A">
      <w:pPr>
        <w:spacing w:line="600" w:lineRule="exact"/>
        <w:ind w:firstLine="883"/>
        <w:jc w:val="center"/>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（主管部门自评）</w:t>
      </w:r>
    </w:p>
    <w:p w14:paraId="4170363A">
      <w:pPr>
        <w:spacing w:line="600" w:lineRule="exact"/>
        <w:ind w:firstLine="640"/>
        <w:jc w:val="center"/>
        <w:rPr>
          <w:rFonts w:ascii="宋体" w:hAnsi="宋体"/>
          <w:sz w:val="32"/>
          <w:szCs w:val="32"/>
          <w:lang w:val="zh-CN"/>
        </w:rPr>
      </w:pPr>
    </w:p>
    <w:p w14:paraId="05BE30CE">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一、项目概况</w:t>
      </w:r>
    </w:p>
    <w:p w14:paraId="7212124A">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介绍项目基本情况，重点说明以下内容：</w:t>
      </w:r>
    </w:p>
    <w:p w14:paraId="0447BF2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（一）项目资金申报及批复情况</w:t>
      </w:r>
    </w:p>
    <w:p w14:paraId="574E5A55">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2021年住建局</w:t>
      </w:r>
      <w:r>
        <w:rPr>
          <w:rFonts w:hint="eastAsia" w:ascii="仿宋_GB2312" w:eastAsia="仿宋_GB2312"/>
          <w:sz w:val="32"/>
          <w:szCs w:val="32"/>
          <w:lang w:val="zh-CN"/>
        </w:rPr>
        <w:t>保障房等建设项目申报资金</w:t>
      </w:r>
      <w:r>
        <w:rPr>
          <w:rFonts w:hint="eastAsia" w:ascii="仿宋_GB2312" w:eastAsia="仿宋_GB2312"/>
          <w:sz w:val="32"/>
          <w:szCs w:val="32"/>
        </w:rPr>
        <w:t>2000万元，峨眉山市财政局批复下达资金2000万元，</w:t>
      </w:r>
      <w:r>
        <w:rPr>
          <w:rFonts w:hint="eastAsia" w:ascii="仿宋_GB2312" w:eastAsia="仿宋_GB2312"/>
          <w:sz w:val="32"/>
          <w:szCs w:val="32"/>
          <w:lang w:val="zh-CN"/>
        </w:rPr>
        <w:t>项目主要用于市政设施维修项目、省道</w:t>
      </w:r>
      <w:r>
        <w:rPr>
          <w:rFonts w:hint="eastAsia" w:ascii="仿宋_GB2312" w:eastAsia="仿宋_GB2312"/>
          <w:sz w:val="32"/>
          <w:szCs w:val="32"/>
        </w:rPr>
        <w:t>103线亮化项目</w:t>
      </w:r>
      <w:r>
        <w:rPr>
          <w:rFonts w:hint="eastAsia" w:ascii="仿宋_GB2312" w:eastAsia="仿宋_GB2312"/>
          <w:sz w:val="32"/>
          <w:szCs w:val="32"/>
          <w:lang w:val="zh-CN"/>
        </w:rPr>
        <w:t>、景区违建物品搬移项目、城区道路地型测绘及设计、老城区雨污分流项目及其它建设项目，保障房等建设项目资金安排符合资金管理办法等相关规定。</w:t>
      </w:r>
    </w:p>
    <w:p w14:paraId="17F79363">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（二）项目绩效目标</w:t>
      </w:r>
    </w:p>
    <w:p w14:paraId="6F238544">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lang w:val="zh-CN"/>
        </w:rPr>
        <w:t>项目主要包含了：老城区雨污分流项目、市政设施建设项目、市政设施维修维护，建成区测绘、安置房检测、特许经营权出让咨询及评估、省道</w:t>
      </w:r>
      <w:r>
        <w:rPr>
          <w:rFonts w:hint="eastAsia" w:ascii="仿宋_GB2312" w:eastAsia="仿宋_GB2312"/>
          <w:sz w:val="32"/>
          <w:szCs w:val="32"/>
        </w:rPr>
        <w:t>306线亮化工程等33个项目。</w:t>
      </w:r>
    </w:p>
    <w:p w14:paraId="00100E17">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计划实现的具体绩效目标为按照合同约定时限，完成项目建设，设计、规划、改造等各项任务，使乡镇公用设施更完善、农村房屋居住环境更洁净，城市和乡村基础设施和污水处理设施得到改善。</w:t>
      </w:r>
    </w:p>
    <w:p w14:paraId="54B5735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（三）项目资金申报相符性</w:t>
      </w:r>
    </w:p>
    <w:p w14:paraId="64FBBABB">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保障房等建设项目申报内容与具体实施内容相符、申报目标合理可行，资金安排合理有效。</w:t>
      </w:r>
    </w:p>
    <w:p w14:paraId="780D50D2">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二、项目实施及管理情况</w:t>
      </w:r>
    </w:p>
    <w:p w14:paraId="52F00632">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ab/>
      </w:r>
      <w:r>
        <w:rPr>
          <w:rFonts w:hint="eastAsia" w:ascii="仿宋_GB2312" w:eastAsia="仿宋_GB2312"/>
          <w:sz w:val="32"/>
          <w:szCs w:val="32"/>
          <w:lang w:val="zh-CN"/>
        </w:rPr>
        <w:t>（一）资金计划、到位及使用情况</w:t>
      </w:r>
    </w:p>
    <w:p w14:paraId="6E069B84">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lang w:val="zh-CN"/>
        </w:rPr>
        <w:t>1．资金计划及到位。</w:t>
      </w:r>
      <w:r>
        <w:rPr>
          <w:rFonts w:hint="eastAsia" w:ascii="仿宋_GB2312" w:eastAsia="仿宋_GB2312"/>
          <w:sz w:val="32"/>
          <w:szCs w:val="32"/>
        </w:rPr>
        <w:t>峨眉山市财政局2021年下达2000万元（峨财投项【2021】127号）。</w:t>
      </w:r>
    </w:p>
    <w:p w14:paraId="5B2EC51A">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2．资金使用。我单位根据财政下达的资金预算批复指标，按程序向财政申报资金，并以财政直接支付和向用款单位拨付方式进行了付款。</w:t>
      </w:r>
      <w:r>
        <w:rPr>
          <w:rFonts w:hint="eastAsia" w:ascii="仿宋_GB2312" w:eastAsia="仿宋_GB2312"/>
          <w:sz w:val="32"/>
          <w:szCs w:val="32"/>
        </w:rPr>
        <w:t>实际使用项目资金979.30万元，未使用款项1002.70万元由财政局追减指标</w:t>
      </w:r>
      <w:r>
        <w:rPr>
          <w:rFonts w:hint="eastAsia" w:ascii="仿宋_GB2312" w:eastAsia="仿宋_GB2312"/>
          <w:sz w:val="32"/>
          <w:szCs w:val="32"/>
          <w:lang w:val="zh-CN"/>
        </w:rPr>
        <w:t>。</w:t>
      </w:r>
    </w:p>
    <w:p w14:paraId="6F647A84">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实际项目资金使用支出情况：</w:t>
      </w:r>
    </w:p>
    <w:p w14:paraId="6AF93B93">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1、支付市政设施维修维护</w:t>
      </w:r>
      <w:r>
        <w:rPr>
          <w:rFonts w:hint="eastAsia" w:ascii="仿宋_GB2312" w:eastAsia="仿宋_GB2312"/>
          <w:sz w:val="32"/>
          <w:szCs w:val="32"/>
        </w:rPr>
        <w:t>4个</w:t>
      </w:r>
      <w:r>
        <w:rPr>
          <w:rFonts w:hint="eastAsia" w:ascii="仿宋_GB2312" w:eastAsia="仿宋_GB2312"/>
          <w:sz w:val="32"/>
          <w:szCs w:val="32"/>
          <w:lang w:val="zh-CN"/>
        </w:rPr>
        <w:t>工程项目</w:t>
      </w:r>
      <w:r>
        <w:rPr>
          <w:rFonts w:hint="eastAsia" w:ascii="仿宋_GB2312" w:eastAsia="仿宋_GB2312"/>
          <w:sz w:val="32"/>
          <w:szCs w:val="32"/>
        </w:rPr>
        <w:t>565万</w:t>
      </w:r>
      <w:r>
        <w:rPr>
          <w:rFonts w:hint="eastAsia" w:ascii="仿宋_GB2312" w:eastAsia="仿宋_GB2312"/>
          <w:sz w:val="32"/>
          <w:szCs w:val="32"/>
          <w:lang w:val="zh-CN"/>
        </w:rPr>
        <w:t>元；</w:t>
      </w:r>
    </w:p>
    <w:p w14:paraId="562331BE">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2、支付老城区雨污分流改造项目</w:t>
      </w:r>
      <w:r>
        <w:rPr>
          <w:rFonts w:hint="eastAsia" w:ascii="仿宋_GB2312" w:eastAsia="仿宋_GB2312"/>
          <w:sz w:val="32"/>
          <w:szCs w:val="32"/>
        </w:rPr>
        <w:t>38.37万</w:t>
      </w:r>
      <w:r>
        <w:rPr>
          <w:rFonts w:hint="eastAsia" w:ascii="仿宋_GB2312" w:eastAsia="仿宋_GB2312"/>
          <w:sz w:val="32"/>
          <w:szCs w:val="32"/>
          <w:lang w:val="zh-CN"/>
        </w:rPr>
        <w:t>元；</w:t>
      </w:r>
    </w:p>
    <w:p w14:paraId="1C428FEC">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3、支付省道</w:t>
      </w:r>
      <w:r>
        <w:rPr>
          <w:rFonts w:hint="eastAsia" w:ascii="仿宋_GB2312" w:eastAsia="仿宋_GB2312"/>
          <w:sz w:val="32"/>
          <w:szCs w:val="32"/>
        </w:rPr>
        <w:t>103线亮化项目100万</w:t>
      </w:r>
      <w:r>
        <w:rPr>
          <w:rFonts w:hint="eastAsia" w:ascii="仿宋_GB2312" w:eastAsia="仿宋_GB2312"/>
          <w:sz w:val="32"/>
          <w:szCs w:val="32"/>
          <w:lang w:val="zh-CN"/>
        </w:rPr>
        <w:t>元；</w:t>
      </w:r>
    </w:p>
    <w:p w14:paraId="43232AAD">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4、支付设计、评估、咨询、测绘等项目资金</w:t>
      </w:r>
      <w:r>
        <w:rPr>
          <w:rFonts w:hint="eastAsia" w:ascii="仿宋_GB2312" w:eastAsia="仿宋_GB2312"/>
          <w:sz w:val="32"/>
          <w:szCs w:val="32"/>
        </w:rPr>
        <w:t>123.73万</w:t>
      </w:r>
      <w:r>
        <w:rPr>
          <w:rFonts w:hint="eastAsia" w:ascii="仿宋_GB2312" w:eastAsia="仿宋_GB2312"/>
          <w:sz w:val="32"/>
          <w:szCs w:val="32"/>
          <w:lang w:val="zh-CN"/>
        </w:rPr>
        <w:t>元；</w:t>
      </w:r>
    </w:p>
    <w:p w14:paraId="0758B0EB">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5、支付景区违建物品搬移</w:t>
      </w:r>
      <w:r>
        <w:rPr>
          <w:rFonts w:hint="eastAsia" w:ascii="仿宋_GB2312" w:eastAsia="仿宋_GB2312"/>
          <w:sz w:val="32"/>
          <w:szCs w:val="32"/>
        </w:rPr>
        <w:t>40万</w:t>
      </w:r>
      <w:r>
        <w:rPr>
          <w:rFonts w:hint="eastAsia" w:ascii="仿宋_GB2312" w:eastAsia="仿宋_GB2312"/>
          <w:sz w:val="32"/>
          <w:szCs w:val="32"/>
          <w:lang w:val="zh-CN"/>
        </w:rPr>
        <w:t>元；</w:t>
      </w:r>
    </w:p>
    <w:p w14:paraId="29313B08">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6、支市政设施建设、环境整治等项目资金113.2万元。</w:t>
      </w:r>
    </w:p>
    <w:p w14:paraId="250BACBF">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（二）项目财务管理情况</w:t>
      </w:r>
    </w:p>
    <w:p w14:paraId="75D491E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按照项目资金管理办法，严格执行财务管理制度，财务处理及时，会计核算规范，确保项目资金专款专用，无违规违纪行为。</w:t>
      </w:r>
    </w:p>
    <w:p w14:paraId="68F57F2B">
      <w:pPr>
        <w:widowControl/>
        <w:adjustRightInd w:val="0"/>
        <w:snapToGrid w:val="0"/>
        <w:spacing w:line="580" w:lineRule="exact"/>
        <w:ind w:firstLine="720"/>
        <w:jc w:val="left"/>
        <w:rPr>
          <w:rFonts w:ascii="仿宋_GB2312" w:eastAsia="仿宋_GB2312"/>
          <w:sz w:val="32"/>
          <w:szCs w:val="32"/>
          <w:lang w:val="zh-CN"/>
        </w:rPr>
      </w:pPr>
    </w:p>
    <w:p w14:paraId="583EA0A4">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（三）项目组织实施情况</w:t>
      </w:r>
    </w:p>
    <w:p w14:paraId="352EC77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项目主要由城建股、城乡建设服务中心</w:t>
      </w:r>
      <w:bookmarkStart w:id="77" w:name="_GoBack"/>
      <w:bookmarkEnd w:id="77"/>
      <w:r>
        <w:rPr>
          <w:rFonts w:hint="eastAsia" w:ascii="仿宋_GB2312" w:eastAsia="仿宋_GB2312"/>
          <w:sz w:val="32"/>
          <w:szCs w:val="32"/>
          <w:lang w:val="zh-CN"/>
        </w:rPr>
        <w:t>及相关单位组织实施，各单位按照程序安排项目支出，根据负责的项目进行询价、谈判、采购，严格执行相关法律法规及项目管理制度。</w:t>
      </w:r>
    </w:p>
    <w:p w14:paraId="4E4ED37E">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三、项目绩效情况</w:t>
      </w:r>
      <w:r>
        <w:rPr>
          <w:rFonts w:hint="eastAsia" w:ascii="仿宋_GB2312" w:eastAsia="仿宋_GB2312"/>
          <w:sz w:val="32"/>
          <w:szCs w:val="32"/>
          <w:lang w:val="zh-CN"/>
        </w:rPr>
        <w:tab/>
      </w:r>
    </w:p>
    <w:p w14:paraId="19855AFC">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（一）项目完成情况</w:t>
      </w:r>
    </w:p>
    <w:p w14:paraId="730D4145">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保障房等建设项目按时完成了老城区雨污分流项目、市政设施建设项目、市政设施维修维护，建成区测绘、安置房检测、特许经营权出让咨询及评估、省道</w:t>
      </w:r>
      <w:r>
        <w:rPr>
          <w:rFonts w:hint="eastAsia" w:ascii="仿宋_GB2312" w:eastAsia="仿宋_GB2312"/>
          <w:sz w:val="32"/>
          <w:szCs w:val="32"/>
        </w:rPr>
        <w:t>306线亮化工程等</w:t>
      </w:r>
      <w:r>
        <w:rPr>
          <w:rFonts w:hint="eastAsia" w:ascii="仿宋_GB2312" w:eastAsia="仿宋_GB2312"/>
          <w:sz w:val="32"/>
          <w:szCs w:val="32"/>
          <w:lang w:val="zh-CN"/>
        </w:rPr>
        <w:t>项目建设，资金使用做到合理可行，有规可依。资金使用规范，成本控制达到目标要求，工程质量达标。项目自评得分</w:t>
      </w:r>
      <w:r>
        <w:rPr>
          <w:rFonts w:hint="eastAsia" w:ascii="仿宋_GB2312" w:eastAsia="仿宋_GB2312"/>
          <w:sz w:val="32"/>
          <w:szCs w:val="32"/>
        </w:rPr>
        <w:t>94.8分。</w:t>
      </w:r>
    </w:p>
    <w:p w14:paraId="68FAB01A">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（二）项目效益情况</w:t>
      </w:r>
    </w:p>
    <w:p w14:paraId="3108FAC6">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从保障房等建设项目的实施，有效提升了峨眉山市城区及乡镇的基础设施水平，突出了峨眉山市作为旅游城市的整体定位，提高了市民的农村居民的生活水平和满意度，为我市打造绿水青山典范城市和世界重要旅游目的地城市提供了有力支撑。</w:t>
      </w:r>
    </w:p>
    <w:p w14:paraId="2C62B649">
      <w:pPr>
        <w:pStyle w:val="2"/>
        <w:spacing w:before="93" w:line="600" w:lineRule="exact"/>
        <w:rPr>
          <w:lang w:val="zh-CN"/>
        </w:rPr>
      </w:pPr>
    </w:p>
    <w:p w14:paraId="42423CBC">
      <w:pPr>
        <w:pStyle w:val="2"/>
        <w:spacing w:before="93" w:line="600" w:lineRule="exact"/>
        <w:rPr>
          <w:lang w:val="zh-CN"/>
        </w:rPr>
      </w:pPr>
    </w:p>
    <w:p w14:paraId="7C57C01C">
      <w:pPr>
        <w:pStyle w:val="2"/>
        <w:spacing w:before="93" w:line="600" w:lineRule="exact"/>
        <w:rPr>
          <w:lang w:val="zh-CN"/>
        </w:rPr>
      </w:pPr>
    </w:p>
    <w:p w14:paraId="7B7A13A9">
      <w:pPr>
        <w:pStyle w:val="2"/>
        <w:spacing w:before="93" w:line="600" w:lineRule="exact"/>
        <w:rPr>
          <w:lang w:val="zh-CN"/>
        </w:rPr>
      </w:pPr>
    </w:p>
    <w:p w14:paraId="265DAE0A">
      <w:pPr>
        <w:pStyle w:val="2"/>
        <w:spacing w:before="93"/>
        <w:rPr>
          <w:lang w:val="zh-CN"/>
        </w:rPr>
      </w:pPr>
    </w:p>
    <w:p w14:paraId="00DF7AE0">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5544FCC6">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6E864817">
      <w:pPr>
        <w:pStyle w:val="2"/>
        <w:spacing w:before="93" w:line="600" w:lineRule="exact"/>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2021年市政设施零星维修项目绩效目标自评</w:t>
      </w:r>
    </w:p>
    <w:tbl>
      <w:tblPr>
        <w:tblStyle w:val="14"/>
        <w:tblpPr w:leftFromText="180" w:rightFromText="180" w:vertAnchor="text" w:horzAnchor="page" w:tblpXSpec="center" w:tblpY="660"/>
        <w:tblOverlap w:val="never"/>
        <w:tblW w:w="9361" w:type="dxa"/>
        <w:jc w:val="center"/>
        <w:tblLayout w:type="fixed"/>
        <w:tblCellMar>
          <w:top w:w="0" w:type="dxa"/>
          <w:left w:w="108" w:type="dxa"/>
          <w:bottom w:w="0" w:type="dxa"/>
          <w:right w:w="108" w:type="dxa"/>
        </w:tblCellMar>
      </w:tblPr>
      <w:tblGrid>
        <w:gridCol w:w="1651"/>
        <w:gridCol w:w="1155"/>
        <w:gridCol w:w="2012"/>
        <w:gridCol w:w="1230"/>
        <w:gridCol w:w="297"/>
        <w:gridCol w:w="1396"/>
        <w:gridCol w:w="1620"/>
      </w:tblGrid>
      <w:tr w14:paraId="6A312F1B">
        <w:tblPrEx>
          <w:tblCellMar>
            <w:top w:w="0" w:type="dxa"/>
            <w:left w:w="108" w:type="dxa"/>
            <w:bottom w:w="0" w:type="dxa"/>
            <w:right w:w="108" w:type="dxa"/>
          </w:tblCellMar>
        </w:tblPrEx>
        <w:trPr>
          <w:trHeight w:val="254" w:hRule="atLeast"/>
          <w:jc w:val="center"/>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802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27A6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AAEA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BCC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w:t>
            </w:r>
          </w:p>
        </w:tc>
      </w:tr>
      <w:tr w14:paraId="6C7575C5">
        <w:tblPrEx>
          <w:tblCellMar>
            <w:top w:w="0" w:type="dxa"/>
            <w:left w:w="108" w:type="dxa"/>
            <w:bottom w:w="0" w:type="dxa"/>
            <w:right w:w="108" w:type="dxa"/>
          </w:tblCellMar>
        </w:tblPrEx>
        <w:trPr>
          <w:trHeight w:val="341" w:hRule="atLeast"/>
          <w:jc w:val="center"/>
        </w:trPr>
        <w:tc>
          <w:tcPr>
            <w:tcW w:w="28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798C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5F4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1F4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5B16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7A3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r>
      <w:tr w14:paraId="50DCCA61">
        <w:tblPrEx>
          <w:tblCellMar>
            <w:top w:w="0" w:type="dxa"/>
            <w:left w:w="108" w:type="dxa"/>
            <w:bottom w:w="0" w:type="dxa"/>
            <w:right w:w="108" w:type="dxa"/>
          </w:tblCellMar>
        </w:tblPrEx>
        <w:trPr>
          <w:trHeight w:val="555" w:hRule="atLeast"/>
          <w:jc w:val="center"/>
        </w:trPr>
        <w:tc>
          <w:tcPr>
            <w:tcW w:w="2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7E99">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CA55">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0801AA5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EB1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A3E2">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35F32AD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FD1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r>
      <w:tr w14:paraId="14FAE768">
        <w:tblPrEx>
          <w:tblCellMar>
            <w:top w:w="0" w:type="dxa"/>
            <w:left w:w="108" w:type="dxa"/>
            <w:bottom w:w="0" w:type="dxa"/>
            <w:right w:w="108" w:type="dxa"/>
          </w:tblCellMar>
        </w:tblPrEx>
        <w:trPr>
          <w:trHeight w:val="341" w:hRule="atLeast"/>
          <w:jc w:val="center"/>
        </w:trPr>
        <w:tc>
          <w:tcPr>
            <w:tcW w:w="2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F910">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9FD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8FD5">
            <w:pPr>
              <w:widowControl/>
              <w:spacing w:line="320" w:lineRule="exact"/>
              <w:jc w:val="center"/>
              <w:textAlignment w:val="center"/>
              <w:rPr>
                <w:rFonts w:ascii="仿宋_GB2312" w:hAnsi="仿宋_GB2312" w:eastAsia="仿宋_GB2312" w:cs="仿宋_GB2312"/>
                <w:sz w:val="24"/>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B7E0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D04E">
            <w:pPr>
              <w:widowControl/>
              <w:spacing w:line="320" w:lineRule="exact"/>
              <w:jc w:val="center"/>
              <w:textAlignment w:val="center"/>
              <w:rPr>
                <w:rFonts w:ascii="仿宋_GB2312" w:hAnsi="仿宋_GB2312" w:eastAsia="仿宋_GB2312" w:cs="仿宋_GB2312"/>
                <w:sz w:val="24"/>
              </w:rPr>
            </w:pPr>
          </w:p>
        </w:tc>
      </w:tr>
      <w:tr w14:paraId="186BB412">
        <w:tblPrEx>
          <w:tblCellMar>
            <w:top w:w="0" w:type="dxa"/>
            <w:left w:w="108" w:type="dxa"/>
            <w:bottom w:w="0" w:type="dxa"/>
            <w:right w:w="108" w:type="dxa"/>
          </w:tblCellMar>
        </w:tblPrEx>
        <w:trPr>
          <w:trHeight w:val="445" w:hRule="atLeast"/>
          <w:jc w:val="center"/>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1A6A9">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41D5750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0459E">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4E37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4452BBCB">
        <w:tblPrEx>
          <w:tblCellMar>
            <w:top w:w="0" w:type="dxa"/>
            <w:left w:w="108" w:type="dxa"/>
            <w:bottom w:w="0" w:type="dxa"/>
            <w:right w:w="108" w:type="dxa"/>
          </w:tblCellMar>
        </w:tblPrEx>
        <w:trPr>
          <w:trHeight w:val="387" w:hRule="atLeast"/>
          <w:jc w:val="center"/>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51AE">
            <w:pPr>
              <w:spacing w:line="320" w:lineRule="exact"/>
              <w:jc w:val="center"/>
              <w:rPr>
                <w:rFonts w:ascii="仿宋_GB2312" w:hAnsi="仿宋_GB2312" w:eastAsia="仿宋_GB2312" w:cs="仿宋_GB2312"/>
                <w:sz w:val="24"/>
              </w:rPr>
            </w:pPr>
          </w:p>
        </w:tc>
        <w:tc>
          <w:tcPr>
            <w:tcW w:w="4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635F2">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更换雨污水井盖、人行道砖修补、人行道花岗石修补、沥青路面修补、雨污水管网疏通、道路标志标线维护</w:t>
            </w:r>
          </w:p>
        </w:tc>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2CA4F">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更换雨污水井盖、人行道砖修补、人行道花岗石修补、沥青路面修补、雨污水管网疏通、道路标志标线维护</w:t>
            </w:r>
          </w:p>
        </w:tc>
      </w:tr>
      <w:tr w14:paraId="06748BDF">
        <w:tblPrEx>
          <w:tblCellMar>
            <w:top w:w="0" w:type="dxa"/>
            <w:left w:w="108" w:type="dxa"/>
            <w:bottom w:w="0" w:type="dxa"/>
            <w:right w:w="108" w:type="dxa"/>
          </w:tblCellMar>
        </w:tblPrEx>
        <w:trPr>
          <w:trHeight w:val="693" w:hRule="atLeast"/>
          <w:jc w:val="center"/>
        </w:trPr>
        <w:tc>
          <w:tcPr>
            <w:tcW w:w="1651" w:type="dxa"/>
            <w:vMerge w:val="restart"/>
            <w:tcBorders>
              <w:top w:val="single" w:color="000000" w:sz="4" w:space="0"/>
              <w:left w:val="single" w:color="000000" w:sz="4" w:space="0"/>
              <w:right w:val="single" w:color="000000" w:sz="4" w:space="0"/>
            </w:tcBorders>
            <w:shd w:val="clear" w:color="auto" w:fill="auto"/>
            <w:vAlign w:val="center"/>
          </w:tcPr>
          <w:p w14:paraId="6D0BB3C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76F9FB33">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3429FA2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73D2">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1810D01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3E9F5">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4CB087D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31E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446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57ACE0D3">
        <w:tblPrEx>
          <w:tblCellMar>
            <w:top w:w="0" w:type="dxa"/>
            <w:left w:w="108" w:type="dxa"/>
            <w:bottom w:w="0" w:type="dxa"/>
            <w:right w:w="108" w:type="dxa"/>
          </w:tblCellMar>
        </w:tblPrEx>
        <w:trPr>
          <w:trHeight w:val="415" w:hRule="atLeast"/>
          <w:jc w:val="center"/>
        </w:trPr>
        <w:tc>
          <w:tcPr>
            <w:tcW w:w="1651" w:type="dxa"/>
            <w:vMerge w:val="continue"/>
            <w:tcBorders>
              <w:left w:val="single" w:color="000000" w:sz="4" w:space="0"/>
              <w:right w:val="single" w:color="000000" w:sz="4" w:space="0"/>
            </w:tcBorders>
            <w:shd w:val="clear" w:color="auto" w:fill="auto"/>
            <w:vAlign w:val="center"/>
          </w:tcPr>
          <w:p w14:paraId="3F266AB9">
            <w:pPr>
              <w:spacing w:line="320" w:lineRule="exact"/>
              <w:jc w:val="center"/>
              <w:rPr>
                <w:rFonts w:ascii="仿宋_GB2312" w:hAnsi="仿宋_GB2312" w:eastAsia="仿宋_GB2312" w:cs="仿宋_GB2312"/>
                <w:sz w:val="24"/>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8382A">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1809D73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FE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A18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人行道花岗石修补（平方米）</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1553">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6000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FD43">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6000</w:t>
            </w:r>
          </w:p>
        </w:tc>
      </w:tr>
      <w:tr w14:paraId="29E2DB21">
        <w:tblPrEx>
          <w:tblCellMar>
            <w:top w:w="0" w:type="dxa"/>
            <w:left w:w="108" w:type="dxa"/>
            <w:bottom w:w="0" w:type="dxa"/>
            <w:right w:w="108" w:type="dxa"/>
          </w:tblCellMar>
        </w:tblPrEx>
        <w:trPr>
          <w:trHeight w:val="415" w:hRule="atLeast"/>
          <w:jc w:val="center"/>
        </w:trPr>
        <w:tc>
          <w:tcPr>
            <w:tcW w:w="1651" w:type="dxa"/>
            <w:vMerge w:val="continue"/>
            <w:tcBorders>
              <w:left w:val="single" w:color="000000" w:sz="4" w:space="0"/>
              <w:right w:val="single" w:color="000000" w:sz="4" w:space="0"/>
            </w:tcBorders>
            <w:shd w:val="clear" w:color="auto" w:fill="auto"/>
            <w:vAlign w:val="center"/>
          </w:tcPr>
          <w:p w14:paraId="33EF4122">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33E8">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72C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B4CB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维修维护质量</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F7F8">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F73">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合格</w:t>
            </w:r>
          </w:p>
        </w:tc>
      </w:tr>
      <w:tr w14:paraId="37A9ADD6">
        <w:tblPrEx>
          <w:tblCellMar>
            <w:top w:w="0" w:type="dxa"/>
            <w:left w:w="108" w:type="dxa"/>
            <w:bottom w:w="0" w:type="dxa"/>
            <w:right w:w="108" w:type="dxa"/>
          </w:tblCellMar>
        </w:tblPrEx>
        <w:trPr>
          <w:trHeight w:val="1080" w:hRule="atLeast"/>
          <w:jc w:val="center"/>
        </w:trPr>
        <w:tc>
          <w:tcPr>
            <w:tcW w:w="1651" w:type="dxa"/>
            <w:vMerge w:val="continue"/>
            <w:tcBorders>
              <w:left w:val="single" w:color="000000" w:sz="4" w:space="0"/>
              <w:right w:val="single" w:color="000000" w:sz="4" w:space="0"/>
            </w:tcBorders>
            <w:shd w:val="clear" w:color="auto" w:fill="auto"/>
            <w:vAlign w:val="center"/>
          </w:tcPr>
          <w:p w14:paraId="2F453950">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F7CF">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C511">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7C878">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维修维护及时性</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B810">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105">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w:t>
            </w:r>
          </w:p>
        </w:tc>
      </w:tr>
      <w:tr w14:paraId="7082F8EF">
        <w:tblPrEx>
          <w:tblCellMar>
            <w:top w:w="0" w:type="dxa"/>
            <w:left w:w="108" w:type="dxa"/>
            <w:bottom w:w="0" w:type="dxa"/>
            <w:right w:w="108" w:type="dxa"/>
          </w:tblCellMar>
        </w:tblPrEx>
        <w:trPr>
          <w:trHeight w:val="355" w:hRule="atLeast"/>
          <w:jc w:val="center"/>
        </w:trPr>
        <w:tc>
          <w:tcPr>
            <w:tcW w:w="1651" w:type="dxa"/>
            <w:vMerge w:val="continue"/>
            <w:tcBorders>
              <w:left w:val="single" w:color="000000" w:sz="4" w:space="0"/>
              <w:right w:val="single" w:color="000000" w:sz="4" w:space="0"/>
            </w:tcBorders>
            <w:shd w:val="clear" w:color="auto" w:fill="auto"/>
            <w:vAlign w:val="center"/>
          </w:tcPr>
          <w:p w14:paraId="163BC42C">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D235">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BB7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05562">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成本控制范围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B38">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小于300万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D40">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小于300万</w:t>
            </w:r>
          </w:p>
        </w:tc>
      </w:tr>
      <w:tr w14:paraId="50F61A89">
        <w:tblPrEx>
          <w:tblCellMar>
            <w:top w:w="0" w:type="dxa"/>
            <w:left w:w="108" w:type="dxa"/>
            <w:bottom w:w="0" w:type="dxa"/>
            <w:right w:w="108" w:type="dxa"/>
          </w:tblCellMar>
        </w:tblPrEx>
        <w:trPr>
          <w:trHeight w:val="480" w:hRule="atLeast"/>
          <w:jc w:val="center"/>
        </w:trPr>
        <w:tc>
          <w:tcPr>
            <w:tcW w:w="1651" w:type="dxa"/>
            <w:vMerge w:val="continue"/>
            <w:tcBorders>
              <w:left w:val="single" w:color="000000" w:sz="4" w:space="0"/>
              <w:right w:val="single" w:color="000000" w:sz="4" w:space="0"/>
            </w:tcBorders>
            <w:shd w:val="clear" w:color="auto" w:fill="auto"/>
            <w:vAlign w:val="center"/>
          </w:tcPr>
          <w:p w14:paraId="1217B330">
            <w:pPr>
              <w:spacing w:line="320" w:lineRule="exact"/>
              <w:jc w:val="center"/>
              <w:rPr>
                <w:rFonts w:ascii="仿宋_GB2312" w:hAnsi="仿宋_GB2312" w:eastAsia="仿宋_GB2312" w:cs="仿宋_GB2312"/>
                <w:sz w:val="24"/>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609F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DF9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E56BF">
            <w:pPr>
              <w:widowControl/>
              <w:spacing w:line="320" w:lineRule="exact"/>
              <w:jc w:val="center"/>
              <w:textAlignment w:val="bottom"/>
              <w:rPr>
                <w:rFonts w:ascii="仿宋_GB2312" w:hAnsi="仿宋_GB2312" w:eastAsia="仿宋_GB2312" w:cs="仿宋_GB2312"/>
                <w:kern w:val="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2F47">
            <w:pPr>
              <w:widowControl/>
              <w:spacing w:line="320" w:lineRule="exact"/>
              <w:jc w:val="center"/>
              <w:textAlignment w:val="bottom"/>
              <w:rPr>
                <w:rFonts w:ascii="仿宋_GB2312" w:hAnsi="仿宋_GB2312" w:eastAsia="仿宋_GB2312" w:cs="仿宋_GB2312"/>
                <w:kern w:val="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9926">
            <w:pPr>
              <w:widowControl/>
              <w:spacing w:line="320" w:lineRule="exact"/>
              <w:jc w:val="center"/>
              <w:textAlignment w:val="bottom"/>
              <w:rPr>
                <w:rFonts w:ascii="仿宋_GB2312" w:hAnsi="仿宋_GB2312" w:eastAsia="仿宋_GB2312" w:cs="仿宋_GB2312"/>
                <w:kern w:val="0"/>
                <w:sz w:val="24"/>
              </w:rPr>
            </w:pPr>
          </w:p>
        </w:tc>
      </w:tr>
      <w:tr w14:paraId="18A9BAAE">
        <w:tblPrEx>
          <w:tblCellMar>
            <w:top w:w="0" w:type="dxa"/>
            <w:left w:w="108" w:type="dxa"/>
            <w:bottom w:w="0" w:type="dxa"/>
            <w:right w:w="108" w:type="dxa"/>
          </w:tblCellMar>
        </w:tblPrEx>
        <w:trPr>
          <w:trHeight w:val="480" w:hRule="atLeast"/>
          <w:jc w:val="center"/>
        </w:trPr>
        <w:tc>
          <w:tcPr>
            <w:tcW w:w="1651" w:type="dxa"/>
            <w:vMerge w:val="continue"/>
            <w:tcBorders>
              <w:left w:val="single" w:color="000000" w:sz="4" w:space="0"/>
              <w:right w:val="single" w:color="000000" w:sz="4" w:space="0"/>
            </w:tcBorders>
            <w:shd w:val="clear" w:color="auto" w:fill="auto"/>
            <w:vAlign w:val="center"/>
          </w:tcPr>
          <w:p w14:paraId="12DD90CF">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24E8">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8DE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DACA0">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社会评价满意度</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4DED">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434E">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r w14:paraId="3477218B">
        <w:tblPrEx>
          <w:tblCellMar>
            <w:top w:w="0" w:type="dxa"/>
            <w:left w:w="108" w:type="dxa"/>
            <w:bottom w:w="0" w:type="dxa"/>
            <w:right w:w="108" w:type="dxa"/>
          </w:tblCellMar>
        </w:tblPrEx>
        <w:trPr>
          <w:trHeight w:val="577" w:hRule="atLeast"/>
          <w:jc w:val="center"/>
        </w:trPr>
        <w:tc>
          <w:tcPr>
            <w:tcW w:w="1651" w:type="dxa"/>
            <w:vMerge w:val="continue"/>
            <w:tcBorders>
              <w:left w:val="single" w:color="000000" w:sz="4" w:space="0"/>
              <w:right w:val="single" w:color="000000" w:sz="4" w:space="0"/>
            </w:tcBorders>
            <w:shd w:val="clear" w:color="auto" w:fill="auto"/>
            <w:vAlign w:val="center"/>
          </w:tcPr>
          <w:p w14:paraId="63E493EA">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193B">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50D7">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FB562">
            <w:pPr>
              <w:widowControl/>
              <w:spacing w:line="320" w:lineRule="exact"/>
              <w:jc w:val="center"/>
              <w:textAlignment w:val="bottom"/>
              <w:rPr>
                <w:rFonts w:ascii="仿宋_GB2312" w:hAnsi="仿宋_GB2312" w:eastAsia="仿宋_GB2312" w:cs="仿宋_GB2312"/>
                <w:kern w:val="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7E6C">
            <w:pPr>
              <w:widowControl/>
              <w:spacing w:line="320" w:lineRule="exact"/>
              <w:jc w:val="center"/>
              <w:textAlignment w:val="bottom"/>
              <w:rPr>
                <w:rFonts w:ascii="仿宋_GB2312" w:hAnsi="仿宋_GB2312" w:eastAsia="仿宋_GB2312" w:cs="仿宋_GB2312"/>
                <w:kern w:val="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A3DD">
            <w:pPr>
              <w:widowControl/>
              <w:spacing w:line="320" w:lineRule="exact"/>
              <w:jc w:val="center"/>
              <w:textAlignment w:val="bottom"/>
              <w:rPr>
                <w:rFonts w:ascii="仿宋_GB2312" w:hAnsi="仿宋_GB2312" w:eastAsia="仿宋_GB2312" w:cs="仿宋_GB2312"/>
                <w:kern w:val="0"/>
                <w:sz w:val="24"/>
              </w:rPr>
            </w:pPr>
          </w:p>
        </w:tc>
      </w:tr>
      <w:tr w14:paraId="32E35DFD">
        <w:tblPrEx>
          <w:tblCellMar>
            <w:top w:w="0" w:type="dxa"/>
            <w:left w:w="108" w:type="dxa"/>
            <w:bottom w:w="0" w:type="dxa"/>
            <w:right w:w="108" w:type="dxa"/>
          </w:tblCellMar>
        </w:tblPrEx>
        <w:trPr>
          <w:trHeight w:val="480" w:hRule="atLeast"/>
          <w:jc w:val="center"/>
        </w:trPr>
        <w:tc>
          <w:tcPr>
            <w:tcW w:w="1651" w:type="dxa"/>
            <w:vMerge w:val="continue"/>
            <w:tcBorders>
              <w:left w:val="single" w:color="000000" w:sz="4" w:space="0"/>
              <w:right w:val="single" w:color="000000" w:sz="4" w:space="0"/>
            </w:tcBorders>
            <w:shd w:val="clear" w:color="auto" w:fill="auto"/>
            <w:vAlign w:val="center"/>
          </w:tcPr>
          <w:p w14:paraId="6611A56E">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097C">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02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C637">
            <w:pPr>
              <w:widowControl/>
              <w:spacing w:line="320" w:lineRule="exact"/>
              <w:jc w:val="center"/>
              <w:textAlignment w:val="bottom"/>
              <w:rPr>
                <w:rFonts w:ascii="仿宋_GB2312" w:hAnsi="仿宋_GB2312" w:eastAsia="仿宋_GB2312" w:cs="仿宋_GB2312"/>
                <w:kern w:val="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9BF5">
            <w:pPr>
              <w:widowControl/>
              <w:spacing w:line="320" w:lineRule="exact"/>
              <w:jc w:val="center"/>
              <w:textAlignment w:val="bottom"/>
              <w:rPr>
                <w:rFonts w:ascii="仿宋_GB2312" w:hAnsi="仿宋_GB2312" w:eastAsia="仿宋_GB2312" w:cs="仿宋_GB2312"/>
                <w:kern w:val="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48C">
            <w:pPr>
              <w:widowControl/>
              <w:spacing w:line="320" w:lineRule="exact"/>
              <w:jc w:val="center"/>
              <w:textAlignment w:val="bottom"/>
              <w:rPr>
                <w:rFonts w:ascii="仿宋_GB2312" w:hAnsi="仿宋_GB2312" w:eastAsia="仿宋_GB2312" w:cs="仿宋_GB2312"/>
                <w:kern w:val="0"/>
                <w:sz w:val="24"/>
              </w:rPr>
            </w:pPr>
          </w:p>
        </w:tc>
      </w:tr>
      <w:tr w14:paraId="40A47962">
        <w:tblPrEx>
          <w:tblCellMar>
            <w:top w:w="0" w:type="dxa"/>
            <w:left w:w="108" w:type="dxa"/>
            <w:bottom w:w="0" w:type="dxa"/>
            <w:right w:w="108" w:type="dxa"/>
          </w:tblCellMar>
        </w:tblPrEx>
        <w:trPr>
          <w:trHeight w:val="530" w:hRule="atLeast"/>
          <w:jc w:val="center"/>
        </w:trPr>
        <w:tc>
          <w:tcPr>
            <w:tcW w:w="1651" w:type="dxa"/>
            <w:vMerge w:val="continue"/>
            <w:tcBorders>
              <w:left w:val="single" w:color="000000" w:sz="4" w:space="0"/>
              <w:bottom w:val="single" w:color="000000" w:sz="4" w:space="0"/>
              <w:right w:val="single" w:color="000000" w:sz="4" w:space="0"/>
            </w:tcBorders>
            <w:shd w:val="clear" w:color="auto" w:fill="auto"/>
            <w:vAlign w:val="center"/>
          </w:tcPr>
          <w:p w14:paraId="5FA4ECF7">
            <w:pPr>
              <w:spacing w:line="320" w:lineRule="exact"/>
              <w:jc w:val="center"/>
              <w:rPr>
                <w:rFonts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20A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9A8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7CB1A">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受益群众满意度</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9BCE">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483">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bl>
    <w:p w14:paraId="218B9904">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2AEAEA4A">
      <w:pPr>
        <w:spacing w:line="600" w:lineRule="exact"/>
        <w:jc w:val="center"/>
        <w:outlineLvl w:val="0"/>
      </w:pPr>
      <w:r>
        <w:rPr>
          <w:rFonts w:hint="eastAsia" w:ascii="宋体" w:hAnsi="宋体" w:cs="宋体"/>
          <w:b/>
          <w:sz w:val="44"/>
          <w:szCs w:val="44"/>
        </w:rPr>
        <w:t>2021年海天水务污水处理费项目绩效目标自评</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79"/>
        <w:gridCol w:w="306"/>
        <w:gridCol w:w="1185"/>
        <w:gridCol w:w="1635"/>
        <w:gridCol w:w="1719"/>
      </w:tblGrid>
      <w:tr w14:paraId="216F89DB">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85CB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7604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7EA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078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w:t>
            </w:r>
          </w:p>
        </w:tc>
      </w:tr>
      <w:tr w14:paraId="1635BB75">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0D4D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965E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B9E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D08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D70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r>
      <w:tr w14:paraId="3AFFEF65">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BD6F">
            <w:pPr>
              <w:spacing w:line="320" w:lineRule="exact"/>
              <w:jc w:val="center"/>
              <w:rPr>
                <w:rFonts w:ascii="仿宋_GB2312" w:hAnsi="仿宋_GB2312" w:eastAsia="仿宋_GB2312" w:cs="仿宋_GB2312"/>
                <w:sz w:val="24"/>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1F381">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55AEF30E">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5D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F2ED">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68DA26B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22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r>
      <w:tr w14:paraId="51EEFAF9">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DD6F">
            <w:pPr>
              <w:spacing w:line="320" w:lineRule="exact"/>
              <w:jc w:val="center"/>
              <w:rPr>
                <w:rFonts w:ascii="仿宋_GB2312" w:hAnsi="仿宋_GB2312" w:eastAsia="仿宋_GB2312" w:cs="仿宋_GB2312"/>
                <w:sz w:val="24"/>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AF42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B3A">
            <w:pPr>
              <w:widowControl/>
              <w:spacing w:line="320" w:lineRule="exact"/>
              <w:jc w:val="center"/>
              <w:textAlignment w:val="center"/>
              <w:rPr>
                <w:rFonts w:ascii="仿宋_GB2312" w:hAnsi="仿宋_GB2312" w:eastAsia="仿宋_GB2312" w:cs="仿宋_GB2312"/>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07A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D996">
            <w:pPr>
              <w:widowControl/>
              <w:spacing w:line="320" w:lineRule="exact"/>
              <w:jc w:val="center"/>
              <w:textAlignment w:val="center"/>
              <w:rPr>
                <w:rFonts w:ascii="仿宋_GB2312" w:hAnsi="仿宋_GB2312" w:eastAsia="仿宋_GB2312" w:cs="仿宋_GB2312"/>
                <w:sz w:val="24"/>
              </w:rPr>
            </w:pPr>
          </w:p>
        </w:tc>
      </w:tr>
      <w:tr w14:paraId="44B2428E">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7E5B8">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6948923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FB02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8089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000587A4">
        <w:tblPrEx>
          <w:tblCellMar>
            <w:top w:w="0" w:type="dxa"/>
            <w:left w:w="108" w:type="dxa"/>
            <w:bottom w:w="0" w:type="dxa"/>
            <w:right w:w="108" w:type="dxa"/>
          </w:tblCellMar>
        </w:tblPrEx>
        <w:trPr>
          <w:trHeight w:val="712"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4B23">
            <w:pPr>
              <w:spacing w:line="320" w:lineRule="exact"/>
              <w:jc w:val="center"/>
              <w:rPr>
                <w:rFonts w:ascii="仿宋_GB2312" w:hAnsi="仿宋_GB2312" w:eastAsia="仿宋_GB2312" w:cs="仿宋_GB2312"/>
                <w:sz w:val="24"/>
              </w:rPr>
            </w:pP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95229">
            <w:pPr>
              <w:widowControl/>
              <w:jc w:val="left"/>
              <w:textAlignment w:val="center"/>
              <w:rPr>
                <w:rFonts w:ascii="宋体" w:hAnsi="宋体" w:cs="宋体"/>
                <w:color w:val="000000"/>
                <w:sz w:val="24"/>
              </w:rPr>
            </w:pPr>
            <w:r>
              <w:rPr>
                <w:rFonts w:hint="eastAsia" w:ascii="仿宋_GB2312" w:hAnsi="仿宋_GB2312" w:eastAsia="仿宋_GB2312" w:cs="仿宋_GB2312"/>
                <w:kern w:val="0"/>
                <w:sz w:val="24"/>
              </w:rPr>
              <w:t>海天水务污水处理2021年运营服务费</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98D89">
            <w:pPr>
              <w:widowControl/>
              <w:jc w:val="left"/>
              <w:textAlignment w:val="center"/>
              <w:rPr>
                <w:rFonts w:ascii="宋体" w:hAnsi="宋体" w:cs="宋体"/>
                <w:color w:val="000000"/>
                <w:sz w:val="24"/>
              </w:rPr>
            </w:pPr>
            <w:r>
              <w:rPr>
                <w:rFonts w:hint="eastAsia" w:ascii="仿宋_GB2312" w:hAnsi="仿宋_GB2312" w:eastAsia="仿宋_GB2312" w:cs="仿宋_GB2312"/>
                <w:kern w:val="0"/>
                <w:sz w:val="24"/>
              </w:rPr>
              <w:t>海天水务污水处理2021年运营服务费</w:t>
            </w:r>
          </w:p>
        </w:tc>
      </w:tr>
      <w:tr w14:paraId="1310BFCC">
        <w:tblPrEx>
          <w:tblCellMar>
            <w:top w:w="0" w:type="dxa"/>
            <w:left w:w="108" w:type="dxa"/>
            <w:bottom w:w="0" w:type="dxa"/>
            <w:right w:w="108" w:type="dxa"/>
          </w:tblCellMar>
        </w:tblPrEx>
        <w:trPr>
          <w:trHeight w:val="678"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14:paraId="0254EBA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14:paraId="7C265E30">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48D17AA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2F0">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29AB3FA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ECA49">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46E5FBA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382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44F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1A6AD09A">
        <w:tblPrEx>
          <w:tblCellMar>
            <w:top w:w="0" w:type="dxa"/>
            <w:left w:w="108" w:type="dxa"/>
            <w:bottom w:w="0" w:type="dxa"/>
            <w:right w:w="108" w:type="dxa"/>
          </w:tblCellMar>
        </w:tblPrEx>
        <w:trPr>
          <w:trHeight w:val="1153" w:hRule="atLeast"/>
          <w:jc w:val="center"/>
        </w:trPr>
        <w:tc>
          <w:tcPr>
            <w:tcW w:w="1654" w:type="dxa"/>
            <w:vMerge w:val="continue"/>
            <w:tcBorders>
              <w:left w:val="single" w:color="000000" w:sz="4" w:space="0"/>
              <w:right w:val="single" w:color="000000" w:sz="4" w:space="0"/>
            </w:tcBorders>
            <w:shd w:val="clear" w:color="auto" w:fill="auto"/>
            <w:vAlign w:val="center"/>
          </w:tcPr>
          <w:p w14:paraId="37BF470F">
            <w:pPr>
              <w:spacing w:line="320" w:lineRule="exact"/>
              <w:jc w:val="center"/>
              <w:rPr>
                <w:rFonts w:ascii="仿宋_GB2312" w:hAnsi="仿宋_GB2312" w:eastAsia="仿宋_GB2312" w:cs="仿宋_GB2312"/>
                <w:sz w:val="24"/>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CDACA">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489B206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26F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4D73A">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处理污水量2803万吨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3F6">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BD33">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r w14:paraId="02549F89">
        <w:tblPrEx>
          <w:tblCellMar>
            <w:top w:w="0" w:type="dxa"/>
            <w:left w:w="108" w:type="dxa"/>
            <w:bottom w:w="0" w:type="dxa"/>
            <w:right w:w="108" w:type="dxa"/>
          </w:tblCellMar>
        </w:tblPrEx>
        <w:trPr>
          <w:trHeight w:val="1510" w:hRule="atLeast"/>
          <w:jc w:val="center"/>
        </w:trPr>
        <w:tc>
          <w:tcPr>
            <w:tcW w:w="1654" w:type="dxa"/>
            <w:vMerge w:val="continue"/>
            <w:tcBorders>
              <w:left w:val="single" w:color="000000" w:sz="4" w:space="0"/>
              <w:right w:val="single" w:color="000000" w:sz="4" w:space="0"/>
            </w:tcBorders>
            <w:shd w:val="clear" w:color="auto" w:fill="auto"/>
            <w:vAlign w:val="center"/>
          </w:tcPr>
          <w:p w14:paraId="58DF7D15">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7CA7">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721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22665">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污水处理及时，达到排放标准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6C97">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达标率达100%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5CD">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达标率达100%</w:t>
            </w:r>
          </w:p>
        </w:tc>
      </w:tr>
      <w:tr w14:paraId="53C23E47">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14:paraId="267324B9">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E1EE">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7F5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6F96">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2021年全年运行稳定</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53A5">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12个月</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4A6D">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12个月</w:t>
            </w:r>
          </w:p>
        </w:tc>
      </w:tr>
      <w:tr w14:paraId="0DFFC3FC">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6FEE97AF">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A7F9">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331">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26E8B">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24C0">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B30">
            <w:pPr>
              <w:widowControl/>
              <w:spacing w:line="320" w:lineRule="exact"/>
              <w:jc w:val="center"/>
              <w:textAlignment w:val="bottom"/>
              <w:rPr>
                <w:rFonts w:ascii="仿宋_GB2312" w:hAnsi="仿宋_GB2312" w:eastAsia="仿宋_GB2312" w:cs="仿宋_GB2312"/>
                <w:kern w:val="0"/>
                <w:sz w:val="24"/>
              </w:rPr>
            </w:pPr>
          </w:p>
        </w:tc>
      </w:tr>
      <w:tr w14:paraId="5AD16D8B">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21FCD40E">
            <w:pPr>
              <w:spacing w:line="320" w:lineRule="exact"/>
              <w:jc w:val="center"/>
              <w:rPr>
                <w:rFonts w:ascii="仿宋_GB2312" w:hAnsi="仿宋_GB2312" w:eastAsia="仿宋_GB2312" w:cs="仿宋_GB2312"/>
                <w:sz w:val="24"/>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FC75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2697">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4EF09">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0F59">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31AE">
            <w:pPr>
              <w:widowControl/>
              <w:spacing w:line="320" w:lineRule="exact"/>
              <w:jc w:val="center"/>
              <w:textAlignment w:val="bottom"/>
              <w:rPr>
                <w:rFonts w:ascii="仿宋_GB2312" w:hAnsi="仿宋_GB2312" w:eastAsia="仿宋_GB2312" w:cs="仿宋_GB2312"/>
                <w:kern w:val="0"/>
                <w:sz w:val="24"/>
              </w:rPr>
            </w:pPr>
          </w:p>
        </w:tc>
      </w:tr>
      <w:tr w14:paraId="3C3F226C">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1FB82E81">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ED61">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8A6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69011">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1CCC">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F711">
            <w:pPr>
              <w:widowControl/>
              <w:spacing w:line="320" w:lineRule="exact"/>
              <w:jc w:val="center"/>
              <w:textAlignment w:val="bottom"/>
              <w:rPr>
                <w:rFonts w:ascii="仿宋_GB2312" w:hAnsi="仿宋_GB2312" w:eastAsia="仿宋_GB2312" w:cs="仿宋_GB2312"/>
                <w:kern w:val="0"/>
                <w:sz w:val="24"/>
              </w:rPr>
            </w:pPr>
          </w:p>
        </w:tc>
      </w:tr>
      <w:tr w14:paraId="0959EEA3">
        <w:tblPrEx>
          <w:tblCellMar>
            <w:top w:w="0" w:type="dxa"/>
            <w:left w:w="108" w:type="dxa"/>
            <w:bottom w:w="0" w:type="dxa"/>
            <w:right w:w="108" w:type="dxa"/>
          </w:tblCellMar>
        </w:tblPrEx>
        <w:trPr>
          <w:trHeight w:val="1183" w:hRule="atLeast"/>
          <w:jc w:val="center"/>
        </w:trPr>
        <w:tc>
          <w:tcPr>
            <w:tcW w:w="1654" w:type="dxa"/>
            <w:vMerge w:val="continue"/>
            <w:tcBorders>
              <w:left w:val="single" w:color="000000" w:sz="4" w:space="0"/>
              <w:right w:val="single" w:color="000000" w:sz="4" w:space="0"/>
            </w:tcBorders>
            <w:shd w:val="clear" w:color="auto" w:fill="auto"/>
            <w:vAlign w:val="center"/>
          </w:tcPr>
          <w:p w14:paraId="10821676">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AD6A">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F03C">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7FF5C">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水体生态环境持续改善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3066">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72C">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r w14:paraId="77389982">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1A966178">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0120">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9A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CFE9E">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61F7">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64BE">
            <w:pPr>
              <w:widowControl/>
              <w:spacing w:line="320" w:lineRule="exact"/>
              <w:jc w:val="center"/>
              <w:textAlignment w:val="bottom"/>
              <w:rPr>
                <w:rFonts w:ascii="仿宋_GB2312" w:hAnsi="仿宋_GB2312" w:eastAsia="仿宋_GB2312" w:cs="仿宋_GB2312"/>
                <w:kern w:val="0"/>
                <w:sz w:val="24"/>
              </w:rPr>
            </w:pPr>
          </w:p>
        </w:tc>
      </w:tr>
      <w:tr w14:paraId="1AC601F3">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14:paraId="47B507F0">
            <w:pPr>
              <w:spacing w:line="320" w:lineRule="exact"/>
              <w:jc w:val="center"/>
              <w:rPr>
                <w:rFonts w:ascii="仿宋_GB2312" w:hAnsi="仿宋_GB2312" w:eastAsia="仿宋_GB2312" w:cs="仿宋_GB2312"/>
                <w:sz w:val="24"/>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C76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492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3F7BE">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C835">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32B">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bl>
    <w:p w14:paraId="760568A6">
      <w:pPr>
        <w:widowControl/>
        <w:adjustRightInd w:val="0"/>
        <w:snapToGrid w:val="0"/>
        <w:spacing w:line="580" w:lineRule="exact"/>
        <w:contextualSpacing/>
        <w:jc w:val="left"/>
        <w:rPr>
          <w:rFonts w:ascii="方正小标宋_GBK" w:hAnsi="方正小标宋_GBK" w:eastAsia="方正小标宋_GBK" w:cs="方正小标宋_GBK"/>
          <w:b/>
          <w:sz w:val="44"/>
          <w:szCs w:val="44"/>
        </w:rPr>
      </w:pPr>
    </w:p>
    <w:p w14:paraId="6CD149DC">
      <w:pPr>
        <w:widowControl/>
        <w:adjustRightInd w:val="0"/>
        <w:snapToGrid w:val="0"/>
        <w:spacing w:line="580" w:lineRule="exact"/>
        <w:ind w:firstLine="440" w:firstLineChars="100"/>
        <w:contextualSpacing/>
        <w:jc w:val="left"/>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w:t>
      </w:r>
      <w:r>
        <w:rPr>
          <w:rFonts w:hint="eastAsia" w:ascii="方正小标宋_GBK" w:hAnsi="方正小标宋_GBK" w:eastAsia="方正小标宋_GBK" w:cs="方正小标宋_GBK"/>
          <w:b/>
          <w:kern w:val="0"/>
          <w:sz w:val="44"/>
          <w:szCs w:val="44"/>
        </w:rPr>
        <w:t>城区绿化和道路景点维护</w:t>
      </w:r>
      <w:r>
        <w:rPr>
          <w:rFonts w:hint="eastAsia" w:ascii="方正小标宋_GBK" w:hAnsi="方正小标宋_GBK" w:eastAsia="方正小标宋_GBK" w:cs="方正小标宋_GBK"/>
          <w:b/>
          <w:sz w:val="44"/>
          <w:szCs w:val="44"/>
        </w:rPr>
        <w:t>项目</w:t>
      </w:r>
    </w:p>
    <w:p w14:paraId="740EADF6">
      <w:pPr>
        <w:widowControl/>
        <w:adjustRightInd w:val="0"/>
        <w:snapToGrid w:val="0"/>
        <w:spacing w:line="580" w:lineRule="exact"/>
        <w:ind w:firstLine="3082" w:firstLineChars="700"/>
        <w:contextualSpacing/>
        <w:jc w:val="left"/>
        <w:rPr>
          <w:rFonts w:ascii="仿宋_GB2312" w:hAnsi="仿宋_GB2312" w:eastAsia="仿宋_GB2312" w:cs="仿宋_GB2312"/>
          <w:sz w:val="28"/>
          <w:szCs w:val="28"/>
        </w:rPr>
      </w:pPr>
      <w:r>
        <w:rPr>
          <w:rFonts w:hint="eastAsia" w:ascii="方正小标宋_GBK" w:hAnsi="方正小标宋_GBK" w:eastAsia="方正小标宋_GBK" w:cs="方正小标宋_GBK"/>
          <w:b/>
          <w:sz w:val="44"/>
          <w:szCs w:val="44"/>
        </w:rPr>
        <w:t>绩效目标自评</w:t>
      </w:r>
    </w:p>
    <w:tbl>
      <w:tblPr>
        <w:tblStyle w:val="14"/>
        <w:tblW w:w="9176" w:type="dxa"/>
        <w:jc w:val="center"/>
        <w:tblLayout w:type="fixed"/>
        <w:tblCellMar>
          <w:top w:w="0" w:type="dxa"/>
          <w:left w:w="108" w:type="dxa"/>
          <w:bottom w:w="0" w:type="dxa"/>
          <w:right w:w="108" w:type="dxa"/>
        </w:tblCellMar>
      </w:tblPr>
      <w:tblGrid>
        <w:gridCol w:w="818"/>
        <w:gridCol w:w="831"/>
        <w:gridCol w:w="20"/>
        <w:gridCol w:w="592"/>
        <w:gridCol w:w="901"/>
        <w:gridCol w:w="998"/>
        <w:gridCol w:w="697"/>
        <w:gridCol w:w="1022"/>
        <w:gridCol w:w="1097"/>
        <w:gridCol w:w="487"/>
        <w:gridCol w:w="1713"/>
      </w:tblGrid>
      <w:tr w14:paraId="09ADE476">
        <w:tblPrEx>
          <w:tblCellMar>
            <w:top w:w="0" w:type="dxa"/>
            <w:left w:w="108" w:type="dxa"/>
            <w:bottom w:w="0" w:type="dxa"/>
            <w:right w:w="108" w:type="dxa"/>
          </w:tblCellMar>
        </w:tblPrEx>
        <w:trPr>
          <w:trHeight w:val="366" w:hRule="atLeast"/>
          <w:jc w:val="center"/>
        </w:trPr>
        <w:tc>
          <w:tcPr>
            <w:tcW w:w="2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3BE51">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主管部门及代码</w:t>
            </w:r>
          </w:p>
        </w:tc>
        <w:tc>
          <w:tcPr>
            <w:tcW w:w="3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5E2EC">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峨眉山市住房和城乡建设局603001</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29A9A">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实施单位</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9B42">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峨眉山市城市绿化保障中心</w:t>
            </w:r>
          </w:p>
        </w:tc>
      </w:tr>
      <w:tr w14:paraId="14367D7F">
        <w:tblPrEx>
          <w:tblCellMar>
            <w:top w:w="0" w:type="dxa"/>
            <w:left w:w="108" w:type="dxa"/>
            <w:bottom w:w="0" w:type="dxa"/>
            <w:right w:w="108" w:type="dxa"/>
          </w:tblCellMar>
        </w:tblPrEx>
        <w:trPr>
          <w:trHeight w:val="394" w:hRule="atLeast"/>
          <w:jc w:val="center"/>
        </w:trPr>
        <w:tc>
          <w:tcPr>
            <w:tcW w:w="22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45D9">
            <w:pPr>
              <w:widowControl/>
              <w:adjustRightInd w:val="0"/>
              <w:snapToGrid w:val="0"/>
              <w:spacing w:line="580" w:lineRule="exact"/>
              <w:contextualSpacing/>
              <w:jc w:val="left"/>
              <w:rPr>
                <w:rFonts w:ascii="仿宋_GB2312" w:hAnsi="仿宋_GB2312" w:eastAsia="仿宋_GB2312" w:cs="仿宋_GB2312"/>
                <w:szCs w:val="21"/>
              </w:rPr>
            </w:pPr>
            <w:r>
              <w:rPr>
                <w:rFonts w:hint="eastAsia" w:ascii="仿宋_GB2312" w:hAnsi="仿宋_GB2312" w:eastAsia="仿宋_GB2312" w:cs="仿宋_GB2312"/>
                <w:kern w:val="0"/>
                <w:szCs w:val="21"/>
              </w:rPr>
              <w:t>项目预算执行情况（万元）</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97261">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预算数：</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0971">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C6213">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执行数：</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E4E9">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647.54</w:t>
            </w:r>
          </w:p>
        </w:tc>
      </w:tr>
      <w:tr w14:paraId="02F4DDB3">
        <w:tblPrEx>
          <w:tblCellMar>
            <w:top w:w="0" w:type="dxa"/>
            <w:left w:w="108" w:type="dxa"/>
            <w:bottom w:w="0" w:type="dxa"/>
            <w:right w:w="108" w:type="dxa"/>
          </w:tblCellMar>
        </w:tblPrEx>
        <w:trPr>
          <w:trHeight w:val="441" w:hRule="atLeast"/>
          <w:jc w:val="center"/>
        </w:trPr>
        <w:tc>
          <w:tcPr>
            <w:tcW w:w="22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2EB9">
            <w:pPr>
              <w:spacing w:line="320" w:lineRule="exact"/>
              <w:jc w:val="center"/>
              <w:rPr>
                <w:rFonts w:ascii="仿宋_GB2312" w:hAnsi="仿宋_GB2312" w:eastAsia="仿宋_GB2312" w:cs="仿宋_GB2312"/>
                <w:szCs w:val="21"/>
              </w:rPr>
            </w:pP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D8680">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w:t>
            </w:r>
          </w:p>
          <w:p w14:paraId="12E4AD7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财政拨款</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16E33">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55990">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w:t>
            </w:r>
          </w:p>
          <w:p w14:paraId="66457646">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财政拨款</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511">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647.54</w:t>
            </w:r>
          </w:p>
        </w:tc>
      </w:tr>
      <w:tr w14:paraId="2266A896">
        <w:tblPrEx>
          <w:tblCellMar>
            <w:top w:w="0" w:type="dxa"/>
            <w:left w:w="108" w:type="dxa"/>
            <w:bottom w:w="0" w:type="dxa"/>
            <w:right w:w="108" w:type="dxa"/>
          </w:tblCellMar>
        </w:tblPrEx>
        <w:trPr>
          <w:trHeight w:val="271" w:hRule="atLeast"/>
          <w:jc w:val="center"/>
        </w:trPr>
        <w:tc>
          <w:tcPr>
            <w:tcW w:w="22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420E">
            <w:pPr>
              <w:spacing w:line="320" w:lineRule="exact"/>
              <w:jc w:val="center"/>
              <w:rPr>
                <w:rFonts w:ascii="仿宋_GB2312" w:hAnsi="仿宋_GB2312" w:eastAsia="仿宋_GB2312" w:cs="仿宋_GB2312"/>
                <w:szCs w:val="21"/>
              </w:rPr>
            </w:pP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0AF1B">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其他资金</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D3BC4">
            <w:pPr>
              <w:widowControl/>
              <w:spacing w:line="320" w:lineRule="exact"/>
              <w:jc w:val="center"/>
              <w:textAlignment w:val="center"/>
              <w:rPr>
                <w:rFonts w:ascii="仿宋_GB2312" w:hAnsi="仿宋_GB2312" w:eastAsia="仿宋_GB2312" w:cs="仿宋_GB2312"/>
                <w:szCs w:val="21"/>
              </w:rPr>
            </w:pP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D983F">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其他资金</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393F">
            <w:pPr>
              <w:widowControl/>
              <w:spacing w:line="320" w:lineRule="exact"/>
              <w:jc w:val="center"/>
              <w:textAlignment w:val="center"/>
              <w:rPr>
                <w:rFonts w:ascii="仿宋_GB2312" w:hAnsi="仿宋_GB2312" w:eastAsia="仿宋_GB2312" w:cs="仿宋_GB2312"/>
                <w:szCs w:val="21"/>
              </w:rPr>
            </w:pPr>
          </w:p>
        </w:tc>
      </w:tr>
      <w:tr w14:paraId="37D4AB9B">
        <w:tblPrEx>
          <w:tblCellMar>
            <w:top w:w="0" w:type="dxa"/>
            <w:left w:w="108" w:type="dxa"/>
            <w:bottom w:w="0" w:type="dxa"/>
            <w:right w:w="108" w:type="dxa"/>
          </w:tblCellMar>
        </w:tblPrEx>
        <w:trPr>
          <w:trHeight w:val="342" w:hRule="atLeast"/>
          <w:jc w:val="center"/>
        </w:trPr>
        <w:tc>
          <w:tcPr>
            <w:tcW w:w="16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6C85D">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年度总体目标</w:t>
            </w:r>
          </w:p>
          <w:p w14:paraId="223F4179">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完成情况</w:t>
            </w:r>
          </w:p>
        </w:tc>
        <w:tc>
          <w:tcPr>
            <w:tcW w:w="4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7255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预期目标</w:t>
            </w:r>
          </w:p>
        </w:tc>
        <w:tc>
          <w:tcPr>
            <w:tcW w:w="3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F62D4">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目标实际完成情况</w:t>
            </w:r>
          </w:p>
        </w:tc>
      </w:tr>
      <w:tr w14:paraId="69BF967F">
        <w:tblPrEx>
          <w:tblCellMar>
            <w:top w:w="0" w:type="dxa"/>
            <w:left w:w="108" w:type="dxa"/>
            <w:bottom w:w="0" w:type="dxa"/>
            <w:right w:w="108" w:type="dxa"/>
          </w:tblCellMar>
        </w:tblPrEx>
        <w:trPr>
          <w:trHeight w:val="633" w:hRule="atLeast"/>
          <w:jc w:val="center"/>
        </w:trPr>
        <w:tc>
          <w:tcPr>
            <w:tcW w:w="16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9DB6">
            <w:pPr>
              <w:spacing w:line="320" w:lineRule="exact"/>
              <w:jc w:val="center"/>
              <w:rPr>
                <w:rFonts w:ascii="仿宋_GB2312" w:hAnsi="仿宋_GB2312" w:eastAsia="仿宋_GB2312" w:cs="仿宋_GB2312"/>
                <w:szCs w:val="21"/>
              </w:rPr>
            </w:pPr>
          </w:p>
        </w:tc>
        <w:tc>
          <w:tcPr>
            <w:tcW w:w="4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BE94A7">
            <w:pPr>
              <w:widowControl/>
              <w:spacing w:line="320" w:lineRule="exact"/>
              <w:textAlignment w:val="top"/>
              <w:rPr>
                <w:rFonts w:ascii="仿宋_GB2312" w:hAnsi="仿宋_GB2312" w:eastAsia="仿宋_GB2312" w:cs="仿宋_GB2312"/>
                <w:szCs w:val="21"/>
              </w:rPr>
            </w:pPr>
            <w:r>
              <w:rPr>
                <w:rFonts w:hint="eastAsia" w:ascii="仿宋_GB2312" w:hAnsi="仿宋_GB2312" w:eastAsia="仿宋_GB2312" w:cs="仿宋_GB2312"/>
                <w:szCs w:val="21"/>
              </w:rPr>
              <w:t>做好城市建成区道路、公园、广场的园林绿化、树木花草、园林设施的管理维护；抓好苗圃生产；完成市委市政府交办的绿化任务</w:t>
            </w:r>
          </w:p>
        </w:tc>
        <w:tc>
          <w:tcPr>
            <w:tcW w:w="3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98BE9">
            <w:pPr>
              <w:widowControl/>
              <w:spacing w:line="32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szCs w:val="21"/>
              </w:rPr>
              <w:t>做好城市建成区道路、公园、广场的园林绿化、树木花草、园林设施的管理维护；抓好苗圃生产；完成市委市政府交办的绿化任务</w:t>
            </w:r>
          </w:p>
        </w:tc>
      </w:tr>
      <w:tr w14:paraId="42887B56">
        <w:tblPrEx>
          <w:tblCellMar>
            <w:top w:w="0" w:type="dxa"/>
            <w:left w:w="108" w:type="dxa"/>
            <w:bottom w:w="0" w:type="dxa"/>
            <w:right w:w="108" w:type="dxa"/>
          </w:tblCellMar>
        </w:tblPrEx>
        <w:trPr>
          <w:trHeight w:val="71" w:hRule="atLeast"/>
          <w:jc w:val="center"/>
        </w:trPr>
        <w:tc>
          <w:tcPr>
            <w:tcW w:w="818" w:type="dxa"/>
            <w:vMerge w:val="restart"/>
            <w:tcBorders>
              <w:top w:val="single" w:color="000000" w:sz="4" w:space="0"/>
              <w:left w:val="single" w:color="000000" w:sz="4" w:space="0"/>
              <w:right w:val="single" w:color="000000" w:sz="4" w:space="0"/>
            </w:tcBorders>
            <w:shd w:val="clear" w:color="auto" w:fill="auto"/>
            <w:vAlign w:val="center"/>
          </w:tcPr>
          <w:p w14:paraId="7A83E4B6">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年度绩效指标完成情况</w:t>
            </w:r>
          </w:p>
        </w:tc>
        <w:tc>
          <w:tcPr>
            <w:tcW w:w="851" w:type="dxa"/>
            <w:gridSpan w:val="2"/>
            <w:tcBorders>
              <w:top w:val="single" w:color="000000" w:sz="4" w:space="0"/>
              <w:left w:val="nil"/>
              <w:bottom w:val="single" w:color="000000" w:sz="4" w:space="0"/>
              <w:right w:val="single" w:color="000000" w:sz="4" w:space="0"/>
            </w:tcBorders>
            <w:shd w:val="clear" w:color="auto" w:fill="auto"/>
            <w:vAlign w:val="center"/>
          </w:tcPr>
          <w:p w14:paraId="7DF35279">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一级</w:t>
            </w:r>
          </w:p>
          <w:p w14:paraId="752E14E2">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D0173">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二级</w:t>
            </w:r>
          </w:p>
          <w:p w14:paraId="69028A54">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C8D0">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三级</w:t>
            </w:r>
          </w:p>
          <w:p w14:paraId="0116D29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FE0E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预期指标值</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C6BA">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实际完成指标值</w:t>
            </w:r>
          </w:p>
        </w:tc>
      </w:tr>
      <w:tr w14:paraId="4AB916EF">
        <w:tblPrEx>
          <w:tblCellMar>
            <w:top w:w="0" w:type="dxa"/>
            <w:left w:w="108" w:type="dxa"/>
            <w:bottom w:w="0" w:type="dxa"/>
            <w:right w:w="108" w:type="dxa"/>
          </w:tblCellMar>
        </w:tblPrEx>
        <w:trPr>
          <w:trHeight w:val="330" w:hRule="atLeast"/>
          <w:jc w:val="center"/>
        </w:trPr>
        <w:tc>
          <w:tcPr>
            <w:tcW w:w="818" w:type="dxa"/>
            <w:vMerge w:val="continue"/>
            <w:tcBorders>
              <w:left w:val="single" w:color="000000" w:sz="4" w:space="0"/>
              <w:right w:val="single" w:color="000000" w:sz="4" w:space="0"/>
            </w:tcBorders>
            <w:shd w:val="clear" w:color="auto" w:fill="auto"/>
            <w:vAlign w:val="center"/>
          </w:tcPr>
          <w:p w14:paraId="42F9B569">
            <w:pPr>
              <w:spacing w:line="320" w:lineRule="exact"/>
              <w:jc w:val="center"/>
              <w:rPr>
                <w:rFonts w:ascii="仿宋_GB2312" w:hAnsi="仿宋_GB2312" w:eastAsia="仿宋_GB2312" w:cs="仿宋_GB2312"/>
                <w:szCs w:val="21"/>
              </w:rPr>
            </w:pPr>
          </w:p>
        </w:tc>
        <w:tc>
          <w:tcPr>
            <w:tcW w:w="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A9900">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完成</w:t>
            </w:r>
          </w:p>
          <w:p w14:paraId="6F1992D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F36D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01BE3">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按量完成修剪施肥工作</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FA8B6">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修剪（乔木+灌木+绿地）8次，施肥5次</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F8A0">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修剪（乔木+灌木+绿地）8次，施肥5次</w:t>
            </w:r>
          </w:p>
        </w:tc>
      </w:tr>
      <w:tr w14:paraId="45228263">
        <w:tblPrEx>
          <w:tblCellMar>
            <w:top w:w="0" w:type="dxa"/>
            <w:left w:w="108" w:type="dxa"/>
            <w:bottom w:w="0" w:type="dxa"/>
            <w:right w:w="108" w:type="dxa"/>
          </w:tblCellMar>
        </w:tblPrEx>
        <w:trPr>
          <w:trHeight w:val="330" w:hRule="atLeast"/>
          <w:jc w:val="center"/>
        </w:trPr>
        <w:tc>
          <w:tcPr>
            <w:tcW w:w="818" w:type="dxa"/>
            <w:vMerge w:val="continue"/>
            <w:tcBorders>
              <w:left w:val="single" w:color="000000" w:sz="4" w:space="0"/>
              <w:right w:val="single" w:color="000000" w:sz="4" w:space="0"/>
            </w:tcBorders>
            <w:shd w:val="clear" w:color="auto" w:fill="auto"/>
            <w:vAlign w:val="center"/>
          </w:tcPr>
          <w:p w14:paraId="6DCCDD42">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73C0">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3B8C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4143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按量完成除草、病虫害防治工作</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F517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人工清理杂草290万平方米24次，喷药（乔木+灌木+绿地）12次</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976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人工清理杂草290万平方米24次，喷药（乔木+灌木+绿地）12次</w:t>
            </w:r>
          </w:p>
        </w:tc>
      </w:tr>
      <w:tr w14:paraId="74C37EA1">
        <w:tblPrEx>
          <w:tblCellMar>
            <w:top w:w="0" w:type="dxa"/>
            <w:left w:w="108" w:type="dxa"/>
            <w:bottom w:w="0" w:type="dxa"/>
            <w:right w:w="108" w:type="dxa"/>
          </w:tblCellMar>
        </w:tblPrEx>
        <w:trPr>
          <w:trHeight w:val="330" w:hRule="atLeast"/>
          <w:jc w:val="center"/>
        </w:trPr>
        <w:tc>
          <w:tcPr>
            <w:tcW w:w="818" w:type="dxa"/>
            <w:vMerge w:val="continue"/>
            <w:tcBorders>
              <w:left w:val="single" w:color="000000" w:sz="4" w:space="0"/>
              <w:right w:val="single" w:color="000000" w:sz="4" w:space="0"/>
            </w:tcBorders>
            <w:shd w:val="clear" w:color="auto" w:fill="auto"/>
            <w:vAlign w:val="center"/>
          </w:tcPr>
          <w:p w14:paraId="006E1146">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01C4">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001DF">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2AE7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按时完成绿化养护工作</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5EB0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全年1-12月正常运行</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C0A3B">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全年1-12月正常运行</w:t>
            </w:r>
          </w:p>
        </w:tc>
      </w:tr>
      <w:tr w14:paraId="2AD31374">
        <w:tblPrEx>
          <w:tblCellMar>
            <w:top w:w="0" w:type="dxa"/>
            <w:left w:w="108" w:type="dxa"/>
            <w:bottom w:w="0" w:type="dxa"/>
            <w:right w:w="108" w:type="dxa"/>
          </w:tblCellMar>
        </w:tblPrEx>
        <w:trPr>
          <w:trHeight w:val="381" w:hRule="atLeast"/>
          <w:jc w:val="center"/>
        </w:trPr>
        <w:tc>
          <w:tcPr>
            <w:tcW w:w="818" w:type="dxa"/>
            <w:vMerge w:val="continue"/>
            <w:tcBorders>
              <w:left w:val="single" w:color="000000" w:sz="4" w:space="0"/>
              <w:right w:val="single" w:color="000000" w:sz="4" w:space="0"/>
            </w:tcBorders>
            <w:shd w:val="clear" w:color="auto" w:fill="auto"/>
            <w:vAlign w:val="center"/>
          </w:tcPr>
          <w:p w14:paraId="4B90AD48">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2A05">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F781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成本指标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CE7C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项目总金额控制在预算数以内</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EA05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1200万元</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2308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647.54万元</w:t>
            </w:r>
          </w:p>
        </w:tc>
      </w:tr>
      <w:tr w14:paraId="7917F4B9">
        <w:tblPrEx>
          <w:tblCellMar>
            <w:top w:w="0" w:type="dxa"/>
            <w:left w:w="108" w:type="dxa"/>
            <w:bottom w:w="0" w:type="dxa"/>
            <w:right w:w="108" w:type="dxa"/>
          </w:tblCellMar>
        </w:tblPrEx>
        <w:trPr>
          <w:trHeight w:val="381" w:hRule="atLeast"/>
          <w:jc w:val="center"/>
        </w:trPr>
        <w:tc>
          <w:tcPr>
            <w:tcW w:w="818" w:type="dxa"/>
            <w:vMerge w:val="continue"/>
            <w:tcBorders>
              <w:left w:val="single" w:color="000000" w:sz="4" w:space="0"/>
              <w:right w:val="single" w:color="000000" w:sz="4" w:space="0"/>
            </w:tcBorders>
            <w:shd w:val="clear" w:color="auto" w:fill="auto"/>
            <w:vAlign w:val="center"/>
          </w:tcPr>
          <w:p w14:paraId="1BEBF868">
            <w:pPr>
              <w:spacing w:line="320" w:lineRule="exact"/>
              <w:jc w:val="center"/>
              <w:rPr>
                <w:rFonts w:ascii="仿宋_GB2312" w:hAnsi="仿宋_GB2312" w:eastAsia="仿宋_GB2312" w:cs="仿宋_GB2312"/>
                <w:szCs w:val="21"/>
              </w:rPr>
            </w:pPr>
          </w:p>
        </w:tc>
        <w:tc>
          <w:tcPr>
            <w:tcW w:w="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3B61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效益</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00A0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经济效益指标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3CF16">
            <w:pPr>
              <w:widowControl/>
              <w:spacing w:line="320" w:lineRule="exact"/>
              <w:jc w:val="center"/>
              <w:textAlignment w:val="bottom"/>
              <w:rPr>
                <w:rFonts w:ascii="仿宋_GB2312" w:hAnsi="仿宋_GB2312" w:eastAsia="仿宋_GB2312" w:cs="仿宋_GB2312"/>
                <w:szCs w:val="21"/>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26BD9">
            <w:pPr>
              <w:widowControl/>
              <w:spacing w:line="320" w:lineRule="exact"/>
              <w:jc w:val="center"/>
              <w:textAlignment w:val="bottom"/>
              <w:rPr>
                <w:rFonts w:ascii="仿宋_GB2312" w:hAnsi="仿宋_GB2312" w:eastAsia="仿宋_GB2312" w:cs="仿宋_GB2312"/>
                <w:szCs w:val="21"/>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8B9C3">
            <w:pPr>
              <w:widowControl/>
              <w:spacing w:line="320" w:lineRule="exact"/>
              <w:jc w:val="center"/>
              <w:textAlignment w:val="bottom"/>
              <w:rPr>
                <w:rFonts w:ascii="仿宋_GB2312" w:hAnsi="仿宋_GB2312" w:eastAsia="仿宋_GB2312" w:cs="仿宋_GB2312"/>
                <w:szCs w:val="21"/>
              </w:rPr>
            </w:pPr>
          </w:p>
        </w:tc>
      </w:tr>
      <w:tr w14:paraId="07E8EB44">
        <w:tblPrEx>
          <w:tblCellMar>
            <w:top w:w="0" w:type="dxa"/>
            <w:left w:w="108" w:type="dxa"/>
            <w:bottom w:w="0" w:type="dxa"/>
            <w:right w:w="108" w:type="dxa"/>
          </w:tblCellMar>
        </w:tblPrEx>
        <w:trPr>
          <w:trHeight w:val="1634" w:hRule="atLeast"/>
          <w:jc w:val="center"/>
        </w:trPr>
        <w:tc>
          <w:tcPr>
            <w:tcW w:w="818" w:type="dxa"/>
            <w:vMerge w:val="continue"/>
            <w:tcBorders>
              <w:left w:val="single" w:color="000000" w:sz="4" w:space="0"/>
              <w:right w:val="single" w:color="000000" w:sz="4" w:space="0"/>
            </w:tcBorders>
            <w:shd w:val="clear" w:color="auto" w:fill="auto"/>
            <w:vAlign w:val="center"/>
          </w:tcPr>
          <w:p w14:paraId="3FE3B5B5">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C5FA">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6C0F3">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A89B8">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对城区绿地有力较好地管理维护，创造良好的投资环境，提升市民幸福指数</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7F90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显著</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6AA1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显著</w:t>
            </w:r>
          </w:p>
        </w:tc>
      </w:tr>
      <w:tr w14:paraId="64C03F80">
        <w:tblPrEx>
          <w:tblCellMar>
            <w:top w:w="0" w:type="dxa"/>
            <w:left w:w="108" w:type="dxa"/>
            <w:bottom w:w="0" w:type="dxa"/>
            <w:right w:w="108" w:type="dxa"/>
          </w:tblCellMar>
        </w:tblPrEx>
        <w:trPr>
          <w:trHeight w:val="459" w:hRule="atLeast"/>
          <w:jc w:val="center"/>
        </w:trPr>
        <w:tc>
          <w:tcPr>
            <w:tcW w:w="818" w:type="dxa"/>
            <w:vMerge w:val="continue"/>
            <w:tcBorders>
              <w:left w:val="single" w:color="000000" w:sz="4" w:space="0"/>
              <w:right w:val="single" w:color="000000" w:sz="4" w:space="0"/>
            </w:tcBorders>
            <w:shd w:val="clear" w:color="auto" w:fill="auto"/>
            <w:vAlign w:val="center"/>
          </w:tcPr>
          <w:p w14:paraId="41A8F202">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227A">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A493B">
            <w:pPr>
              <w:spacing w:line="320" w:lineRule="exact"/>
              <w:ind w:left="183" w:leftChars="87"/>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生态效益指标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222B1">
            <w:pPr>
              <w:widowControl/>
              <w:spacing w:line="320" w:lineRule="exact"/>
              <w:jc w:val="center"/>
              <w:textAlignment w:val="bottom"/>
              <w:rPr>
                <w:rFonts w:ascii="仿宋_GB2312" w:hAnsi="仿宋_GB2312" w:eastAsia="仿宋_GB2312" w:cs="仿宋_GB2312"/>
                <w:szCs w:val="21"/>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D1C62">
            <w:pPr>
              <w:widowControl/>
              <w:spacing w:line="320" w:lineRule="exact"/>
              <w:jc w:val="center"/>
              <w:textAlignment w:val="bottom"/>
              <w:rPr>
                <w:rFonts w:ascii="仿宋_GB2312" w:hAnsi="仿宋_GB2312" w:eastAsia="仿宋_GB2312" w:cs="仿宋_GB2312"/>
                <w:szCs w:val="21"/>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A8E71">
            <w:pPr>
              <w:widowControl/>
              <w:spacing w:line="320" w:lineRule="exact"/>
              <w:jc w:val="center"/>
              <w:textAlignment w:val="bottom"/>
              <w:rPr>
                <w:rFonts w:ascii="仿宋_GB2312" w:hAnsi="仿宋_GB2312" w:eastAsia="仿宋_GB2312" w:cs="仿宋_GB2312"/>
                <w:szCs w:val="21"/>
              </w:rPr>
            </w:pPr>
          </w:p>
        </w:tc>
      </w:tr>
      <w:tr w14:paraId="234A0CAE">
        <w:tblPrEx>
          <w:tblCellMar>
            <w:top w:w="0" w:type="dxa"/>
            <w:left w:w="108" w:type="dxa"/>
            <w:bottom w:w="0" w:type="dxa"/>
            <w:right w:w="108" w:type="dxa"/>
          </w:tblCellMar>
        </w:tblPrEx>
        <w:trPr>
          <w:trHeight w:val="381" w:hRule="atLeast"/>
          <w:jc w:val="center"/>
        </w:trPr>
        <w:tc>
          <w:tcPr>
            <w:tcW w:w="818" w:type="dxa"/>
            <w:vMerge w:val="continue"/>
            <w:tcBorders>
              <w:left w:val="single" w:color="000000" w:sz="4" w:space="0"/>
              <w:right w:val="single" w:color="000000" w:sz="4" w:space="0"/>
            </w:tcBorders>
            <w:shd w:val="clear" w:color="auto" w:fill="auto"/>
            <w:vAlign w:val="center"/>
          </w:tcPr>
          <w:p w14:paraId="1B7DA6CB">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1012">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5F3D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可持续影响指标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40BFE">
            <w:pPr>
              <w:widowControl/>
              <w:spacing w:line="320" w:lineRule="exact"/>
              <w:jc w:val="center"/>
              <w:textAlignment w:val="bottom"/>
              <w:rPr>
                <w:rFonts w:ascii="仿宋_GB2312" w:hAnsi="仿宋_GB2312" w:eastAsia="仿宋_GB2312" w:cs="仿宋_GB2312"/>
                <w:szCs w:val="21"/>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E50CE">
            <w:pPr>
              <w:widowControl/>
              <w:spacing w:line="320" w:lineRule="exact"/>
              <w:jc w:val="center"/>
              <w:textAlignment w:val="bottom"/>
              <w:rPr>
                <w:rFonts w:ascii="仿宋_GB2312" w:hAnsi="仿宋_GB2312" w:eastAsia="仿宋_GB2312" w:cs="仿宋_GB2312"/>
                <w:szCs w:val="21"/>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D7452">
            <w:pPr>
              <w:widowControl/>
              <w:spacing w:line="320" w:lineRule="exact"/>
              <w:jc w:val="center"/>
              <w:textAlignment w:val="bottom"/>
              <w:rPr>
                <w:rFonts w:ascii="仿宋_GB2312" w:hAnsi="仿宋_GB2312" w:eastAsia="仿宋_GB2312" w:cs="仿宋_GB2312"/>
                <w:szCs w:val="21"/>
              </w:rPr>
            </w:pPr>
          </w:p>
        </w:tc>
      </w:tr>
      <w:tr w14:paraId="7F0FB243">
        <w:tblPrEx>
          <w:tblCellMar>
            <w:top w:w="0" w:type="dxa"/>
            <w:left w:w="108" w:type="dxa"/>
            <w:bottom w:w="0" w:type="dxa"/>
            <w:right w:w="108" w:type="dxa"/>
          </w:tblCellMar>
        </w:tblPrEx>
        <w:trPr>
          <w:trHeight w:val="612" w:hRule="atLeast"/>
          <w:jc w:val="center"/>
        </w:trPr>
        <w:tc>
          <w:tcPr>
            <w:tcW w:w="818" w:type="dxa"/>
            <w:vMerge w:val="continue"/>
            <w:tcBorders>
              <w:left w:val="single" w:color="000000" w:sz="4" w:space="0"/>
              <w:bottom w:val="single" w:color="000000" w:sz="4" w:space="0"/>
              <w:right w:val="single" w:color="000000" w:sz="4" w:space="0"/>
            </w:tcBorders>
            <w:shd w:val="clear" w:color="auto" w:fill="auto"/>
            <w:vAlign w:val="center"/>
          </w:tcPr>
          <w:p w14:paraId="4B598B40">
            <w:pPr>
              <w:spacing w:line="320" w:lineRule="exact"/>
              <w:jc w:val="center"/>
              <w:rPr>
                <w:rFonts w:ascii="仿宋_GB2312" w:hAnsi="仿宋_GB2312" w:eastAsia="仿宋_GB2312" w:cs="仿宋_GB2312"/>
                <w:szCs w:val="21"/>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1D78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满意</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度指标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877D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满意度指标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E0BC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调查了解城市居民对城区公共绿地养护满意程度</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E55B7">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≧90％</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788B">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≧90％</w:t>
            </w:r>
          </w:p>
        </w:tc>
      </w:tr>
    </w:tbl>
    <w:p w14:paraId="7A97846A">
      <w:pPr>
        <w:widowControl/>
        <w:adjustRightInd w:val="0"/>
        <w:snapToGrid w:val="0"/>
        <w:spacing w:line="580" w:lineRule="exact"/>
        <w:ind w:firstLine="880" w:firstLineChars="200"/>
        <w:contextualSpacing/>
        <w:jc w:val="left"/>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2021年转移支付区域项目绩效目标自评</w:t>
      </w:r>
    </w:p>
    <w:tbl>
      <w:tblPr>
        <w:tblStyle w:val="14"/>
        <w:tblpPr w:leftFromText="180" w:rightFromText="180" w:vertAnchor="text" w:horzAnchor="page" w:tblpXSpec="center" w:tblpY="660"/>
        <w:tblOverlap w:val="never"/>
        <w:tblW w:w="9537" w:type="dxa"/>
        <w:jc w:val="center"/>
        <w:tblLayout w:type="fixed"/>
        <w:tblCellMar>
          <w:top w:w="0" w:type="dxa"/>
          <w:left w:w="108" w:type="dxa"/>
          <w:bottom w:w="0" w:type="dxa"/>
          <w:right w:w="108" w:type="dxa"/>
        </w:tblCellMar>
      </w:tblPr>
      <w:tblGrid>
        <w:gridCol w:w="1462"/>
        <w:gridCol w:w="1065"/>
        <w:gridCol w:w="1380"/>
        <w:gridCol w:w="2250"/>
        <w:gridCol w:w="1571"/>
        <w:gridCol w:w="1809"/>
      </w:tblGrid>
      <w:tr w14:paraId="0B724C6D">
        <w:tblPrEx>
          <w:tblCellMar>
            <w:top w:w="0" w:type="dxa"/>
            <w:left w:w="108" w:type="dxa"/>
            <w:bottom w:w="0" w:type="dxa"/>
            <w:right w:w="108" w:type="dxa"/>
          </w:tblCellMar>
        </w:tblPrEx>
        <w:trPr>
          <w:trHeight w:val="1075" w:hRule="atLeast"/>
          <w:jc w:val="center"/>
        </w:trPr>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A678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EE4A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101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24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峨眉山市住房保障和房地产事务中心</w:t>
            </w:r>
          </w:p>
        </w:tc>
      </w:tr>
      <w:tr w14:paraId="645D9E34">
        <w:tblPrEx>
          <w:tblCellMar>
            <w:top w:w="0" w:type="dxa"/>
            <w:left w:w="108" w:type="dxa"/>
            <w:bottom w:w="0" w:type="dxa"/>
            <w:right w:w="108" w:type="dxa"/>
          </w:tblCellMar>
        </w:tblPrEx>
        <w:trPr>
          <w:trHeight w:val="532" w:hRule="atLeast"/>
          <w:jc w:val="center"/>
        </w:trPr>
        <w:tc>
          <w:tcPr>
            <w:tcW w:w="2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68E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A24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预算数：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94D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100000元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2A8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执行数：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E28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70722元</w:t>
            </w:r>
          </w:p>
        </w:tc>
      </w:tr>
      <w:tr w14:paraId="088D2DA4">
        <w:tblPrEx>
          <w:tblCellMar>
            <w:top w:w="0" w:type="dxa"/>
            <w:left w:w="108" w:type="dxa"/>
            <w:bottom w:w="0" w:type="dxa"/>
            <w:right w:w="108" w:type="dxa"/>
          </w:tblCellMar>
        </w:tblPrEx>
        <w:trPr>
          <w:trHeight w:val="684" w:hRule="atLeast"/>
          <w:jc w:val="center"/>
        </w:trPr>
        <w:tc>
          <w:tcPr>
            <w:tcW w:w="2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0470">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821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p w14:paraId="3407D27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财政拨款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B64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70000元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C6F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p w14:paraId="675F56B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财政拨款</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40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40422元</w:t>
            </w:r>
          </w:p>
        </w:tc>
      </w:tr>
      <w:tr w14:paraId="6DE0ED1F">
        <w:tblPrEx>
          <w:tblCellMar>
            <w:top w:w="0" w:type="dxa"/>
            <w:left w:w="108" w:type="dxa"/>
            <w:bottom w:w="0" w:type="dxa"/>
            <w:right w:w="108" w:type="dxa"/>
          </w:tblCellMar>
        </w:tblPrEx>
        <w:trPr>
          <w:trHeight w:val="369" w:hRule="atLeast"/>
          <w:jc w:val="center"/>
        </w:trPr>
        <w:tc>
          <w:tcPr>
            <w:tcW w:w="2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2532">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9AA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其他资金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A1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30000元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72A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其他资金</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D54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30000元</w:t>
            </w:r>
          </w:p>
        </w:tc>
      </w:tr>
      <w:tr w14:paraId="14F7FBAE">
        <w:tblPrEx>
          <w:tblCellMar>
            <w:top w:w="0" w:type="dxa"/>
            <w:left w:w="108" w:type="dxa"/>
            <w:bottom w:w="0" w:type="dxa"/>
            <w:right w:w="108" w:type="dxa"/>
          </w:tblCellMar>
        </w:tblPrEx>
        <w:trPr>
          <w:trHeight w:val="463"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7A1B7">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035DFC9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3A35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867A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0C98141F">
        <w:tblPrEx>
          <w:tblCellMar>
            <w:top w:w="0" w:type="dxa"/>
            <w:left w:w="108" w:type="dxa"/>
            <w:bottom w:w="0" w:type="dxa"/>
            <w:right w:w="108" w:type="dxa"/>
          </w:tblCellMar>
        </w:tblPrEx>
        <w:trPr>
          <w:trHeight w:val="849"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A65E">
            <w:pPr>
              <w:spacing w:line="320" w:lineRule="exact"/>
              <w:jc w:val="center"/>
              <w:rPr>
                <w:rFonts w:ascii="仿宋_GB2312" w:hAnsi="仿宋_GB2312" w:eastAsia="仿宋_GB2312" w:cs="仿宋_GB2312"/>
                <w:sz w:val="24"/>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610C7">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完成公共租赁住房租金补贴发放工作。</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8F0C">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2021年公共租赁住房租金补贴第一、第二季度发放金额70722元。</w:t>
            </w:r>
          </w:p>
        </w:tc>
      </w:tr>
      <w:tr w14:paraId="524B85C8">
        <w:tblPrEx>
          <w:tblCellMar>
            <w:top w:w="0" w:type="dxa"/>
            <w:left w:w="108" w:type="dxa"/>
            <w:bottom w:w="0" w:type="dxa"/>
            <w:right w:w="108" w:type="dxa"/>
          </w:tblCellMar>
        </w:tblPrEx>
        <w:trPr>
          <w:trHeight w:val="1085" w:hRule="atLeast"/>
          <w:jc w:val="center"/>
        </w:trPr>
        <w:tc>
          <w:tcPr>
            <w:tcW w:w="1462" w:type="dxa"/>
            <w:vMerge w:val="restart"/>
            <w:tcBorders>
              <w:top w:val="single" w:color="000000" w:sz="4" w:space="0"/>
              <w:left w:val="single" w:color="000000" w:sz="4" w:space="0"/>
              <w:right w:val="single" w:color="000000" w:sz="4" w:space="0"/>
            </w:tcBorders>
            <w:shd w:val="clear" w:color="auto" w:fill="auto"/>
            <w:vAlign w:val="center"/>
          </w:tcPr>
          <w:p w14:paraId="5F94BD1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76A3BD8B">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4E3309D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FE8">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1198764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ADF0">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15CFA11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F18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F3E">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7E77AF12">
        <w:tblPrEx>
          <w:tblCellMar>
            <w:top w:w="0" w:type="dxa"/>
            <w:left w:w="108" w:type="dxa"/>
            <w:bottom w:w="0" w:type="dxa"/>
            <w:right w:w="108" w:type="dxa"/>
          </w:tblCellMar>
        </w:tblPrEx>
        <w:trPr>
          <w:trHeight w:val="447" w:hRule="atLeast"/>
          <w:jc w:val="center"/>
        </w:trPr>
        <w:tc>
          <w:tcPr>
            <w:tcW w:w="1462" w:type="dxa"/>
            <w:vMerge w:val="continue"/>
            <w:tcBorders>
              <w:left w:val="single" w:color="000000" w:sz="4" w:space="0"/>
              <w:right w:val="single" w:color="000000" w:sz="4" w:space="0"/>
            </w:tcBorders>
            <w:shd w:val="clear" w:color="auto" w:fill="auto"/>
            <w:vAlign w:val="center"/>
          </w:tcPr>
          <w:p w14:paraId="2D847C55">
            <w:pPr>
              <w:spacing w:line="320" w:lineRule="exact"/>
              <w:jc w:val="center"/>
              <w:rPr>
                <w:rFonts w:ascii="仿宋_GB2312" w:hAnsi="仿宋_GB2312" w:eastAsia="仿宋_GB2312" w:cs="仿宋_GB2312"/>
                <w:sz w:val="24"/>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1B308">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7682BD5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3F1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BB1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租金补贴发放率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D4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FC3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r>
      <w:tr w14:paraId="62BD3A14">
        <w:tblPrEx>
          <w:tblCellMar>
            <w:top w:w="0" w:type="dxa"/>
            <w:left w:w="108" w:type="dxa"/>
            <w:bottom w:w="0" w:type="dxa"/>
            <w:right w:w="108" w:type="dxa"/>
          </w:tblCellMar>
        </w:tblPrEx>
        <w:trPr>
          <w:trHeight w:val="447" w:hRule="atLeast"/>
          <w:jc w:val="center"/>
        </w:trPr>
        <w:tc>
          <w:tcPr>
            <w:tcW w:w="1462" w:type="dxa"/>
            <w:vMerge w:val="continue"/>
            <w:tcBorders>
              <w:left w:val="single" w:color="000000" w:sz="4" w:space="0"/>
              <w:right w:val="single" w:color="000000" w:sz="4" w:space="0"/>
            </w:tcBorders>
            <w:shd w:val="clear" w:color="auto" w:fill="auto"/>
            <w:vAlign w:val="center"/>
          </w:tcPr>
          <w:p w14:paraId="2FC61301">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4D56">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246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4A6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发放租金补贴差错率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1D6D">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0.1%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9497">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0.1%</w:t>
            </w:r>
          </w:p>
        </w:tc>
      </w:tr>
      <w:tr w14:paraId="7BA7A30E">
        <w:tblPrEx>
          <w:tblCellMar>
            <w:top w:w="0" w:type="dxa"/>
            <w:left w:w="108" w:type="dxa"/>
            <w:bottom w:w="0" w:type="dxa"/>
            <w:right w:w="108" w:type="dxa"/>
          </w:tblCellMar>
        </w:tblPrEx>
        <w:trPr>
          <w:trHeight w:val="447" w:hRule="atLeast"/>
          <w:jc w:val="center"/>
        </w:trPr>
        <w:tc>
          <w:tcPr>
            <w:tcW w:w="1462" w:type="dxa"/>
            <w:vMerge w:val="continue"/>
            <w:tcBorders>
              <w:left w:val="single" w:color="000000" w:sz="4" w:space="0"/>
              <w:right w:val="single" w:color="000000" w:sz="4" w:space="0"/>
            </w:tcBorders>
            <w:shd w:val="clear" w:color="auto" w:fill="auto"/>
            <w:vAlign w:val="center"/>
          </w:tcPr>
          <w:p w14:paraId="363DB451">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64D9">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F8F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07CF">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2021年年底完成</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A27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100%完成发放</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A0F7">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100%完成发放</w:t>
            </w:r>
          </w:p>
        </w:tc>
      </w:tr>
      <w:tr w14:paraId="3FCAD623">
        <w:tblPrEx>
          <w:tblCellMar>
            <w:top w:w="0" w:type="dxa"/>
            <w:left w:w="108" w:type="dxa"/>
            <w:bottom w:w="0" w:type="dxa"/>
            <w:right w:w="108" w:type="dxa"/>
          </w:tblCellMar>
        </w:tblPrEx>
        <w:trPr>
          <w:trHeight w:val="515" w:hRule="atLeast"/>
          <w:jc w:val="center"/>
        </w:trPr>
        <w:tc>
          <w:tcPr>
            <w:tcW w:w="1462" w:type="dxa"/>
            <w:vMerge w:val="continue"/>
            <w:tcBorders>
              <w:left w:val="single" w:color="000000" w:sz="4" w:space="0"/>
              <w:right w:val="single" w:color="000000" w:sz="4" w:space="0"/>
            </w:tcBorders>
            <w:shd w:val="clear" w:color="auto" w:fill="auto"/>
            <w:vAlign w:val="center"/>
          </w:tcPr>
          <w:p w14:paraId="7A110D35">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6EA4">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E7D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4D9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公共租赁住房租金补贴标准</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2825">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6.5元/平方米</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5E5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6.5元/平方米</w:t>
            </w:r>
          </w:p>
        </w:tc>
      </w:tr>
      <w:tr w14:paraId="791DF2EF">
        <w:tblPrEx>
          <w:tblCellMar>
            <w:top w:w="0" w:type="dxa"/>
            <w:left w:w="108" w:type="dxa"/>
            <w:bottom w:w="0" w:type="dxa"/>
            <w:right w:w="108" w:type="dxa"/>
          </w:tblCellMar>
        </w:tblPrEx>
        <w:trPr>
          <w:trHeight w:val="515" w:hRule="atLeast"/>
          <w:jc w:val="center"/>
        </w:trPr>
        <w:tc>
          <w:tcPr>
            <w:tcW w:w="1462" w:type="dxa"/>
            <w:vMerge w:val="continue"/>
            <w:tcBorders>
              <w:left w:val="single" w:color="000000" w:sz="4" w:space="0"/>
              <w:right w:val="single" w:color="000000" w:sz="4" w:space="0"/>
            </w:tcBorders>
            <w:shd w:val="clear" w:color="auto" w:fill="auto"/>
            <w:vAlign w:val="center"/>
          </w:tcPr>
          <w:p w14:paraId="1C506D10">
            <w:pPr>
              <w:spacing w:line="320" w:lineRule="exact"/>
              <w:jc w:val="center"/>
              <w:rPr>
                <w:rFonts w:ascii="仿宋_GB2312" w:hAnsi="仿宋_GB2312" w:eastAsia="仿宋_GB2312" w:cs="仿宋_GB2312"/>
                <w:sz w:val="24"/>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9D9C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4ED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A34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促进房地产租赁市场发展</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3BA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优良中低差</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187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w:t>
            </w:r>
          </w:p>
        </w:tc>
      </w:tr>
      <w:tr w14:paraId="7A3FE0B3">
        <w:tblPrEx>
          <w:tblCellMar>
            <w:top w:w="0" w:type="dxa"/>
            <w:left w:w="108" w:type="dxa"/>
            <w:bottom w:w="0" w:type="dxa"/>
            <w:right w:w="108" w:type="dxa"/>
          </w:tblCellMar>
        </w:tblPrEx>
        <w:trPr>
          <w:trHeight w:val="515" w:hRule="atLeast"/>
          <w:jc w:val="center"/>
        </w:trPr>
        <w:tc>
          <w:tcPr>
            <w:tcW w:w="1462" w:type="dxa"/>
            <w:vMerge w:val="continue"/>
            <w:tcBorders>
              <w:left w:val="single" w:color="000000" w:sz="4" w:space="0"/>
              <w:right w:val="single" w:color="000000" w:sz="4" w:space="0"/>
            </w:tcBorders>
            <w:shd w:val="clear" w:color="auto" w:fill="auto"/>
            <w:vAlign w:val="center"/>
          </w:tcPr>
          <w:p w14:paraId="2FDB76E0">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921D">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66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09D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解决中低收入家庭的住房困难，保障生活安定</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680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优良中低差</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E11">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w:t>
            </w:r>
          </w:p>
        </w:tc>
      </w:tr>
      <w:tr w14:paraId="787766DD">
        <w:tblPrEx>
          <w:tblCellMar>
            <w:top w:w="0" w:type="dxa"/>
            <w:left w:w="108" w:type="dxa"/>
            <w:bottom w:w="0" w:type="dxa"/>
            <w:right w:w="108" w:type="dxa"/>
          </w:tblCellMar>
        </w:tblPrEx>
        <w:trPr>
          <w:trHeight w:val="730" w:hRule="atLeast"/>
          <w:jc w:val="center"/>
        </w:trPr>
        <w:tc>
          <w:tcPr>
            <w:tcW w:w="1462" w:type="dxa"/>
            <w:vMerge w:val="continue"/>
            <w:tcBorders>
              <w:left w:val="single" w:color="000000" w:sz="4" w:space="0"/>
              <w:right w:val="single" w:color="000000" w:sz="4" w:space="0"/>
            </w:tcBorders>
            <w:shd w:val="clear" w:color="auto" w:fill="auto"/>
            <w:vAlign w:val="center"/>
          </w:tcPr>
          <w:p w14:paraId="4A2AADFD">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569303A">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144E">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2D3D">
            <w:pPr>
              <w:widowControl/>
              <w:spacing w:line="320" w:lineRule="exact"/>
              <w:jc w:val="center"/>
              <w:textAlignment w:val="bottom"/>
              <w:rPr>
                <w:rFonts w:ascii="仿宋_GB2312" w:hAnsi="仿宋_GB2312" w:eastAsia="仿宋_GB2312" w:cs="仿宋_GB2312"/>
                <w:sz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E9A7">
            <w:pPr>
              <w:widowControl/>
              <w:spacing w:line="320" w:lineRule="exact"/>
              <w:jc w:val="center"/>
              <w:textAlignment w:val="bottom"/>
              <w:rPr>
                <w:rFonts w:ascii="仿宋_GB2312" w:hAnsi="仿宋_GB2312" w:eastAsia="仿宋_GB2312" w:cs="仿宋_GB2312"/>
                <w:sz w:val="24"/>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EC6A">
            <w:pPr>
              <w:widowControl/>
              <w:spacing w:line="320" w:lineRule="exact"/>
              <w:jc w:val="center"/>
              <w:textAlignment w:val="bottom"/>
              <w:rPr>
                <w:rFonts w:ascii="仿宋_GB2312" w:hAnsi="仿宋_GB2312" w:eastAsia="仿宋_GB2312" w:cs="仿宋_GB2312"/>
                <w:sz w:val="24"/>
              </w:rPr>
            </w:pPr>
          </w:p>
        </w:tc>
      </w:tr>
      <w:tr w14:paraId="3E2BBFC3">
        <w:tblPrEx>
          <w:tblCellMar>
            <w:top w:w="0" w:type="dxa"/>
            <w:left w:w="108" w:type="dxa"/>
            <w:bottom w:w="0" w:type="dxa"/>
            <w:right w:w="108" w:type="dxa"/>
          </w:tblCellMar>
        </w:tblPrEx>
        <w:trPr>
          <w:trHeight w:val="485" w:hRule="atLeast"/>
          <w:jc w:val="center"/>
        </w:trPr>
        <w:tc>
          <w:tcPr>
            <w:tcW w:w="1462" w:type="dxa"/>
            <w:vMerge w:val="continue"/>
            <w:tcBorders>
              <w:left w:val="single" w:color="000000" w:sz="4" w:space="0"/>
              <w:bottom w:val="single" w:color="auto" w:sz="4" w:space="0"/>
              <w:right w:val="single" w:color="000000" w:sz="4" w:space="0"/>
            </w:tcBorders>
            <w:shd w:val="clear" w:color="auto" w:fill="auto"/>
            <w:vAlign w:val="center"/>
          </w:tcPr>
          <w:p w14:paraId="04B9AF06">
            <w:pPr>
              <w:spacing w:line="320" w:lineRule="exact"/>
              <w:jc w:val="center"/>
              <w:rPr>
                <w:rFonts w:ascii="仿宋_GB2312" w:hAnsi="仿宋_GB2312" w:eastAsia="仿宋_GB2312" w:cs="仿宋_GB2312"/>
                <w:sz w:val="24"/>
              </w:rPr>
            </w:pPr>
          </w:p>
        </w:tc>
        <w:tc>
          <w:tcPr>
            <w:tcW w:w="1065" w:type="dxa"/>
            <w:tcBorders>
              <w:top w:val="single" w:color="auto" w:sz="4" w:space="0"/>
              <w:left w:val="single" w:color="000000" w:sz="4" w:space="0"/>
              <w:bottom w:val="single" w:color="auto" w:sz="4" w:space="0"/>
              <w:right w:val="single" w:color="000000" w:sz="4" w:space="0"/>
            </w:tcBorders>
            <w:shd w:val="clear" w:color="auto" w:fill="auto"/>
            <w:vAlign w:val="center"/>
          </w:tcPr>
          <w:p w14:paraId="259E29A1">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D68921">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B4B5">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受益群众满意度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A49B">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95%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A55D">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95%</w:t>
            </w:r>
          </w:p>
        </w:tc>
      </w:tr>
    </w:tbl>
    <w:p w14:paraId="76156E7D">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14:paraId="23F40581">
      <w:pPr>
        <w:widowControl/>
        <w:jc w:val="left"/>
        <w:rPr>
          <w:rFonts w:ascii="宋体" w:hAnsi="宋体" w:cs="宋体"/>
          <w:b/>
          <w:sz w:val="44"/>
          <w:szCs w:val="44"/>
        </w:rPr>
      </w:pPr>
      <w:r>
        <w:rPr>
          <w:rFonts w:ascii="宋体" w:hAnsi="宋体" w:cs="宋体"/>
          <w:b/>
          <w:sz w:val="44"/>
          <w:szCs w:val="44"/>
        </w:rPr>
        <w:br w:type="page"/>
      </w:r>
    </w:p>
    <w:p w14:paraId="081BEA46">
      <w:pPr>
        <w:spacing w:line="600" w:lineRule="exact"/>
        <w:jc w:val="center"/>
        <w:outlineLvl w:val="0"/>
        <w:rPr>
          <w:rFonts w:ascii="宋体" w:hAnsi="宋体" w:cs="宋体"/>
          <w:b/>
          <w:sz w:val="44"/>
          <w:szCs w:val="44"/>
        </w:rPr>
      </w:pPr>
      <w:r>
        <w:rPr>
          <w:rFonts w:hint="eastAsia" w:ascii="宋体" w:hAnsi="宋体" w:cs="宋体"/>
          <w:b/>
          <w:sz w:val="44"/>
          <w:szCs w:val="44"/>
        </w:rPr>
        <w:t>2021年运行费项目绩效目标自评</w:t>
      </w:r>
    </w:p>
    <w:tbl>
      <w:tblPr>
        <w:tblStyle w:val="14"/>
        <w:tblW w:w="9064" w:type="dxa"/>
        <w:jc w:val="center"/>
        <w:tblLayout w:type="fixed"/>
        <w:tblCellMar>
          <w:top w:w="0" w:type="dxa"/>
          <w:left w:w="108" w:type="dxa"/>
          <w:bottom w:w="0" w:type="dxa"/>
          <w:right w:w="108" w:type="dxa"/>
        </w:tblCellMar>
      </w:tblPr>
      <w:tblGrid>
        <w:gridCol w:w="1105"/>
        <w:gridCol w:w="1125"/>
        <w:gridCol w:w="2205"/>
        <w:gridCol w:w="1080"/>
        <w:gridCol w:w="1830"/>
        <w:gridCol w:w="1719"/>
      </w:tblGrid>
      <w:tr w14:paraId="36093CE0">
        <w:tblPrEx>
          <w:tblCellMar>
            <w:top w:w="0" w:type="dxa"/>
            <w:left w:w="108" w:type="dxa"/>
            <w:bottom w:w="0" w:type="dxa"/>
            <w:right w:w="108" w:type="dxa"/>
          </w:tblCellMar>
        </w:tblPrEx>
        <w:trPr>
          <w:trHeight w:val="460"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64DA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DE224">
            <w:pPr>
              <w:widowControl/>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489">
            <w:pPr>
              <w:widowControl/>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B07A">
            <w:pPr>
              <w:widowControl/>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峨眉山市城乡建设服务中心</w:t>
            </w:r>
          </w:p>
        </w:tc>
      </w:tr>
      <w:tr w14:paraId="546D7EA7">
        <w:tblPrEx>
          <w:tblCellMar>
            <w:top w:w="0" w:type="dxa"/>
            <w:left w:w="108" w:type="dxa"/>
            <w:bottom w:w="0" w:type="dxa"/>
            <w:right w:w="108" w:type="dxa"/>
          </w:tblCellMar>
        </w:tblPrEx>
        <w:trPr>
          <w:trHeight w:val="496" w:hRule="atLeast"/>
          <w:jc w:val="center"/>
        </w:trPr>
        <w:tc>
          <w:tcPr>
            <w:tcW w:w="2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22B8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3B9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D2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D9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472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37.78</w:t>
            </w:r>
          </w:p>
        </w:tc>
      </w:tr>
      <w:tr w14:paraId="5BCDCAB4">
        <w:tblPrEx>
          <w:tblCellMar>
            <w:top w:w="0" w:type="dxa"/>
            <w:left w:w="108" w:type="dxa"/>
            <w:bottom w:w="0" w:type="dxa"/>
            <w:right w:w="108" w:type="dxa"/>
          </w:tblCellMar>
        </w:tblPrEx>
        <w:trPr>
          <w:trHeight w:val="555" w:hRule="atLeast"/>
          <w:jc w:val="center"/>
        </w:trPr>
        <w:tc>
          <w:tcPr>
            <w:tcW w:w="2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7910">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8F5">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50EC4BC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85E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843D">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37BE022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2E9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37.78</w:t>
            </w:r>
          </w:p>
        </w:tc>
      </w:tr>
      <w:tr w14:paraId="4E56980D">
        <w:tblPrEx>
          <w:tblCellMar>
            <w:top w:w="0" w:type="dxa"/>
            <w:left w:w="108" w:type="dxa"/>
            <w:bottom w:w="0" w:type="dxa"/>
            <w:right w:w="108" w:type="dxa"/>
          </w:tblCellMar>
        </w:tblPrEx>
        <w:trPr>
          <w:trHeight w:val="341" w:hRule="atLeast"/>
          <w:jc w:val="center"/>
        </w:trPr>
        <w:tc>
          <w:tcPr>
            <w:tcW w:w="2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D782">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F3C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0DF">
            <w:pPr>
              <w:widowControl/>
              <w:spacing w:line="320" w:lineRule="exact"/>
              <w:jc w:val="center"/>
              <w:textAlignment w:val="center"/>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284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0820">
            <w:pPr>
              <w:widowControl/>
              <w:spacing w:line="320" w:lineRule="exact"/>
              <w:jc w:val="center"/>
              <w:textAlignment w:val="center"/>
              <w:rPr>
                <w:rFonts w:ascii="仿宋_GB2312" w:hAnsi="仿宋_GB2312" w:eastAsia="仿宋_GB2312" w:cs="仿宋_GB2312"/>
                <w:sz w:val="24"/>
              </w:rPr>
            </w:pPr>
          </w:p>
        </w:tc>
      </w:tr>
      <w:tr w14:paraId="6E384E81">
        <w:tblPrEx>
          <w:tblCellMar>
            <w:top w:w="0" w:type="dxa"/>
            <w:left w:w="108" w:type="dxa"/>
            <w:bottom w:w="0" w:type="dxa"/>
            <w:right w:w="108" w:type="dxa"/>
          </w:tblCellMar>
        </w:tblPrEx>
        <w:trPr>
          <w:trHeight w:val="430" w:hRule="atLeast"/>
          <w:jc w:val="center"/>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3B529">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625DC01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649F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E20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2DBE849C">
        <w:tblPrEx>
          <w:tblCellMar>
            <w:top w:w="0" w:type="dxa"/>
            <w:left w:w="108" w:type="dxa"/>
            <w:bottom w:w="0" w:type="dxa"/>
            <w:right w:w="108" w:type="dxa"/>
          </w:tblCellMar>
        </w:tblPrEx>
        <w:trPr>
          <w:trHeight w:val="797"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6923">
            <w:pPr>
              <w:spacing w:line="320" w:lineRule="exact"/>
              <w:jc w:val="center"/>
              <w:rPr>
                <w:rFonts w:ascii="仿宋_GB2312" w:hAnsi="仿宋_GB2312" w:eastAsia="仿宋_GB2312" w:cs="仿宋_GB2312"/>
                <w:sz w:val="24"/>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7687E">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合理合规报销单位运转产生的相关费用</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10A23">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完成亮化、管线、市政建设、档案馆等日常工作运行</w:t>
            </w:r>
          </w:p>
        </w:tc>
      </w:tr>
      <w:tr w14:paraId="1DF85DB8">
        <w:tblPrEx>
          <w:tblCellMar>
            <w:top w:w="0" w:type="dxa"/>
            <w:left w:w="108" w:type="dxa"/>
            <w:bottom w:w="0" w:type="dxa"/>
            <w:right w:w="108" w:type="dxa"/>
          </w:tblCellMar>
        </w:tblPrEx>
        <w:trPr>
          <w:trHeight w:val="693" w:hRule="atLeast"/>
          <w:jc w:val="center"/>
        </w:trPr>
        <w:tc>
          <w:tcPr>
            <w:tcW w:w="1105" w:type="dxa"/>
            <w:vMerge w:val="restart"/>
            <w:tcBorders>
              <w:top w:val="single" w:color="000000" w:sz="4" w:space="0"/>
              <w:left w:val="single" w:color="000000" w:sz="4" w:space="0"/>
              <w:right w:val="single" w:color="000000" w:sz="4" w:space="0"/>
            </w:tcBorders>
            <w:shd w:val="clear" w:color="auto" w:fill="auto"/>
            <w:vAlign w:val="center"/>
          </w:tcPr>
          <w:p w14:paraId="6426FFE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125" w:type="dxa"/>
            <w:tcBorders>
              <w:top w:val="single" w:color="000000" w:sz="4" w:space="0"/>
              <w:left w:val="nil"/>
              <w:bottom w:val="single" w:color="000000" w:sz="4" w:space="0"/>
              <w:right w:val="single" w:color="000000" w:sz="4" w:space="0"/>
            </w:tcBorders>
            <w:shd w:val="clear" w:color="auto" w:fill="auto"/>
            <w:vAlign w:val="center"/>
          </w:tcPr>
          <w:p w14:paraId="36740030">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4C2C883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2412">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706D850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C54B">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728B827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B4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58C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222CB1E2">
        <w:tblPrEx>
          <w:tblCellMar>
            <w:top w:w="0" w:type="dxa"/>
            <w:left w:w="108" w:type="dxa"/>
            <w:bottom w:w="0" w:type="dxa"/>
            <w:right w:w="108" w:type="dxa"/>
          </w:tblCellMar>
        </w:tblPrEx>
        <w:trPr>
          <w:trHeight w:val="415" w:hRule="atLeast"/>
          <w:jc w:val="center"/>
        </w:trPr>
        <w:tc>
          <w:tcPr>
            <w:tcW w:w="1105" w:type="dxa"/>
            <w:vMerge w:val="continue"/>
            <w:tcBorders>
              <w:left w:val="single" w:color="000000" w:sz="4" w:space="0"/>
              <w:right w:val="single" w:color="000000" w:sz="4" w:space="0"/>
            </w:tcBorders>
            <w:shd w:val="clear" w:color="auto" w:fill="auto"/>
            <w:vAlign w:val="center"/>
          </w:tcPr>
          <w:p w14:paraId="5B53E6B8">
            <w:pPr>
              <w:spacing w:line="320" w:lineRule="exact"/>
              <w:jc w:val="center"/>
              <w:rPr>
                <w:rFonts w:ascii="仿宋_GB2312" w:hAnsi="仿宋_GB2312" w:eastAsia="仿宋_GB2312" w:cs="仿宋_GB2312"/>
                <w:sz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7D962">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33DEE22F">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2B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D8D">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1-12月相关费用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E8EE">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color w:val="000000"/>
                <w:kern w:val="0"/>
                <w:sz w:val="24"/>
              </w:rPr>
              <w:t>每月按规定报销相关费用</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DEEE">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每月按规定报销相关费用</w:t>
            </w:r>
          </w:p>
        </w:tc>
      </w:tr>
      <w:tr w14:paraId="075CEA4B">
        <w:tblPrEx>
          <w:tblCellMar>
            <w:top w:w="0" w:type="dxa"/>
            <w:left w:w="108" w:type="dxa"/>
            <w:bottom w:w="0" w:type="dxa"/>
            <w:right w:w="108" w:type="dxa"/>
          </w:tblCellMar>
        </w:tblPrEx>
        <w:trPr>
          <w:trHeight w:val="1370" w:hRule="atLeast"/>
          <w:jc w:val="center"/>
        </w:trPr>
        <w:tc>
          <w:tcPr>
            <w:tcW w:w="1105" w:type="dxa"/>
            <w:vMerge w:val="continue"/>
            <w:tcBorders>
              <w:left w:val="single" w:color="000000" w:sz="4" w:space="0"/>
              <w:right w:val="single" w:color="000000" w:sz="4" w:space="0"/>
            </w:tcBorders>
            <w:shd w:val="clear" w:color="auto" w:fill="auto"/>
            <w:vAlign w:val="center"/>
          </w:tcPr>
          <w:p w14:paraId="3CB7D507">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FEC1">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6B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2C0">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符合报销规定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5C2C">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按规定报销</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57D8">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按照相关文件，合理合规报销相关经费</w:t>
            </w:r>
          </w:p>
        </w:tc>
      </w:tr>
      <w:tr w14:paraId="6FE95F4C">
        <w:tblPrEx>
          <w:tblCellMar>
            <w:top w:w="0" w:type="dxa"/>
            <w:left w:w="108" w:type="dxa"/>
            <w:bottom w:w="0" w:type="dxa"/>
            <w:right w:w="108" w:type="dxa"/>
          </w:tblCellMar>
        </w:tblPrEx>
        <w:trPr>
          <w:trHeight w:val="585" w:hRule="atLeast"/>
          <w:jc w:val="center"/>
        </w:trPr>
        <w:tc>
          <w:tcPr>
            <w:tcW w:w="1105" w:type="dxa"/>
            <w:vMerge w:val="continue"/>
            <w:tcBorders>
              <w:left w:val="single" w:color="000000" w:sz="4" w:space="0"/>
              <w:right w:val="single" w:color="000000" w:sz="4" w:space="0"/>
            </w:tcBorders>
            <w:shd w:val="clear" w:color="auto" w:fill="auto"/>
            <w:vAlign w:val="center"/>
          </w:tcPr>
          <w:p w14:paraId="0DF94F49">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5A79">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83D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FD4A">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按时报销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B99">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按时报销</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2418">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及时报销相关经费</w:t>
            </w:r>
          </w:p>
        </w:tc>
      </w:tr>
      <w:tr w14:paraId="758FF724">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285285D4">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1A03">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6BD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950">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B095">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38D1">
            <w:pPr>
              <w:widowControl/>
              <w:spacing w:line="320" w:lineRule="exact"/>
              <w:jc w:val="center"/>
              <w:textAlignment w:val="bottom"/>
              <w:rPr>
                <w:rFonts w:ascii="仿宋_GB2312" w:hAnsi="仿宋_GB2312" w:eastAsia="仿宋_GB2312" w:cs="仿宋_GB2312"/>
                <w:sz w:val="24"/>
              </w:rPr>
            </w:pPr>
          </w:p>
        </w:tc>
      </w:tr>
      <w:tr w14:paraId="66D9F04A">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1667ED7C">
            <w:pPr>
              <w:spacing w:line="320" w:lineRule="exact"/>
              <w:jc w:val="center"/>
              <w:rPr>
                <w:rFonts w:ascii="仿宋_GB2312" w:hAnsi="仿宋_GB2312" w:eastAsia="仿宋_GB2312" w:cs="仿宋_GB2312"/>
                <w:sz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71A8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223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F47D">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0EE7">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5B3E">
            <w:pPr>
              <w:widowControl/>
              <w:spacing w:line="320" w:lineRule="exact"/>
              <w:jc w:val="center"/>
              <w:textAlignment w:val="bottom"/>
              <w:rPr>
                <w:rFonts w:ascii="仿宋_GB2312" w:hAnsi="仿宋_GB2312" w:eastAsia="仿宋_GB2312" w:cs="仿宋_GB2312"/>
                <w:sz w:val="24"/>
              </w:rPr>
            </w:pPr>
          </w:p>
        </w:tc>
      </w:tr>
      <w:tr w14:paraId="60CE1230">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4C2A7AE2">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E175">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F41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02CB">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运转正常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98CE">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单位日常工作正常开展</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067">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保障单位工作正常开展</w:t>
            </w:r>
          </w:p>
        </w:tc>
      </w:tr>
      <w:tr w14:paraId="790406FD">
        <w:tblPrEx>
          <w:tblCellMar>
            <w:top w:w="0" w:type="dxa"/>
            <w:left w:w="108" w:type="dxa"/>
            <w:bottom w:w="0" w:type="dxa"/>
            <w:right w:w="108" w:type="dxa"/>
          </w:tblCellMar>
        </w:tblPrEx>
        <w:trPr>
          <w:trHeight w:val="500" w:hRule="atLeast"/>
          <w:jc w:val="center"/>
        </w:trPr>
        <w:tc>
          <w:tcPr>
            <w:tcW w:w="1105" w:type="dxa"/>
            <w:vMerge w:val="continue"/>
            <w:tcBorders>
              <w:left w:val="single" w:color="000000" w:sz="4" w:space="0"/>
              <w:right w:val="single" w:color="000000" w:sz="4" w:space="0"/>
            </w:tcBorders>
            <w:shd w:val="clear" w:color="auto" w:fill="auto"/>
            <w:vAlign w:val="center"/>
          </w:tcPr>
          <w:p w14:paraId="1C2B2496">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F7CD">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DC67">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4BB3">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E19">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AB5">
            <w:pPr>
              <w:widowControl/>
              <w:spacing w:line="320" w:lineRule="exact"/>
              <w:jc w:val="center"/>
              <w:textAlignment w:val="bottom"/>
              <w:rPr>
                <w:rFonts w:ascii="仿宋_GB2312" w:hAnsi="仿宋_GB2312" w:eastAsia="仿宋_GB2312" w:cs="仿宋_GB2312"/>
                <w:sz w:val="24"/>
              </w:rPr>
            </w:pPr>
          </w:p>
        </w:tc>
      </w:tr>
      <w:tr w14:paraId="49ABE873">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74F8A1F4">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EE2D">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A96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9527">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4F46">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67CA">
            <w:pPr>
              <w:widowControl/>
              <w:spacing w:line="320" w:lineRule="exact"/>
              <w:jc w:val="center"/>
              <w:textAlignment w:val="bottom"/>
              <w:rPr>
                <w:rFonts w:ascii="仿宋_GB2312" w:hAnsi="仿宋_GB2312" w:eastAsia="仿宋_GB2312" w:cs="仿宋_GB2312"/>
                <w:sz w:val="24"/>
              </w:rPr>
            </w:pPr>
          </w:p>
        </w:tc>
      </w:tr>
      <w:tr w14:paraId="5D8770D1">
        <w:tblPrEx>
          <w:tblCellMar>
            <w:top w:w="0" w:type="dxa"/>
            <w:left w:w="108" w:type="dxa"/>
            <w:bottom w:w="0" w:type="dxa"/>
            <w:right w:w="108" w:type="dxa"/>
          </w:tblCellMar>
        </w:tblPrEx>
        <w:trPr>
          <w:trHeight w:val="770" w:hRule="atLeast"/>
          <w:jc w:val="center"/>
        </w:trPr>
        <w:tc>
          <w:tcPr>
            <w:tcW w:w="1105" w:type="dxa"/>
            <w:vMerge w:val="continue"/>
            <w:tcBorders>
              <w:left w:val="single" w:color="000000" w:sz="4" w:space="0"/>
              <w:bottom w:val="single" w:color="000000" w:sz="4" w:space="0"/>
              <w:right w:val="single" w:color="000000" w:sz="4" w:space="0"/>
            </w:tcBorders>
            <w:shd w:val="clear" w:color="auto" w:fill="auto"/>
            <w:vAlign w:val="center"/>
          </w:tcPr>
          <w:p w14:paraId="61DA1E43">
            <w:pPr>
              <w:spacing w:line="320" w:lineRule="exact"/>
              <w:jc w:val="center"/>
              <w:rPr>
                <w:rFonts w:ascii="仿宋_GB2312" w:hAnsi="仿宋_GB2312" w:eastAsia="仿宋_GB2312" w:cs="仿宋_GB2312"/>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2545">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79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8C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满意度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77E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A08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95%</w:t>
            </w:r>
          </w:p>
        </w:tc>
      </w:tr>
    </w:tbl>
    <w:p w14:paraId="6C9B7EDD">
      <w:pPr>
        <w:spacing w:line="460" w:lineRule="exact"/>
        <w:rPr>
          <w:rFonts w:ascii="仿宋_GB2312" w:hAnsi="仿宋_GB2312" w:eastAsia="仿宋_GB2312" w:cs="仿宋_GB2312"/>
          <w:sz w:val="28"/>
          <w:szCs w:val="28"/>
        </w:rPr>
      </w:pPr>
    </w:p>
    <w:p w14:paraId="76446FDD">
      <w:pPr>
        <w:widowControl/>
        <w:jc w:val="left"/>
        <w:rPr>
          <w:rStyle w:val="26"/>
          <w:rFonts w:ascii="方正小标宋_GBK" w:hAnsi="方正小标宋_GBK" w:eastAsia="方正小标宋_GBK" w:cs="方正小标宋_GBK"/>
          <w:b w:val="0"/>
        </w:rPr>
      </w:pPr>
      <w:bookmarkStart w:id="63" w:name="_Toc15396618"/>
      <w:r>
        <w:rPr>
          <w:rStyle w:val="26"/>
          <w:rFonts w:ascii="方正小标宋_GBK" w:hAnsi="方正小标宋_GBK" w:eastAsia="方正小标宋_GBK" w:cs="方正小标宋_GBK"/>
          <w:b w:val="0"/>
        </w:rPr>
        <w:br w:type="page"/>
      </w:r>
    </w:p>
    <w:p w14:paraId="3CD23332">
      <w:pPr>
        <w:numPr>
          <w:ilvl w:val="0"/>
          <w:numId w:val="6"/>
        </w:numPr>
        <w:spacing w:line="600" w:lineRule="exact"/>
        <w:jc w:val="center"/>
        <w:outlineLvl w:val="0"/>
        <w:rPr>
          <w:rStyle w:val="26"/>
          <w:rFonts w:ascii="方正小标宋_GBK" w:hAnsi="方正小标宋_GBK" w:eastAsia="方正小标宋_GBK" w:cs="方正小标宋_GBK"/>
          <w:b w:val="0"/>
        </w:rPr>
      </w:pPr>
      <w:r>
        <w:rPr>
          <w:rStyle w:val="26"/>
          <w:rFonts w:hint="eastAsia" w:ascii="方正小标宋_GBK" w:hAnsi="方正小标宋_GBK" w:eastAsia="方正小标宋_GBK" w:cs="方正小标宋_GBK"/>
          <w:b w:val="0"/>
        </w:rPr>
        <w:t>附表</w:t>
      </w:r>
      <w:bookmarkEnd w:id="61"/>
      <w:bookmarkEnd w:id="63"/>
      <w:bookmarkStart w:id="64" w:name="_Toc15396619"/>
    </w:p>
    <w:p w14:paraId="06EBCF7E">
      <w:pPr>
        <w:pStyle w:val="2"/>
        <w:spacing w:before="93" w:line="600" w:lineRule="exact"/>
      </w:pPr>
    </w:p>
    <w:p w14:paraId="7BEE847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4"/>
    </w:p>
    <w:p w14:paraId="78D9C41B">
      <w:pPr>
        <w:spacing w:line="600" w:lineRule="exact"/>
        <w:ind w:firstLine="640" w:firstLineChars="200"/>
        <w:rPr>
          <w:rFonts w:ascii="仿宋_GB2312" w:hAnsi="仿宋_GB2312" w:eastAsia="仿宋_GB2312" w:cs="仿宋_GB2312"/>
          <w:sz w:val="32"/>
          <w:szCs w:val="32"/>
        </w:rPr>
      </w:pPr>
      <w:bookmarkStart w:id="65" w:name="_Toc15396620"/>
      <w:r>
        <w:rPr>
          <w:rFonts w:hint="eastAsia" w:ascii="仿宋_GB2312" w:hAnsi="仿宋_GB2312" w:eastAsia="仿宋_GB2312" w:cs="仿宋_GB2312"/>
          <w:sz w:val="32"/>
          <w:szCs w:val="32"/>
        </w:rPr>
        <w:t>二、收入决算表</w:t>
      </w:r>
      <w:bookmarkEnd w:id="65"/>
    </w:p>
    <w:p w14:paraId="038CE598">
      <w:pPr>
        <w:spacing w:line="600" w:lineRule="exact"/>
        <w:ind w:firstLine="640" w:firstLineChars="200"/>
        <w:rPr>
          <w:rFonts w:ascii="仿宋_GB2312" w:hAnsi="仿宋_GB2312" w:eastAsia="仿宋_GB2312" w:cs="仿宋_GB2312"/>
          <w:sz w:val="32"/>
          <w:szCs w:val="32"/>
        </w:rPr>
      </w:pPr>
      <w:bookmarkStart w:id="66" w:name="_Toc15396621"/>
      <w:r>
        <w:rPr>
          <w:rFonts w:hint="eastAsia" w:ascii="仿宋_GB2312" w:hAnsi="仿宋_GB2312" w:eastAsia="仿宋_GB2312" w:cs="仿宋_GB2312"/>
          <w:sz w:val="32"/>
          <w:szCs w:val="32"/>
        </w:rPr>
        <w:t>三、支出决算表</w:t>
      </w:r>
      <w:bookmarkEnd w:id="66"/>
    </w:p>
    <w:p w14:paraId="733E6A1D">
      <w:pPr>
        <w:spacing w:line="600" w:lineRule="exact"/>
        <w:ind w:firstLine="640" w:firstLineChars="200"/>
        <w:rPr>
          <w:rFonts w:ascii="仿宋_GB2312" w:hAnsi="仿宋_GB2312" w:eastAsia="仿宋_GB2312" w:cs="仿宋_GB2312"/>
          <w:sz w:val="32"/>
          <w:szCs w:val="32"/>
        </w:rPr>
      </w:pPr>
      <w:bookmarkStart w:id="67" w:name="_Toc15396622"/>
      <w:r>
        <w:rPr>
          <w:rFonts w:hint="eastAsia" w:ascii="仿宋_GB2312" w:hAnsi="仿宋_GB2312" w:eastAsia="仿宋_GB2312" w:cs="仿宋_GB2312"/>
          <w:sz w:val="32"/>
          <w:szCs w:val="32"/>
        </w:rPr>
        <w:t>四、财政拨款收入支出决算总表</w:t>
      </w:r>
      <w:bookmarkEnd w:id="67"/>
    </w:p>
    <w:p w14:paraId="27040BAB">
      <w:pPr>
        <w:spacing w:line="600" w:lineRule="exact"/>
        <w:ind w:firstLine="640" w:firstLineChars="200"/>
        <w:rPr>
          <w:rFonts w:ascii="仿宋_GB2312" w:hAnsi="仿宋_GB2312" w:eastAsia="仿宋_GB2312" w:cs="仿宋_GB2312"/>
          <w:sz w:val="32"/>
          <w:szCs w:val="32"/>
        </w:rPr>
      </w:pPr>
      <w:bookmarkStart w:id="68" w:name="_Toc15396623"/>
      <w:r>
        <w:rPr>
          <w:rFonts w:hint="eastAsia" w:ascii="仿宋_GB2312" w:hAnsi="仿宋_GB2312" w:eastAsia="仿宋_GB2312" w:cs="仿宋_GB2312"/>
          <w:sz w:val="32"/>
          <w:szCs w:val="32"/>
        </w:rPr>
        <w:t>五、财政拨款支出决算明细表</w:t>
      </w:r>
      <w:bookmarkEnd w:id="68"/>
      <w:bookmarkStart w:id="69" w:name="_Toc15396624"/>
    </w:p>
    <w:p w14:paraId="303CCEE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9"/>
    </w:p>
    <w:p w14:paraId="561CAFF3">
      <w:pPr>
        <w:spacing w:line="600" w:lineRule="exact"/>
        <w:ind w:firstLine="640" w:firstLineChars="200"/>
        <w:rPr>
          <w:rFonts w:ascii="仿宋_GB2312" w:hAnsi="仿宋_GB2312" w:eastAsia="仿宋_GB2312" w:cs="仿宋_GB2312"/>
          <w:sz w:val="32"/>
          <w:szCs w:val="32"/>
        </w:rPr>
      </w:pPr>
      <w:bookmarkStart w:id="70" w:name="_Toc15396625"/>
      <w:r>
        <w:rPr>
          <w:rFonts w:hint="eastAsia" w:ascii="仿宋_GB2312" w:hAnsi="仿宋_GB2312" w:eastAsia="仿宋_GB2312" w:cs="仿宋_GB2312"/>
          <w:sz w:val="32"/>
          <w:szCs w:val="32"/>
        </w:rPr>
        <w:t>七、一般公共预算财政拨款支出决算明细表</w:t>
      </w:r>
      <w:bookmarkEnd w:id="70"/>
    </w:p>
    <w:p w14:paraId="26E1465A">
      <w:pPr>
        <w:spacing w:line="600" w:lineRule="exact"/>
        <w:ind w:firstLine="640" w:firstLineChars="200"/>
        <w:rPr>
          <w:rFonts w:ascii="仿宋_GB2312" w:hAnsi="仿宋_GB2312" w:eastAsia="仿宋_GB2312" w:cs="仿宋_GB2312"/>
          <w:sz w:val="32"/>
          <w:szCs w:val="32"/>
        </w:rPr>
      </w:pPr>
      <w:bookmarkStart w:id="71" w:name="_Toc15396626"/>
      <w:r>
        <w:rPr>
          <w:rFonts w:hint="eastAsia" w:ascii="仿宋_GB2312" w:hAnsi="仿宋_GB2312" w:eastAsia="仿宋_GB2312" w:cs="仿宋_GB2312"/>
          <w:sz w:val="32"/>
          <w:szCs w:val="32"/>
        </w:rPr>
        <w:t>八、一般公共预算财政拨款基本支出决算表</w:t>
      </w:r>
      <w:bookmarkEnd w:id="71"/>
    </w:p>
    <w:p w14:paraId="685EBEFB">
      <w:pPr>
        <w:spacing w:line="600" w:lineRule="exact"/>
        <w:ind w:firstLine="640" w:firstLineChars="200"/>
        <w:rPr>
          <w:rFonts w:ascii="仿宋_GB2312" w:hAnsi="仿宋_GB2312" w:eastAsia="仿宋_GB2312" w:cs="仿宋_GB2312"/>
          <w:sz w:val="32"/>
          <w:szCs w:val="32"/>
        </w:rPr>
      </w:pPr>
      <w:bookmarkStart w:id="72" w:name="_Toc15396627"/>
      <w:r>
        <w:rPr>
          <w:rFonts w:hint="eastAsia" w:ascii="仿宋_GB2312" w:hAnsi="仿宋_GB2312" w:eastAsia="仿宋_GB2312" w:cs="仿宋_GB2312"/>
          <w:sz w:val="32"/>
          <w:szCs w:val="32"/>
        </w:rPr>
        <w:t>九、一般公共预算财政拨款项目支出决算表</w:t>
      </w:r>
      <w:bookmarkEnd w:id="72"/>
    </w:p>
    <w:p w14:paraId="07EEED8C">
      <w:pPr>
        <w:spacing w:line="600" w:lineRule="exact"/>
        <w:ind w:firstLine="640" w:firstLineChars="200"/>
        <w:rPr>
          <w:rFonts w:ascii="仿宋_GB2312" w:hAnsi="仿宋_GB2312" w:eastAsia="仿宋_GB2312" w:cs="仿宋_GB2312"/>
          <w:sz w:val="32"/>
          <w:szCs w:val="32"/>
        </w:rPr>
      </w:pPr>
      <w:bookmarkStart w:id="73" w:name="_Toc15396628"/>
      <w:r>
        <w:rPr>
          <w:rFonts w:hint="eastAsia" w:ascii="仿宋_GB2312" w:hAnsi="仿宋_GB2312" w:eastAsia="仿宋_GB2312" w:cs="仿宋_GB2312"/>
          <w:sz w:val="32"/>
          <w:szCs w:val="32"/>
        </w:rPr>
        <w:t>十、一般公共预算财政拨款“三公”经费支出决算表</w:t>
      </w:r>
      <w:bookmarkEnd w:id="73"/>
    </w:p>
    <w:p w14:paraId="3A16452F">
      <w:pPr>
        <w:spacing w:line="600" w:lineRule="exact"/>
        <w:ind w:firstLine="640" w:firstLineChars="200"/>
        <w:rPr>
          <w:rFonts w:ascii="仿宋_GB2312" w:hAnsi="仿宋_GB2312" w:eastAsia="仿宋_GB2312" w:cs="仿宋_GB2312"/>
          <w:sz w:val="32"/>
          <w:szCs w:val="32"/>
        </w:rPr>
      </w:pPr>
      <w:bookmarkStart w:id="74" w:name="_Toc15396629"/>
      <w:r>
        <w:rPr>
          <w:rFonts w:hint="eastAsia" w:ascii="仿宋_GB2312" w:hAnsi="仿宋_GB2312" w:eastAsia="仿宋_GB2312" w:cs="仿宋_GB2312"/>
          <w:sz w:val="32"/>
          <w:szCs w:val="32"/>
        </w:rPr>
        <w:t>十一、政府性基金预算财政拨款收入支出决算表</w:t>
      </w:r>
      <w:bookmarkEnd w:id="74"/>
    </w:p>
    <w:p w14:paraId="174523F4">
      <w:pPr>
        <w:spacing w:line="600" w:lineRule="exact"/>
        <w:ind w:firstLine="640" w:firstLineChars="200"/>
        <w:rPr>
          <w:rFonts w:ascii="仿宋_GB2312" w:hAnsi="仿宋_GB2312" w:eastAsia="仿宋_GB2312" w:cs="仿宋_GB2312"/>
          <w:sz w:val="32"/>
          <w:szCs w:val="32"/>
        </w:rPr>
      </w:pPr>
      <w:bookmarkStart w:id="75" w:name="_Toc15396630"/>
      <w:r>
        <w:rPr>
          <w:rFonts w:hint="eastAsia" w:ascii="仿宋_GB2312" w:hAnsi="仿宋_GB2312" w:eastAsia="仿宋_GB2312" w:cs="仿宋_GB2312"/>
          <w:sz w:val="32"/>
          <w:szCs w:val="32"/>
        </w:rPr>
        <w:t>十二、政府性基金预算财政拨款“三公”经费支出决算表</w:t>
      </w:r>
      <w:bookmarkEnd w:id="75"/>
    </w:p>
    <w:p w14:paraId="3FC34D65">
      <w:pPr>
        <w:spacing w:line="600" w:lineRule="exact"/>
        <w:ind w:firstLine="640" w:firstLineChars="200"/>
        <w:rPr>
          <w:rFonts w:ascii="仿宋_GB2312" w:hAnsi="仿宋_GB2312" w:eastAsia="仿宋_GB2312" w:cs="仿宋_GB2312"/>
          <w:sz w:val="32"/>
          <w:szCs w:val="32"/>
        </w:rPr>
      </w:pPr>
      <w:bookmarkStart w:id="76" w:name="_Toc15396631"/>
      <w:r>
        <w:rPr>
          <w:rFonts w:hint="eastAsia" w:ascii="仿宋_GB2312" w:hAnsi="仿宋_GB2312" w:eastAsia="仿宋_GB2312" w:cs="仿宋_GB2312"/>
          <w:sz w:val="32"/>
          <w:szCs w:val="32"/>
        </w:rPr>
        <w:t>十三、国有资本经营预算财政拨款收入支出决算表</w:t>
      </w:r>
      <w:bookmarkEnd w:id="76"/>
    </w:p>
    <w:p w14:paraId="6A4ECB3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AA0B">
    <w:pPr>
      <w:pStyle w:val="9"/>
    </w:pPr>
    <w:r>
      <w:pict>
        <v:shape id="_x0000_s1027" o:spid="_x0000_s1027"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path/>
          <v:fill on="f" focussize="0,0"/>
          <v:stroke on="f" weight="0.5pt" joinstyle="miter"/>
          <v:imagedata o:title=""/>
          <o:lock v:ext="edit"/>
          <v:textbox inset="0mm,0mm,0mm,0mm">
            <w:txbxContent>
              <w:p w14:paraId="773F2C19">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F3CE">
    <w:pPr>
      <w:pStyle w:val="9"/>
    </w:pPr>
    <w:r>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path/>
          <v:fill on="f" focussize="0,0"/>
          <v:stroke on="f" weight="0.5pt" joinstyle="miter"/>
          <v:imagedata o:title=""/>
          <o:lock v:ext="edit"/>
          <v:textbox inset="0mm,0mm,0mm,0mm" style="mso-fit-shape-to-text:t;">
            <w:txbxContent>
              <w:p w14:paraId="4F655F6A">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849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1772D"/>
    <w:multiLevelType w:val="singleLevel"/>
    <w:tmpl w:val="A9A1772D"/>
    <w:lvl w:ilvl="0" w:tentative="0">
      <w:start w:val="1"/>
      <w:numFmt w:val="decimal"/>
      <w:lvlText w:val="%1."/>
      <w:lvlJc w:val="left"/>
      <w:pPr>
        <w:tabs>
          <w:tab w:val="left" w:pos="312"/>
        </w:tabs>
      </w:pPr>
    </w:lvl>
  </w:abstractNum>
  <w:abstractNum w:abstractNumId="1">
    <w:nsid w:val="B80F425F"/>
    <w:multiLevelType w:val="singleLevel"/>
    <w:tmpl w:val="B80F425F"/>
    <w:lvl w:ilvl="0" w:tentative="0">
      <w:start w:val="1"/>
      <w:numFmt w:val="decimal"/>
      <w:suff w:val="nothing"/>
      <w:lvlText w:val="%1．"/>
      <w:lvlJc w:val="left"/>
    </w:lvl>
  </w:abstractNum>
  <w:abstractNum w:abstractNumId="2">
    <w:nsid w:val="CF438C2A"/>
    <w:multiLevelType w:val="singleLevel"/>
    <w:tmpl w:val="CF438C2A"/>
    <w:lvl w:ilvl="0" w:tentative="0">
      <w:start w:val="5"/>
      <w:numFmt w:val="chineseCounting"/>
      <w:suff w:val="space"/>
      <w:lvlText w:val="第%1部分"/>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7734638"/>
    <w:multiLevelType w:val="singleLevel"/>
    <w:tmpl w:val="D7734638"/>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6656"/>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C4F43"/>
    <w:rsid w:val="002D6D05"/>
    <w:rsid w:val="002F1818"/>
    <w:rsid w:val="002F567B"/>
    <w:rsid w:val="003216A9"/>
    <w:rsid w:val="00335A74"/>
    <w:rsid w:val="0036561B"/>
    <w:rsid w:val="0037013F"/>
    <w:rsid w:val="00380C92"/>
    <w:rsid w:val="0039187E"/>
    <w:rsid w:val="0039341A"/>
    <w:rsid w:val="003A3387"/>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0184"/>
    <w:rsid w:val="00512FDA"/>
    <w:rsid w:val="00520DA0"/>
    <w:rsid w:val="0052197D"/>
    <w:rsid w:val="0056113F"/>
    <w:rsid w:val="00562CEB"/>
    <w:rsid w:val="00565624"/>
    <w:rsid w:val="005664BB"/>
    <w:rsid w:val="00566FFA"/>
    <w:rsid w:val="0057481D"/>
    <w:rsid w:val="00584195"/>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C78BB"/>
    <w:rsid w:val="007D1682"/>
    <w:rsid w:val="007D312A"/>
    <w:rsid w:val="007D3F19"/>
    <w:rsid w:val="007D6D0C"/>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579CA"/>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35BB"/>
    <w:rsid w:val="00AB64C9"/>
    <w:rsid w:val="00AC3C6A"/>
    <w:rsid w:val="00AD5620"/>
    <w:rsid w:val="00AD656B"/>
    <w:rsid w:val="00AD7C1B"/>
    <w:rsid w:val="00AE16BA"/>
    <w:rsid w:val="00AE1EBE"/>
    <w:rsid w:val="00B03C9D"/>
    <w:rsid w:val="00B04F5B"/>
    <w:rsid w:val="00B060AE"/>
    <w:rsid w:val="00B10517"/>
    <w:rsid w:val="00B14E76"/>
    <w:rsid w:val="00B161B8"/>
    <w:rsid w:val="00B174B3"/>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E5D"/>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6591"/>
    <w:rsid w:val="00CE44F6"/>
    <w:rsid w:val="00CE49DA"/>
    <w:rsid w:val="00CE7B61"/>
    <w:rsid w:val="00D00095"/>
    <w:rsid w:val="00D114F0"/>
    <w:rsid w:val="00D20620"/>
    <w:rsid w:val="00D254F7"/>
    <w:rsid w:val="00D26091"/>
    <w:rsid w:val="00D2685C"/>
    <w:rsid w:val="00D34E7C"/>
    <w:rsid w:val="00D35489"/>
    <w:rsid w:val="00D36AFE"/>
    <w:rsid w:val="00D428B9"/>
    <w:rsid w:val="00D51276"/>
    <w:rsid w:val="00D52214"/>
    <w:rsid w:val="00D67BD2"/>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64FAB"/>
    <w:rsid w:val="00E82267"/>
    <w:rsid w:val="00E853CE"/>
    <w:rsid w:val="00E867B6"/>
    <w:rsid w:val="00E9649D"/>
    <w:rsid w:val="00EA010F"/>
    <w:rsid w:val="00EC175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27C83"/>
    <w:rsid w:val="066E0107"/>
    <w:rsid w:val="07277895"/>
    <w:rsid w:val="07996F6E"/>
    <w:rsid w:val="08B5330E"/>
    <w:rsid w:val="09356C8E"/>
    <w:rsid w:val="0A2032A3"/>
    <w:rsid w:val="0BB65153"/>
    <w:rsid w:val="0C732CAB"/>
    <w:rsid w:val="0CDD235F"/>
    <w:rsid w:val="0FEA0540"/>
    <w:rsid w:val="101860EC"/>
    <w:rsid w:val="10C055FF"/>
    <w:rsid w:val="117839FE"/>
    <w:rsid w:val="118107EC"/>
    <w:rsid w:val="12A553B0"/>
    <w:rsid w:val="12B7359E"/>
    <w:rsid w:val="13D50BC4"/>
    <w:rsid w:val="14425EE0"/>
    <w:rsid w:val="15C767C5"/>
    <w:rsid w:val="16BB723D"/>
    <w:rsid w:val="1BE8440E"/>
    <w:rsid w:val="1D155CEE"/>
    <w:rsid w:val="1DF7448C"/>
    <w:rsid w:val="1E11002B"/>
    <w:rsid w:val="1E3C5422"/>
    <w:rsid w:val="1FC21EFB"/>
    <w:rsid w:val="22403486"/>
    <w:rsid w:val="2280680C"/>
    <w:rsid w:val="22AB1664"/>
    <w:rsid w:val="23860B96"/>
    <w:rsid w:val="23FD3FC6"/>
    <w:rsid w:val="240371BF"/>
    <w:rsid w:val="248A1460"/>
    <w:rsid w:val="254B45D6"/>
    <w:rsid w:val="25A46DD7"/>
    <w:rsid w:val="2649265C"/>
    <w:rsid w:val="2801513F"/>
    <w:rsid w:val="29FD04D3"/>
    <w:rsid w:val="29FD487E"/>
    <w:rsid w:val="2B855255"/>
    <w:rsid w:val="2C8A61B5"/>
    <w:rsid w:val="2D0618CD"/>
    <w:rsid w:val="2D8968D6"/>
    <w:rsid w:val="2DF04E50"/>
    <w:rsid w:val="306042F7"/>
    <w:rsid w:val="319F7F4E"/>
    <w:rsid w:val="31A733CE"/>
    <w:rsid w:val="32AB4776"/>
    <w:rsid w:val="347D5BDF"/>
    <w:rsid w:val="358A37C5"/>
    <w:rsid w:val="36AA5135"/>
    <w:rsid w:val="37E16F03"/>
    <w:rsid w:val="38425196"/>
    <w:rsid w:val="39294B70"/>
    <w:rsid w:val="3D2646FF"/>
    <w:rsid w:val="3D98207C"/>
    <w:rsid w:val="3F596823"/>
    <w:rsid w:val="428A27F8"/>
    <w:rsid w:val="432B366D"/>
    <w:rsid w:val="44E268DA"/>
    <w:rsid w:val="45600902"/>
    <w:rsid w:val="46C85294"/>
    <w:rsid w:val="471C1C7D"/>
    <w:rsid w:val="4A627F82"/>
    <w:rsid w:val="4AE259F8"/>
    <w:rsid w:val="4B4F25DA"/>
    <w:rsid w:val="4B9C0BC9"/>
    <w:rsid w:val="4BE068DB"/>
    <w:rsid w:val="4D577224"/>
    <w:rsid w:val="4E327B97"/>
    <w:rsid w:val="4EAB630A"/>
    <w:rsid w:val="4ECE2238"/>
    <w:rsid w:val="503E342A"/>
    <w:rsid w:val="51CD14EF"/>
    <w:rsid w:val="52C40566"/>
    <w:rsid w:val="59413C30"/>
    <w:rsid w:val="598D40DE"/>
    <w:rsid w:val="5A963C01"/>
    <w:rsid w:val="5AF92295"/>
    <w:rsid w:val="5CD71FC4"/>
    <w:rsid w:val="5FF362CE"/>
    <w:rsid w:val="6269583A"/>
    <w:rsid w:val="654575D1"/>
    <w:rsid w:val="657075A7"/>
    <w:rsid w:val="67080577"/>
    <w:rsid w:val="6B47461C"/>
    <w:rsid w:val="6C462EF9"/>
    <w:rsid w:val="6C4A05C8"/>
    <w:rsid w:val="6DF6406A"/>
    <w:rsid w:val="6E7E3605"/>
    <w:rsid w:val="6EA646C2"/>
    <w:rsid w:val="6FF5CC65"/>
    <w:rsid w:val="715C0E4B"/>
    <w:rsid w:val="72734D90"/>
    <w:rsid w:val="73AD73D5"/>
    <w:rsid w:val="73B6EB34"/>
    <w:rsid w:val="75991ED9"/>
    <w:rsid w:val="76CF5BB1"/>
    <w:rsid w:val="79EE5BA4"/>
    <w:rsid w:val="7A894339"/>
    <w:rsid w:val="7B154B69"/>
    <w:rsid w:val="7BF51E1B"/>
    <w:rsid w:val="7C6B5264"/>
    <w:rsid w:val="7C8834A4"/>
    <w:rsid w:val="7C9653EE"/>
    <w:rsid w:val="7DFD54DE"/>
    <w:rsid w:val="7E5A146C"/>
    <w:rsid w:val="7EEF11D3"/>
    <w:rsid w:val="7F7D408C"/>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ody Text Indent 2"/>
    <w:basedOn w:val="1"/>
    <w:qFormat/>
    <w:uiPriority w:val="0"/>
    <w:pPr>
      <w:spacing w:line="480" w:lineRule="auto"/>
      <w:ind w:left="420" w:leftChars="2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序号黑体"/>
    <w:basedOn w:val="1"/>
    <w:qFormat/>
    <w:uiPriority w:val="0"/>
    <w:pPr>
      <w:ind w:firstLine="200"/>
    </w:pPr>
    <w:rPr>
      <w:rFonts w:eastAsia="黑体"/>
    </w:rPr>
  </w:style>
  <w:style w:type="paragraph" w:customStyle="1" w:styleId="33">
    <w:name w:val="图表目录1"/>
    <w:basedOn w:val="34"/>
    <w:next w:val="1"/>
    <w:qFormat/>
    <w:uiPriority w:val="0"/>
    <w:pPr>
      <w:ind w:left="200" w:leftChars="200" w:hanging="200" w:hangingChars="200"/>
    </w:pPr>
    <w:rPr>
      <w:rFonts w:eastAsia="仿宋_GB2312"/>
      <w:sz w:val="32"/>
      <w:szCs w:val="24"/>
    </w:rPr>
  </w:style>
  <w:style w:type="paragraph" w:customStyle="1" w:styleId="34">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35268;&#24314;&#23616;\2020&#241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35268;&#24314;&#23616;\2020&#2418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35268;&#24314;&#23616;\2020&#241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'2121年住建总 (2)'!$A$102</c:f>
              <c:strCache>
                <c:ptCount val="1"/>
                <c:pt idx="0">
                  <c:v>收、支决算总计变动情况图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'2121年住建总 (2)'!$B$101:$C$101</c:f>
              <c:strCache>
                <c:ptCount val="2"/>
                <c:pt idx="0">
                  <c:v>2020年</c:v>
                </c:pt>
                <c:pt idx="1">
                  <c:v>2021年</c:v>
                </c:pt>
              </c:strCache>
            </c:strRef>
          </c:cat>
          <c:val>
            <c:numRef>
              <c:f>'2121年住建总 (2)'!$B$102:$C$102</c:f>
              <c:numCache>
                <c:formatCode>General</c:formatCode>
                <c:ptCount val="2"/>
                <c:pt idx="0">
                  <c:v>89998.85</c:v>
                </c:pt>
                <c:pt idx="1">
                  <c:v>96145.89</c:v>
                </c:pt>
              </c:numCache>
            </c:numRef>
          </c:val>
        </c:ser>
        <c:dLbls>
          <c:showLegendKey val="0"/>
          <c:showVal val="1"/>
          <c:showCatName val="0"/>
          <c:showSerName val="0"/>
          <c:showPercent val="0"/>
          <c:showBubbleSize val="0"/>
        </c:dLbls>
        <c:gapWidth val="250"/>
        <c:axId val="150567936"/>
        <c:axId val="150590208"/>
      </c:barChart>
      <c:catAx>
        <c:axId val="1505679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600" b="0" i="0" u="none" strike="noStrike" kern="1200" baseline="0">
                <a:solidFill>
                  <a:schemeClr val="tx1"/>
                </a:solidFill>
                <a:latin typeface="+mn-lt"/>
                <a:ea typeface="+mn-ea"/>
                <a:cs typeface="+mn-cs"/>
              </a:defRPr>
            </a:pPr>
          </a:p>
        </c:txPr>
        <c:crossAx val="150590208"/>
        <c:crosses val="autoZero"/>
        <c:auto val="1"/>
        <c:lblAlgn val="ctr"/>
        <c:lblOffset val="100"/>
        <c:noMultiLvlLbl val="0"/>
      </c:catAx>
      <c:valAx>
        <c:axId val="1505902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200" b="0" i="0" u="none" strike="noStrike" kern="1200" baseline="0">
                <a:solidFill>
                  <a:schemeClr val="tx1"/>
                </a:solidFill>
                <a:latin typeface="+mn-lt"/>
                <a:ea typeface="+mn-ea"/>
                <a:cs typeface="+mn-cs"/>
              </a:defRPr>
            </a:pPr>
          </a:p>
        </c:txPr>
        <c:crossAx val="150567936"/>
        <c:crosses val="autoZero"/>
        <c:crossBetween val="between"/>
      </c:valAx>
    </c:plotArea>
    <c:plotVisOnly val="1"/>
    <c:dispBlanksAs val="gap"/>
    <c:showDLblsOverMax val="0"/>
    <c:extLst>
      <c:ext uri="{0b15fc19-7d7d-44ad-8c2d-2c3a37ce22c3}">
        <chartProps xmlns="https://web.wps.cn/et/2018/main" chartId="{f21d569a-b33e-4f08-86da-ede5d7fb3f5f}"/>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'2121年住建总 (2)'!$A$11</c:f>
              <c:strCache>
                <c:ptCount val="1"/>
                <c:pt idx="0">
                  <c:v>收入决算结构图</c:v>
                </c:pt>
              </c:strCache>
            </c:strRef>
          </c:tx>
          <c:explosion val="0"/>
          <c:dPt>
            <c:idx val="0"/>
            <c:bubble3D val="0"/>
          </c:dPt>
          <c:dPt>
            <c:idx val="1"/>
            <c:bubble3D val="0"/>
          </c:dPt>
          <c:dLbls>
            <c:dLbl>
              <c:idx val="0"/>
              <c:layout>
                <c:manualLayout>
                  <c:x val="0.0208700616968334"/>
                  <c:y val="-0.2083533954807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57006510549821"/>
                  <c:y val="-0.2714674027815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(2)'!$B$10:$C$10</c:f>
              <c:strCache>
                <c:ptCount val="2"/>
                <c:pt idx="0">
                  <c:v>一般公共预算财政拨款收入</c:v>
                </c:pt>
                <c:pt idx="1">
                  <c:v>政府性基金预算财政拨款收入</c:v>
                </c:pt>
              </c:strCache>
            </c:strRef>
          </c:cat>
          <c:val>
            <c:numRef>
              <c:f>'2121年住建总 (2)'!$B$11:$C$11</c:f>
              <c:numCache>
                <c:formatCode>General</c:formatCode>
                <c:ptCount val="2"/>
                <c:pt idx="0">
                  <c:v>30052.02</c:v>
                </c:pt>
                <c:pt idx="1">
                  <c:v>26876.21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9460bd8d-a004-485a-83eb-5975b94e4145}"/>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'2121年住建总 (2)'!$A$17</c:f>
              <c:strCache>
                <c:ptCount val="1"/>
                <c:pt idx="0">
                  <c:v>支出决算结构图</c:v>
                </c:pt>
              </c:strCache>
            </c:strRef>
          </c:tx>
          <c:explosion val="0"/>
          <c:dPt>
            <c:idx val="0"/>
            <c:bubble3D val="0"/>
          </c:dPt>
          <c:dPt>
            <c:idx val="1"/>
            <c:bubble3D val="0"/>
          </c:dPt>
          <c:dLbls>
            <c:dLbl>
              <c:idx val="0"/>
              <c:layout>
                <c:manualLayout>
                  <c:x val="0.310959536307963"/>
                  <c:y val="0.07853710994459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3819553805774"/>
                  <c:y val="-0.6402544473607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(2)'!$B$16:$C$16</c:f>
              <c:strCache>
                <c:ptCount val="2"/>
                <c:pt idx="0">
                  <c:v>基本支出</c:v>
                </c:pt>
                <c:pt idx="1">
                  <c:v>项目支出</c:v>
                </c:pt>
              </c:strCache>
            </c:strRef>
          </c:cat>
          <c:val>
            <c:numRef>
              <c:f>'2121年住建总 (2)'!$B$17:$C$17</c:f>
              <c:numCache>
                <c:formatCode>General</c:formatCode>
                <c:ptCount val="2"/>
                <c:pt idx="0">
                  <c:v>2538.66</c:v>
                </c:pt>
                <c:pt idx="1">
                  <c:v>81773.91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95114fb2-25a4-42d8-a6de-326327f96554}"/>
      </c:ext>
    </c:extLst>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'2121年住建总 (2)'!$A$102</c:f>
              <c:strCache>
                <c:ptCount val="1"/>
                <c:pt idx="0">
                  <c:v>收、支决算总计变动情况图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'2121年住建总 (2)'!$B$101:$C$101</c:f>
              <c:strCache>
                <c:ptCount val="2"/>
                <c:pt idx="0">
                  <c:v>2020年</c:v>
                </c:pt>
                <c:pt idx="1">
                  <c:v>2021年</c:v>
                </c:pt>
              </c:strCache>
            </c:strRef>
          </c:cat>
          <c:val>
            <c:numRef>
              <c:f>'2121年住建总 (2)'!$B$102:$C$102</c:f>
              <c:numCache>
                <c:formatCode>General</c:formatCode>
                <c:ptCount val="2"/>
                <c:pt idx="0">
                  <c:v>89576.72</c:v>
                </c:pt>
                <c:pt idx="1">
                  <c:v>95724.27</c:v>
                </c:pt>
              </c:numCache>
            </c:numRef>
          </c:val>
        </c:ser>
        <c:dLbls>
          <c:showLegendKey val="0"/>
          <c:showVal val="1"/>
          <c:showCatName val="0"/>
          <c:showSerName val="0"/>
          <c:showPercent val="0"/>
          <c:showBubbleSize val="0"/>
        </c:dLbls>
        <c:gapWidth val="250"/>
        <c:axId val="150460288"/>
        <c:axId val="150461824"/>
      </c:barChart>
      <c:catAx>
        <c:axId val="1504602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600" b="0" i="0" u="none" strike="noStrike" kern="1200" baseline="0">
                <a:solidFill>
                  <a:schemeClr val="tx1"/>
                </a:solidFill>
                <a:latin typeface="+mn-lt"/>
                <a:ea typeface="+mn-ea"/>
                <a:cs typeface="+mn-cs"/>
              </a:defRPr>
            </a:pPr>
          </a:p>
        </c:txPr>
        <c:crossAx val="150461824"/>
        <c:crosses val="autoZero"/>
        <c:auto val="1"/>
        <c:lblAlgn val="ctr"/>
        <c:lblOffset val="100"/>
        <c:noMultiLvlLbl val="0"/>
      </c:catAx>
      <c:valAx>
        <c:axId val="1504618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600" b="0" i="0" u="none" strike="noStrike" kern="1200" baseline="0">
                <a:solidFill>
                  <a:schemeClr val="tx1"/>
                </a:solidFill>
                <a:latin typeface="+mn-lt"/>
                <a:ea typeface="+mn-ea"/>
                <a:cs typeface="+mn-cs"/>
              </a:defRPr>
            </a:pPr>
          </a:p>
        </c:txPr>
        <c:crossAx val="150460288"/>
        <c:crosses val="autoZero"/>
        <c:crossBetween val="between"/>
      </c:valAx>
    </c:plotArea>
    <c:plotVisOnly val="1"/>
    <c:dispBlanksAs val="gap"/>
    <c:showDLblsOverMax val="0"/>
    <c:extLst>
      <c:ext uri="{0b15fc19-7d7d-44ad-8c2d-2c3a37ce22c3}">
        <chartProps xmlns="https://web.wps.cn/et/2018/main" chartId="{af60a402-69c1-4848-b005-55ed598e12ff}"/>
      </c:ext>
    </c:extLst>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'2121年住建总 (2)'!$A$140</c:f>
              <c:strCache>
                <c:ptCount val="1"/>
                <c:pt idx="0">
                  <c:v>一般公共预算财政拨款支出决算变动情况</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'2121年住建总 (2)'!$B$139:$C$139</c:f>
              <c:strCache>
                <c:ptCount val="2"/>
                <c:pt idx="0">
                  <c:v>2020年</c:v>
                </c:pt>
                <c:pt idx="1">
                  <c:v>2021年</c:v>
                </c:pt>
              </c:strCache>
            </c:strRef>
          </c:cat>
          <c:val>
            <c:numRef>
              <c:f>'2121年住建总 (2)'!$B$140:$C$140</c:f>
              <c:numCache>
                <c:formatCode>General</c:formatCode>
                <c:ptCount val="2"/>
                <c:pt idx="0">
                  <c:v>47390.05</c:v>
                </c:pt>
                <c:pt idx="1">
                  <c:v>58386.8</c:v>
                </c:pt>
              </c:numCache>
            </c:numRef>
          </c:val>
        </c:ser>
        <c:dLbls>
          <c:showLegendKey val="0"/>
          <c:showVal val="1"/>
          <c:showCatName val="0"/>
          <c:showSerName val="0"/>
          <c:showPercent val="0"/>
          <c:showBubbleSize val="0"/>
        </c:dLbls>
        <c:gapWidth val="270"/>
        <c:axId val="150477824"/>
        <c:axId val="150479616"/>
      </c:barChart>
      <c:catAx>
        <c:axId val="150477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200" b="0" i="0" u="none" strike="noStrike" kern="1200" baseline="0">
                <a:solidFill>
                  <a:schemeClr val="tx1"/>
                </a:solidFill>
                <a:latin typeface="+mn-lt"/>
                <a:ea typeface="+mn-ea"/>
                <a:cs typeface="+mn-cs"/>
              </a:defRPr>
            </a:pPr>
          </a:p>
        </c:txPr>
        <c:crossAx val="150479616"/>
        <c:crosses val="autoZero"/>
        <c:auto val="1"/>
        <c:lblAlgn val="ctr"/>
        <c:lblOffset val="100"/>
        <c:noMultiLvlLbl val="0"/>
      </c:catAx>
      <c:valAx>
        <c:axId val="1504796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crossAx val="150477824"/>
        <c:crosses val="autoZero"/>
        <c:crossBetween val="between"/>
      </c:valAx>
    </c:plotArea>
    <c:plotVisOnly val="1"/>
    <c:dispBlanksAs val="gap"/>
    <c:showDLblsOverMax val="0"/>
    <c:extLst>
      <c:ext uri="{0b15fc19-7d7d-44ad-8c2d-2c3a37ce22c3}">
        <chartProps xmlns="https://web.wps.cn/et/2018/main" chartId="{9ea6c8f1-4a72-44a0-91f7-c8e0d34c4023}"/>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5582317135152"/>
          <c:y val="0.029057328798579"/>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18260233432197"/>
          <c:y val="0.348416461653559"/>
          <c:w val="0.332742691166216"/>
          <c:h val="0.607895259672463"/>
        </c:manualLayout>
      </c:layout>
      <c:pieChart>
        <c:varyColors val="1"/>
        <c:ser>
          <c:idx val="0"/>
          <c:order val="0"/>
          <c:tx>
            <c:strRef>
              <c:f>'2121年住建总 (2)'!$A$158</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0"/>
              <c:layout>
                <c:manualLayout>
                  <c:x val="0.385767898804316"/>
                  <c:y val="-0.074072692700259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一般公共服务（类）支出</a:t>
                    </a:r>
                    <a:r>
                      <a:rPr lang="en-US" altLang="zh-CN"/>
                      <a:t>0.71%</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865326990376204"/>
                  <c:y val="-0.067902687888268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31890310586177"/>
                  <c:y val="0.03583185005236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01065914955918"/>
                  <c:y val="0.1464111946884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社会保障和就业（类）</a:t>
                    </a:r>
                    <a:r>
                      <a:rPr lang="en-US" altLang="zh-CN"/>
                      <a:t>0.52%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127203630796151"/>
                  <c:y val="-0.08867983276249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卫生健康支出（类）</a:t>
                    </a:r>
                    <a:r>
                      <a:rPr lang="en-US" altLang="zh-CN"/>
                      <a:t>0.09%</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232674066783319"/>
                  <c:y val="-0.095473231843059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132490522018081"/>
                  <c:y val="0.1486682107219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331596128608924"/>
                  <c:y val="-0.1125772790771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住房保障支出（类）</a:t>
                    </a:r>
                    <a:r>
                      <a:rPr lang="en-US" altLang="zh-CN"/>
                      <a:t>3.53%</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355313320209974"/>
                  <c:y val="0.022399235409593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灾害防治及应急管理支出</a:t>
                    </a:r>
                    <a:r>
                      <a:rPr lang="en-US" altLang="zh-CN"/>
                      <a:t>(</a:t>
                    </a:r>
                    <a:r>
                      <a:rPr lang="zh-CN" altLang="en-US"/>
                      <a:t>类</a:t>
                    </a:r>
                    <a:r>
                      <a:rPr lang="en-US" altLang="zh-CN"/>
                      <a:t>)0.02%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(2)'!$B$157:$K$157</c:f>
              <c:strCache>
                <c:ptCount val="10"/>
                <c:pt idx="0">
                  <c:v>一般公共服务（类）支出</c:v>
                </c:pt>
                <c:pt idx="1">
                  <c:v>国防支出（类）</c:v>
                </c:pt>
                <c:pt idx="2">
                  <c:v>教育支出（类）</c:v>
                </c:pt>
                <c:pt idx="3">
                  <c:v>社会保障和就业（类）</c:v>
                </c:pt>
                <c:pt idx="4">
                  <c:v>卫生健康支出（类）</c:v>
                </c:pt>
                <c:pt idx="6">
                  <c:v>城乡社区支出（类）</c:v>
                </c:pt>
                <c:pt idx="7">
                  <c:v>农林水支出（类）</c:v>
                </c:pt>
                <c:pt idx="8">
                  <c:v>住房保障支出（类）</c:v>
                </c:pt>
                <c:pt idx="9">
                  <c:v>灾害防治及应急管理支出（类）</c:v>
                </c:pt>
              </c:strCache>
            </c:strRef>
          </c:cat>
          <c:val>
            <c:numRef>
              <c:f>'2121年住建总 (2)'!$B$158:$K$158</c:f>
              <c:numCache>
                <c:formatCode>General</c:formatCode>
                <c:ptCount val="10"/>
                <c:pt idx="0">
                  <c:v>408.39</c:v>
                </c:pt>
                <c:pt idx="1">
                  <c:v>928.98</c:v>
                </c:pt>
                <c:pt idx="2">
                  <c:v>1298</c:v>
                </c:pt>
                <c:pt idx="3">
                  <c:v>305.8</c:v>
                </c:pt>
                <c:pt idx="4">
                  <c:v>54.97</c:v>
                </c:pt>
                <c:pt idx="6">
                  <c:v>50820.88</c:v>
                </c:pt>
                <c:pt idx="7">
                  <c:v>2500</c:v>
                </c:pt>
                <c:pt idx="8">
                  <c:v>2061.01</c:v>
                </c:pt>
                <c:pt idx="9">
                  <c:v>8.77</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01cbc855-e404-4f4e-bfab-4a840372f67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7268012195023"/>
          <c:y val="0.0556190576292267"/>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04729304952438"/>
          <c:y val="0.305253738228394"/>
          <c:w val="0.384979266577487"/>
          <c:h val="0.641632251462373"/>
        </c:manualLayout>
      </c:layout>
      <c:pieChart>
        <c:varyColors val="1"/>
        <c:ser>
          <c:idx val="0"/>
          <c:order val="0"/>
          <c:tx>
            <c:strRef>
              <c:f>'2121年住建总 (2)'!$A$73</c:f>
              <c:strCache>
                <c:ptCount val="1"/>
                <c:pt idx="0">
                  <c:v>三公”经费财政拨款支出结构</c:v>
                </c:pt>
              </c:strCache>
            </c:strRef>
          </c:tx>
          <c:explosion val="0"/>
          <c:dPt>
            <c:idx val="0"/>
            <c:bubble3D val="0"/>
          </c:dPt>
          <c:dPt>
            <c:idx val="1"/>
            <c:bubble3D val="0"/>
          </c:dPt>
          <c:dPt>
            <c:idx val="2"/>
            <c:bubble3D val="0"/>
          </c:dPt>
          <c:dLbls>
            <c:dLbl>
              <c:idx val="0"/>
              <c:delete val="1"/>
            </c:dLbl>
            <c:dLbl>
              <c:idx val="1"/>
              <c:layout>
                <c:manualLayout>
                  <c:x val="0.281442223745785"/>
                  <c:y val="-0.3302538477147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74585534099402"/>
                  <c:y val="0.1121311587887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(2)'!$B$72:$D$72</c:f>
              <c:strCache>
                <c:ptCount val="3"/>
                <c:pt idx="0">
                  <c:v>因公出国（境）费支出决算</c:v>
                </c:pt>
                <c:pt idx="1">
                  <c:v>公务用车购置及运行维护费支出</c:v>
                </c:pt>
                <c:pt idx="2">
                  <c:v>公务接待费支出决算</c:v>
                </c:pt>
              </c:strCache>
            </c:strRef>
          </c:cat>
          <c:val>
            <c:numRef>
              <c:f>'2121年住建总 (2)'!$B$73:$D$73</c:f>
              <c:numCache>
                <c:formatCode>General</c:formatCode>
                <c:ptCount val="3"/>
                <c:pt idx="0">
                  <c:v>0</c:v>
                </c:pt>
                <c:pt idx="1">
                  <c:v>35.58</c:v>
                </c:pt>
                <c:pt idx="2">
                  <c:v>1.27</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1e20643d-1f63-44e4-b192-f52a474974da}"/>
      </c:ext>
    </c:extLst>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0.83541</cdr:x>
      <cdr:y>0.05669</cdr:y>
    </cdr:from>
    <cdr:to>
      <cdr:x>0.96662</cdr:x>
      <cdr:y>0.13577</cdr:y>
    </cdr:to>
    <cdr:sp>
      <cdr:nvSpPr>
        <cdr:cNvPr id="2" name="矩形 1"/>
        <cdr:cNvSpPr/>
      </cdr:nvSpPr>
      <cdr:spPr xmlns:a="http://schemas.openxmlformats.org/drawingml/2006/main">
        <a:xfrm xmlns:a="http://schemas.openxmlformats.org/drawingml/2006/main">
          <a:off x="4233273" y="129053"/>
          <a:ext cx="664881" cy="180024"/>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0.26875</cdr:x>
      <cdr:y>0.27431</cdr:y>
    </cdr:from>
    <cdr:to>
      <cdr:x>0.42083</cdr:x>
      <cdr:y>0.47917</cdr:y>
    </cdr:to>
    <cdr:sp>
      <cdr:nvSpPr>
        <cdr:cNvPr id="2" name="直接连接符 1"/>
        <cdr:cNvSpPr/>
      </cdr:nvSpPr>
      <cdr:spPr xmlns:a="http://schemas.openxmlformats.org/drawingml/2006/main">
        <a:xfrm xmlns:a="http://schemas.openxmlformats.org/drawingml/2006/main">
          <a:off x="1228725" y="752475"/>
          <a:ext cx="695325" cy="561975"/>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p>
      </cdr:txBody>
    </cdr:sp>
  </cdr:relSizeAnchor>
</c:userShapes>
</file>

<file path=word/drawings/drawing3.xml><?xml version="1.0" encoding="utf-8"?>
<c:userShapes xmlns:c="http://schemas.openxmlformats.org/drawingml/2006/chart">
  <cdr:relSizeAnchor xmlns:cdr="http://schemas.openxmlformats.org/drawingml/2006/chartDrawing">
    <cdr:from>
      <cdr:x>0.82613</cdr:x>
      <cdr:y>0.10106</cdr:y>
    </cdr:from>
    <cdr:to>
      <cdr:x>0.95734</cdr:x>
      <cdr:y>0.18014</cdr:y>
    </cdr:to>
    <cdr:sp>
      <cdr:nvSpPr>
        <cdr:cNvPr id="2" name="矩形 1"/>
        <cdr:cNvSpPr/>
      </cdr:nvSpPr>
      <cdr:spPr xmlns:a="http://schemas.openxmlformats.org/drawingml/2006/main">
        <a:xfrm xmlns:a="http://schemas.openxmlformats.org/drawingml/2006/main">
          <a:off x="4241349" y="282037"/>
          <a:ext cx="673629" cy="220698"/>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zh-CN" altLang="en-US" sz="1100"/>
            <a:t>单位：万元</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18527</Words>
  <Characters>20276</Characters>
  <Lines>152</Lines>
  <Paragraphs>42</Paragraphs>
  <TotalTime>106</TotalTime>
  <ScaleCrop>false</ScaleCrop>
  <LinksUpToDate>false</LinksUpToDate>
  <CharactersWithSpaces>20497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王静</cp:lastModifiedBy>
  <cp:lastPrinted>2022-08-08T09:11:00Z</cp:lastPrinted>
  <dcterms:modified xsi:type="dcterms:W3CDTF">2025-03-17T06:46:21Z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eyJoZGlkIjoiN2M1YzU5NjVmODFjYzZlZjIxMjI4NjFmY2U0MGQxZWEiLCJ1c2VySWQiOiIxNDg0NzE2NzU3In0=</vt:lpwstr>
  </property>
  <property fmtid="{D5CDD505-2E9C-101B-9397-08002B2CF9AE}" pid="4" name="ICV">
    <vt:lpwstr>43D6F497791E4BAF9C446CDB78F34F88_12</vt:lpwstr>
  </property>
</Properties>
</file>