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78441"/>
      <w:bookmarkStart w:id="3" w:name="_Toc15396597"/>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7426"/>
      <w:bookmarkStart w:id="9" w:name="_Toc15378442"/>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w:t>
      </w:r>
      <w:r>
        <w:rPr>
          <w:rFonts w:hint="eastAsia" w:ascii="方正小标宋简体" w:hAnsi="方正小标宋简体" w:eastAsia="方正小标宋简体" w:cs="方正小标宋简体"/>
          <w:sz w:val="72"/>
          <w:szCs w:val="72"/>
          <w:lang w:val="en-US" w:eastAsia="zh-CN"/>
        </w:rPr>
        <w:t>委</w:t>
      </w:r>
      <w:r>
        <w:rPr>
          <w:rFonts w:hint="eastAsia" w:ascii="方正小标宋简体" w:hAnsi="方正小标宋简体" w:eastAsia="方正小标宋简体" w:cs="方正小标宋简体"/>
          <w:sz w:val="72"/>
          <w:szCs w:val="72"/>
        </w:rPr>
        <w:t>统战部部门决算</w:t>
      </w:r>
      <w:bookmarkEnd w:id="6"/>
      <w:bookmarkEnd w:id="7"/>
      <w:bookmarkEnd w:id="8"/>
      <w:bookmarkEnd w:id="9"/>
      <w:bookmarkEnd w:id="10"/>
      <w:bookmarkEnd w:id="11"/>
    </w:p>
    <w:p>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pPr>
        <w:pStyle w:val="11"/>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公开时间：2022年10月9日</w:t>
      </w:r>
    </w:p>
    <w:p>
      <w:pPr>
        <w:spacing w:line="600" w:lineRule="exact"/>
      </w:pP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600" w:lineRule="exact"/>
        <w:ind w:leftChars="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adjustRightInd w:val="0"/>
        <w:snapToGrid w:val="0"/>
        <w:spacing w:line="600" w:lineRule="exact"/>
        <w:ind w:firstLine="640" w:firstLineChars="200"/>
        <w:jc w:val="left"/>
        <w:rPr>
          <w:rFonts w:ascii="仿宋_GB2312" w:hAnsi="仿宋_GB2312" w:eastAsia="仿宋_GB2312" w:cs="仿宋_GB2312"/>
          <w:sz w:val="32"/>
          <w:szCs w:val="32"/>
        </w:rPr>
      </w:pPr>
      <w:r>
        <w:rPr>
          <w:rStyle w:val="18"/>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第五部分 附表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highlight w:val="none"/>
        </w:rPr>
      </w:pPr>
      <w:bookmarkStart w:id="14" w:name="_Toc15377197"/>
      <w:bookmarkStart w:id="15" w:name="_Toc15396600"/>
      <w:r>
        <w:rPr>
          <w:rFonts w:hint="eastAsia" w:ascii="黑体" w:hAnsi="黑体" w:eastAsia="黑体" w:cs="黑体"/>
          <w:sz w:val="32"/>
          <w:szCs w:val="32"/>
          <w:highlight w:val="none"/>
        </w:rPr>
        <w:t>一、基本职能及主要工作</w:t>
      </w:r>
      <w:bookmarkEnd w:id="14"/>
      <w:bookmarkEnd w:id="15"/>
    </w:p>
    <w:p>
      <w:pPr>
        <w:pStyle w:val="6"/>
        <w:adjustRightInd w:val="0"/>
        <w:snapToGrid w:val="0"/>
        <w:spacing w:before="93" w:line="600" w:lineRule="exact"/>
        <w:ind w:firstLine="672" w:firstLineChars="210"/>
        <w:outlineLvl w:val="2"/>
        <w:rPr>
          <w:rFonts w:ascii="仿宋_GB2312" w:hAnsi="仿宋_GB2312" w:eastAsia="仿宋_GB2312" w:cs="仿宋_GB2312"/>
          <w:sz w:val="32"/>
          <w:szCs w:val="32"/>
          <w:highlight w:val="yellow"/>
        </w:rPr>
      </w:pPr>
      <w:bookmarkStart w:id="16" w:name="_Toc15378445"/>
      <w:bookmarkStart w:id="17" w:name="_Toc15377198"/>
      <w:r>
        <w:rPr>
          <w:rFonts w:hint="eastAsia" w:ascii="楷体_GB2312" w:hAnsi="楷体_GB2312" w:eastAsia="楷体_GB2312" w:cs="楷体_GB2312"/>
          <w:sz w:val="32"/>
          <w:szCs w:val="32"/>
          <w:highlight w:val="none"/>
        </w:rPr>
        <w:t>（一）</w:t>
      </w:r>
      <w:bookmarkEnd w:id="16"/>
      <w:bookmarkEnd w:id="17"/>
      <w:r>
        <w:rPr>
          <w:rFonts w:hint="eastAsia" w:ascii="仿宋" w:hAnsi="仿宋" w:eastAsia="仿宋" w:cs="仿宋"/>
          <w:sz w:val="32"/>
          <w:szCs w:val="32"/>
          <w:highlight w:val="none"/>
        </w:rPr>
        <w:t>峨眉山</w:t>
      </w:r>
      <w:r>
        <w:rPr>
          <w:rFonts w:hint="eastAsia" w:ascii="仿宋" w:hAnsi="仿宋" w:eastAsia="仿宋" w:cs="仿宋"/>
          <w:sz w:val="32"/>
          <w:szCs w:val="32"/>
        </w:rPr>
        <w:t>市统战部是市委主管统一战线工作的职能部门，主要职责是：负责协调、监督、检查全市统一战线工作，负责联系各民主党派、工商联和无党派人士，负责党外人士的政治安排，贯彻落实党的民族工作方针和宗教工作基本方针和政策，统一领导港澳台统战工作，管理对台工作和侨务工作，负责对台宣传、涉台教育和有关台湾工作新闻发布，拟定全市侨务工作规划并组织协调、督促检查落实，调查研究侨情和侨务工作情况，管理侨务行政事务等工作。</w:t>
      </w:r>
      <w:r>
        <w:rPr>
          <w:rFonts w:hint="eastAsia" w:ascii="仿宋" w:hAnsi="仿宋" w:eastAsia="仿宋" w:cs="仿宋"/>
          <w:sz w:val="32"/>
          <w:szCs w:val="32"/>
          <w:lang w:val="en-US" w:eastAsia="zh-CN"/>
        </w:rPr>
        <w:t>下属单位工商联主要是</w:t>
      </w:r>
      <w:r>
        <w:rPr>
          <w:rFonts w:hint="eastAsia"/>
          <w:sz w:val="32"/>
          <w:szCs w:val="32"/>
          <w:highlight w:val="none"/>
          <w:lang w:val="en-US" w:eastAsia="zh-CN"/>
        </w:rPr>
        <w:t>承担</w:t>
      </w:r>
      <w:r>
        <w:rPr>
          <w:rFonts w:hint="eastAsia" w:ascii="仿宋_GB2312" w:eastAsia="仿宋_GB2312"/>
          <w:sz w:val="32"/>
          <w:szCs w:val="32"/>
          <w:highlight w:val="none"/>
        </w:rPr>
        <w:t>参与地方大政方针政策及政治、经济、社会生活中的重要问题的政治协商，发挥民主监督作用，参政议政。做好工商界代表人士政治安排的推荐工作</w:t>
      </w:r>
      <w:r>
        <w:rPr>
          <w:rFonts w:hint="eastAsia"/>
          <w:sz w:val="32"/>
          <w:szCs w:val="32"/>
          <w:highlight w:val="none"/>
          <w:lang w:eastAsia="zh-CN"/>
        </w:rPr>
        <w:t>，</w:t>
      </w:r>
      <w:r>
        <w:rPr>
          <w:rFonts w:hint="eastAsia" w:ascii="仿宋_GB2312" w:eastAsia="仿宋_GB2312"/>
          <w:sz w:val="32"/>
          <w:szCs w:val="32"/>
          <w:highlight w:val="none"/>
        </w:rPr>
        <w:t>发扬自我教育的优良传统，宣传、贯彻党和国家的方针政策，加强和改进思想政治工作，提倡爱国、敬业、守法，提高会员素质，培</w:t>
      </w:r>
      <w:r>
        <w:rPr>
          <w:rFonts w:hint="eastAsia" w:ascii="仿宋_GB2312" w:eastAsia="仿宋_GB2312" w:cs="宋体"/>
          <w:sz w:val="32"/>
          <w:szCs w:val="32"/>
          <w:highlight w:val="none"/>
        </w:rPr>
        <w:t>养积极分子队伍</w:t>
      </w:r>
      <w:r>
        <w:rPr>
          <w:rFonts w:hint="eastAsia" w:cs="宋体"/>
          <w:sz w:val="32"/>
          <w:szCs w:val="32"/>
          <w:highlight w:val="none"/>
          <w:lang w:val="en-US" w:eastAsia="zh-CN"/>
        </w:rPr>
        <w:t>等工作</w:t>
      </w:r>
      <w:r>
        <w:rPr>
          <w:rFonts w:hint="eastAsia" w:ascii="仿宋_GB2312" w:eastAsia="仿宋_GB2312" w:cs="宋体"/>
          <w:sz w:val="32"/>
          <w:szCs w:val="32"/>
          <w:highlight w:val="none"/>
        </w:rPr>
        <w:t>。</w:t>
      </w:r>
      <w:r>
        <w:rPr>
          <w:rFonts w:hint="eastAsia" w:ascii="仿宋" w:hAnsi="仿宋" w:eastAsia="仿宋" w:cs="仿宋"/>
          <w:sz w:val="32"/>
          <w:szCs w:val="32"/>
        </w:rPr>
        <w:t xml:space="preserve">  </w:t>
      </w:r>
    </w:p>
    <w:p>
      <w:pPr>
        <w:spacing w:line="600" w:lineRule="exact"/>
        <w:ind w:firstLine="640" w:firstLineChars="200"/>
        <w:rPr>
          <w:rFonts w:hint="eastAsia" w:ascii="楷体_GB2312" w:hAnsi="楷体_GB2312" w:eastAsia="楷体_GB2312" w:cs="楷体_GB2312"/>
          <w:sz w:val="32"/>
          <w:szCs w:val="32"/>
          <w:highlight w:val="none"/>
        </w:rPr>
      </w:pPr>
      <w:bookmarkStart w:id="18" w:name="_Toc15377199"/>
      <w:bookmarkStart w:id="19" w:name="_Toc15378446"/>
      <w:r>
        <w:rPr>
          <w:rFonts w:hint="eastAsia" w:ascii="楷体_GB2312" w:hAnsi="楷体_GB2312" w:eastAsia="楷体_GB2312" w:cs="楷体_GB2312"/>
          <w:sz w:val="32"/>
          <w:szCs w:val="32"/>
          <w:highlight w:val="none"/>
        </w:rPr>
        <w:t>（二）2021年重点工作完成情况。</w:t>
      </w:r>
      <w:bookmarkEnd w:id="18"/>
      <w:bookmarkEnd w:id="19"/>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2021年，市委统战部学习贯彻</w:t>
      </w:r>
      <w:r>
        <w:rPr>
          <w:rFonts w:hint="eastAsia" w:ascii="仿宋_GB2312" w:hAnsi="仿宋" w:eastAsia="仿宋_GB2312" w:cs="Times New Roman"/>
          <w:sz w:val="32"/>
          <w:szCs w:val="32"/>
        </w:rPr>
        <w:t>习近平总书记关于加强和改进统一战线工作的重要思想，</w:t>
      </w:r>
      <w:r>
        <w:rPr>
          <w:rFonts w:hint="eastAsia" w:ascii="仿宋_GB2312" w:hAnsi="仿宋_GB2312" w:eastAsia="仿宋_GB2312" w:cs="仿宋_GB2312"/>
          <w:sz w:val="32"/>
          <w:szCs w:val="32"/>
        </w:rPr>
        <w:t>贯彻落实《中国共产党统一战线工作条例》，</w:t>
      </w:r>
      <w:r>
        <w:rPr>
          <w:rFonts w:hint="eastAsia" w:ascii="仿宋_GB2312" w:hAnsi="仿宋" w:eastAsia="仿宋_GB2312" w:cs="Times New Roman"/>
          <w:sz w:val="32"/>
          <w:szCs w:val="32"/>
        </w:rPr>
        <w:t>深入开展党史主题教育，坚持“不忘合作初心、继续携手前进”主题，广泛凝聚人心、凝聚力量、凝聚智慧、凝聚共识，引导各界增强“四个意识”、坚定“四个自信”、做到“两个维护”，确保统一战线各项工作始终沿着正确方向发展，助力市委“1238”发展总体思路取得良好开局</w:t>
      </w:r>
      <w:r>
        <w:rPr>
          <w:rFonts w:hint="eastAsia" w:ascii="仿宋_GB2312" w:hAnsi="仿宋" w:eastAsia="仿宋_GB2312"/>
          <w:sz w:val="32"/>
          <w:szCs w:val="32"/>
        </w:rPr>
        <w:t>。</w:t>
      </w:r>
    </w:p>
    <w:p>
      <w:pPr>
        <w:spacing w:line="600" w:lineRule="exact"/>
        <w:ind w:firstLine="640" w:firstLineChars="200"/>
      </w:pPr>
      <w:r>
        <w:rPr>
          <w:rFonts w:hint="eastAsia" w:ascii="黑体" w:hAnsi="黑体" w:eastAsia="黑体" w:cs="黑体"/>
          <w:sz w:val="32"/>
          <w:szCs w:val="32"/>
        </w:rPr>
        <w:t>一、党史教育扎实到位，党建责任进一步压实</w:t>
      </w:r>
    </w:p>
    <w:p>
      <w:pPr>
        <w:pStyle w:val="13"/>
        <w:widowControl/>
        <w:shd w:val="clear" w:color="auto" w:fill="FFFFFF"/>
        <w:spacing w:before="0" w:beforeAutospacing="0" w:after="0" w:afterAutospacing="0" w:line="600" w:lineRule="exact"/>
        <w:ind w:firstLine="643" w:firstLineChars="200"/>
        <w:rPr>
          <w:rFonts w:ascii="仿宋_GB2312" w:hAnsi="仿宋_GB2312" w:eastAsia="仿宋_GB2312" w:cs="仿宋_GB2312"/>
          <w:kern w:val="2"/>
          <w:sz w:val="32"/>
          <w:szCs w:val="32"/>
        </w:rPr>
      </w:pPr>
      <w:r>
        <w:rPr>
          <w:rFonts w:hint="eastAsia" w:ascii="仿宋_GB2312" w:hAnsi="仿宋_GB2312" w:eastAsia="仿宋_GB2312" w:cs="仿宋_GB2312"/>
          <w:b/>
          <w:bCs/>
          <w:sz w:val="32"/>
          <w:szCs w:val="32"/>
        </w:rPr>
        <w:t>一是规定动作到位。</w:t>
      </w:r>
      <w:r>
        <w:rPr>
          <w:rFonts w:hint="eastAsia" w:ascii="仿宋_GB2312" w:hAnsi="仿宋_GB2312" w:eastAsia="仿宋_GB2312" w:cs="仿宋_GB2312"/>
          <w:sz w:val="32"/>
          <w:szCs w:val="32"/>
        </w:rPr>
        <w:t>以“学党史、悟思想、办实事、开新局”为主线，</w:t>
      </w:r>
      <w:r>
        <w:rPr>
          <w:rFonts w:ascii="仿宋_GB2312" w:hAnsi="仿宋_GB2312" w:eastAsia="仿宋_GB2312" w:cs="仿宋_GB2312"/>
          <w:sz w:val="32"/>
          <w:szCs w:val="32"/>
        </w:rPr>
        <w:t>围绕“四心”定位，</w:t>
      </w:r>
      <w:r>
        <w:rPr>
          <w:rFonts w:hint="eastAsia" w:ascii="仿宋_GB2312" w:hAnsi="仿宋_GB2312" w:eastAsia="仿宋_GB2312" w:cs="仿宋_GB2312"/>
          <w:sz w:val="32"/>
          <w:szCs w:val="32"/>
          <w:shd w:val="clear" w:color="auto" w:fill="FFFFFF"/>
        </w:rPr>
        <w:t>加强思想政治引领，</w:t>
      </w:r>
      <w:r>
        <w:rPr>
          <w:rFonts w:hint="eastAsia" w:ascii="仿宋_GB2312" w:hAnsi="仿宋_GB2312" w:eastAsia="仿宋_GB2312" w:cs="仿宋_GB2312"/>
          <w:sz w:val="32"/>
          <w:szCs w:val="32"/>
        </w:rPr>
        <w:t>根据统战成员的不同特点，立足各自专业优势，有针对性地制定指导性实施方案、个人自学计划、任务清单，</w:t>
      </w:r>
      <w:r>
        <w:rPr>
          <w:rFonts w:hint="eastAsia" w:ascii="仿宋_GB2312" w:hAnsi="仿宋_GB2312" w:eastAsia="仿宋_GB2312" w:cs="仿宋_GB2312"/>
          <w:sz w:val="32"/>
          <w:szCs w:val="32"/>
          <w:shd w:val="clear" w:color="auto" w:fill="FFFFFF"/>
        </w:rPr>
        <w:t>筑牢统一战线政治“圆心”，拉长包容多样性“半径”，召开</w:t>
      </w:r>
      <w:r>
        <w:rPr>
          <w:rFonts w:hint="eastAsia" w:ascii="仿宋_GB2312" w:hAnsi="仿宋_GB2312" w:eastAsia="仿宋_GB2312" w:cs="仿宋_GB2312"/>
          <w:sz w:val="32"/>
          <w:szCs w:val="32"/>
        </w:rPr>
        <w:t xml:space="preserve">统一战线启动会、宣讲会、专题辅导会、专题党课、拍摄主题微视频、书画展、文艺汇演等共计20余场次覆盖统战人士1000余人。 </w:t>
      </w:r>
      <w:r>
        <w:rPr>
          <w:rFonts w:hint="eastAsia" w:ascii="仿宋_GB2312" w:hAnsi="仿宋_GB2312" w:eastAsia="仿宋_GB2312" w:cs="仿宋_GB2312"/>
          <w:kern w:val="2"/>
          <w:sz w:val="32"/>
          <w:szCs w:val="32"/>
        </w:rPr>
        <w:t>引导统战成员积极发挥自身优势，帮助贫困学生、困难儿童，助力乡村振兴等。资助峨眉、沙湾、夹江3地4校贫困学生102名，发放助学金14万余元，资助大为镇小学教具4万元，桂花桥镇慰问贫困学生60人、困难群众30人。</w:t>
      </w:r>
    </w:p>
    <w:p>
      <w:pPr>
        <w:pStyle w:val="13"/>
        <w:widowControl/>
        <w:shd w:val="clear" w:color="auto" w:fill="FFFFFF"/>
        <w:spacing w:before="0" w:beforeAutospacing="0" w:after="0" w:afterAutospacing="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rPr>
        <w:t>二是牵头规范商协会</w:t>
      </w:r>
      <w:r>
        <w:rPr>
          <w:rFonts w:ascii="仿宋_GB2312" w:hAnsi="仿宋_GB2312" w:eastAsia="仿宋_GB2312" w:cs="仿宋_GB2312"/>
          <w:b/>
          <w:bCs/>
          <w:kern w:val="2"/>
          <w:sz w:val="32"/>
          <w:szCs w:val="32"/>
        </w:rPr>
        <w:t>。</w:t>
      </w:r>
      <w:r>
        <w:rPr>
          <w:rFonts w:hint="eastAsia" w:ascii="仿宋_GB2312" w:hAnsi="仿宋_GB2312" w:eastAsia="仿宋_GB2312" w:cs="仿宋_GB2312"/>
          <w:sz w:val="32"/>
          <w:szCs w:val="32"/>
        </w:rPr>
        <w:t>深入贯彻习近平关于加强和改进新时代统一战线工作的思想，落实市委常委会会议要求，</w:t>
      </w:r>
      <w:r>
        <w:rPr>
          <w:rFonts w:hint="eastAsia" w:ascii="仿宋_GB2312" w:hAnsi="仿宋_GB2312" w:eastAsia="仿宋_GB2312" w:cs="仿宋_GB2312"/>
          <w:kern w:val="2"/>
          <w:sz w:val="32"/>
          <w:szCs w:val="32"/>
        </w:rPr>
        <w:t>牵头开展商协会清理规范，推动党的组织工作和</w:t>
      </w:r>
      <w:r>
        <w:rPr>
          <w:rFonts w:ascii="仿宋_GB2312" w:hAnsi="仿宋_GB2312" w:eastAsia="仿宋_GB2312" w:cs="仿宋_GB2312"/>
          <w:kern w:val="2"/>
          <w:sz w:val="32"/>
          <w:szCs w:val="32"/>
        </w:rPr>
        <w:t>统战工作向</w:t>
      </w:r>
      <w:r>
        <w:rPr>
          <w:rFonts w:hint="eastAsia" w:ascii="仿宋_GB2312" w:hAnsi="仿宋_GB2312" w:eastAsia="仿宋_GB2312" w:cs="仿宋_GB2312"/>
          <w:kern w:val="2"/>
          <w:sz w:val="32"/>
          <w:szCs w:val="32"/>
        </w:rPr>
        <w:t>商协会有效覆盖，</w:t>
      </w:r>
      <w:r>
        <w:rPr>
          <w:rFonts w:hint="eastAsia" w:ascii="仿宋_GB2312" w:hAnsi="仿宋_GB2312" w:eastAsia="仿宋_GB2312" w:cs="仿宋_GB2312"/>
          <w:sz w:val="32"/>
          <w:szCs w:val="32"/>
        </w:rPr>
        <w:t>创新建立“一线两面”工作格局：进驻统一战线，提升党建覆盖面，压实行业基本面，创新打造商协会共同体。清理注册商协会119个，规范商协会97个（其中宗教团体和纯党外性组织9个），注销“僵尸”组织23个，建立党组织71个，覆盖商协会87个。</w:t>
      </w:r>
    </w:p>
    <w:p>
      <w:pPr>
        <w:pStyle w:val="13"/>
        <w:widowControl/>
        <w:shd w:val="clear" w:color="auto" w:fill="FFFFFF"/>
        <w:spacing w:before="0" w:beforeAutospacing="0" w:after="0" w:afterAutospacing="0" w:line="600"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三是党风廉政建设落实。</w:t>
      </w:r>
      <w:r>
        <w:rPr>
          <w:rFonts w:hint="eastAsia" w:ascii="仿宋_GB2312" w:hAnsi="Calibri" w:eastAsia="仿宋_GB2312"/>
          <w:sz w:val="32"/>
          <w:szCs w:val="32"/>
        </w:rPr>
        <w:t>落实党风廉政建设“一岗双责”，建立党风廉政建设责任清单，明确具体任务14条，逐一分解落实到人；定期听取汇报党风廉政建设情况；积极</w:t>
      </w:r>
      <w:r>
        <w:rPr>
          <w:rFonts w:hint="eastAsia" w:ascii="仿宋_GB2312" w:eastAsia="仿宋_GB2312"/>
          <w:sz w:val="32"/>
          <w:szCs w:val="32"/>
        </w:rPr>
        <w:t>引导各方面参与</w:t>
      </w:r>
      <w:r>
        <w:rPr>
          <w:rFonts w:hint="eastAsia" w:ascii="仿宋_GB2312" w:hAnsi="Calibri" w:eastAsia="仿宋_GB2312"/>
          <w:sz w:val="32"/>
          <w:szCs w:val="32"/>
        </w:rPr>
        <w:t>党风廉政建设社会评价工作</w:t>
      </w:r>
      <w:r>
        <w:rPr>
          <w:rFonts w:hint="eastAsia" w:ascii="仿宋_GB2312" w:eastAsia="仿宋_GB2312"/>
          <w:sz w:val="32"/>
          <w:szCs w:val="32"/>
        </w:rPr>
        <w:t>；主动配合和支持派驻纪检组工作，邀请纪检组列席部务会3次，监督重大事项8件</w:t>
      </w:r>
      <w:r>
        <w:rPr>
          <w:rFonts w:hint="eastAsia"/>
          <w:sz w:val="32"/>
          <w:szCs w:val="32"/>
        </w:rPr>
        <w:t>。</w:t>
      </w:r>
      <w:r>
        <w:rPr>
          <w:rFonts w:hint="eastAsia" w:ascii="仿宋_GB2312" w:hAnsi="Calibri" w:eastAsia="仿宋_GB2312"/>
          <w:sz w:val="32"/>
          <w:szCs w:val="32"/>
        </w:rPr>
        <w:t>落实意识形态责任制，加强对党外人士的教育引导</w:t>
      </w:r>
      <w:r>
        <w:rPr>
          <w:rFonts w:hint="eastAsia"/>
          <w:sz w:val="32"/>
          <w:szCs w:val="32"/>
        </w:rPr>
        <w:t>，</w:t>
      </w:r>
      <w:r>
        <w:rPr>
          <w:rFonts w:hint="eastAsia" w:ascii="仿宋_GB2312" w:eastAsia="仿宋_GB2312"/>
          <w:sz w:val="32"/>
          <w:szCs w:val="32"/>
        </w:rPr>
        <w:t>画好统一战线的“同心圆”。</w:t>
      </w:r>
    </w:p>
    <w:p>
      <w:pPr>
        <w:spacing w:line="600" w:lineRule="exact"/>
        <w:ind w:firstLine="643" w:firstLineChars="200"/>
      </w:pPr>
      <w:r>
        <w:rPr>
          <w:rFonts w:hint="eastAsia" w:ascii="仿宋_GB2312" w:hAnsi="仿宋_GB2312" w:eastAsia="仿宋_GB2312" w:cs="仿宋_GB2312"/>
          <w:b/>
          <w:bCs/>
          <w:sz w:val="32"/>
          <w:szCs w:val="32"/>
        </w:rPr>
        <w:t>四是抓好巡察反馈问题整改。</w:t>
      </w:r>
      <w:r>
        <w:rPr>
          <w:rFonts w:hint="eastAsia" w:ascii="仿宋_GB2312" w:hAnsi="楷体_GB2312" w:eastAsia="仿宋_GB2312" w:cs="楷体_GB2312"/>
          <w:sz w:val="32"/>
          <w:szCs w:val="32"/>
        </w:rPr>
        <w:t>按照反馈意见，</w:t>
      </w:r>
      <w:r>
        <w:rPr>
          <w:rFonts w:hint="eastAsia" w:ascii="仿宋_GB2312" w:hAnsi="仿宋_GB2312" w:eastAsia="仿宋_GB2312" w:cs="仿宋_GB2312"/>
          <w:sz w:val="32"/>
          <w:szCs w:val="32"/>
        </w:rPr>
        <w:t>研究制定《市委第二巡察组反馈意见整改工作方案》，明确具体整改措施50条，并建立整改台账，逐一整改销号。已完成问题整改20个，其余4个正在有序推进整改中，整改率83.33%，通过整改新建制度6项，修订完善制度3项，逐级谈话提醒12人</w:t>
      </w:r>
      <w:r>
        <w:rPr>
          <w:rFonts w:hint="eastAsia" w:ascii="仿宋_GB2312" w:hAnsi="楷体_GB2312" w:eastAsia="仿宋_GB2312" w:cs="楷体_GB2312"/>
          <w:sz w:val="32"/>
          <w:szCs w:val="32"/>
        </w:rPr>
        <w:t>。</w:t>
      </w:r>
    </w:p>
    <w:p>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党派建设激活力，参政能力进一步提升</w:t>
      </w:r>
    </w:p>
    <w:p>
      <w:pPr>
        <w:spacing w:line="600" w:lineRule="exact"/>
        <w:ind w:firstLine="643" w:firstLineChars="200"/>
        <w:textAlignment w:val="baseline"/>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一是参政能力提升</w:t>
      </w:r>
      <w:r>
        <w:rPr>
          <w:rFonts w:hint="eastAsia" w:ascii="仿宋_GB2312" w:hAnsi="仿宋_GB2312" w:eastAsia="仿宋_GB2312" w:cs="仿宋_GB2312"/>
          <w:sz w:val="32"/>
          <w:szCs w:val="32"/>
        </w:rPr>
        <w:t>。积极搭建平台，支持民主党派参政议政民主监督，组织开展政党协商4次，听取相关部门就党风廉政建设和反腐败工作情况、政法系统教育整顿况、巩固拓展脱贫攻坚成果同乡村振兴有效衔接工作情况以及食品饮料、绿色材料、特色轻工三大产业建设情况的汇报，各民主党派、工商防、无党派人士等提出建议共48条。支持各民主党派、市工商联和无党派人士更好履行参政议政、民主监督和政治协商职能，进一步促进科学决策、民主决策、依法决策，形成调研报告27余篇，提交乐山提案45余件、峨眉山市提案114件，民情信息87余件，建言献策能力和水平进一步提升。邀请党外知识分子参与峨眉山市统一战线“声”情告白党微视频拍摄、红色实践学习、峨眉山市统一战线庆祝中国共产党成立100周年座谈会等活动10余次。</w:t>
      </w:r>
    </w:p>
    <w:p>
      <w:pPr>
        <w:spacing w:line="600" w:lineRule="exact"/>
        <w:ind w:firstLine="643" w:firstLineChars="200"/>
        <w:textAlignment w:val="baseline"/>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二是组织换届顺利。</w:t>
      </w:r>
      <w:r>
        <w:rPr>
          <w:rFonts w:hint="eastAsia" w:ascii="仿宋_GB2312" w:hAnsi="仿宋_GB2312" w:eastAsia="仿宋_GB2312" w:cs="仿宋_GB2312"/>
          <w:sz w:val="32"/>
          <w:szCs w:val="32"/>
        </w:rPr>
        <w:t>选送党外代表人士参加各类培训10余次，推荐2名副科级党外干部提任正科，1名正科级党外干部提任副县级；加强无党派人士和归国留学人员代表人士的发现使用培养，3名无党派人士均担任我市本届人大代表，做好国企党外代表人士队伍建设。完成工商联换届工作，大会代表150名，其中党外人士95名，选举执委会委员108名，其中党外人士65名；完成人大代表和政协委员换届工作，共有党外代表80名，党外委员130名。</w:t>
      </w:r>
    </w:p>
    <w:p>
      <w:pPr>
        <w:spacing w:line="600" w:lineRule="exact"/>
        <w:ind w:firstLine="633" w:firstLineChars="197"/>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三是建功立业有特色。民革</w:t>
      </w:r>
      <w:r>
        <w:rPr>
          <w:rFonts w:hint="eastAsia" w:ascii="仿宋_GB2312" w:hAnsi="仿宋_GB2312" w:eastAsia="仿宋_GB2312" w:cs="仿宋_GB2312"/>
          <w:sz w:val="32"/>
          <w:szCs w:val="32"/>
        </w:rPr>
        <w:t>党员李万锋带领峨眉武术非遗传承人参加了乐山市运会传统武术比赛，最终获得优异成绩。</w:t>
      </w:r>
      <w:r>
        <w:rPr>
          <w:rFonts w:hint="eastAsia" w:ascii="仿宋_GB2312" w:hAnsi="仿宋_GB2312" w:eastAsia="仿宋_GB2312" w:cs="仿宋_GB2312"/>
          <w:b/>
          <w:bCs/>
          <w:sz w:val="32"/>
          <w:szCs w:val="32"/>
        </w:rPr>
        <w:t>民盟</w:t>
      </w:r>
      <w:r>
        <w:rPr>
          <w:rFonts w:hint="eastAsia" w:ascii="仿宋_GB2312" w:hAnsi="仿宋_GB2312" w:eastAsia="仿宋_GB2312" w:cs="仿宋_GB2312"/>
          <w:sz w:val="32"/>
          <w:szCs w:val="32"/>
        </w:rPr>
        <w:t>成员王超在纪念中国民主同盟成立80周年表彰中，获民盟四川省委“优秀盟员”称号；</w:t>
      </w:r>
      <w:r>
        <w:rPr>
          <w:rFonts w:hint="eastAsia" w:ascii="仿宋_GB2312" w:hAnsi="仿宋_GB2312" w:eastAsia="仿宋_GB2312" w:cs="仿宋_GB2312"/>
          <w:b/>
          <w:bCs/>
          <w:sz w:val="32"/>
          <w:szCs w:val="32"/>
        </w:rPr>
        <w:t>民进</w:t>
      </w:r>
      <w:r>
        <w:rPr>
          <w:rFonts w:hint="eastAsia" w:ascii="仿宋_GB2312" w:hAnsi="仿宋_GB2312" w:eastAsia="仿宋_GB2312" w:cs="仿宋_GB2312"/>
          <w:sz w:val="32"/>
          <w:szCs w:val="32"/>
        </w:rPr>
        <w:t>主委王敏被民进中央委员会评为“民进全国社会服务暨脱贫攻坚工作先进个人”，还获得了“四川民进脱贫攻坚民主监督工作先进个人”</w:t>
      </w:r>
      <w:r>
        <w:rPr>
          <w:rFonts w:hint="eastAsia" w:ascii="楷体_GB2312" w:hAnsi="楷体_GB2312" w:eastAsia="楷体_GB2312" w:cs="楷体_GB2312"/>
          <w:sz w:val="32"/>
          <w:szCs w:val="32"/>
        </w:rPr>
        <w:t>；</w:t>
      </w:r>
      <w:r>
        <w:rPr>
          <w:rFonts w:hint="eastAsia" w:ascii="仿宋" w:hAnsi="仿宋" w:eastAsia="仿宋" w:cs="仿宋"/>
          <w:b/>
          <w:bCs/>
          <w:sz w:val="32"/>
          <w:szCs w:val="32"/>
        </w:rPr>
        <w:t>农工党</w:t>
      </w:r>
      <w:r>
        <w:rPr>
          <w:rFonts w:hint="eastAsia" w:ascii="仿宋_GB2312" w:hAnsi="仿宋_GB2312" w:eastAsia="仿宋_GB2312" w:cs="仿宋_GB2312"/>
          <w:sz w:val="32"/>
          <w:szCs w:val="32"/>
        </w:rPr>
        <w:t>积极开展健康义诊进社区活动将优质医疗资源送到基层，实施定点帮扶指导，受到群众点赞和好评，党员林娟荣获四川省质量技术监督学校2020年度优秀个人称号。</w:t>
      </w:r>
      <w:r>
        <w:rPr>
          <w:rFonts w:hint="eastAsia" w:ascii="仿宋_GB2312" w:hAnsi="仿宋_GB2312" w:eastAsia="仿宋_GB2312" w:cs="仿宋_GB2312"/>
          <w:b/>
          <w:bCs/>
          <w:sz w:val="32"/>
          <w:szCs w:val="32"/>
        </w:rPr>
        <w:t>九三学社</w:t>
      </w:r>
      <w:r>
        <w:rPr>
          <w:rFonts w:hint="eastAsia" w:ascii="仿宋_GB2312" w:hAnsi="仿宋_GB2312" w:eastAsia="仿宋_GB2312" w:cs="仿宋_GB2312"/>
          <w:sz w:val="32"/>
          <w:szCs w:val="32"/>
        </w:rPr>
        <w:t>增强组织活力和凝聚力，精心策划了各项主题活动。新联会成立助学基金会，首期募集资金4.8万余元，精准对接贫困学生8名；</w:t>
      </w:r>
      <w:r>
        <w:rPr>
          <w:rFonts w:hint="eastAsia" w:ascii="仿宋_GB2312" w:hAnsi="仿宋_GB2312" w:eastAsia="仿宋_GB2312" w:cs="仿宋_GB2312"/>
          <w:b/>
          <w:bCs/>
          <w:sz w:val="32"/>
          <w:szCs w:val="32"/>
        </w:rPr>
        <w:t>新联会</w:t>
      </w:r>
      <w:r>
        <w:rPr>
          <w:rFonts w:hint="eastAsia" w:ascii="仿宋_GB2312" w:hAnsi="仿宋_GB2312" w:eastAsia="仿宋_GB2312" w:cs="仿宋_GB2312"/>
          <w:sz w:val="32"/>
          <w:szCs w:val="32"/>
        </w:rPr>
        <w:t>开展“新阶送”系列公益品牌活动10余次，青年设计师分会为市政设施建设、阵地建设等规划设计服务10余次，打造荷叶村民宿等乡村旅游网红点2个。</w:t>
      </w:r>
    </w:p>
    <w:p>
      <w:pPr>
        <w:spacing w:line="60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四是统战实践有基地。</w:t>
      </w:r>
      <w:r>
        <w:rPr>
          <w:rFonts w:hint="eastAsia" w:ascii="仿宋_GB2312" w:hAnsi="仿宋_GB2312" w:eastAsia="仿宋_GB2312" w:cs="仿宋_GB2312"/>
          <w:sz w:val="32"/>
          <w:szCs w:val="32"/>
        </w:rPr>
        <w:t>加强基层统战工作基地建设，提升打造四川博睿特外国语学校、新联会青年设计师分会、嘉峨茶谷统一战线实践创新基地3个。围绕“四区一企”、创新制度机制、完善平台载体、加强能力建设、加强组织领导等方面明确重点工作任务36条。统战文化宣传保持领先，截至11月份，在各级各类平台累计发布宣传稿件89篇，其中4篇被人民网、中国网等媒体采用，73篇被四川新闻网、四川政协报、四川统一战线、川观新闻等省级媒体采用，12篇被乐山新闻网、同心乐山等乐山市级媒体采用。</w:t>
      </w:r>
    </w:p>
    <w:p>
      <w:pPr>
        <w:pStyle w:val="14"/>
        <w:spacing w:before="0" w:after="0" w:line="600" w:lineRule="exact"/>
        <w:ind w:firstLine="640" w:firstLineChars="200"/>
        <w:jc w:val="both"/>
        <w:rPr>
          <w:rFonts w:ascii="楷体_GB2312" w:hAnsi="楷体_GB2312" w:eastAsia="楷体_GB2312" w:cs="楷体_GB2312"/>
          <w:sz w:val="33"/>
          <w:szCs w:val="33"/>
        </w:rPr>
      </w:pPr>
      <w:r>
        <w:rPr>
          <w:rFonts w:hint="eastAsia" w:ascii="黑体" w:hAnsi="黑体" w:eastAsia="黑体" w:cs="黑体"/>
          <w:b w:val="0"/>
          <w:bCs w:val="0"/>
        </w:rPr>
        <w:t>三、坚持守正创新，“两个健康”进一步提升</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一是抓好商会换届</w:t>
      </w:r>
      <w:r>
        <w:rPr>
          <w:rFonts w:hint="eastAsia" w:ascii="仿宋_GB2312" w:hAnsi="仿宋_GB2312" w:eastAsia="仿宋_GB2312" w:cs="仿宋_GB2312"/>
          <w:sz w:val="32"/>
          <w:szCs w:val="32"/>
        </w:rPr>
        <w:t>。圆满完成工商联(商会)换届选举，推选出150名代表、108名执委以及新一届常委领导班子36人。做好“两代表一委员”推荐考核工作，</w:t>
      </w:r>
      <w:r>
        <w:rPr>
          <w:rFonts w:ascii="仿宋_GB2312" w:hAnsi="仿宋_GB2312" w:eastAsia="仿宋_GB2312" w:cs="仿宋_GB2312"/>
          <w:sz w:val="32"/>
          <w:szCs w:val="32"/>
        </w:rPr>
        <w:t>向乐山市工商联推荐换届代表10名、执委8名</w:t>
      </w:r>
      <w:r>
        <w:rPr>
          <w:rFonts w:hint="eastAsia" w:ascii="仿宋_GB2312" w:hAnsi="仿宋_GB2312" w:eastAsia="仿宋_GB2312" w:cs="仿宋_GB2312"/>
          <w:sz w:val="32"/>
          <w:szCs w:val="32"/>
        </w:rPr>
        <w:t>；向峨眉山市人大、政协推荐代表18人。创新建立商会轮值主席制度。开展了主席轮值主题活动，组织10余家会员走访企业3家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加强</w:t>
      </w:r>
      <w:r>
        <w:rPr>
          <w:rFonts w:ascii="仿宋_GB2312" w:hAnsi="仿宋_GB2312" w:eastAsia="仿宋_GB2312" w:cs="仿宋_GB2312"/>
          <w:sz w:val="32"/>
          <w:szCs w:val="32"/>
        </w:rPr>
        <w:t>基层</w:t>
      </w:r>
      <w:r>
        <w:rPr>
          <w:rFonts w:hint="eastAsia" w:ascii="仿宋_GB2312" w:hAnsi="仿宋_GB2312" w:eastAsia="仿宋_GB2312" w:cs="仿宋_GB2312"/>
          <w:sz w:val="32"/>
          <w:szCs w:val="32"/>
        </w:rPr>
        <w:t>商会建</w:t>
      </w:r>
      <w:r>
        <w:rPr>
          <w:rFonts w:ascii="仿宋_GB2312" w:hAnsi="仿宋_GB2312" w:eastAsia="仿宋_GB2312" w:cs="仿宋_GB2312"/>
          <w:sz w:val="32"/>
          <w:szCs w:val="32"/>
        </w:rPr>
        <w:t>设</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园区</w:t>
      </w:r>
      <w:r>
        <w:rPr>
          <w:rFonts w:hint="eastAsia" w:ascii="仿宋_GB2312" w:hAnsi="仿宋_GB2312" w:eastAsia="仿宋_GB2312" w:cs="仿宋_GB2312"/>
          <w:sz w:val="32"/>
          <w:szCs w:val="32"/>
        </w:rPr>
        <w:t>商会</w:t>
      </w:r>
      <w:r>
        <w:rPr>
          <w:rFonts w:ascii="仿宋_GB2312" w:hAnsi="仿宋_GB2312" w:eastAsia="仿宋_GB2312" w:cs="仿宋_GB2312"/>
          <w:sz w:val="32"/>
          <w:szCs w:val="32"/>
        </w:rPr>
        <w:t>、女企业家商会</w:t>
      </w:r>
      <w:r>
        <w:rPr>
          <w:rFonts w:hint="eastAsia" w:ascii="仿宋_GB2312" w:hAnsi="仿宋_GB2312" w:eastAsia="仿宋_GB2312" w:cs="仿宋_GB2312"/>
          <w:sz w:val="32"/>
          <w:szCs w:val="32"/>
        </w:rPr>
        <w:t>、乡镇商会等基层商会新建工作。</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二是推动党建全覆盖</w:t>
      </w:r>
      <w:r>
        <w:rPr>
          <w:rFonts w:hint="eastAsia" w:ascii="仿宋_GB2312" w:hAnsi="仿宋_GB2312" w:eastAsia="仿宋_GB2312" w:cs="仿宋_GB2312"/>
          <w:sz w:val="32"/>
          <w:szCs w:val="32"/>
        </w:rPr>
        <w:t>。扎实推进党的组织和工作在商协会全覆盖。清理注册商（协）会119个，规范商协会96个（其中宗教团体和纯党外性组织9个），注销“僵尸”组织23个，建立党组织71个，覆盖商协会87个。筹建民营经济统战工作服务中心，中心下设驻会（企）指导服务、经济人才、法官派驻、检察官联络、金融服务等5个工作站。</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三是积极扶贫助困</w:t>
      </w:r>
      <w:r>
        <w:rPr>
          <w:rFonts w:hint="eastAsia" w:ascii="仿宋_GB2312" w:hAnsi="仿宋_GB2312" w:eastAsia="仿宋_GB2312" w:cs="仿宋_GB2312"/>
          <w:b/>
          <w:bCs/>
          <w:sz w:val="33"/>
          <w:szCs w:val="33"/>
        </w:rPr>
        <w:t>。</w:t>
      </w:r>
      <w:r>
        <w:rPr>
          <w:rFonts w:hint="eastAsia" w:ascii="仿宋_GB2312" w:hAnsi="仿宋_GB2312" w:eastAsia="仿宋_GB2312" w:cs="仿宋_GB2312"/>
          <w:sz w:val="32"/>
          <w:szCs w:val="32"/>
        </w:rPr>
        <w:t>围绕脱贫攻坚、公益事业、乡村振兴等工作重点，积极组织开展系列活动。开展“峨马对口援彝”活动，带领浙闽商会、建筑建材商会前往马边县民开展“助力乡村振兴，支部共建共联”活动，送去慰问金5000元，为76名老人送出价值1.2万元的保暖物品。开展“99公益日”活动，组织会员助力“马边防贫扶弱公益行”，送去资金21818.8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四、坚持依法管教，民族宗教工作进一步和顺</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一是坚持中国化方向</w:t>
      </w:r>
      <w:r>
        <w:rPr>
          <w:rFonts w:hint="eastAsia" w:ascii="仿宋_GB2312" w:hAnsi="仿宋_GB2312" w:eastAsia="仿宋_GB2312" w:cs="仿宋_GB2312"/>
          <w:sz w:val="32"/>
          <w:szCs w:val="32"/>
        </w:rPr>
        <w:t>。认真贯彻党的民族宗教方针政策，依法管理民族宗教事务，坚持宗教中国化方向，促进民族关系和睦、宗教关系和谐。指导宗教界开展建党100周年系列活动“爱党爱国爱社会主义”系列主题教育活动,组织“红色参学”活动，做到“爱国课”全覆盖。加强宗教团体自身建设，开展宗教团体换届前述职评议考核，开展宗教教职人员“走进信众”活动。积极引导宗教团体继续开展“同心助彝，共圆学梦”活动，持续资助学生80余人次20余万元，帮助少数民族学生实现“安居安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二是依法宗教管理事务。</w:t>
      </w:r>
      <w:r>
        <w:rPr>
          <w:rFonts w:hint="eastAsia" w:ascii="仿宋_GB2312" w:hAnsi="仿宋_GB2312" w:eastAsia="仿宋_GB2312" w:cs="仿宋_GB2312"/>
          <w:sz w:val="32"/>
          <w:szCs w:val="32"/>
        </w:rPr>
        <w:t>积极开展宗教活动场所突出问题专项整治，重点抓好宗教场所殡葬领域突出问题治理，规范宗教活动场所殡葬服务活动。整治农村“两乱”，推进民间小庙摸排治理，对全市13个镇乡（街道）的农村小庙进行再摸排，治理小庙3个，拆除乱建1处。抓好宗教场所财务监督管理。对7个宗教场所的人员组成、场所规模、收支情况、财务管理情况、存在的困难和问题等进行了详细的调查摸底。督促指导7个场所建立了财务管理制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三是抓实疫情防控</w:t>
      </w:r>
      <w:r>
        <w:rPr>
          <w:rFonts w:hint="eastAsia" w:ascii="仿宋_GB2312" w:hAnsi="仿宋_GB2312" w:eastAsia="仿宋_GB2312" w:cs="仿宋_GB2312"/>
          <w:sz w:val="32"/>
          <w:szCs w:val="32"/>
        </w:rPr>
        <w:t>。落实“两暂停一延迟”要求，关停除夕夜大佛禅院烧“子时香”撞“吉祥钟”以及初八大庙飞来殿庙会等大型民俗活动。作好宗教场所常态化亮码扫码、测温、登记、戴口罩“一米线”等疫情防控，确保了宗教场所“零感染”。抓好宗教场所疫苗接种，接种人数达934人，除禁忌症人员外全部接种，接种率达94%。</w:t>
      </w:r>
    </w:p>
    <w:p>
      <w:pPr>
        <w:pStyle w:val="14"/>
        <w:spacing w:before="0" w:after="0" w:line="600" w:lineRule="exact"/>
        <w:ind w:firstLine="640"/>
        <w:jc w:val="left"/>
        <w:rPr>
          <w:rFonts w:ascii="黑体" w:hAnsi="黑体" w:eastAsia="黑体" w:cs="黑体"/>
          <w:b w:val="0"/>
          <w:bCs w:val="0"/>
        </w:rPr>
      </w:pPr>
      <w:r>
        <w:rPr>
          <w:rFonts w:hint="eastAsia" w:ascii="黑体" w:hAnsi="黑体" w:eastAsia="黑体" w:cs="黑体"/>
          <w:b w:val="0"/>
          <w:bCs w:val="0"/>
        </w:rPr>
        <w:t>五、坚持夯基筑底，台侨统战进一步扎实</w:t>
      </w:r>
    </w:p>
    <w:p>
      <w:pPr>
        <w:pStyle w:val="14"/>
        <w:spacing w:before="0" w:after="0" w:line="600" w:lineRule="exact"/>
        <w:ind w:firstLine="640"/>
        <w:jc w:val="left"/>
        <w:rPr>
          <w:rFonts w:ascii="仿宋_GB2312" w:hAnsi="仿宋_GB2312" w:eastAsia="仿宋_GB2312" w:cs="仿宋_GB2312"/>
          <w:b w:val="0"/>
          <w:bCs w:val="0"/>
        </w:rPr>
      </w:pPr>
      <w:r>
        <w:rPr>
          <w:rFonts w:hint="eastAsia" w:ascii="仿宋" w:hAnsi="仿宋" w:eastAsia="仿宋" w:cs="仿宋"/>
        </w:rPr>
        <w:t>一</w:t>
      </w:r>
      <w:r>
        <w:rPr>
          <w:rFonts w:hint="eastAsia" w:ascii="仿宋_GB2312" w:hAnsi="仿宋_GB2312" w:eastAsia="仿宋_GB2312" w:cs="仿宋_GB2312"/>
        </w:rPr>
        <w:t>是加强港澳台和海外统战工作。</w:t>
      </w:r>
      <w:r>
        <w:rPr>
          <w:rFonts w:hint="eastAsia" w:ascii="仿宋_GB2312" w:hAnsi="仿宋_GB2312" w:eastAsia="仿宋_GB2312" w:cs="仿宋_GB2312"/>
          <w:b w:val="0"/>
          <w:bCs w:val="0"/>
        </w:rPr>
        <w:t>学习贯彻《中央关于加强新时代海外统战工作的意见》，推动“惠台31条”、“川台70条”在峨落地。开展走访摸底，对峨在港澳台人士和在峨常驻港澳台胞人员进行摸排信息采集，建立初步数据库。抓好台联会组织工作，帮助解决台属企业、台属的困难问题。深入台资、侨资企业进行大走访调研，帮助解决企业疫情期间面临的问题和困难。抓好对台经济和文化交流工作，外派教师梅英远赴印度尼西亚雅加达任教二年，被评为了“优秀外派教师”。</w:t>
      </w:r>
    </w:p>
    <w:p>
      <w:pPr>
        <w:pStyle w:val="14"/>
        <w:spacing w:before="0" w:after="0" w:line="600" w:lineRule="exact"/>
        <w:ind w:firstLine="640"/>
        <w:jc w:val="left"/>
        <w:rPr>
          <w:rFonts w:ascii="仿宋_GB2312" w:hAnsi="仿宋_GB2312" w:eastAsia="仿宋_GB2312" w:cs="仿宋_GB2312"/>
          <w:b w:val="0"/>
          <w:bCs w:val="0"/>
        </w:rPr>
      </w:pPr>
      <w:r>
        <w:rPr>
          <w:rFonts w:hint="eastAsia" w:ascii="仿宋_GB2312" w:hAnsi="仿宋_GB2312" w:eastAsia="仿宋_GB2312" w:cs="仿宋_GB2312"/>
        </w:rPr>
        <w:t>二是加强侨联统战工作</w:t>
      </w:r>
      <w:r>
        <w:rPr>
          <w:rFonts w:hint="eastAsia" w:ascii="仿宋" w:hAnsi="仿宋" w:eastAsia="仿宋" w:cs="仿宋"/>
        </w:rPr>
        <w:t>。</w:t>
      </w:r>
      <w:r>
        <w:rPr>
          <w:rFonts w:hint="eastAsia" w:ascii="仿宋_GB2312" w:hAnsi="仿宋_GB2312" w:eastAsia="仿宋_GB2312" w:cs="仿宋_GB2312"/>
          <w:b w:val="0"/>
          <w:bCs w:val="0"/>
        </w:rPr>
        <w:t>采用多种方式调查走访摸底，收集侨情，重点是统计新侨人员信息，新增华人华侨20人，新增侨眷50人，新增侨企1家。对困难归侨侨眷进行摸底排查，对3户困难侨眷进行登记建档。开展“情暖侨心”慰问活动。先后深入走访调研慰问了侨商、侨资企业、归侨、侨眷等60多户，100</w:t>
      </w:r>
      <w:r>
        <w:rPr>
          <w:rFonts w:hint="eastAsia" w:ascii="仿宋_GB2312" w:hAnsi="仿宋_GB2312" w:eastAsia="仿宋_GB2312" w:cs="仿宋_GB2312"/>
          <w:b w:val="0"/>
          <w:bCs w:val="0"/>
          <w:lang w:val="zh-CN"/>
        </w:rPr>
        <w:t>余人次，发放慰问品</w:t>
      </w:r>
      <w:r>
        <w:rPr>
          <w:rFonts w:hint="eastAsia" w:ascii="仿宋_GB2312" w:hAnsi="仿宋_GB2312" w:eastAsia="仿宋_GB2312" w:cs="仿宋_GB2312"/>
          <w:b w:val="0"/>
          <w:bCs w:val="0"/>
        </w:rPr>
        <w:t>物资约1.7</w:t>
      </w:r>
      <w:r>
        <w:rPr>
          <w:rFonts w:hint="eastAsia" w:ascii="仿宋_GB2312" w:hAnsi="仿宋_GB2312" w:eastAsia="仿宋_GB2312" w:cs="仿宋_GB2312"/>
          <w:b w:val="0"/>
          <w:bCs w:val="0"/>
          <w:lang w:val="zh-CN"/>
        </w:rPr>
        <w:t>万元。</w:t>
      </w:r>
      <w:r>
        <w:rPr>
          <w:rFonts w:hint="eastAsia" w:ascii="仿宋_GB2312" w:hAnsi="仿宋_GB2312" w:eastAsia="仿宋_GB2312" w:cs="仿宋_GB2312"/>
          <w:b w:val="0"/>
          <w:bCs w:val="0"/>
        </w:rPr>
        <w:t>协调防疫部门对境外归国人员，做好隔离工作。组织侨联代表积极参加“进博会”、“科隆食品展”等国际展会，积极“走出去”，力争项目引进。</w:t>
      </w:r>
    </w:p>
    <w:p>
      <w:pPr>
        <w:pStyle w:val="13"/>
        <w:widowControl/>
        <w:shd w:val="clear" w:color="auto" w:fill="FFFFFF"/>
        <w:spacing w:before="0" w:beforeAutospacing="0" w:after="0" w:afterAutospacing="0" w:line="60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六、服务市委中心，统战贡献全局进一步显现</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一是全面完成景区违建整治。</w:t>
      </w:r>
      <w:r>
        <w:rPr>
          <w:rFonts w:hint="eastAsia" w:ascii="仿宋_GB2312" w:hAnsi="仿宋_GB2312" w:eastAsia="仿宋_GB2312" w:cs="仿宋_GB2312"/>
          <w:sz w:val="32"/>
          <w:szCs w:val="32"/>
        </w:rPr>
        <w:t>协调统战资源，抓好市委安排的“挂图作战”、违建整治，景区违建第二阶段专项整治工作，村民合法保留面积公示全部完成、违法判定全部完成、搬家腾房全部完成、执法文书和协议资料整理归档全部完成、整治成果锁定全部完成，搬家腾房1906套、腾房率100%，签约1633套、签约率85.67%。</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二是巩固脱贫攻坚成效</w:t>
      </w:r>
      <w:r>
        <w:rPr>
          <w:rFonts w:hint="eastAsia" w:ascii="仿宋_GB2312" w:hAnsi="仿宋_GB2312" w:eastAsia="仿宋_GB2312" w:cs="仿宋_GB2312"/>
          <w:sz w:val="32"/>
          <w:szCs w:val="32"/>
        </w:rPr>
        <w:t>。严格按照巩固拓展脱贫攻坚成果</w:t>
      </w:r>
      <w:r>
        <w:rPr>
          <w:rFonts w:hint="eastAsia" w:ascii="仿宋_GB2312" w:hAnsi="仿宋_GB2312" w:eastAsia="仿宋_GB2312" w:cs="仿宋_GB2312"/>
          <w:sz w:val="32"/>
          <w:szCs w:val="32"/>
          <w:lang w:val="en-US" w:eastAsia="zh-CN"/>
        </w:rPr>
        <w:t>同</w:t>
      </w:r>
      <w:r>
        <w:rPr>
          <w:rFonts w:hint="eastAsia" w:ascii="仿宋_GB2312" w:hAnsi="仿宋_GB2312" w:eastAsia="仿宋_GB2312" w:cs="仿宋_GB2312"/>
          <w:sz w:val="32"/>
          <w:szCs w:val="32"/>
        </w:rPr>
        <w:t>乡村振兴有效衔接的目标任务和政策标准，落实“四个不摘”要求，紧紧围绕“两不愁、三保障”突出问题，加强返</w:t>
      </w:r>
      <w:bookmarkStart w:id="77" w:name="_GoBack"/>
      <w:bookmarkEnd w:id="77"/>
      <w:r>
        <w:rPr>
          <w:rFonts w:hint="eastAsia" w:ascii="仿宋_GB2312" w:hAnsi="仿宋_GB2312" w:eastAsia="仿宋_GB2312" w:cs="仿宋_GB2312"/>
          <w:sz w:val="32"/>
          <w:szCs w:val="32"/>
        </w:rPr>
        <w:t>贫动态监测，持续跟进帮扶，算好收入账，引导贫困户自立更生，确保高质量完成巩固脱贫攻坚成果与乡村振兴有效衔接工作。通过对口援助马边彝族自治县“桐华扶智行动”及“10.17”扶贫日活动，共计捐款1185元。加强对口马边援彝，在“扶贫832平台”通过“以购代捐、以购代扶”方式，购买食用油、大米等，价值1680元。</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三是抓好挂联基层工作。</w:t>
      </w:r>
      <w:r>
        <w:rPr>
          <w:rFonts w:hint="eastAsia" w:ascii="仿宋_GB2312" w:hAnsi="仿宋_GB2312" w:eastAsia="仿宋_GB2312" w:cs="仿宋_GB2312"/>
          <w:sz w:val="32"/>
          <w:szCs w:val="32"/>
        </w:rPr>
        <w:t>抓好挂联胜利街道工作，为</w:t>
      </w:r>
      <w:r>
        <w:rPr>
          <w:rFonts w:ascii="仿宋_GB2312" w:hAnsi="仿宋_GB2312" w:eastAsia="仿宋_GB2312" w:cs="仿宋_GB2312"/>
          <w:sz w:val="32"/>
          <w:szCs w:val="32"/>
        </w:rPr>
        <w:t>脱贫攻坚</w:t>
      </w:r>
      <w:r>
        <w:rPr>
          <w:rFonts w:hint="eastAsia" w:ascii="仿宋_GB2312" w:hAnsi="仿宋_GB2312" w:eastAsia="仿宋_GB2312" w:cs="仿宋_GB2312"/>
          <w:sz w:val="32"/>
          <w:szCs w:val="32"/>
        </w:rPr>
        <w:t>、乡村振兴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疫情防控、基层治理等工作提供资金支持、资源支持、人才支持。继续深入走近群众，开展“大走访大服务”，主动服务360户走访对象，解决群众疑难问题10余个；</w:t>
      </w:r>
      <w:r>
        <w:rPr>
          <w:rFonts w:hint="eastAsia" w:ascii="仿宋_GB2312" w:hAnsi="Calibri" w:eastAsia="仿宋_GB2312" w:cs="Times New Roman"/>
          <w:sz w:val="32"/>
          <w:szCs w:val="32"/>
        </w:rPr>
        <w:t>持续推进“一对一”帮扶发展村级集体经济行动，助力挂联街道乡村振兴。</w:t>
      </w:r>
      <w:r>
        <w:rPr>
          <w:rFonts w:hint="eastAsia" w:ascii="仿宋_GB2312" w:hAnsi="仿宋_GB2312" w:eastAsia="仿宋_GB2312" w:cs="仿宋_GB2312"/>
          <w:sz w:val="32"/>
          <w:szCs w:val="32"/>
        </w:rPr>
        <w:t>引导统战成员积极发挥自身优势，帮助贫困学生、困难儿童，助力乡村振兴等。资助峨眉、沙湾、夹江3地4校贫困学生102名，发放助学金14万余元，资助大为镇小学教具4万元，慰问桂花桥镇贫困学生60人、困难群众30人。</w:t>
      </w:r>
    </w:p>
    <w:p>
      <w:pPr>
        <w:pStyle w:val="2"/>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四是全面完成挂图作战项目。</w:t>
      </w:r>
      <w:r>
        <w:rPr>
          <w:rFonts w:hint="eastAsia" w:ascii="仿宋_GB2312" w:hAnsi="仿宋_GB2312" w:eastAsia="仿宋_GB2312" w:cs="仿宋_GB2312"/>
          <w:sz w:val="32"/>
          <w:szCs w:val="32"/>
        </w:rPr>
        <w:t>我部承担了“挂图作战”中心工作峨汉高速、连乐铁路、成昆铁路扩能工程、峨眉山市南大门片区智慧旅游扶贫基础设施建设项目。截至目前，峨汉高速峨眉段主线已于7月1日通车试运行，正在全力推进龙池连接线、龙池服务区等附属设施工作。成昆铁路扩能工程：成峨段主体工程已全部完成，现正在完善涉及地方道路、水渠、清概结算等收尾工作。成昆铁路峨眉至米易段完成投资6996.1万元，集体土地已征633.4亩，国有土地征拆122亩，农房拆迁192栋已全部完成，路基、桥墩、涵洞已完成80%，杆线迁改完成70%，正在进行燕岗车站的站改工程和制梁铺架工程施工。燕岗住宅协议签订32户，累计完成367户；搬家移交34户,累计完成搬家移交244户。连乐铁路已征土地379.5亩，征地红线范围内拆迁房屋40栋已全部拆迁，转非入保539人，均已完成90%。完成嘉峨二回电力杆线搬迁，铁路路基、桥墩、桥梁已完成80%，已协调好G245与连乐铁路左连接线交叉预留问题。峨眉山市南大门片区智慧旅游扶贫基础设施建设项目先后进行了8个匝道和货运通道临时便道的涵洞、挡防和路基工程等，完成了泵房及管廊土建工程等，完成投资约7000万元，现等待进一步优化调整项目方案。</w:t>
      </w:r>
    </w:p>
    <w:p>
      <w:pPr>
        <w:pStyle w:val="2"/>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五是恒瑞维稳工作</w:t>
      </w:r>
      <w:r>
        <w:rPr>
          <w:rFonts w:hint="eastAsia" w:ascii="仿宋_GB2312" w:hAnsi="仿宋_GB2312" w:eastAsia="仿宋_GB2312" w:cs="仿宋_GB2312"/>
          <w:sz w:val="32"/>
          <w:szCs w:val="32"/>
        </w:rPr>
        <w:t>。多次召集相关部门研究，对前期推进的围绕恒瑞买受人“协商办证”方案所面临的风险进行评判，针对恒瑞公司进一步清理债务并梳理抵押债权，通过公检法司和律师团队慎重分析，整理出可通过诉讼途径打掉的抵押债权。带队前往南充、遂宁考察学习非吸处置先进经验，借鉴其在处置过程中的一些做法，拓展恒瑞问题化解的新思路，建议在执行中通过“裁定补正”依法处置恒瑞厂房。定期与买受人代表沟通座谈，通报恒瑞工作进展，引导恒瑞买受人接受投资损失，降低心理期望值，稳定买受人情绪。并多次向省信访局专题汇报恒瑞事件，请求上级指导协助对乐山市外的恒瑞买受人群体稳控工作。</w:t>
      </w:r>
    </w:p>
    <w:p>
      <w:pPr>
        <w:pStyle w:val="2"/>
        <w:spacing w:line="600" w:lineRule="exact"/>
        <w:ind w:firstLine="643" w:firstLineChars="200"/>
      </w:pPr>
      <w:r>
        <w:rPr>
          <w:rFonts w:hint="eastAsia" w:ascii="仿宋_GB2312" w:hAnsi="仿宋_GB2312" w:eastAsia="仿宋_GB2312" w:cs="仿宋_GB2312"/>
          <w:b/>
          <w:bCs/>
          <w:sz w:val="32"/>
          <w:szCs w:val="32"/>
        </w:rPr>
        <w:t>六是恒大维稳工作。</w:t>
      </w:r>
      <w:r>
        <w:rPr>
          <w:rFonts w:hint="eastAsia" w:ascii="仿宋_GB2312" w:hAnsi="仿宋_GB2312" w:eastAsia="仿宋_GB2312" w:cs="仿宋_GB2312"/>
          <w:sz w:val="32"/>
          <w:szCs w:val="32"/>
        </w:rPr>
        <w:t>牵头“HD峨眉山国际度假区宏远B地块”项目。多次组织项目推进会、专题研究会、专人约谈，对HD在峨土地按未抵押、已抵押（抵押价值不高）、已抵押（抵押价值高）三类进行摸底，并提出了处置意见，公安局研究司法查封。由市住保中心建立“HD宏远B地块”项目共管账户，将HD集团在峨项目的筹措资金、销售回款全部置于共管账户封闭运行，专款专用，对HD在峨两家子公司（宏远实业、德胜文旅）印章进行共管，对“峨眉印”资产备案并做预告登记到峨眉山发展（控股）有限责任公司，“HD峨眉山宏远B地块”未售房源备案并预告登记到峨眉山市城市建设投资有限公司。目前正在对HD持有的土地“净地”情况、抵押登记情况等逐宗进行核实，中铁二局正在做资产尽调，视资产调查情况决定复工方式，力争明年四月完成复工。</w:t>
      </w:r>
    </w:p>
    <w:p>
      <w:pPr>
        <w:pStyle w:val="2"/>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下属单位工商联2021年完成如下工作：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sz w:val="32"/>
          <w:szCs w:val="32"/>
          <w:highlight w:val="none"/>
          <w:lang w:val="en-US" w:eastAsia="zh-CN"/>
        </w:rPr>
        <w:t xml:space="preserve">  </w:t>
      </w:r>
      <w:r>
        <w:rPr>
          <w:rFonts w:hint="eastAsia" w:ascii="楷体_GB2312" w:hAnsi="楷体_GB2312" w:eastAsia="楷体_GB2312" w:cs="楷体_GB2312"/>
          <w:b w:val="0"/>
          <w:bCs w:val="0"/>
          <w:sz w:val="32"/>
          <w:szCs w:val="32"/>
          <w:highlight w:val="none"/>
          <w:lang w:val="en-US" w:eastAsia="zh-CN"/>
        </w:rPr>
        <w:t>（1）抓党建，强班子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加强党建引领。党组专题研究党建、党风廉政、意识形态工作8次，强化“一岗双责”。开展集中学习12次，定期开展廉政党课和全覆盖谈心谈话，积极参与和正面引导党风廉政建设社会评价工作。成立商会联合党委，加强党对企业家队伍建设领导指导首责，规范带动直属商协会党建工作。坚持会员走访，了解企业发展状况及需要解决的问题，及时向市委市政府反映，充分发挥桥梁和纽带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2.加强班子队伍建设。圆满完成工商联(商会)换届选举，</w:t>
      </w:r>
      <w:r>
        <w:rPr>
          <w:rFonts w:hint="eastAsia" w:ascii="仿宋_GB2312" w:hAnsi="仿宋_GB2312" w:eastAsia="仿宋_GB2312" w:cs="仿宋_GB2312"/>
          <w:b w:val="0"/>
          <w:bCs w:val="0"/>
          <w:color w:val="auto"/>
          <w:kern w:val="2"/>
          <w:sz w:val="32"/>
          <w:szCs w:val="32"/>
          <w:highlight w:val="none"/>
          <w:lang w:val="en-US" w:eastAsia="zh-CN" w:bidi="ar-SA"/>
        </w:rPr>
        <w:t>推选出新一届的领导班子37人</w:t>
      </w:r>
      <w:r>
        <w:rPr>
          <w:rFonts w:hint="eastAsia" w:ascii="仿宋_GB2312" w:hAnsi="仿宋_GB2312" w:eastAsia="仿宋_GB2312" w:cs="仿宋_GB2312"/>
          <w:b w:val="0"/>
          <w:bCs w:val="0"/>
          <w:kern w:val="2"/>
          <w:sz w:val="32"/>
          <w:szCs w:val="32"/>
          <w:highlight w:val="none"/>
          <w:lang w:val="en-US" w:eastAsia="zh-CN" w:bidi="ar-SA"/>
        </w:rPr>
        <w:t>。成功创建全国“五好”县级工商联。一是建立健全党组中心组学习制度、党组议事规则以及轮值主席制度等；坚持民主集中制，建立党组、工商联班子联席会议制度和“三个一”推动落实机制，重大问题一起研究，重大决策一并做出，重大工作一体推动。二是严格执行中央八项规定精神，积极构建亲清新型政商关系，做到企业需要政府参加的活动主动协调</w:t>
      </w:r>
      <w:r>
        <w:rPr>
          <w:rFonts w:hint="default"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企业需要政府牵头参加的社会活动有请必应</w:t>
      </w:r>
      <w:r>
        <w:rPr>
          <w:rFonts w:hint="default"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企业需要政府解决的问题有呼必应。三是</w:t>
      </w:r>
      <w:r>
        <w:rPr>
          <w:rFonts w:hint="eastAsia" w:ascii="仿宋_GB2312" w:hAnsi="仿宋_GB2312" w:eastAsia="仿宋_GB2312" w:cs="仿宋_GB2312"/>
          <w:b w:val="0"/>
          <w:bCs w:val="0"/>
          <w:color w:val="auto"/>
          <w:kern w:val="2"/>
          <w:sz w:val="32"/>
          <w:szCs w:val="32"/>
          <w:highlight w:val="none"/>
          <w:lang w:val="en-US" w:eastAsia="zh-CN" w:bidi="ar-SA"/>
        </w:rPr>
        <w:t>加强与民营企业会员交流，不断提升会员服务水平。使企业变“要我入会”为“我要入会”，新吸收企业会员62名，团体会员6个。</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3.强化意识形态工作。定期分析干部职工和民营经济领域人士思想动态，加强舆论引导，把握正确舆论导向，树立正确的社会主义核心价值观。引导干部职工及民营经济领域人士始终坚持理论武装头脑，在学懂弄通上下功夫，真正做到入脑入心，学深悟透。</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（2）抓教育，促健康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扎实开展党史学习教育。坚持把政治引领放在首位，持续推进理想信念教育。一是组织党史专题学习教育宣讲会3次，工商联党组书记上专题党课2次，推动“七一”重要讲话精神记于心践于行。二是组织民营企业举办庆祝中国共产党成立100周年系列活动，共计400余人参加。三是先后组织200余人次参观峨眉山</w:t>
      </w:r>
      <w:r>
        <w:rPr>
          <w:rFonts w:hint="default" w:ascii="仿宋_GB2312" w:hAnsi="仿宋_GB2312" w:eastAsia="仿宋_GB2312" w:cs="仿宋_GB2312"/>
          <w:b w:val="0"/>
          <w:bCs w:val="0"/>
          <w:kern w:val="2"/>
          <w:sz w:val="32"/>
          <w:szCs w:val="32"/>
          <w:highlight w:val="none"/>
          <w:lang w:val="en-US" w:eastAsia="zh-CN" w:bidi="ar-SA"/>
        </w:rPr>
        <w:t>市</w:t>
      </w:r>
      <w:r>
        <w:rPr>
          <w:rFonts w:hint="eastAsia" w:ascii="仿宋_GB2312" w:hAnsi="仿宋_GB2312" w:eastAsia="仿宋_GB2312" w:cs="仿宋_GB2312"/>
          <w:b w:val="0"/>
          <w:bCs w:val="0"/>
          <w:kern w:val="2"/>
          <w:sz w:val="32"/>
          <w:szCs w:val="32"/>
          <w:highlight w:val="none"/>
          <w:lang w:val="en-US" w:eastAsia="zh-CN" w:bidi="ar-SA"/>
        </w:rPr>
        <w:t>烈士陵园、陈俊卿纪念馆、金满成故居、909核动力研究设计院基地等学习教育基地，推动学习教育往实里走、往心里走。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en-US" w:eastAsia="zh-CN" w:bidi="ar-SA"/>
        </w:rPr>
        <w:t>促进商协会健康发展。创新建立商协会“一线两面”工作格局，进驻统一战线，提升党建覆盖面，压实行业基本面。清理注册商协会</w:t>
      </w:r>
      <w:r>
        <w:rPr>
          <w:rFonts w:hint="eastAsia" w:ascii="仿宋_GB2312" w:hAnsi="仿宋_GB2312" w:eastAsia="仿宋_GB2312" w:cs="仿宋_GB2312"/>
          <w:b w:val="0"/>
          <w:bCs w:val="0"/>
          <w:kern w:val="2"/>
          <w:sz w:val="32"/>
          <w:szCs w:val="32"/>
          <w:highlight w:val="none"/>
          <w:lang w:val="en-US" w:eastAsia="zh-CN" w:bidi="ar-SA"/>
        </w:rPr>
        <w:t>119</w:t>
      </w:r>
      <w:r>
        <w:rPr>
          <w:rFonts w:hint="eastAsia" w:ascii="仿宋_GB2312" w:hAnsi="仿宋_GB2312" w:eastAsia="仿宋_GB2312" w:cs="仿宋_GB2312"/>
          <w:b w:val="0"/>
          <w:bCs w:val="0"/>
          <w:color w:val="auto"/>
          <w:kern w:val="2"/>
          <w:sz w:val="32"/>
          <w:szCs w:val="32"/>
          <w:highlight w:val="none"/>
          <w:lang w:val="en-US" w:eastAsia="zh-CN" w:bidi="ar-SA"/>
        </w:rPr>
        <w:t>个，注销“僵尸”商协会</w:t>
      </w:r>
      <w:r>
        <w:rPr>
          <w:rFonts w:hint="eastAsia" w:ascii="仿宋_GB2312" w:hAnsi="仿宋_GB2312" w:eastAsia="仿宋_GB2312" w:cs="仿宋_GB2312"/>
          <w:b w:val="0"/>
          <w:bCs w:val="0"/>
          <w:kern w:val="2"/>
          <w:sz w:val="32"/>
          <w:szCs w:val="32"/>
          <w:highlight w:val="none"/>
          <w:lang w:val="en-US" w:eastAsia="zh-CN" w:bidi="ar-SA"/>
        </w:rPr>
        <w:t>23</w:t>
      </w:r>
      <w:r>
        <w:rPr>
          <w:rFonts w:hint="eastAsia" w:ascii="仿宋_GB2312" w:hAnsi="仿宋_GB2312" w:eastAsia="仿宋_GB2312" w:cs="仿宋_GB2312"/>
          <w:b w:val="0"/>
          <w:bCs w:val="0"/>
          <w:color w:val="auto"/>
          <w:kern w:val="2"/>
          <w:sz w:val="32"/>
          <w:szCs w:val="32"/>
          <w:highlight w:val="none"/>
          <w:lang w:val="en-US" w:eastAsia="zh-CN" w:bidi="ar-SA"/>
        </w:rPr>
        <w:t>个，规范商协会</w:t>
      </w:r>
      <w:r>
        <w:rPr>
          <w:rFonts w:hint="eastAsia" w:ascii="仿宋_GB2312" w:hAnsi="仿宋_GB2312" w:eastAsia="仿宋_GB2312" w:cs="仿宋_GB2312"/>
          <w:b w:val="0"/>
          <w:bCs w:val="0"/>
          <w:kern w:val="2"/>
          <w:sz w:val="32"/>
          <w:szCs w:val="32"/>
          <w:highlight w:val="none"/>
          <w:lang w:val="en-US" w:eastAsia="zh-CN" w:bidi="ar-SA"/>
        </w:rPr>
        <w:t>96</w:t>
      </w:r>
      <w:r>
        <w:rPr>
          <w:rFonts w:hint="eastAsia" w:ascii="仿宋_GB2312" w:hAnsi="仿宋_GB2312" w:eastAsia="仿宋_GB2312" w:cs="仿宋_GB2312"/>
          <w:b w:val="0"/>
          <w:bCs w:val="0"/>
          <w:color w:val="auto"/>
          <w:kern w:val="2"/>
          <w:sz w:val="32"/>
          <w:szCs w:val="32"/>
          <w:highlight w:val="none"/>
          <w:lang w:val="en-US" w:eastAsia="zh-CN" w:bidi="ar-SA"/>
        </w:rPr>
        <w:t>个；建立党组织</w:t>
      </w:r>
      <w:r>
        <w:rPr>
          <w:rFonts w:hint="eastAsia" w:ascii="仿宋_GB2312" w:hAnsi="仿宋_GB2312" w:eastAsia="仿宋_GB2312" w:cs="仿宋_GB2312"/>
          <w:b w:val="0"/>
          <w:bCs w:val="0"/>
          <w:kern w:val="2"/>
          <w:sz w:val="32"/>
          <w:szCs w:val="32"/>
          <w:highlight w:val="none"/>
          <w:lang w:val="en-US" w:eastAsia="zh-CN" w:bidi="ar-SA"/>
        </w:rPr>
        <w:t>71</w:t>
      </w:r>
      <w:r>
        <w:rPr>
          <w:rFonts w:hint="eastAsia" w:ascii="仿宋_GB2312" w:hAnsi="仿宋_GB2312" w:eastAsia="仿宋_GB2312" w:cs="仿宋_GB2312"/>
          <w:b w:val="0"/>
          <w:bCs w:val="0"/>
          <w:color w:val="auto"/>
          <w:kern w:val="2"/>
          <w:sz w:val="32"/>
          <w:szCs w:val="32"/>
          <w:highlight w:val="none"/>
          <w:lang w:val="en-US" w:eastAsia="zh-CN" w:bidi="ar-SA"/>
        </w:rPr>
        <w:t>个，覆盖商协会</w:t>
      </w:r>
      <w:r>
        <w:rPr>
          <w:rFonts w:hint="eastAsia" w:ascii="仿宋_GB2312" w:hAnsi="仿宋_GB2312" w:eastAsia="仿宋_GB2312" w:cs="仿宋_GB2312"/>
          <w:b w:val="0"/>
          <w:bCs w:val="0"/>
          <w:kern w:val="2"/>
          <w:sz w:val="32"/>
          <w:szCs w:val="32"/>
          <w:highlight w:val="none"/>
          <w:lang w:val="en-US" w:eastAsia="zh-CN" w:bidi="ar-SA"/>
        </w:rPr>
        <w:t>87</w:t>
      </w:r>
      <w:r>
        <w:rPr>
          <w:rFonts w:hint="eastAsia" w:ascii="仿宋_GB2312" w:hAnsi="仿宋_GB2312" w:eastAsia="仿宋_GB2312" w:cs="仿宋_GB2312"/>
          <w:b w:val="0"/>
          <w:bCs w:val="0"/>
          <w:color w:val="auto"/>
          <w:kern w:val="2"/>
          <w:sz w:val="32"/>
          <w:szCs w:val="32"/>
          <w:highlight w:val="none"/>
          <w:lang w:val="en-US" w:eastAsia="zh-CN" w:bidi="ar-SA"/>
        </w:rPr>
        <w:t>个。一是明晰商协会健康发展路径。制定《关于推进峨眉山市商协会健康发展的实施方案》，按照注销、整合、提升、新建，“四个一批”的工作思路，推进商协会全覆盖改造组建工作。二是推动党的组织在商协会全覆盖。会同市委统战部、市委组织部建立</w:t>
      </w:r>
      <w:r>
        <w:rPr>
          <w:rFonts w:hint="eastAsia" w:ascii="仿宋_GB2312" w:hAnsi="仿宋_GB2312" w:eastAsia="仿宋_GB2312" w:cs="仿宋_GB2312"/>
          <w:b w:val="0"/>
          <w:bCs w:val="0"/>
          <w:kern w:val="2"/>
          <w:sz w:val="32"/>
          <w:szCs w:val="32"/>
          <w:highlight w:val="none"/>
          <w:u w:val="none"/>
          <w:lang w:val="en-US" w:eastAsia="zh-CN" w:bidi="ar-SA"/>
        </w:rPr>
        <w:t>党组织71个，其中联合党委</w:t>
      </w:r>
      <w:r>
        <w:rPr>
          <w:rFonts w:hint="default" w:ascii="仿宋_GB2312" w:hAnsi="仿宋_GB2312" w:eastAsia="仿宋_GB2312" w:cs="仿宋_GB2312"/>
          <w:b w:val="0"/>
          <w:bCs w:val="0"/>
          <w:kern w:val="2"/>
          <w:sz w:val="32"/>
          <w:szCs w:val="32"/>
          <w:highlight w:val="none"/>
          <w:u w:val="none"/>
          <w:lang w:val="en-US" w:eastAsia="zh-CN" w:bidi="ar-SA"/>
        </w:rPr>
        <w:t>3个</w:t>
      </w:r>
      <w:r>
        <w:rPr>
          <w:rFonts w:hint="eastAsia" w:ascii="仿宋_GB2312" w:hAnsi="仿宋_GB2312" w:eastAsia="仿宋_GB2312" w:cs="仿宋_GB2312"/>
          <w:b w:val="0"/>
          <w:bCs w:val="0"/>
          <w:kern w:val="2"/>
          <w:sz w:val="32"/>
          <w:szCs w:val="32"/>
          <w:highlight w:val="none"/>
          <w:u w:val="none"/>
          <w:lang w:val="en-US" w:eastAsia="zh-CN" w:bidi="ar-SA"/>
        </w:rPr>
        <w:t>、单建党支部</w:t>
      </w:r>
      <w:r>
        <w:rPr>
          <w:rFonts w:hint="default" w:ascii="仿宋_GB2312" w:hAnsi="仿宋_GB2312" w:eastAsia="仿宋_GB2312" w:cs="仿宋_GB2312"/>
          <w:b w:val="0"/>
          <w:bCs w:val="0"/>
          <w:kern w:val="2"/>
          <w:sz w:val="32"/>
          <w:szCs w:val="32"/>
          <w:highlight w:val="none"/>
          <w:u w:val="none"/>
          <w:lang w:val="en-US" w:eastAsia="zh-CN" w:bidi="ar-SA"/>
        </w:rPr>
        <w:t>59个</w:t>
      </w:r>
      <w:r>
        <w:rPr>
          <w:rFonts w:hint="eastAsia" w:ascii="仿宋_GB2312" w:hAnsi="仿宋_GB2312" w:eastAsia="仿宋_GB2312" w:cs="仿宋_GB2312"/>
          <w:b w:val="0"/>
          <w:bCs w:val="0"/>
          <w:kern w:val="2"/>
          <w:sz w:val="32"/>
          <w:szCs w:val="32"/>
          <w:highlight w:val="none"/>
          <w:u w:val="none"/>
          <w:lang w:val="en-US" w:eastAsia="zh-CN" w:bidi="ar-SA"/>
        </w:rPr>
        <w:t>、联建党支部</w:t>
      </w:r>
      <w:r>
        <w:rPr>
          <w:rFonts w:hint="default" w:ascii="仿宋_GB2312" w:hAnsi="仿宋_GB2312" w:eastAsia="仿宋_GB2312" w:cs="仿宋_GB2312"/>
          <w:b w:val="0"/>
          <w:bCs w:val="0"/>
          <w:kern w:val="2"/>
          <w:sz w:val="32"/>
          <w:szCs w:val="32"/>
          <w:highlight w:val="none"/>
          <w:u w:val="none"/>
          <w:lang w:val="en-US" w:eastAsia="zh-CN" w:bidi="ar-SA"/>
        </w:rPr>
        <w:t>9个</w:t>
      </w:r>
      <w:r>
        <w:rPr>
          <w:rFonts w:hint="eastAsia" w:ascii="仿宋_GB2312" w:hAnsi="仿宋_GB2312" w:eastAsia="仿宋_GB2312" w:cs="仿宋_GB2312"/>
          <w:b w:val="0"/>
          <w:bCs w:val="0"/>
          <w:kern w:val="2"/>
          <w:sz w:val="32"/>
          <w:szCs w:val="32"/>
          <w:highlight w:val="none"/>
          <w:u w:val="none"/>
          <w:lang w:val="en-US" w:eastAsia="zh-CN" w:bidi="ar-SA"/>
        </w:rPr>
        <w:t>，覆盖商协会87个（宗教、党外除外）。</w:t>
      </w:r>
      <w:r>
        <w:rPr>
          <w:rFonts w:hint="eastAsia" w:ascii="仿宋_GB2312" w:hAnsi="仿宋_GB2312" w:eastAsia="仿宋_GB2312" w:cs="仿宋_GB2312"/>
          <w:b w:val="0"/>
          <w:bCs w:val="0"/>
          <w:color w:val="auto"/>
          <w:kern w:val="2"/>
          <w:sz w:val="32"/>
          <w:szCs w:val="32"/>
          <w:highlight w:val="none"/>
          <w:lang w:val="en-US" w:eastAsia="zh-CN" w:bidi="ar-SA"/>
        </w:rPr>
        <w:t>三是推进商协会换届工作。制定《峨眉山市商协会换届（提升）工作实施方案》，全面完成26家商协会换届选举工作。按照“两推”程序，共产生正式班子人选93名，其中会长人选改选17名，班子人选中均有1名党员成员。四是新建创客梦工厂园区商会和女企业家商会，筹建九里商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促进民营经济人士健康成长。一是做好“两代表一委员”推荐考察工作。向乐山市工商联推荐换届代表、执委18名；向峨眉山市委、人大、政协推荐代表、委员18人。会员中，担任乐山市人大代表2人、政协委员5人，担任峨眉山市党代表3人，人大代表16人，政协委员13人。二是组织开展调研工作。组织27家企业完成民营企业调查问卷填报和民营企业社会责任调研报告</w:t>
      </w:r>
      <w:r>
        <w:rPr>
          <w:rFonts w:hint="default" w:ascii="仿宋_GB2312" w:hAnsi="仿宋_GB2312" w:eastAsia="仿宋_GB2312" w:cs="仿宋_GB2312"/>
          <w:b w:val="0"/>
          <w:bCs w:val="0"/>
          <w:color w:val="auto"/>
          <w:kern w:val="2"/>
          <w:sz w:val="32"/>
          <w:szCs w:val="32"/>
          <w:highlight w:val="none"/>
          <w:lang w:val="en-US" w:eastAsia="zh-CN" w:bidi="ar-SA"/>
        </w:rPr>
        <w:t>8份</w:t>
      </w:r>
      <w:r>
        <w:rPr>
          <w:rFonts w:hint="eastAsia" w:ascii="仿宋_GB2312" w:hAnsi="仿宋_GB2312" w:eastAsia="仿宋_GB2312" w:cs="仿宋_GB2312"/>
          <w:b w:val="0"/>
          <w:bCs w:val="0"/>
          <w:color w:val="auto"/>
          <w:kern w:val="2"/>
          <w:sz w:val="32"/>
          <w:szCs w:val="32"/>
          <w:highlight w:val="none"/>
          <w:lang w:val="en-US" w:eastAsia="zh-CN" w:bidi="ar-SA"/>
        </w:rPr>
        <w:t>。三是加强企业与市委市政府的沟通联系。组织民营经济代表人士参加市委、市政府及</w:t>
      </w:r>
      <w:r>
        <w:rPr>
          <w:rFonts w:hint="default" w:ascii="仿宋_GB2312" w:hAnsi="仿宋_GB2312" w:eastAsia="仿宋_GB2312" w:cs="仿宋_GB2312"/>
          <w:b w:val="0"/>
          <w:bCs w:val="0"/>
          <w:color w:val="auto"/>
          <w:kern w:val="2"/>
          <w:sz w:val="32"/>
          <w:szCs w:val="32"/>
          <w:highlight w:val="none"/>
          <w:lang w:val="en-US" w:eastAsia="zh-CN" w:bidi="ar-SA"/>
        </w:rPr>
        <w:t>市级</w:t>
      </w:r>
      <w:r>
        <w:rPr>
          <w:rFonts w:hint="eastAsia" w:ascii="仿宋_GB2312" w:hAnsi="仿宋_GB2312" w:eastAsia="仿宋_GB2312" w:cs="仿宋_GB2312"/>
          <w:b w:val="0"/>
          <w:bCs w:val="0"/>
          <w:color w:val="auto"/>
          <w:kern w:val="2"/>
          <w:sz w:val="32"/>
          <w:szCs w:val="32"/>
          <w:highlight w:val="none"/>
          <w:lang w:val="en-US" w:eastAsia="zh-CN" w:bidi="ar-SA"/>
        </w:rPr>
        <w:t>有关部门召开的各类座谈会、情况通报会8次，向市委、市政府提出建设性建议意见6条。三是搭建服务平台。与建行峨眉山支行签订企业融资意向性合作框架协议，为300余家民营企业办理融资贷款3亿余元。利用法官工作站、检察官联络站，及时化解涉企矛盾纠纷10余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（3）抓重点，促发展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积极参加扶贫光彩活动。一是开展“峨马对口援彝”活动。带领浙闽商会、建筑建材行业商会党支部在马边县民建社区开展“助力乡村振兴，支部共建共联”活动，慰问社区贫困老党员10人，送去5000元慰问金；在马边县荍坝镇中心敬老院开展“情暖夕阳·爱心敬老”活动，向76名老人送出</w:t>
      </w:r>
      <w:r>
        <w:rPr>
          <w:rFonts w:hint="default" w:ascii="仿宋_GB2312" w:hAnsi="仿宋_GB2312" w:eastAsia="仿宋_GB2312" w:cs="仿宋_GB2312"/>
          <w:b w:val="0"/>
          <w:bCs w:val="0"/>
          <w:color w:val="auto"/>
          <w:kern w:val="2"/>
          <w:sz w:val="32"/>
          <w:szCs w:val="32"/>
          <w:highlight w:val="none"/>
          <w:lang w:val="en-US" w:eastAsia="zh-CN" w:bidi="ar-SA"/>
        </w:rPr>
        <w:t>价值</w:t>
      </w:r>
      <w:r>
        <w:rPr>
          <w:rFonts w:hint="eastAsia" w:ascii="仿宋_GB2312" w:hAnsi="仿宋_GB2312" w:eastAsia="仿宋_GB2312" w:cs="仿宋_GB2312"/>
          <w:b w:val="0"/>
          <w:bCs w:val="0"/>
          <w:color w:val="auto"/>
          <w:kern w:val="2"/>
          <w:sz w:val="32"/>
          <w:szCs w:val="32"/>
          <w:highlight w:val="none"/>
          <w:lang w:val="en-US" w:eastAsia="zh-CN" w:bidi="ar-SA"/>
        </w:rPr>
        <w:t>1.2万元</w:t>
      </w:r>
      <w:r>
        <w:rPr>
          <w:rFonts w:hint="default" w:ascii="仿宋_GB2312" w:hAnsi="仿宋_GB2312" w:eastAsia="仿宋_GB2312" w:cs="仿宋_GB2312"/>
          <w:b w:val="0"/>
          <w:bCs w:val="0"/>
          <w:color w:val="auto"/>
          <w:kern w:val="2"/>
          <w:sz w:val="32"/>
          <w:szCs w:val="32"/>
          <w:highlight w:val="none"/>
          <w:lang w:val="en-US" w:eastAsia="zh-CN" w:bidi="ar-SA"/>
        </w:rPr>
        <w:t>的</w:t>
      </w:r>
      <w:r>
        <w:rPr>
          <w:rFonts w:hint="eastAsia" w:ascii="仿宋_GB2312" w:hAnsi="仿宋_GB2312" w:eastAsia="仿宋_GB2312" w:cs="仿宋_GB2312"/>
          <w:b w:val="0"/>
          <w:bCs w:val="0"/>
          <w:color w:val="auto"/>
          <w:kern w:val="2"/>
          <w:sz w:val="32"/>
          <w:szCs w:val="32"/>
          <w:highlight w:val="none"/>
          <w:lang w:val="en-US" w:eastAsia="zh-CN" w:bidi="ar-SA"/>
        </w:rPr>
        <w:t>保暖物品。二是开展“99公益日”活动。组织会员助力“马边防贫扶弱公益行”，募集资金共计2.18万元。三是开展多形式扶贫行动。组织会员企业在马边建立帮扶脱贫深加工生产线和扶贫车间，带动3万茶农脱贫致富，为贫困群众稳定增收约4000元。四是积极投身社会公益活动。参加“栋梁工程”行动，组织会员企业对46名困难学生以及9所学校捐款捐物，折合人民币约22万元。驰援郑州特大暴雨灾害，会员企业第一时间伸出援手，捐款捐物达34万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2.启动“万企兴万村”行动。一是建立工作机制。成立“万企兴万村”行动领导小组，建立五部门联席会议制度，并制定实施意见。二是确保帮扶成效。引导民营企业和商协会通过产业投资、就业扶持、商贸流通、消费帮扶、资源开发、智力支持、公益捐赠等多种方式和途径，抓好一批“万企兴万村”重点产业、项目、园区、基地建设，打造一批省级乐山市级示范村和示范点。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围绕中心服务大局。一是狠抓疫情防控。及时更新疫情最新动态和工作要求，指导各会员企业落实联防联控工作，做好来返人员信息摸排和防控管理工作。动员民营企业积极参加疫苗接种5000余人次；开展“敲门行动”，走访居民690户，摸排疫苗接种情况。 二是抓牢抓实安全工作。及时传达各级安全</w:t>
      </w:r>
      <w:r>
        <w:rPr>
          <w:rFonts w:hint="default" w:ascii="仿宋_GB2312" w:hAnsi="仿宋_GB2312" w:eastAsia="仿宋_GB2312" w:cs="仿宋_GB2312"/>
          <w:b w:val="0"/>
          <w:bCs w:val="0"/>
          <w:color w:val="auto"/>
          <w:kern w:val="2"/>
          <w:sz w:val="32"/>
          <w:szCs w:val="32"/>
          <w:highlight w:val="none"/>
          <w:lang w:val="en-US" w:eastAsia="zh-CN" w:bidi="ar-SA"/>
        </w:rPr>
        <w:t>工作</w:t>
      </w:r>
      <w:r>
        <w:rPr>
          <w:rFonts w:hint="eastAsia" w:ascii="仿宋_GB2312" w:hAnsi="仿宋_GB2312" w:eastAsia="仿宋_GB2312" w:cs="仿宋_GB2312"/>
          <w:b w:val="0"/>
          <w:bCs w:val="0"/>
          <w:color w:val="auto"/>
          <w:kern w:val="2"/>
          <w:sz w:val="32"/>
          <w:szCs w:val="32"/>
          <w:highlight w:val="none"/>
          <w:lang w:val="en-US" w:eastAsia="zh-CN" w:bidi="ar-SA"/>
        </w:rPr>
        <w:t>会议精神，开展会员企业安全生产隐患排查工作。三是抓好</w:t>
      </w:r>
      <w:r>
        <w:rPr>
          <w:rFonts w:hint="default" w:ascii="仿宋_GB2312" w:hAnsi="仿宋_GB2312" w:eastAsia="仿宋_GB2312" w:cs="仿宋_GB2312"/>
          <w:b w:val="0"/>
          <w:bCs w:val="0"/>
          <w:color w:val="auto"/>
          <w:kern w:val="2"/>
          <w:sz w:val="32"/>
          <w:szCs w:val="32"/>
          <w:highlight w:val="none"/>
          <w:lang w:val="en-US" w:eastAsia="zh-CN" w:bidi="ar-SA"/>
        </w:rPr>
        <w:t>城市</w:t>
      </w:r>
      <w:r>
        <w:rPr>
          <w:rFonts w:hint="eastAsia" w:ascii="仿宋_GB2312" w:hAnsi="仿宋_GB2312" w:eastAsia="仿宋_GB2312" w:cs="仿宋_GB2312"/>
          <w:b w:val="0"/>
          <w:bCs w:val="0"/>
          <w:color w:val="auto"/>
          <w:kern w:val="2"/>
          <w:sz w:val="32"/>
          <w:szCs w:val="32"/>
          <w:highlight w:val="none"/>
          <w:lang w:val="en-US" w:eastAsia="zh-CN" w:bidi="ar-SA"/>
        </w:rPr>
        <w:t>“双创”工作。强化责任片区的卫生管理，认真贯彻落实</w:t>
      </w:r>
      <w:r>
        <w:rPr>
          <w:rFonts w:hint="default" w:ascii="仿宋_GB2312" w:hAnsi="仿宋_GB2312" w:eastAsia="仿宋_GB2312" w:cs="仿宋_GB2312"/>
          <w:b w:val="0"/>
          <w:bCs w:val="0"/>
          <w:color w:val="auto"/>
          <w:kern w:val="2"/>
          <w:sz w:val="32"/>
          <w:szCs w:val="32"/>
          <w:highlight w:val="none"/>
          <w:lang w:val="en-US" w:eastAsia="zh-CN" w:bidi="ar-SA"/>
        </w:rPr>
        <w:t>城市</w:t>
      </w:r>
      <w:r>
        <w:rPr>
          <w:rFonts w:hint="eastAsia" w:ascii="仿宋_GB2312" w:hAnsi="仿宋_GB2312" w:eastAsia="仿宋_GB2312" w:cs="仿宋_GB2312"/>
          <w:b w:val="0"/>
          <w:bCs w:val="0"/>
          <w:color w:val="auto"/>
          <w:kern w:val="2"/>
          <w:sz w:val="32"/>
          <w:szCs w:val="32"/>
          <w:highlight w:val="none"/>
          <w:lang w:val="en-US" w:eastAsia="zh-CN" w:bidi="ar-SA"/>
        </w:rPr>
        <w:t>“双创”工作任务，引导会员企业和群众形成良好生活习惯。四是推进“大走访大服务”工作。结合“我为群众办实事”</w:t>
      </w:r>
      <w:r>
        <w:rPr>
          <w:rFonts w:hint="default" w:ascii="仿宋_GB2312" w:hAnsi="仿宋_GB2312" w:eastAsia="仿宋_GB2312" w:cs="仿宋_GB2312"/>
          <w:b w:val="0"/>
          <w:bCs w:val="0"/>
          <w:color w:val="auto"/>
          <w:kern w:val="2"/>
          <w:sz w:val="32"/>
          <w:szCs w:val="32"/>
          <w:highlight w:val="none"/>
          <w:lang w:val="en-US" w:eastAsia="zh-CN" w:bidi="ar-SA"/>
        </w:rPr>
        <w:t>实践活动</w:t>
      </w:r>
      <w:r>
        <w:rPr>
          <w:rFonts w:hint="eastAsia" w:ascii="仿宋_GB2312" w:hAnsi="仿宋_GB2312" w:eastAsia="仿宋_GB2312" w:cs="仿宋_GB2312"/>
          <w:b w:val="0"/>
          <w:bCs w:val="0"/>
          <w:color w:val="auto"/>
          <w:kern w:val="2"/>
          <w:sz w:val="32"/>
          <w:szCs w:val="32"/>
          <w:highlight w:val="none"/>
          <w:lang w:val="en-US" w:eastAsia="zh-CN" w:bidi="ar-SA"/>
        </w:rPr>
        <w:t>，全覆盖对绥山镇麻柳村、罗目镇鞠槽村120名群众开展走访工作，协调解决民生问题</w:t>
      </w:r>
      <w:r>
        <w:rPr>
          <w:rFonts w:hint="default" w:ascii="仿宋_GB2312" w:hAnsi="仿宋_GB2312" w:eastAsia="仿宋_GB2312" w:cs="仿宋_GB2312"/>
          <w:b w:val="0"/>
          <w:bCs w:val="0"/>
          <w:color w:val="auto"/>
          <w:kern w:val="2"/>
          <w:sz w:val="32"/>
          <w:szCs w:val="32"/>
          <w:highlight w:val="none"/>
          <w:lang w:val="en-US" w:eastAsia="zh-CN" w:bidi="ar-SA"/>
        </w:rPr>
        <w:t>4个</w:t>
      </w:r>
      <w:r>
        <w:rPr>
          <w:rFonts w:hint="eastAsia" w:ascii="仿宋_GB2312" w:hAnsi="仿宋_GB2312" w:eastAsia="仿宋_GB2312" w:cs="仿宋_GB2312"/>
          <w:b w:val="0"/>
          <w:bCs w:val="0"/>
          <w:color w:val="auto"/>
          <w:kern w:val="2"/>
          <w:sz w:val="32"/>
          <w:szCs w:val="32"/>
          <w:highlight w:val="none"/>
          <w:lang w:val="en-US" w:eastAsia="zh-CN" w:bidi="ar-SA"/>
        </w:rPr>
        <w:t>。</w:t>
      </w:r>
    </w:p>
    <w:p>
      <w:pPr>
        <w:pStyle w:val="2"/>
        <w:rPr>
          <w:rFonts w:hint="default"/>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 xml:space="preserve">    </w:t>
      </w:r>
    </w:p>
    <w:p>
      <w:pPr>
        <w:pStyle w:val="2"/>
        <w:rPr>
          <w:highlight w:val="none"/>
        </w:rPr>
      </w:pPr>
    </w:p>
    <w:p>
      <w:pPr>
        <w:widowControl/>
        <w:jc w:val="left"/>
        <w:rPr>
          <w:rFonts w:ascii="仿宋" w:hAnsi="仿宋" w:eastAsia="仿宋"/>
          <w:kern w:val="0"/>
          <w:sz w:val="32"/>
          <w:szCs w:val="32"/>
          <w:highlight w:val="none"/>
        </w:rPr>
      </w:pPr>
      <w:r>
        <w:rPr>
          <w:rFonts w:ascii="仿宋" w:hAnsi="仿宋" w:eastAsia="仿宋"/>
          <w:sz w:val="32"/>
          <w:szCs w:val="32"/>
          <w:highlight w:val="none"/>
        </w:rPr>
        <w:br w:type="page"/>
      </w:r>
    </w:p>
    <w:p>
      <w:pPr>
        <w:spacing w:line="60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第二部分 2021年度单位决算情况说明</w:t>
      </w:r>
    </w:p>
    <w:p>
      <w:pPr>
        <w:pStyle w:val="2"/>
        <w:rPr>
          <w:rFonts w:hint="default" w:eastAsia="楷体_GB2312"/>
          <w:lang w:val="en-US" w:eastAsia="zh-CN"/>
        </w:rPr>
      </w:pPr>
    </w:p>
    <w:p>
      <w:pPr>
        <w:numPr>
          <w:ilvl w:val="0"/>
          <w:numId w:val="1"/>
        </w:numPr>
        <w:spacing w:line="600" w:lineRule="exact"/>
        <w:ind w:left="0" w:leftChars="0" w:firstLine="640" w:firstLineChars="200"/>
        <w:rPr>
          <w:rFonts w:hint="eastAsia" w:ascii="黑体" w:hAnsi="黑体" w:eastAsia="黑体" w:cs="黑体"/>
          <w:sz w:val="32"/>
          <w:szCs w:val="32"/>
          <w:highlight w:val="none"/>
        </w:rPr>
      </w:pPr>
      <w:bookmarkStart w:id="20" w:name="_Toc15396601"/>
      <w:bookmarkStart w:id="21" w:name="_Toc15377200"/>
      <w:r>
        <w:rPr>
          <w:rFonts w:hint="eastAsia" w:ascii="黑体" w:hAnsi="黑体" w:eastAsia="黑体" w:cs="黑体"/>
          <w:sz w:val="32"/>
          <w:szCs w:val="32"/>
          <w:highlight w:val="none"/>
        </w:rPr>
        <w:t>机构设置</w:t>
      </w:r>
      <w:bookmarkEnd w:id="20"/>
      <w:bookmarkEnd w:id="21"/>
    </w:p>
    <w:p>
      <w:pPr>
        <w:spacing w:line="360" w:lineRule="auto"/>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机构情况，峨眉山市统战部下属二级预算单位</w:t>
      </w:r>
      <w:r>
        <w:rPr>
          <w:rFonts w:hint="eastAsia" w:ascii="仿宋" w:hAnsi="仿宋" w:eastAsia="仿宋" w:cs="仿宋"/>
          <w:sz w:val="32"/>
          <w:szCs w:val="32"/>
          <w:lang w:val="en-US" w:eastAsia="zh-CN"/>
        </w:rPr>
        <w:t>1</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1</w:t>
      </w:r>
      <w:r>
        <w:rPr>
          <w:rFonts w:hint="eastAsia" w:ascii="仿宋" w:hAnsi="仿宋" w:eastAsia="仿宋" w:cs="仿宋"/>
          <w:sz w:val="32"/>
          <w:szCs w:val="32"/>
        </w:rPr>
        <w:t>个，参照公务员法管理的事业单位0个，其他事业单位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w:t>
      </w:r>
    </w:p>
    <w:p>
      <w:pPr>
        <w:spacing w:line="60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lang w:val="en-US" w:eastAsia="zh-CN"/>
        </w:rPr>
        <w:t>统战部</w:t>
      </w:r>
      <w:r>
        <w:rPr>
          <w:rFonts w:hint="eastAsia" w:ascii="仿宋_GB2312" w:hAnsi="仿宋_GB2312" w:eastAsia="仿宋_GB2312" w:cs="仿宋_GB2312"/>
          <w:sz w:val="32"/>
          <w:szCs w:val="32"/>
          <w:highlight w:val="none"/>
        </w:rPr>
        <w:t>2021年度部门决算编制范围的二级预算单位包括：</w:t>
      </w:r>
    </w:p>
    <w:p>
      <w:pPr>
        <w:spacing w:line="600" w:lineRule="exact"/>
        <w:ind w:firstLine="640" w:firstLineChars="200"/>
        <w:rPr>
          <w:rFonts w:hint="eastAsia" w:ascii="仿宋_GB2312" w:hAnsi="仿宋_GB2312" w:eastAsia="仿宋_GB2312" w:cs="仿宋_GB2312"/>
          <w:sz w:val="32"/>
          <w:szCs w:val="32"/>
          <w:highlight w:val="none"/>
          <w:lang w:val="en-US" w:eastAsia="zh-CN"/>
        </w:rPr>
      </w:pPr>
      <w:bookmarkStart w:id="22" w:name="_Toc15377433"/>
      <w:bookmarkStart w:id="23" w:name="_Toc15377202"/>
      <w:bookmarkStart w:id="24" w:name="_Toc15378449"/>
      <w:bookmarkStart w:id="25" w:name="_Toc15306276"/>
      <w:r>
        <w:rPr>
          <w:rFonts w:hint="eastAsia" w:ascii="仿宋_GB2312" w:hAnsi="仿宋_GB2312" w:eastAsia="仿宋_GB2312" w:cs="仿宋_GB2312"/>
          <w:sz w:val="32"/>
          <w:szCs w:val="32"/>
          <w:highlight w:val="none"/>
          <w:lang w:val="en-US" w:eastAsia="zh-CN"/>
        </w:rPr>
        <w:t>峨眉山市工商联</w:t>
      </w:r>
    </w:p>
    <w:bookmarkEnd w:id="22"/>
    <w:bookmarkEnd w:id="23"/>
    <w:bookmarkEnd w:id="24"/>
    <w:bookmarkEnd w:id="25"/>
    <w:p>
      <w:pPr>
        <w:pStyle w:val="6"/>
        <w:adjustRightInd w:val="0"/>
        <w:snapToGrid w:val="0"/>
        <w:spacing w:before="93" w:line="600" w:lineRule="exact"/>
        <w:ind w:firstLine="1120" w:firstLineChars="350"/>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spacing w:line="600" w:lineRule="exact"/>
        <w:jc w:val="center"/>
        <w:rPr>
          <w:rFonts w:ascii="方正小标宋_GBK" w:hAnsi="方正小标宋_GBK" w:eastAsia="方正小标宋_GBK" w:cs="方正小标宋_GBK"/>
          <w:sz w:val="44"/>
          <w:szCs w:val="44"/>
        </w:rPr>
      </w:pPr>
      <w:bookmarkStart w:id="26" w:name="_Toc15377204"/>
      <w:bookmarkStart w:id="27" w:name="_Toc15396602"/>
      <w:r>
        <w:rPr>
          <w:rFonts w:hint="eastAsia" w:ascii="方正小标宋_GBK" w:hAnsi="方正小标宋_GBK" w:eastAsia="方正小标宋_GBK" w:cs="方正小标宋_GBK"/>
          <w:sz w:val="44"/>
          <w:szCs w:val="44"/>
        </w:rPr>
        <w:t>第二部分 2021年度部门决算情况说明</w:t>
      </w:r>
      <w:bookmarkEnd w:id="26"/>
      <w:bookmarkEnd w:id="27"/>
    </w:p>
    <w:p>
      <w:pPr>
        <w:spacing w:line="600" w:lineRule="exact"/>
      </w:pPr>
    </w:p>
    <w:p>
      <w:pPr>
        <w:pStyle w:val="26"/>
        <w:numPr>
          <w:ilvl w:val="0"/>
          <w:numId w:val="2"/>
        </w:numPr>
        <w:spacing w:line="600" w:lineRule="exact"/>
        <w:ind w:firstLineChars="0"/>
        <w:outlineLvl w:val="1"/>
        <w:rPr>
          <w:rStyle w:val="28"/>
          <w:rFonts w:ascii="黑体" w:hAnsi="黑体" w:eastAsia="黑体"/>
          <w:b w:val="0"/>
        </w:rPr>
      </w:pPr>
      <w:bookmarkStart w:id="28" w:name="_Toc15396603"/>
      <w:bookmarkStart w:id="2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8"/>
      <w:bookmarkEnd w:id="2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2021年度收、支总计472.96万元。因2020年峨眉山市统战部和峨眉山市工商联未合并汇算，因此无法进行上下年比对。</w:t>
      </w:r>
    </w:p>
    <w:p>
      <w:pPr>
        <w:pStyle w:val="26"/>
        <w:numPr>
          <w:ilvl w:val="0"/>
          <w:numId w:val="2"/>
        </w:numPr>
        <w:spacing w:line="600" w:lineRule="exact"/>
        <w:ind w:firstLineChars="0"/>
        <w:outlineLvl w:val="1"/>
        <w:rPr>
          <w:rStyle w:val="28"/>
          <w:rFonts w:ascii="黑体" w:hAnsi="黑体" w:eastAsia="黑体"/>
          <w:b w:val="0"/>
        </w:rPr>
      </w:pPr>
      <w:bookmarkStart w:id="30" w:name="_Toc15377206"/>
      <w:bookmarkStart w:id="31" w:name="_Toc15396604"/>
      <w:r>
        <w:rPr>
          <w:rFonts w:hint="eastAsia" w:ascii="黑体" w:hAnsi="黑体" w:eastAsia="黑体"/>
          <w:sz w:val="32"/>
          <w:szCs w:val="32"/>
        </w:rPr>
        <w:t>收</w:t>
      </w:r>
      <w:r>
        <w:rPr>
          <w:rStyle w:val="28"/>
          <w:rFonts w:hint="eastAsia" w:ascii="黑体" w:hAnsi="黑体" w:eastAsia="黑体"/>
          <w:b w:val="0"/>
        </w:rPr>
        <w:t>入决算情况说明</w:t>
      </w:r>
      <w:bookmarkEnd w:id="30"/>
      <w:bookmarkEnd w:id="31"/>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472.65万元，其中：一般公共预算财政拨款收入472.65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73660</wp:posOffset>
            </wp:positionH>
            <wp:positionV relativeFrom="paragraph">
              <wp:posOffset>351790</wp:posOffset>
            </wp:positionV>
            <wp:extent cx="5096510" cy="3562350"/>
            <wp:effectExtent l="19050" t="0" r="889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096510" cy="3562350"/>
                    </a:xfrm>
                    <a:prstGeom prst="rect">
                      <a:avLst/>
                    </a:prstGeom>
                    <a:noFill/>
                  </pic:spPr>
                </pic:pic>
              </a:graphicData>
            </a:graphic>
          </wp:anchor>
        </w:drawing>
      </w:r>
      <w:r>
        <w:rPr>
          <w:rFonts w:hint="eastAsia" w:ascii="仿宋_GB2312" w:hAnsi="仿宋_GB2312" w:eastAsia="仿宋_GB2312" w:cs="仿宋_GB2312"/>
          <w:sz w:val="32"/>
          <w:szCs w:val="32"/>
        </w:rPr>
        <w:t>（图2：收入决算结构图）（饼状图）</w:t>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pPr>
    </w:p>
    <w:p>
      <w:pPr>
        <w:spacing w:line="600" w:lineRule="exact"/>
        <w:ind w:firstLine="640" w:firstLineChars="200"/>
        <w:rPr>
          <w:rFonts w:ascii="仿宋_GB2312" w:eastAsia="仿宋_GB2312"/>
          <w:sz w:val="32"/>
          <w:szCs w:val="32"/>
        </w:rPr>
      </w:pPr>
    </w:p>
    <w:p>
      <w:pPr>
        <w:pStyle w:val="26"/>
        <w:numPr>
          <w:ilvl w:val="0"/>
          <w:numId w:val="2"/>
        </w:numPr>
        <w:spacing w:line="600" w:lineRule="exact"/>
        <w:ind w:firstLineChars="0"/>
        <w:outlineLvl w:val="1"/>
        <w:rPr>
          <w:rStyle w:val="28"/>
          <w:rFonts w:ascii="黑体" w:hAnsi="黑体" w:eastAsia="黑体"/>
          <w:b w:val="0"/>
        </w:rPr>
      </w:pPr>
      <w:bookmarkStart w:id="32" w:name="_Toc15396605"/>
      <w:bookmarkStart w:id="33" w:name="_Toc15377207"/>
      <w:r>
        <w:rPr>
          <w:rFonts w:hint="eastAsia" w:ascii="黑体" w:hAnsi="黑体" w:eastAsia="黑体"/>
          <w:sz w:val="32"/>
          <w:szCs w:val="32"/>
        </w:rPr>
        <w:t>支</w:t>
      </w:r>
      <w:r>
        <w:rPr>
          <w:rStyle w:val="28"/>
          <w:rFonts w:hint="eastAsia" w:ascii="黑体" w:hAnsi="黑体" w:eastAsia="黑体"/>
          <w:b w:val="0"/>
        </w:rPr>
        <w:t>出决算情况说明</w:t>
      </w:r>
      <w:bookmarkEnd w:id="32"/>
      <w:bookmarkEnd w:id="33"/>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2021年本年支出合计471.64万元，其中：基本支出363.84万元，占77.14%；项目支出107.80万元，占22.86%；上缴上级支出0万元，占0%；经营支出0万元，占0%；对附属单位补助支出0万元，占0%。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73660</wp:posOffset>
            </wp:positionH>
            <wp:positionV relativeFrom="paragraph">
              <wp:posOffset>266065</wp:posOffset>
            </wp:positionV>
            <wp:extent cx="5614670" cy="4124325"/>
            <wp:effectExtent l="19050" t="0" r="5246"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rcRect/>
                    <a:stretch>
                      <a:fillRect/>
                    </a:stretch>
                  </pic:blipFill>
                  <pic:spPr>
                    <a:xfrm>
                      <a:off x="0" y="0"/>
                      <a:ext cx="5614504" cy="4124325"/>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pPr>
    </w:p>
    <w:p>
      <w:pPr>
        <w:spacing w:line="600" w:lineRule="exact"/>
        <w:ind w:firstLine="640" w:firstLineChars="200"/>
        <w:outlineLvl w:val="1"/>
        <w:rPr>
          <w:rStyle w:val="28"/>
          <w:rFonts w:ascii="黑体" w:hAnsi="黑体" w:eastAsia="黑体"/>
          <w:b w:val="0"/>
        </w:rPr>
      </w:pPr>
      <w:bookmarkStart w:id="34" w:name="_Toc15377208"/>
      <w:bookmarkStart w:id="3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4"/>
      <w:bookmarkEnd w:id="35"/>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2021年财政拨款收、支总计472.96万元。因2020年峨眉山市统战部和峨眉山市工商联未合并汇算，因此无法进行上下年比对。</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36" w:name="_Toc15396607"/>
      <w:bookmarkStart w:id="3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21年一般公共预算财政拨款支出471.64万元，占本年支出合计的100</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sz w:val="32"/>
          <w:szCs w:val="32"/>
        </w:rPr>
        <w:t>因2020年峨眉山市统战部和峨眉山市工商联未合并汇算，因此无法进行上下年比对。</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471.64万元，主要用于以下方面:一般公共服务（类）支出389.47万元，占82.58%；教育支出（类）0万元，占0%；科学技术（类）支出0万元，占0%；文化旅游体育与传媒（类）支出0万元，占0%；社会保障和就业（类）支出39.24万元，占8.32%；卫生健康支出11.64万元，占2.47%；住房保障支出31.29万元，占6.63%；…。</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2"/>
        <w:rPr>
          <w:rFonts w:hint="eastAsia" w:ascii="楷体_GB2312" w:hAnsi="楷体_GB2312" w:eastAsia="楷体_GB2312" w:cs="楷体_GB2312"/>
          <w:bCs/>
          <w:sz w:val="32"/>
          <w:szCs w:val="32"/>
        </w:rPr>
      </w:pPr>
      <w:bookmarkStart w:id="40" w:name="_Toc15377212"/>
      <w:r>
        <w:rPr>
          <w:rFonts w:hint="eastAsia" w:ascii="楷体_GB2312" w:hAnsi="楷体_GB2312" w:eastAsia="楷体_GB2312" w:cs="楷体_GB2312"/>
          <w:bCs/>
          <w:sz w:val="32"/>
          <w:szCs w:val="32"/>
        </w:rPr>
        <w:drawing>
          <wp:anchor distT="0" distB="0" distL="114300" distR="114300" simplePos="0" relativeHeight="251661312" behindDoc="0" locked="0" layoutInCell="1" allowOverlap="1">
            <wp:simplePos x="0" y="0"/>
            <wp:positionH relativeFrom="column">
              <wp:posOffset>-30480</wp:posOffset>
            </wp:positionH>
            <wp:positionV relativeFrom="paragraph">
              <wp:posOffset>180340</wp:posOffset>
            </wp:positionV>
            <wp:extent cx="5761990" cy="4295775"/>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a:srcRect/>
                    <a:stretch>
                      <a:fillRect/>
                    </a:stretch>
                  </pic:blipFill>
                  <pic:spPr>
                    <a:xfrm>
                      <a:off x="0" y="0"/>
                      <a:ext cx="5761942" cy="4295775"/>
                    </a:xfrm>
                    <a:prstGeom prst="rect">
                      <a:avLst/>
                    </a:prstGeom>
                    <a:noFill/>
                  </pic:spPr>
                </pic:pic>
              </a:graphicData>
            </a:graphic>
          </wp:anchor>
        </w:drawing>
      </w: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spacing w:line="600" w:lineRule="exact"/>
        <w:ind w:firstLine="640" w:firstLineChars="200"/>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（三）一般公共预算财政拨款支出决算具体情况</w:t>
      </w:r>
      <w:bookmarkEnd w:id="40"/>
    </w:p>
    <w:p>
      <w:pPr>
        <w:spacing w:line="600" w:lineRule="exact"/>
        <w:ind w:firstLine="640" w:firstLineChars="200"/>
        <w:outlineLvl w:val="2"/>
        <w:rPr>
          <w:rFonts w:ascii="仿宋_GB2312" w:hAnsi="仿宋_GB2312" w:eastAsia="仿宋_GB2312" w:cs="仿宋_GB2312"/>
          <w:bCs/>
          <w:sz w:val="32"/>
          <w:szCs w:val="32"/>
        </w:rPr>
      </w:pPr>
      <w:bookmarkStart w:id="41" w:name="_Toc15378460"/>
      <w:bookmarkStart w:id="42" w:name="_Toc15377444"/>
      <w:bookmarkStart w:id="43" w:name="_Toc15377213"/>
      <w:r>
        <w:rPr>
          <w:rFonts w:hint="eastAsia" w:ascii="仿宋_GB2312" w:hAnsi="仿宋_GB2312" w:eastAsia="仿宋_GB2312" w:cs="仿宋_GB2312"/>
          <w:bCs/>
          <w:sz w:val="32"/>
          <w:szCs w:val="32"/>
        </w:rPr>
        <w:t>2021年一般公共预算支出决算数为471.64万元，</w:t>
      </w:r>
      <w:r>
        <w:rPr>
          <w:rStyle w:val="17"/>
          <w:rFonts w:hint="eastAsia" w:ascii="仿宋_GB2312" w:hAnsi="仿宋_GB2312" w:eastAsia="仿宋_GB2312" w:cs="仿宋_GB2312"/>
          <w:b w:val="0"/>
          <w:bCs/>
          <w:sz w:val="32"/>
          <w:szCs w:val="32"/>
        </w:rPr>
        <w:t>完成预算100%。其中：</w:t>
      </w:r>
      <w:bookmarkEnd w:id="41"/>
      <w:bookmarkEnd w:id="42"/>
      <w:bookmarkEnd w:id="43"/>
    </w:p>
    <w:p>
      <w:pPr>
        <w:spacing w:line="600" w:lineRule="exact"/>
        <w:ind w:firstLine="640"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1．一般公共服务（类）港澳台事务（款）台湾事务（项）: 支出决算为10.36万元，完成预算100%，决算数与于预算数持平。</w:t>
      </w:r>
    </w:p>
    <w:p>
      <w:pPr>
        <w:spacing w:line="600" w:lineRule="exact"/>
        <w:ind w:firstLine="640"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2．一般公共服务（类）民主党派及工商联事务（款）行政运行（项）: 支出决算为67.38万元，完成预算100%，决算数与于预算数持平。</w:t>
      </w:r>
    </w:p>
    <w:p>
      <w:pPr>
        <w:pStyle w:val="6"/>
        <w:spacing w:before="93"/>
      </w:pPr>
    </w:p>
    <w:p>
      <w:pPr>
        <w:spacing w:line="600" w:lineRule="exact"/>
        <w:ind w:firstLine="640"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3．一般公共服务（类）民主党派及工商联事务（款）一般行政事务管理（项）: 支出决算为18.83万元，完成预算100%，决算数与于预算数持平。</w:t>
      </w:r>
    </w:p>
    <w:p>
      <w:pPr>
        <w:spacing w:line="600" w:lineRule="exact"/>
        <w:ind w:firstLine="640"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4．一般公共服务（类）统战事务（款）行政运行（项）: 支出决算为197.57万元，完成预算100%，决算数与于预算数持平。</w:t>
      </w:r>
    </w:p>
    <w:p>
      <w:pPr>
        <w:spacing w:line="600" w:lineRule="exact"/>
        <w:ind w:firstLine="640"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5．一般公共服务（类）统战事务（款）一般行政事务管理（项）: 支出决算为34.60万元，完成预算100%，决算数与于预算数持平。</w:t>
      </w:r>
    </w:p>
    <w:p>
      <w:pPr>
        <w:spacing w:line="600" w:lineRule="exact"/>
        <w:ind w:firstLine="640" w:firstLineChars="200"/>
        <w:rPr>
          <w:rFonts w:ascii="仿宋_GB2312" w:hAnsi="仿宋_GB2312" w:eastAsia="仿宋_GB2312" w:cs="仿宋_GB2312"/>
          <w:bCs/>
          <w:color w:val="000000"/>
          <w:sz w:val="32"/>
          <w:szCs w:val="32"/>
        </w:rPr>
      </w:pPr>
      <w:r>
        <w:rPr>
          <w:rStyle w:val="17"/>
          <w:rFonts w:hint="eastAsia" w:ascii="仿宋_GB2312" w:hAnsi="仿宋_GB2312" w:eastAsia="仿宋_GB2312" w:cs="仿宋_GB2312"/>
          <w:b w:val="0"/>
          <w:bCs/>
          <w:color w:val="000000"/>
          <w:sz w:val="32"/>
          <w:szCs w:val="32"/>
        </w:rPr>
        <w:t>6．一般公共服务（类）统战事务（款）宗教事务（项）: 支出决算为41.79万元，完成预算100%，决算数与于预算数持平。</w:t>
      </w:r>
    </w:p>
    <w:p>
      <w:pPr>
        <w:spacing w:line="600" w:lineRule="exact"/>
        <w:ind w:firstLine="640" w:firstLineChars="200"/>
        <w:rPr>
          <w:rFonts w:ascii="仿宋_GB2312" w:hAnsi="仿宋_GB2312" w:eastAsia="仿宋_GB2312" w:cs="仿宋_GB2312"/>
          <w:bCs/>
          <w:color w:val="000000"/>
          <w:sz w:val="32"/>
          <w:szCs w:val="32"/>
        </w:rPr>
      </w:pPr>
      <w:r>
        <w:rPr>
          <w:rStyle w:val="17"/>
          <w:rFonts w:hint="eastAsia" w:ascii="仿宋_GB2312" w:hAnsi="仿宋_GB2312" w:eastAsia="仿宋_GB2312" w:cs="仿宋_GB2312"/>
          <w:b w:val="0"/>
          <w:bCs/>
          <w:color w:val="000000"/>
          <w:sz w:val="32"/>
          <w:szCs w:val="32"/>
        </w:rPr>
        <w:t>7．一般公共服务（类）统战事务（款）华侨事务（项）: 支出决算为2.23万元，完成预算100%，决算数与于预算数持平。</w:t>
      </w:r>
    </w:p>
    <w:p>
      <w:pPr>
        <w:spacing w:line="600" w:lineRule="exact"/>
        <w:ind w:firstLine="640"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8．一般公共服务（类）统战事务（款）事业运行（项）: 支出决算为16.71万元，完成预算100%，决算数与于预算数持平。</w:t>
      </w:r>
    </w:p>
    <w:p>
      <w:pPr>
        <w:spacing w:line="600" w:lineRule="exact"/>
        <w:ind w:firstLine="640" w:firstLineChars="200"/>
        <w:rPr>
          <w:rFonts w:ascii="仿宋_GB2312" w:hAnsi="仿宋_GB2312" w:eastAsia="仿宋_GB2312" w:cs="仿宋_GB2312"/>
          <w:bCs/>
          <w:color w:val="000000"/>
          <w:sz w:val="32"/>
          <w:szCs w:val="32"/>
        </w:rPr>
      </w:pPr>
      <w:r>
        <w:rPr>
          <w:rStyle w:val="17"/>
          <w:rFonts w:hint="eastAsia" w:ascii="仿宋_GB2312" w:hAnsi="仿宋_GB2312" w:eastAsia="仿宋_GB2312" w:cs="仿宋_GB2312"/>
          <w:b w:val="0"/>
          <w:bCs/>
          <w:color w:val="000000"/>
          <w:sz w:val="32"/>
          <w:szCs w:val="32"/>
        </w:rPr>
        <w:t>9．教育（类）***（款）***（项）: 本年无此项业务发生。</w:t>
      </w:r>
    </w:p>
    <w:p>
      <w:pPr>
        <w:spacing w:line="600" w:lineRule="exact"/>
        <w:ind w:firstLine="640" w:firstLineChars="200"/>
        <w:rPr>
          <w:rFonts w:ascii="仿宋_GB2312" w:hAnsi="仿宋_GB2312" w:eastAsia="仿宋_GB2312" w:cs="仿宋_GB2312"/>
          <w:bCs/>
          <w:color w:val="000000"/>
          <w:sz w:val="32"/>
          <w:szCs w:val="32"/>
        </w:rPr>
      </w:pPr>
      <w:r>
        <w:rPr>
          <w:rStyle w:val="17"/>
          <w:rFonts w:hint="eastAsia" w:ascii="仿宋_GB2312" w:hAnsi="仿宋_GB2312" w:eastAsia="仿宋_GB2312" w:cs="仿宋_GB2312"/>
          <w:b w:val="0"/>
          <w:bCs/>
          <w:color w:val="000000"/>
          <w:sz w:val="32"/>
          <w:szCs w:val="32"/>
        </w:rPr>
        <w:t>10．科学技术（类）***（款）***（项）: 本年无此项业务发生。</w:t>
      </w:r>
    </w:p>
    <w:p>
      <w:pPr>
        <w:spacing w:line="600" w:lineRule="exact"/>
        <w:ind w:firstLine="640" w:firstLineChars="200"/>
        <w:rPr>
          <w:rFonts w:ascii="仿宋_GB2312" w:hAnsi="仿宋_GB2312" w:eastAsia="仿宋_GB2312" w:cs="仿宋_GB2312"/>
          <w:bCs/>
          <w:color w:val="000000"/>
          <w:sz w:val="32"/>
          <w:szCs w:val="32"/>
        </w:rPr>
      </w:pPr>
      <w:r>
        <w:rPr>
          <w:rStyle w:val="17"/>
          <w:rFonts w:hint="eastAsia" w:ascii="仿宋_GB2312" w:hAnsi="仿宋_GB2312" w:eastAsia="仿宋_GB2312" w:cs="仿宋_GB2312"/>
          <w:b w:val="0"/>
          <w:bCs/>
          <w:color w:val="000000"/>
          <w:sz w:val="32"/>
          <w:szCs w:val="32"/>
        </w:rPr>
        <w:t>11．文化旅游体育与传媒（类）***（款）***（项）:本年无此项业务发生。</w:t>
      </w:r>
    </w:p>
    <w:p>
      <w:pPr>
        <w:spacing w:line="600" w:lineRule="exact"/>
        <w:ind w:firstLine="640"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12．社会保障和就业（类）行政事业单位养老（款）机关事业单位基本养老保险缴费（项）: 支出决算为21.13万元，完成预算100%，决算数与于预算数持平。</w:t>
      </w:r>
    </w:p>
    <w:p>
      <w:pPr>
        <w:spacing w:line="600" w:lineRule="exact"/>
        <w:ind w:firstLine="640"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13．社会保障和就业（类）行政事业单位养老（款）机关事业单位职业年金缴费（项）: 支出决算为11.79万元，完成预算100%，决算数与于预算数持平。</w:t>
      </w:r>
    </w:p>
    <w:p>
      <w:pPr>
        <w:spacing w:line="600" w:lineRule="exact"/>
        <w:ind w:firstLine="640" w:firstLineChars="200"/>
        <w:rPr>
          <w:rFonts w:ascii="仿宋_GB2312" w:hAnsi="仿宋_GB2312" w:eastAsia="仿宋_GB2312" w:cs="仿宋_GB2312"/>
          <w:bCs/>
          <w:color w:val="000000"/>
          <w:sz w:val="32"/>
          <w:szCs w:val="32"/>
        </w:rPr>
      </w:pPr>
      <w:r>
        <w:rPr>
          <w:rStyle w:val="17"/>
          <w:rFonts w:hint="eastAsia" w:ascii="仿宋_GB2312" w:hAnsi="仿宋_GB2312" w:eastAsia="仿宋_GB2312" w:cs="仿宋_GB2312"/>
          <w:b w:val="0"/>
          <w:bCs/>
          <w:color w:val="000000"/>
          <w:sz w:val="32"/>
          <w:szCs w:val="32"/>
        </w:rPr>
        <w:t>14．社会保障和就业（类）其他社会保障和就业（款）其他社会保障和就业（项）: 支出决算为6.32万元，完成预算100%，决算数与于预算数持平。</w:t>
      </w:r>
    </w:p>
    <w:p>
      <w:pPr>
        <w:spacing w:line="600" w:lineRule="exact"/>
        <w:ind w:firstLine="640" w:firstLineChars="200"/>
        <w:rPr>
          <w:rStyle w:val="17"/>
          <w:rFonts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15．</w:t>
      </w:r>
      <w:r>
        <w:rPr>
          <w:rFonts w:hint="eastAsia" w:ascii="仿宋_GB2312" w:hAnsi="仿宋_GB2312" w:eastAsia="仿宋_GB2312" w:cs="仿宋_GB2312"/>
          <w:bCs/>
          <w:color w:val="000000"/>
          <w:sz w:val="32"/>
          <w:szCs w:val="32"/>
        </w:rPr>
        <w:t>卫生健康</w:t>
      </w:r>
      <w:r>
        <w:rPr>
          <w:rStyle w:val="17"/>
          <w:rFonts w:hint="eastAsia" w:ascii="仿宋_GB2312" w:hAnsi="仿宋_GB2312" w:eastAsia="仿宋_GB2312" w:cs="仿宋_GB2312"/>
          <w:b w:val="0"/>
          <w:bCs/>
          <w:color w:val="000000"/>
          <w:sz w:val="32"/>
          <w:szCs w:val="32"/>
        </w:rPr>
        <w:t>（类）行政事业单位医疗（款）行政单位医疗（项）:支出决算为8.34万元，完成预算100%，决算数与于预算数持平。</w:t>
      </w:r>
    </w:p>
    <w:p>
      <w:pPr>
        <w:spacing w:line="600" w:lineRule="exact"/>
        <w:ind w:firstLine="640"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 w:val="0"/>
          <w:bCs/>
          <w:color w:val="000000"/>
          <w:sz w:val="32"/>
          <w:szCs w:val="32"/>
        </w:rPr>
        <w:t>16．</w:t>
      </w:r>
      <w:r>
        <w:rPr>
          <w:rFonts w:hint="eastAsia" w:ascii="仿宋_GB2312" w:hAnsi="仿宋_GB2312" w:eastAsia="仿宋_GB2312" w:cs="仿宋_GB2312"/>
          <w:bCs/>
          <w:color w:val="000000"/>
          <w:sz w:val="32"/>
          <w:szCs w:val="32"/>
        </w:rPr>
        <w:t>卫生健康</w:t>
      </w:r>
      <w:r>
        <w:rPr>
          <w:rStyle w:val="17"/>
          <w:rFonts w:hint="eastAsia" w:ascii="仿宋_GB2312" w:hAnsi="仿宋_GB2312" w:eastAsia="仿宋_GB2312" w:cs="仿宋_GB2312"/>
          <w:b w:val="0"/>
          <w:bCs/>
          <w:color w:val="000000"/>
          <w:sz w:val="32"/>
          <w:szCs w:val="32"/>
        </w:rPr>
        <w:t>（类）行政事业单位医疗（款）公务员医疗补助（项）:支出决算为3.30万元，完成预算100%，决算数与于预算数持平。</w:t>
      </w:r>
    </w:p>
    <w:p>
      <w:pPr>
        <w:pStyle w:val="6"/>
        <w:spacing w:before="93"/>
      </w:pPr>
      <w:r>
        <w:rPr>
          <w:rStyle w:val="17"/>
          <w:rFonts w:hint="eastAsia" w:hAnsi="仿宋_GB2312" w:cs="仿宋_GB2312"/>
          <w:b w:val="0"/>
          <w:bCs/>
          <w:color w:val="000000"/>
          <w:sz w:val="32"/>
          <w:szCs w:val="32"/>
        </w:rPr>
        <w:t xml:space="preserve">    17．</w:t>
      </w:r>
      <w:r>
        <w:rPr>
          <w:rFonts w:hint="eastAsia" w:hAnsi="仿宋_GB2312" w:cs="仿宋_GB2312"/>
          <w:bCs/>
          <w:color w:val="000000"/>
          <w:sz w:val="32"/>
          <w:szCs w:val="32"/>
        </w:rPr>
        <w:t>住房保障</w:t>
      </w:r>
      <w:r>
        <w:rPr>
          <w:rStyle w:val="17"/>
          <w:rFonts w:hint="eastAsia" w:hAnsi="仿宋_GB2312" w:cs="仿宋_GB2312"/>
          <w:b w:val="0"/>
          <w:bCs/>
          <w:color w:val="000000"/>
          <w:sz w:val="32"/>
          <w:szCs w:val="32"/>
        </w:rPr>
        <w:t>（类）住房改革（款）住房公积金（项）:支出决算为31.29万元，完成预算100%，决算数与于预算数持平。</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28"/>
        </w:rPr>
      </w:pPr>
      <w:bookmarkStart w:id="44" w:name="_Toc15396608"/>
      <w:bookmarkStart w:id="4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4"/>
      <w:bookmarkEnd w:id="45"/>
      <w:r>
        <w:rPr>
          <w:rStyle w:val="28"/>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2021年一般公共预算财政拨款基本支出363.84万元，其中：</w:t>
      </w:r>
    </w:p>
    <w:p>
      <w:pPr>
        <w:spacing w:line="60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319.07万元，主要包括：基本工资、津贴补贴、奖金、伙食补助费、绩效工资、机关事业单位基本养老保险缴费、职业年金缴费、职工基本医疗保险缴费、公务员医疗补助缴费、其他社会保障缴费、生活补助、奖励金、救济费、住房公积金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44.77万元，主要包括：办公费、、手续费、水费、电费、邮电费、物业管理费、差旅费、维修（护）费、租赁费、培训费、劳务费、委托业务费、工会经费、福利费、公务用车运行维护费、其他交通费、其他商品和服务支出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pPr>
        <w:spacing w:line="600" w:lineRule="exact"/>
        <w:ind w:firstLine="640"/>
        <w:rPr>
          <w:rFonts w:ascii="仿宋_GB2312" w:hAnsi="仿宋_GB2312" w:eastAsia="仿宋_GB2312" w:cs="仿宋_GB2312"/>
          <w:sz w:val="32"/>
          <w:szCs w:val="32"/>
        </w:rPr>
      </w:pPr>
    </w:p>
    <w:p>
      <w:pPr>
        <w:spacing w:line="600" w:lineRule="exact"/>
        <w:ind w:firstLine="640"/>
        <w:outlineLvl w:val="1"/>
        <w:rPr>
          <w:rStyle w:val="28"/>
          <w:rFonts w:ascii="黑体" w:hAnsi="黑体" w:eastAsia="黑体"/>
          <w:b w:val="0"/>
        </w:rPr>
      </w:pPr>
      <w:bookmarkStart w:id="46" w:name="_Toc15377215"/>
      <w:bookmarkStart w:id="47"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6"/>
      <w:bookmarkEnd w:id="47"/>
    </w:p>
    <w:p>
      <w:pPr>
        <w:spacing w:line="600" w:lineRule="exact"/>
        <w:ind w:firstLine="640"/>
        <w:outlineLvl w:val="2"/>
        <w:rPr>
          <w:rFonts w:ascii="楷体_GB2312" w:hAnsi="楷体_GB2312" w:eastAsia="楷体_GB2312" w:cs="楷体_GB2312"/>
          <w:bCs/>
          <w:sz w:val="32"/>
          <w:szCs w:val="32"/>
        </w:rPr>
      </w:pPr>
      <w:bookmarkStart w:id="48" w:name="_Toc15377216"/>
      <w:r>
        <w:rPr>
          <w:rFonts w:hint="eastAsia" w:ascii="楷体_GB2312" w:hAnsi="楷体_GB2312" w:eastAsia="楷体_GB2312" w:cs="楷体_GB2312"/>
          <w:bCs/>
          <w:sz w:val="32"/>
          <w:szCs w:val="32"/>
        </w:rPr>
        <w:t>（一）“三公”经费财政拨款支出决算总体情况说明</w:t>
      </w:r>
      <w:bookmarkEnd w:id="48"/>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2021年“三公”经费财政拨款支出决算为1.31万元，完成预算100%，决算数与预算数持平。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pPr>
        <w:spacing w:line="600" w:lineRule="exact"/>
        <w:ind w:firstLine="640"/>
        <w:outlineLvl w:val="2"/>
        <w:rPr>
          <w:rFonts w:ascii="楷体_GB2312" w:hAnsi="楷体_GB2312" w:eastAsia="楷体_GB2312" w:cs="楷体_GB2312"/>
          <w:bCs/>
          <w:sz w:val="32"/>
          <w:szCs w:val="32"/>
        </w:rPr>
      </w:pPr>
      <w:bookmarkStart w:id="49" w:name="_Toc15377217"/>
      <w:r>
        <w:rPr>
          <w:rFonts w:hint="eastAsia" w:ascii="楷体_GB2312" w:hAnsi="楷体_GB2312" w:eastAsia="楷体_GB2312" w:cs="楷体_GB2312"/>
          <w:bCs/>
          <w:sz w:val="32"/>
          <w:szCs w:val="32"/>
        </w:rPr>
        <w:t>（二）“三公”经费财政拨款支出决算具体情况说明</w:t>
      </w:r>
      <w:bookmarkEnd w:id="4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2021年“三公”经费财政拨款支出决算中，因公出国（境）费支出决算0元，占0%；公务用车购置及运行维护费支出决算0.20万元，占15.27%；公务接待费支出决算1.11万元，占84.73%。具体情况如下：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16510</wp:posOffset>
            </wp:positionH>
            <wp:positionV relativeFrom="paragraph">
              <wp:posOffset>151765</wp:posOffset>
            </wp:positionV>
            <wp:extent cx="5581650" cy="4248150"/>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0"/>
                    <a:srcRect/>
                    <a:stretch>
                      <a:fillRect/>
                    </a:stretch>
                  </pic:blipFill>
                  <pic:spPr>
                    <a:xfrm>
                      <a:off x="0" y="0"/>
                      <a:ext cx="5581650" cy="4248150"/>
                    </a:xfrm>
                    <a:prstGeom prst="rect">
                      <a:avLst/>
                    </a:prstGeom>
                    <a:noFill/>
                  </pic:spPr>
                </pic:pic>
              </a:graphicData>
            </a:graphic>
          </wp:anchor>
        </w:drawing>
      </w:r>
    </w:p>
    <w:p>
      <w:pPr>
        <w:spacing w:line="600" w:lineRule="exact"/>
        <w:ind w:firstLine="640"/>
        <w:rPr>
          <w:rFonts w:hint="eastAsia" w:ascii="仿宋_GB2312" w:hAnsi="仿宋_GB2312" w:eastAsia="仿宋_GB2312" w:cs="仿宋_GB2312"/>
          <w:sz w:val="32"/>
          <w:szCs w:val="32"/>
        </w:rPr>
      </w:pPr>
    </w:p>
    <w:p>
      <w:pPr>
        <w:spacing w:line="600" w:lineRule="exact"/>
        <w:ind w:firstLine="640"/>
        <w:rPr>
          <w:rFonts w:hint="eastAsia" w:ascii="仿宋_GB2312" w:hAnsi="仿宋_GB2312" w:eastAsia="仿宋_GB2312" w:cs="仿宋_GB2312"/>
          <w:sz w:val="32"/>
          <w:szCs w:val="32"/>
        </w:rPr>
      </w:pPr>
    </w:p>
    <w:p>
      <w:pPr>
        <w:spacing w:line="600" w:lineRule="exact"/>
        <w:ind w:firstLine="640"/>
        <w:rPr>
          <w:rFonts w:hint="eastAsia" w:ascii="仿宋_GB2312" w:hAnsi="仿宋_GB2312" w:eastAsia="仿宋_GB2312" w:cs="仿宋_GB2312"/>
          <w:sz w:val="32"/>
          <w:szCs w:val="32"/>
        </w:rPr>
      </w:pPr>
    </w:p>
    <w:p>
      <w:pPr>
        <w:spacing w:line="600" w:lineRule="exact"/>
        <w:ind w:firstLine="640"/>
        <w:rPr>
          <w:rFonts w:hint="eastAsia" w:ascii="仿宋_GB2312" w:hAnsi="仿宋_GB2312" w:eastAsia="仿宋_GB2312" w:cs="仿宋_GB2312"/>
          <w:sz w:val="32"/>
          <w:szCs w:val="32"/>
        </w:rPr>
      </w:pPr>
    </w:p>
    <w:p>
      <w:pPr>
        <w:spacing w:line="600" w:lineRule="exact"/>
        <w:ind w:firstLine="640"/>
        <w:rPr>
          <w:rFonts w:hint="eastAsia" w:ascii="仿宋_GB2312" w:hAnsi="仿宋_GB2312" w:eastAsia="仿宋_GB2312" w:cs="仿宋_GB2312"/>
          <w:sz w:val="32"/>
          <w:szCs w:val="32"/>
        </w:rPr>
      </w:pPr>
    </w:p>
    <w:p>
      <w:pPr>
        <w:spacing w:line="600" w:lineRule="exact"/>
        <w:ind w:firstLine="640"/>
        <w:rPr>
          <w:rFonts w:hint="eastAsia" w:ascii="仿宋_GB2312" w:hAnsi="仿宋_GB2312" w:eastAsia="仿宋_GB2312" w:cs="仿宋_GB2312"/>
          <w:sz w:val="32"/>
          <w:szCs w:val="32"/>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pStyle w:val="6"/>
        <w:spacing w:before="93"/>
        <w:rPr>
          <w:rFonts w:hint="eastAsia"/>
        </w:rPr>
      </w:pP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w:t>
      </w:r>
      <w:r>
        <w:rPr>
          <w:rStyle w:val="17"/>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全年安排因公出国（境）团组0次，出国（境）0人。本年无此项业务发生。</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2．公务用车购置及运行维护费支出0.20万元,</w:t>
      </w:r>
      <w:r>
        <w:rPr>
          <w:rStyle w:val="17"/>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。因2020年峨眉山市统战部和峨眉山市工商联未合并汇算，因此无法进行上下年比对。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2021年12月底，单位共有公务用车3辆，其中：轿车3辆、越野车0辆、载客汽车0辆。</w:t>
      </w:r>
    </w:p>
    <w:p>
      <w:pPr>
        <w:spacing w:line="600" w:lineRule="exact"/>
        <w:ind w:firstLine="640"/>
        <w:rPr>
          <w:rFonts w:ascii="仿宋_GB2312" w:hAnsi="仿宋_GB2312" w:eastAsia="仿宋_GB2312" w:cs="仿宋_GB2312"/>
          <w:bCs/>
          <w:sz w:val="32"/>
          <w:szCs w:val="32"/>
          <w:highlight w:val="none"/>
        </w:rPr>
      </w:pPr>
      <w:r>
        <w:rPr>
          <w:rFonts w:hint="eastAsia" w:ascii="仿宋_GB2312" w:hAnsi="仿宋_GB2312" w:eastAsia="仿宋_GB2312" w:cs="仿宋_GB2312"/>
          <w:sz w:val="32"/>
          <w:szCs w:val="32"/>
        </w:rPr>
        <w:t>公务用车运行维护费支出0.20万元。</w:t>
      </w:r>
      <w:r>
        <w:rPr>
          <w:rFonts w:hint="eastAsia" w:ascii="仿宋_GB2312" w:hAnsi="仿宋_GB2312" w:eastAsia="仿宋_GB2312" w:cs="仿宋_GB2312"/>
          <w:color w:val="000000"/>
          <w:sz w:val="32"/>
          <w:szCs w:val="32"/>
          <w:highlight w:val="none"/>
        </w:rPr>
        <w:t>主要用于</w:t>
      </w:r>
      <w:r>
        <w:rPr>
          <w:rFonts w:hint="eastAsia" w:ascii="仿宋_GB2312" w:eastAsia="仿宋_GB2312"/>
          <w:color w:val="000000"/>
          <w:sz w:val="32"/>
          <w:szCs w:val="32"/>
          <w:highlight w:val="none"/>
        </w:rPr>
        <w:t>主要用于峨眉山市工商联日常运行</w:t>
      </w:r>
      <w:r>
        <w:rPr>
          <w:rFonts w:hint="eastAsia" w:ascii="仿宋_GB2312" w:eastAsia="仿宋_GB2312"/>
          <w:color w:val="000000"/>
          <w:sz w:val="32"/>
          <w:szCs w:val="32"/>
          <w:highlight w:val="none"/>
          <w:lang w:eastAsia="zh-CN"/>
        </w:rPr>
        <w:t>、走访慰问会员企业</w:t>
      </w:r>
      <w:r>
        <w:rPr>
          <w:rFonts w:hint="eastAsia" w:ascii="仿宋_GB2312" w:hAnsi="仿宋_GB2312" w:eastAsia="仿宋_GB2312" w:cs="仿宋_GB2312"/>
          <w:bCs/>
          <w:sz w:val="32"/>
          <w:szCs w:val="32"/>
          <w:highlight w:val="none"/>
        </w:rPr>
        <w:t>等所需的公务用车燃料费、维修费、过路过桥费、保险费等支出。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3．公务接待费支出1.11万元，</w:t>
      </w:r>
      <w:r>
        <w:rPr>
          <w:rStyle w:val="17"/>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因2020年峨眉山市统战部和峨眉山市工商联未合并汇算，因此无法进行上下年比对。其中：</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国内公务接待支出1.11万元，</w:t>
      </w:r>
      <w:r>
        <w:rPr>
          <w:rFonts w:hint="eastAsia" w:ascii="仿宋_GB2312" w:hAnsi="仿宋_GB2312" w:eastAsia="仿宋_GB2312" w:cs="仿宋_GB2312"/>
          <w:color w:val="000000"/>
          <w:sz w:val="32"/>
          <w:szCs w:val="32"/>
        </w:rPr>
        <w:t>接待上级单位以及</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单位来峨调研考察等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国内公务接待9批次，139人次（不包括陪同人员），共计支出1.11万元</w:t>
      </w:r>
      <w:r>
        <w:rPr>
          <w:rFonts w:hint="eastAsia" w:ascii="仿宋_GB2312" w:hAnsi="仿宋_GB2312" w:eastAsia="仿宋_GB2312" w:cs="仿宋_GB2312"/>
          <w:sz w:val="32"/>
          <w:szCs w:val="32"/>
          <w:lang w:eastAsia="zh-CN"/>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外事接待支出0万元，外事接待0批次，0人，共计支出0万元，</w:t>
      </w:r>
      <w:r>
        <w:rPr>
          <w:rFonts w:ascii="仿宋_GB2312" w:hAnsi="仿宋_GB2312" w:eastAsia="仿宋_GB2312" w:cs="仿宋_GB2312"/>
          <w:sz w:val="32"/>
          <w:szCs w:val="32"/>
        </w:rPr>
        <w:t xml:space="preserve"> </w:t>
      </w:r>
    </w:p>
    <w:p>
      <w:pPr>
        <w:spacing w:line="600" w:lineRule="exact"/>
        <w:ind w:firstLine="640"/>
        <w:outlineLvl w:val="1"/>
        <w:rPr>
          <w:rFonts w:ascii="仿宋_GB2312" w:hAnsi="仿宋_GB2312" w:eastAsia="仿宋_GB2312" w:cs="仿宋_GB2312"/>
          <w:sz w:val="32"/>
          <w:szCs w:val="32"/>
        </w:rPr>
      </w:pPr>
      <w:bookmarkStart w:id="50" w:name="_Toc15396610"/>
      <w:bookmarkStart w:id="51"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52" w:name="_Toc15377219"/>
      <w:bookmarkStart w:id="53" w:name="_Toc15396611"/>
      <w:r>
        <w:rPr>
          <w:rStyle w:val="28"/>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8"/>
          <w:rFonts w:ascii="黑体" w:hAnsi="黑体" w:eastAsia="黑体"/>
          <w:b w:val="0"/>
        </w:rPr>
      </w:pPr>
      <w:bookmarkStart w:id="54" w:name="_Toc15377221"/>
      <w:bookmarkStart w:id="55" w:name="_Toc15396612"/>
      <w:r>
        <w:rPr>
          <w:rStyle w:val="28"/>
          <w:rFonts w:hint="eastAsia" w:ascii="黑体" w:hAnsi="黑体" w:eastAsia="黑体"/>
          <w:b w:val="0"/>
        </w:rPr>
        <w:t>其他重要事项的情况说明</w:t>
      </w:r>
      <w:bookmarkEnd w:id="54"/>
      <w:bookmarkEnd w:id="55"/>
    </w:p>
    <w:p>
      <w:pPr>
        <w:spacing w:line="600" w:lineRule="exact"/>
        <w:ind w:firstLine="640" w:firstLineChars="200"/>
        <w:outlineLvl w:val="2"/>
        <w:rPr>
          <w:rFonts w:ascii="楷体_GB2312" w:hAnsi="楷体_GB2312" w:eastAsia="楷体_GB2312" w:cs="楷体_GB2312"/>
          <w:bCs/>
          <w:sz w:val="32"/>
          <w:szCs w:val="32"/>
        </w:rPr>
      </w:pPr>
      <w:bookmarkStart w:id="56" w:name="_Toc15377222"/>
      <w:r>
        <w:rPr>
          <w:rFonts w:hint="eastAsia" w:ascii="楷体_GB2312" w:hAnsi="楷体_GB2312" w:eastAsia="楷体_GB2312" w:cs="楷体_GB2312"/>
          <w:bCs/>
          <w:sz w:val="32"/>
          <w:szCs w:val="32"/>
        </w:rPr>
        <w:t>（一）机关运行经费支出情况</w:t>
      </w:r>
      <w:bookmarkEnd w:id="56"/>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2021年，峨眉山市统战部机关运行经费支出44.77万元，因2020年峨眉山市统战部和峨眉山市工商联未合并汇算，因此无法进行上下年比对。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7" w:name="_Toc15377223"/>
      <w:r>
        <w:rPr>
          <w:rFonts w:hint="eastAsia" w:ascii="楷体_GB2312" w:hAnsi="楷体_GB2312" w:eastAsia="楷体_GB2312" w:cs="楷体_GB2312"/>
          <w:bCs/>
          <w:sz w:val="32"/>
          <w:szCs w:val="32"/>
        </w:rPr>
        <w:t>（二）政府采购支出情况</w:t>
      </w:r>
      <w:bookmarkEnd w:id="5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统战部政府采购支出总额0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8" w:name="_Toc15377224"/>
      <w:r>
        <w:rPr>
          <w:rFonts w:hint="eastAsia" w:ascii="楷体_GB2312" w:hAnsi="楷体_GB2312" w:eastAsia="楷体_GB2312" w:cs="楷体_GB2312"/>
          <w:bCs/>
          <w:sz w:val="32"/>
          <w:szCs w:val="32"/>
        </w:rPr>
        <w:t>（三）国有资产占有使用情况</w:t>
      </w:r>
      <w:bookmarkEnd w:id="58"/>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截至2021年12月31日，峨眉山市统战部共有车辆3辆，其中：主要领导干部用车0辆、机要通信用车0辆、应急保障用车0辆、特种专业技术用车1辆、其他用车2辆，</w:t>
      </w:r>
      <w:r>
        <w:rPr>
          <w:rFonts w:hint="eastAsia" w:ascii="仿宋_GB2312" w:hAnsi="仿宋_GB2312" w:eastAsia="仿宋_GB2312" w:cs="仿宋_GB2312"/>
          <w:sz w:val="32"/>
          <w:szCs w:val="32"/>
          <w:highlight w:val="none"/>
        </w:rPr>
        <w:t>其他用车主要是用于</w:t>
      </w:r>
      <w:r>
        <w:rPr>
          <w:rFonts w:hint="eastAsia" w:ascii="仿宋_GB2312" w:hAnsi="仿宋_GB2312" w:eastAsia="仿宋_GB2312" w:cs="仿宋_GB2312"/>
          <w:sz w:val="32"/>
          <w:szCs w:val="32"/>
          <w:highlight w:val="none"/>
          <w:lang w:val="en-US" w:eastAsia="zh-CN"/>
        </w:rPr>
        <w:t>日常工作运行，</w:t>
      </w:r>
      <w:r>
        <w:rPr>
          <w:rFonts w:hint="eastAsia" w:ascii="仿宋_GB2312" w:hAnsi="仿宋_GB2312" w:eastAsia="仿宋_GB2312" w:cs="仿宋_GB2312"/>
          <w:sz w:val="32"/>
          <w:szCs w:val="32"/>
        </w:rPr>
        <w:t>单价50万元以上通用设备0台（套），单价100万元以上专用设备0台（套）。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根据预算绩效管理要求，本部门在2021年度预算编制阶段，组织对</w:t>
      </w:r>
      <w:r>
        <w:rPr>
          <w:rFonts w:hint="eastAsia" w:ascii="仿宋_GB2312" w:hAnsi="仿宋_GB2312" w:eastAsia="仿宋_GB2312" w:cs="仿宋_GB2312"/>
          <w:sz w:val="32"/>
          <w:szCs w:val="32"/>
          <w:highlight w:val="none"/>
          <w:lang w:val="en-US" w:eastAsia="zh-CN"/>
        </w:rPr>
        <w:t>民主党派换届工作经费、侨联工作经费、基层组织建设费、调研经费项目、办公楼运行维护费、非公经济人士学习培训费等13</w:t>
      </w:r>
      <w:r>
        <w:rPr>
          <w:rFonts w:hint="eastAsia" w:ascii="仿宋_GB2312" w:hAnsi="仿宋_GB2312" w:eastAsia="仿宋_GB2312" w:cs="仿宋_GB2312"/>
          <w:sz w:val="32"/>
          <w:szCs w:val="32"/>
          <w:highlight w:val="none"/>
        </w:rPr>
        <w:t>个项目开展了预算事前绩效评估，对</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个项目开展了绩效自评。同时，本部门对2021年部门整体开展绩效自评，《2021年</w:t>
      </w:r>
      <w:r>
        <w:rPr>
          <w:rFonts w:hint="eastAsia" w:ascii="仿宋_GB2312" w:hAnsi="仿宋_GB2312" w:eastAsia="仿宋_GB2312" w:cs="仿宋_GB2312"/>
          <w:sz w:val="32"/>
          <w:szCs w:val="32"/>
          <w:highlight w:val="none"/>
          <w:lang w:val="en-US" w:eastAsia="zh-CN"/>
        </w:rPr>
        <w:t>统战部</w:t>
      </w:r>
      <w:r>
        <w:rPr>
          <w:rFonts w:hint="eastAsia" w:ascii="仿宋_GB2312" w:hAnsi="仿宋_GB2312" w:eastAsia="仿宋_GB2312" w:cs="仿宋_GB2312"/>
          <w:sz w:val="32"/>
          <w:szCs w:val="32"/>
          <w:highlight w:val="none"/>
        </w:rPr>
        <w:t>部门整体绩效评价报告》见附件（第四部分）。</w:t>
      </w:r>
    </w:p>
    <w:p>
      <w:pPr>
        <w:widowControl/>
        <w:spacing w:line="600" w:lineRule="exact"/>
        <w:jc w:val="left"/>
        <w:rPr>
          <w:rFonts w:ascii="仿宋_GB2312" w:eastAsia="仿宋_GB2312"/>
          <w:b/>
          <w:sz w:val="32"/>
          <w:szCs w:val="32"/>
          <w:highlight w:val="none"/>
        </w:rPr>
      </w:pPr>
      <w:r>
        <w:rPr>
          <w:rFonts w:ascii="仿宋_GB2312" w:eastAsia="仿宋_GB2312"/>
          <w:b/>
          <w:sz w:val="32"/>
          <w:szCs w:val="32"/>
          <w:highlight w:val="none"/>
        </w:rPr>
        <w:br w:type="page"/>
      </w:r>
    </w:p>
    <w:p>
      <w:pPr>
        <w:spacing w:line="600" w:lineRule="exact"/>
        <w:jc w:val="center"/>
        <w:outlineLvl w:val="0"/>
        <w:rPr>
          <w:rStyle w:val="27"/>
          <w:rFonts w:ascii="方正小标宋_GBK" w:hAnsi="方正小标宋_GBK" w:eastAsia="方正小标宋_GBK" w:cs="方正小标宋_GBK"/>
          <w:b w:val="0"/>
        </w:rPr>
      </w:pPr>
      <w:bookmarkStart w:id="59" w:name="_Toc15377225"/>
      <w:bookmarkStart w:id="60" w:name="_Toc15396613"/>
      <w:r>
        <w:rPr>
          <w:rFonts w:hint="eastAsia" w:ascii="方正小标宋_GBK" w:hAnsi="方正小标宋_GBK" w:eastAsia="方正小标宋_GBK" w:cs="方正小标宋_GBK"/>
          <w:sz w:val="44"/>
          <w:szCs w:val="44"/>
        </w:rPr>
        <w:t>第三部分名</w:t>
      </w:r>
      <w:r>
        <w:rPr>
          <w:rStyle w:val="27"/>
          <w:rFonts w:hint="eastAsia" w:ascii="方正小标宋_GBK" w:hAnsi="方正小标宋_GBK" w:eastAsia="方正小标宋_GBK" w:cs="方正小标宋_GBK"/>
          <w:b w:val="0"/>
        </w:rPr>
        <w:t>词解释</w:t>
      </w:r>
      <w:bookmarkEnd w:id="59"/>
      <w:bookmarkEnd w:id="60"/>
    </w:p>
    <w:p>
      <w:pPr>
        <w:spacing w:line="600" w:lineRule="exact"/>
        <w:jc w:val="left"/>
        <w:rPr>
          <w:rFonts w:ascii="宋体"/>
          <w:b/>
          <w:sz w:val="44"/>
          <w:szCs w:val="44"/>
        </w:rPr>
      </w:pP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九、一般公共服务（类）港澳台事务（款）台湾事务（项）：反映用于台湾事务方面的支出。</w:t>
      </w:r>
    </w:p>
    <w:p>
      <w:pPr>
        <w:pStyle w:val="25"/>
        <w:spacing w:line="600" w:lineRule="exact"/>
        <w:ind w:firstLine="640" w:firstLineChars="200"/>
        <w:rPr>
          <w:rFonts w:ascii="仿宋_GB2312" w:eastAsia="仿宋_GB2312"/>
          <w:color w:val="auto"/>
          <w:sz w:val="32"/>
          <w:szCs w:val="32"/>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十、一般公共服务（类）民主党派及工商联事务（款）行政运行（项）：指反映工商联的基本支出。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十一、一般公共服务（类）民主党派及工商联事务（款）一般行政管理事务（项）：反映工商联未单独设置顶级科目的其他项目支出。</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十二、一般公共服务（类）统战事务（款）行政运行（项）：反映行政单位（包括实行公务员管理的事业单位）的基本支出。</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十三、 一般公共服务（类）统战事务（款）一般行政管理事务（项）：指反映行政单位（包括实行公务员管理的事业单位）未单独设置项级科目的其他项目支出。</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十四、 一般公共服务（类）统战事务（款）宗教事务（项）：指反映用于宗教事务管理方面的支出。</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十五、一般公共服务（类）统战事务（款）华侨事务（项）：指反映有关华侨接待安置、生活困难补助以及华文教育等方面的支出。</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十六、一般公共服务（类）统战事务（款）事业运行（项）：指反映事业单位的基本支出，不包括行政单位（包括实行公务员管理的事业单位）后勤服务中心、医务室等附属事业单位。</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十七、社会保障和就业（类）行政事业单位养老支出（款）机关事业单位基本养老保险缴费支出（项）：是指反映机关事业单位实施养老保险制度由单位缴纳的基本养老保险支出。</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十八、社会保障和就业（类）行政事业单位养老支出（款）机关事业单位职业年金缴费支出（项）：是指反映机关事业单位实施养老保险制度由单位缴纳的职业年金支出。</w:t>
      </w:r>
    </w:p>
    <w:p>
      <w:pPr>
        <w:pStyle w:val="25"/>
        <w:spacing w:line="560" w:lineRule="exact"/>
        <w:ind w:firstLine="640" w:firstLineChars="200"/>
        <w:rPr>
          <w:rFonts w:hAnsi="仿宋"/>
          <w:sz w:val="32"/>
          <w:szCs w:val="32"/>
        </w:rPr>
      </w:pPr>
      <w:r>
        <w:rPr>
          <w:rFonts w:hint="eastAsia" w:hAnsi="仿宋"/>
          <w:sz w:val="32"/>
          <w:szCs w:val="32"/>
        </w:rPr>
        <w:t>十九、社会保障和就业（类）其他社会保障和就业支出（款）其他社会保障和就业支出（项）:是指反映除上述项目以外其他用于社会保障和就业方面的支出。</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二十、卫生健康支出（类）行政事业单位医疗（款）行政单位医疗（项）:是指反映财政部门集中安排的行政单位基本医疗保险缴费经费，未参加医疗保险的行政单位的公费医疗经费，按国家规定享受离退休人员、红军老战士待遇人员的医疗经费。</w:t>
      </w:r>
    </w:p>
    <w:p>
      <w:pPr>
        <w:pStyle w:val="25"/>
        <w:spacing w:line="600" w:lineRule="exact"/>
        <w:ind w:firstLine="640" w:firstLineChars="200"/>
        <w:rPr>
          <w:rFonts w:ascii="仿宋_GB2312" w:eastAsia="仿宋_GB2312"/>
          <w:sz w:val="32"/>
          <w:szCs w:val="32"/>
        </w:rPr>
      </w:pPr>
      <w:r>
        <w:rPr>
          <w:rFonts w:hint="eastAsia" w:ascii="仿宋_GB2312" w:eastAsia="仿宋_GB2312"/>
          <w:sz w:val="32"/>
          <w:szCs w:val="32"/>
        </w:rPr>
        <w:t>二十一、住房保障支出（类）住房改革支出（款）住房公积金（项）:是指反映行政事业单位按人力资源和社会保障部、财政部规定的基本工资和津贴补贴以及规定比例为职工缴纳的住房公积金。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二十二、基本支出：指为保障机构正常运转、完成日常工作任务而发生的人员支出和公用支出。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二十三、项目支出：指在基本支出之外为完成特定行政任务和事业发展目标所发生的支出。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二十四、经营支出：指事业单位在专业业务活动及其辅助活动之外开展非独立核算经营活动发生的支出。</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五、“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pPr>
        <w:spacing w:line="600" w:lineRule="exact"/>
        <w:jc w:val="center"/>
        <w:outlineLvl w:val="0"/>
        <w:rPr>
          <w:rStyle w:val="27"/>
          <w:rFonts w:ascii="方正小标宋_GBK" w:hAnsi="方正小标宋_GBK" w:eastAsia="方正小标宋_GBK" w:cs="方正小标宋_GBK"/>
          <w:b w:val="0"/>
          <w:bCs w:val="0"/>
          <w:highlight w:val="none"/>
        </w:rPr>
      </w:pPr>
      <w:bookmarkStart w:id="61" w:name="_Toc15377226"/>
      <w:r>
        <w:rPr>
          <w:rFonts w:ascii="宋体"/>
          <w:b/>
          <w:sz w:val="44"/>
          <w:szCs w:val="44"/>
        </w:rPr>
        <w:br w:type="page"/>
      </w:r>
      <w:bookmarkStart w:id="62" w:name="_Toc15396614"/>
      <w:r>
        <w:rPr>
          <w:rFonts w:hint="eastAsia" w:ascii="方正小标宋_GBK" w:hAnsi="方正小标宋_GBK" w:eastAsia="方正小标宋_GBK" w:cs="方正小标宋_GBK"/>
          <w:sz w:val="44"/>
          <w:szCs w:val="44"/>
          <w:highlight w:val="none"/>
        </w:rPr>
        <w:t>第</w:t>
      </w:r>
      <w:r>
        <w:rPr>
          <w:rStyle w:val="27"/>
          <w:rFonts w:hint="eastAsia" w:ascii="方正小标宋_GBK" w:hAnsi="方正小标宋_GBK" w:eastAsia="方正小标宋_GBK" w:cs="方正小标宋_GBK"/>
          <w:b w:val="0"/>
          <w:bCs w:val="0"/>
          <w:highlight w:val="none"/>
        </w:rPr>
        <w:t>四部分 附件</w:t>
      </w:r>
      <w:bookmarkEnd w:id="62"/>
    </w:p>
    <w:p>
      <w:pPr>
        <w:spacing w:line="600" w:lineRule="exact"/>
        <w:jc w:val="left"/>
        <w:outlineLvl w:val="0"/>
        <w:rPr>
          <w:rFonts w:ascii="方正小标宋简体" w:hAnsi="方正小标宋简体" w:eastAsia="方正小标宋简体" w:cs="方正小标宋简体"/>
          <w:sz w:val="44"/>
          <w:szCs w:val="44"/>
          <w:highlight w:val="none"/>
        </w:rPr>
      </w:pPr>
      <w:r>
        <w:rPr>
          <w:rFonts w:hint="eastAsia" w:ascii="黑体" w:hAnsi="黑体" w:eastAsia="黑体" w:cs="黑体"/>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sz w:val="44"/>
          <w:szCs w:val="44"/>
          <w:highlight w:val="none"/>
          <w:shd w:val="clear" w:color="auto" w:fill="FFFFFF"/>
        </w:rPr>
        <w:t>20</w:t>
      </w: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21</w:t>
      </w:r>
      <w:r>
        <w:rPr>
          <w:rFonts w:hint="eastAsia" w:ascii="方正小标宋简体" w:hAnsi="方正小标宋简体" w:eastAsia="方正小标宋简体" w:cs="方正小标宋简体"/>
          <w:b w:val="0"/>
          <w:bCs w:val="0"/>
          <w:sz w:val="44"/>
          <w:szCs w:val="44"/>
          <w:highlight w:val="none"/>
          <w:shd w:val="clear" w:color="auto" w:fill="FFFFFF"/>
        </w:rPr>
        <w:t>年</w:t>
      </w: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统战部</w:t>
      </w:r>
      <w:r>
        <w:rPr>
          <w:rFonts w:hint="eastAsia" w:ascii="方正小标宋简体" w:hAnsi="方正小标宋简体" w:eastAsia="方正小标宋简体" w:cs="方正小标宋简体"/>
          <w:b w:val="0"/>
          <w:bCs w:val="0"/>
          <w:sz w:val="44"/>
          <w:szCs w:val="44"/>
          <w:highlight w:val="none"/>
          <w:shd w:val="clear" w:color="auto" w:fill="FFFFFF"/>
        </w:rPr>
        <w:t>部门整体支出绩效评价报告</w:t>
      </w:r>
    </w:p>
    <w:p>
      <w:pPr>
        <w:widowControl/>
        <w:spacing w:line="600" w:lineRule="exact"/>
        <w:ind w:firstLine="640" w:firstLineChars="200"/>
        <w:contextualSpacing/>
        <w:jc w:val="center"/>
        <w:rPr>
          <w:rFonts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（报告范围包括机关和下属单位）</w:t>
      </w:r>
    </w:p>
    <w:p>
      <w:pPr>
        <w:widowControl/>
        <w:adjustRightInd w:val="0"/>
        <w:snapToGrid w:val="0"/>
        <w:spacing w:line="600" w:lineRule="exact"/>
        <w:ind w:firstLine="480" w:firstLineChars="200"/>
        <w:contextualSpacing/>
        <w:jc w:val="left"/>
        <w:rPr>
          <w:rFonts w:ascii="黑体" w:hAnsi="宋体" w:eastAsia="黑体" w:cs="宋体"/>
          <w:kern w:val="0"/>
          <w:sz w:val="24"/>
          <w:szCs w:val="32"/>
          <w:highlight w:val="none"/>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kern w:val="0"/>
          <w:sz w:val="32"/>
          <w:szCs w:val="32"/>
          <w:highlight w:val="none"/>
          <w:shd w:val="clear" w:color="auto" w:fill="FFFFFF"/>
          <w:lang w:val="zh-CN"/>
        </w:rPr>
      </w:pPr>
      <w:r>
        <w:rPr>
          <w:rFonts w:hint="eastAsia" w:ascii="黑体" w:hAnsi="宋体" w:eastAsia="黑体" w:cs="宋体"/>
          <w:kern w:val="0"/>
          <w:sz w:val="32"/>
          <w:szCs w:val="32"/>
          <w:highlight w:val="none"/>
          <w:shd w:val="clear" w:color="auto" w:fill="FFFFFF"/>
        </w:rPr>
        <w:t>一、</w:t>
      </w:r>
      <w:r>
        <w:rPr>
          <w:rFonts w:hint="eastAsia" w:ascii="黑体" w:hAnsi="宋体" w:eastAsia="黑体" w:cs="宋体"/>
          <w:kern w:val="0"/>
          <w:sz w:val="32"/>
          <w:szCs w:val="32"/>
          <w:highlight w:val="none"/>
          <w:shd w:val="clear" w:color="auto" w:fill="FFFFFF"/>
          <w:lang w:val="zh-CN"/>
        </w:rPr>
        <w:t>部门（单位）概况</w:t>
      </w:r>
    </w:p>
    <w:p>
      <w:pPr>
        <w:keepNext w:val="0"/>
        <w:keepLines w:val="0"/>
        <w:pageBreakBefore w:val="0"/>
        <w:kinsoku/>
        <w:wordWrap/>
        <w:overflowPunct/>
        <w:topLinePunct w:val="0"/>
        <w:autoSpaceDE/>
        <w:autoSpaceDN/>
        <w:bidi w:val="0"/>
        <w:snapToGrid w:val="0"/>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（一）基本情况。</w:t>
      </w:r>
    </w:p>
    <w:p>
      <w:pPr>
        <w:spacing w:line="600" w:lineRule="exact"/>
        <w:ind w:firstLine="640" w:firstLineChars="200"/>
        <w:outlineLvl w:val="1"/>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zh-CN" w:eastAsia="zh-CN" w:bidi="ar-SA"/>
        </w:rPr>
        <w:t>（一）机构组成：</w:t>
      </w:r>
      <w:r>
        <w:rPr>
          <w:rFonts w:hint="eastAsia" w:ascii="仿宋_GB2312" w:hAnsi="Calibri" w:eastAsia="仿宋_GB2312" w:cs="仿宋"/>
          <w:color w:val="auto"/>
          <w:kern w:val="0"/>
          <w:sz w:val="32"/>
          <w:szCs w:val="32"/>
          <w:highlight w:val="none"/>
          <w:lang w:val="en-US" w:eastAsia="zh-CN" w:bidi="ar-SA"/>
        </w:rPr>
        <w:t>统战部下属二级单位1个，其中行政单位1个，参照公务员法管理的事业单位0个，其他事业单位0个。</w:t>
      </w:r>
    </w:p>
    <w:p>
      <w:pPr>
        <w:spacing w:line="600" w:lineRule="exact"/>
        <w:ind w:firstLine="640" w:firstLineChars="200"/>
        <w:rPr>
          <w:rFonts w:ascii="仿宋" w:hAnsi="仿宋" w:eastAsia="仿宋"/>
          <w:bCs/>
          <w:color w:val="000000"/>
          <w:sz w:val="32"/>
          <w:szCs w:val="32"/>
        </w:rPr>
      </w:pPr>
      <w:r>
        <w:rPr>
          <w:rFonts w:hint="eastAsia" w:ascii="仿宋_GB2312" w:hAnsi="Calibri" w:eastAsia="仿宋_GB2312" w:cs="仿宋"/>
          <w:color w:val="auto"/>
          <w:kern w:val="0"/>
          <w:sz w:val="32"/>
          <w:szCs w:val="32"/>
          <w:highlight w:val="none"/>
          <w:lang w:val="zh-CN" w:eastAsia="zh-CN" w:bidi="ar-SA"/>
        </w:rPr>
        <w:t>（二）机构职能：</w:t>
      </w:r>
      <w:r>
        <w:rPr>
          <w:rFonts w:hint="eastAsia" w:ascii="仿宋_GB2312" w:eastAsia="仿宋_GB2312"/>
          <w:sz w:val="32"/>
          <w:szCs w:val="32"/>
        </w:rPr>
        <w:t xml:space="preserve">峨眉山市统战部是市委主管统一战线工作的职能部门，主要职责是：负责协调、监督、检查全市统一战线工作，负责联系各民主党派、工商联和无党派人士，负责党外人士的政治安排，贯彻落实党的民族工作方针和宗教工作基本方针和政策，统一领导港澳台统战工作，管理对台工作和侨务工作，负责对台宣传、涉台教育和有关台湾工作新闻发布，拟定全市侨务工作规划并组织协调、督促检查落实，调查研究侨情和侨务工作情况，管理侨务行政事务等工作。  </w:t>
      </w:r>
    </w:p>
    <w:p>
      <w:pPr>
        <w:spacing w:line="600" w:lineRule="exact"/>
        <w:ind w:firstLine="640" w:firstLineChars="200"/>
        <w:outlineLvl w:val="1"/>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峨眉山市工商联主要是参与地方大政方针政策及政治、经济、社会生活中的重要问题的政治协商，发挥民主监督作用，参政议政。做好工商界代表人士政治安排的推荐工作。发扬自我教育的优良传统，宣传、贯彻党和国家的方针政策，加强和改进思想政治工作，提倡爱国、敬业、守法，提高会员素质，培养积极分子队伍。代表并维护会员企业合法权益，反映会员的意见、要求和建议的单位。</w:t>
      </w:r>
    </w:p>
    <w:p>
      <w:pPr>
        <w:widowControl/>
        <w:adjustRightInd w:val="0"/>
        <w:snapToGrid w:val="0"/>
        <w:spacing w:line="360" w:lineRule="auto"/>
        <w:ind w:firstLine="720"/>
        <w:jc w:val="left"/>
        <w:rPr>
          <w:rFonts w:hint="eastAsia" w:ascii="仿宋" w:hAnsi="仿宋" w:eastAsia="仿宋" w:cs="仿宋"/>
          <w:sz w:val="32"/>
          <w:szCs w:val="32"/>
          <w:highlight w:val="yellow"/>
        </w:rPr>
      </w:pPr>
      <w:r>
        <w:rPr>
          <w:rFonts w:hint="eastAsia" w:ascii="仿宋_GB2312" w:hAnsi="Calibri" w:eastAsia="仿宋_GB2312" w:cs="仿宋"/>
          <w:color w:val="auto"/>
          <w:kern w:val="0"/>
          <w:sz w:val="32"/>
          <w:szCs w:val="32"/>
          <w:highlight w:val="none"/>
          <w:lang w:val="zh-CN" w:eastAsia="zh-CN" w:bidi="ar-SA"/>
        </w:rPr>
        <w:t>（三）人员概况：</w:t>
      </w:r>
      <w:r>
        <w:rPr>
          <w:rFonts w:hint="eastAsia" w:ascii="仿宋" w:hAnsi="仿宋" w:eastAsia="仿宋" w:cs="仿宋"/>
          <w:color w:val="000000"/>
          <w:kern w:val="0"/>
          <w:sz w:val="32"/>
          <w:szCs w:val="32"/>
          <w:shd w:val="clear" w:color="auto" w:fill="FFFFFF"/>
          <w:lang w:val="zh-CN"/>
        </w:rPr>
        <w:t>市委统战部共有行政编制</w:t>
      </w:r>
      <w:r>
        <w:rPr>
          <w:rFonts w:hint="eastAsia" w:ascii="仿宋" w:hAnsi="仿宋" w:eastAsia="仿宋" w:cs="仿宋"/>
          <w:color w:val="000000"/>
          <w:kern w:val="0"/>
          <w:sz w:val="32"/>
          <w:szCs w:val="32"/>
          <w:shd w:val="clear" w:color="auto" w:fill="FFFFFF"/>
        </w:rPr>
        <w:t>13人，工勤编制1人，侨联事业编制3人，202</w:t>
      </w: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年实有行政人员</w:t>
      </w:r>
      <w:r>
        <w:rPr>
          <w:rFonts w:hint="eastAsia" w:ascii="仿宋" w:hAnsi="仿宋" w:eastAsia="仿宋" w:cs="仿宋"/>
          <w:color w:val="000000"/>
          <w:kern w:val="0"/>
          <w:sz w:val="32"/>
          <w:szCs w:val="32"/>
          <w:shd w:val="clear" w:color="auto" w:fill="FFFFFF"/>
          <w:lang w:val="en-US" w:eastAsia="zh-CN"/>
        </w:rPr>
        <w:t>11</w:t>
      </w:r>
      <w:r>
        <w:rPr>
          <w:rFonts w:hint="eastAsia" w:ascii="仿宋" w:hAnsi="仿宋" w:eastAsia="仿宋" w:cs="仿宋"/>
          <w:color w:val="000000"/>
          <w:kern w:val="0"/>
          <w:sz w:val="32"/>
          <w:szCs w:val="32"/>
          <w:shd w:val="clear" w:color="auto" w:fill="FFFFFF"/>
        </w:rPr>
        <w:t>人</w:t>
      </w: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rPr>
        <w:t>工勤人员1人，侨联事业人员</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rPr>
        <w:t>人。</w:t>
      </w:r>
    </w:p>
    <w:p>
      <w:pPr>
        <w:widowControl/>
        <w:adjustRightInd w:val="0"/>
        <w:snapToGrid w:val="0"/>
        <w:spacing w:line="54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市工商联实有人数5人，其中行政编制5人，工勤人员0人。</w:t>
      </w:r>
    </w:p>
    <w:p>
      <w:pPr>
        <w:keepNext w:val="0"/>
        <w:keepLines w:val="0"/>
        <w:pageBreakBefore w:val="0"/>
        <w:kinsoku/>
        <w:wordWrap/>
        <w:overflowPunct/>
        <w:topLinePunct w:val="0"/>
        <w:autoSpaceDE/>
        <w:autoSpaceDN/>
        <w:bidi w:val="0"/>
        <w:snapToGrid w:val="0"/>
        <w:spacing w:line="560" w:lineRule="exact"/>
        <w:ind w:firstLine="640" w:firstLineChars="200"/>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（一）部门财政资金收入情况。</w:t>
      </w:r>
    </w:p>
    <w:p>
      <w:pPr>
        <w:spacing w:line="600" w:lineRule="exact"/>
        <w:ind w:firstLine="640" w:firstLineChars="200"/>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2021年财政资金收入总额为472.65万元，全部为财政拨款收入。</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（二）部门财政资金支出情况。</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2021年财政资金支出总额为471.64万元。其中：基本支出85.39万元，项目支出18.83万元。预算数为88.82万元，其中基本支出 58.82万元，项目支出30万元。项目支出较预算减少 11.17万元，主要因疫情原因，缩减了培训项目，培训经费减少。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三、部门整体预算绩效管理情况</w:t>
      </w:r>
    </w:p>
    <w:p>
      <w:pPr>
        <w:widowControl/>
        <w:adjustRightInd w:val="0"/>
        <w:snapToGrid w:val="0"/>
        <w:spacing w:line="60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（一）部门预算管理</w:t>
      </w:r>
    </w:p>
    <w:p>
      <w:pPr>
        <w:snapToGrid w:val="0"/>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我单位严格按照财政部门的要求和实现编制预决算、填报绩效目标和专项项目进度表；一般公共服务支出预算数为395.78万元，决算数为389.47万元；社会保障就业支出预算数为32.56万元，决算数为39.24万元；卫生健康支出预算数为8.09万元，决算数为11.64万元；住房保障支出预算数为31.09万元，决算数为31.29万元。</w:t>
      </w:r>
    </w:p>
    <w:p>
      <w:pPr>
        <w:snapToGrid w:val="0"/>
        <w:spacing w:line="560" w:lineRule="exact"/>
        <w:ind w:firstLine="640" w:firstLineChars="200"/>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20</w:t>
      </w:r>
      <w:r>
        <w:rPr>
          <w:rFonts w:hint="eastAsia" w:ascii="仿宋_GB2312" w:hAnsi="Calibri" w:eastAsia="仿宋_GB2312" w:cs="仿宋"/>
          <w:color w:val="auto"/>
          <w:kern w:val="0"/>
          <w:sz w:val="32"/>
          <w:szCs w:val="32"/>
          <w:highlight w:val="none"/>
          <w:lang w:val="en-US" w:eastAsia="zh-CN" w:bidi="ar-SA"/>
        </w:rPr>
        <w:t>21</w:t>
      </w:r>
      <w:r>
        <w:rPr>
          <w:rFonts w:hint="eastAsia" w:ascii="仿宋_GB2312" w:hAnsi="Calibri" w:eastAsia="仿宋_GB2312" w:cs="仿宋"/>
          <w:color w:val="auto"/>
          <w:kern w:val="0"/>
          <w:sz w:val="32"/>
          <w:szCs w:val="32"/>
          <w:highlight w:val="none"/>
          <w:lang w:val="zh-CN" w:eastAsia="zh-CN" w:bidi="ar-SA"/>
        </w:rPr>
        <w:t>年</w:t>
      </w: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年初预算绩效目标项目</w:t>
      </w:r>
      <w:r>
        <w:rPr>
          <w:rFonts w:hint="eastAsia" w:ascii="仿宋_GB2312" w:hAnsi="Calibri" w:eastAsia="仿宋_GB2312" w:cs="仿宋"/>
          <w:color w:val="auto"/>
          <w:kern w:val="0"/>
          <w:sz w:val="32"/>
          <w:szCs w:val="32"/>
          <w:highlight w:val="none"/>
          <w:lang w:val="en-US" w:eastAsia="zh-CN" w:bidi="ar-SA"/>
        </w:rPr>
        <w:t>15</w:t>
      </w:r>
      <w:r>
        <w:rPr>
          <w:rFonts w:hint="eastAsia" w:ascii="仿宋_GB2312" w:hAnsi="Calibri" w:eastAsia="仿宋_GB2312" w:cs="仿宋"/>
          <w:color w:val="auto"/>
          <w:kern w:val="0"/>
          <w:sz w:val="32"/>
          <w:szCs w:val="32"/>
          <w:highlight w:val="none"/>
          <w:lang w:val="zh-CN" w:eastAsia="zh-CN" w:bidi="ar-SA"/>
        </w:rPr>
        <w:t>个，实际通过项目</w:t>
      </w:r>
      <w:r>
        <w:rPr>
          <w:rFonts w:hint="eastAsia" w:ascii="仿宋_GB2312" w:hAnsi="Calibri" w:eastAsia="仿宋_GB2312" w:cs="仿宋"/>
          <w:color w:val="auto"/>
          <w:kern w:val="0"/>
          <w:sz w:val="32"/>
          <w:szCs w:val="32"/>
          <w:highlight w:val="none"/>
          <w:lang w:val="en-US" w:eastAsia="zh-CN" w:bidi="ar-SA"/>
        </w:rPr>
        <w:t>13</w:t>
      </w:r>
      <w:r>
        <w:rPr>
          <w:rFonts w:hint="eastAsia" w:ascii="仿宋_GB2312" w:hAnsi="Calibri" w:eastAsia="仿宋_GB2312" w:cs="仿宋"/>
          <w:color w:val="auto"/>
          <w:kern w:val="0"/>
          <w:sz w:val="32"/>
          <w:szCs w:val="32"/>
          <w:highlight w:val="none"/>
          <w:lang w:val="zh-CN" w:eastAsia="zh-CN" w:bidi="ar-SA"/>
        </w:rPr>
        <w:t>个。</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2021</w:t>
      </w:r>
      <w:r>
        <w:rPr>
          <w:rFonts w:hint="eastAsia" w:ascii="仿宋_GB2312" w:hAnsi="Calibri" w:eastAsia="仿宋_GB2312" w:cs="仿宋"/>
          <w:color w:val="auto"/>
          <w:kern w:val="0"/>
          <w:sz w:val="32"/>
          <w:szCs w:val="32"/>
          <w:highlight w:val="none"/>
          <w:lang w:val="zh-CN" w:eastAsia="zh-CN" w:bidi="ar-SA"/>
        </w:rPr>
        <w:t>年</w:t>
      </w: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在预算过程中基本做到项目支出的明细化，党外干部培训费、宗教人士生活补助、台湾事务工作经费、</w:t>
      </w:r>
      <w:r>
        <w:rPr>
          <w:rFonts w:hint="eastAsia" w:ascii="仿宋_GB2312" w:hAnsi="Calibri" w:eastAsia="仿宋_GB2312" w:cs="仿宋"/>
          <w:color w:val="auto"/>
          <w:kern w:val="0"/>
          <w:sz w:val="32"/>
          <w:szCs w:val="32"/>
          <w:highlight w:val="none"/>
          <w:lang w:val="en-US" w:eastAsia="zh-CN" w:bidi="ar-SA"/>
        </w:rPr>
        <w:t>非公经济人士学习培训费、办公楼运行维护费、调研经费、基层组织建设费</w:t>
      </w:r>
      <w:r>
        <w:rPr>
          <w:rFonts w:hint="eastAsia" w:ascii="仿宋_GB2312" w:hAnsi="Calibri" w:eastAsia="仿宋_GB2312" w:cs="仿宋"/>
          <w:color w:val="auto"/>
          <w:kern w:val="0"/>
          <w:sz w:val="32"/>
          <w:szCs w:val="32"/>
          <w:highlight w:val="none"/>
          <w:lang w:val="zh-CN" w:eastAsia="zh-CN" w:bidi="ar-SA"/>
        </w:rPr>
        <w:t>，并对相应费用的构成上报财政进行核实，基本在常年预算基础上对增加项目提供依据，如实预算。</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（二）执行管理情况。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2021年 6月</w:t>
      </w: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执行178.56万元、9月执行253.85万元、11月执行299.18万元、全年执行进度100%、中期评估：6月执行45.60%，9月执行69.09%，11月执行81.43%。</w:t>
      </w:r>
    </w:p>
    <w:p>
      <w:pPr>
        <w:spacing w:line="600" w:lineRule="exact"/>
        <w:ind w:firstLine="640" w:firstLineChars="200"/>
        <w:rPr>
          <w:rFonts w:hint="eastAsia"/>
          <w:lang w:val="zh-CN" w:eastAsia="zh-CN"/>
        </w:rPr>
      </w:pPr>
      <w:r>
        <w:rPr>
          <w:rFonts w:hint="eastAsia" w:ascii="仿宋_GB2312" w:hAnsi="Calibri" w:eastAsia="仿宋_GB2312" w:cs="仿宋"/>
          <w:color w:val="auto"/>
          <w:kern w:val="0"/>
          <w:sz w:val="32"/>
          <w:szCs w:val="32"/>
          <w:highlight w:val="none"/>
          <w:lang w:val="en-US" w:eastAsia="zh-CN" w:bidi="ar-SA"/>
        </w:rPr>
        <w:t>2021年1-6月工商联支出45.87万元，占全年支出数44.01%。 2021年1-9月支出74.14万元，占全年支出数71.14%。2021年1-11月支出85.47万元，占全年支出数82.01%。全年支出执行良好。6月、9月、11月、全年执行进度达到了本部门应达到的执行进度、中期评估无预算调整。</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（三）支出绩效情况。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1．部门支出绩效。</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（1）行政运转保障</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党外干部培训费：用于全市党外干部学习党的政策方针，一年内培训党外干部80人次以上；</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宗教人士生活补助：关心宗教人士生产生活，12名宗教人士每人每月2151元补贴；</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台湾事务工作经费：用于台湾事务办公室正常运转以及接待来我市重要台湾客人、台侨、台眷和来访关于台湾事务的团体和个人，保证台湾事务的正常运行；</w:t>
      </w:r>
    </w:p>
    <w:p>
      <w:pPr>
        <w:snapToGrid w:val="0"/>
        <w:spacing w:line="52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 办公楼运行维护费：物业正常运行，大楼管网畅通；工商联及民主党派办公楼干净整洁。</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调研经费：</w:t>
      </w:r>
      <w:r>
        <w:rPr>
          <w:rFonts w:hint="eastAsia" w:ascii="仿宋_GB2312" w:hAnsi="Calibri" w:eastAsia="仿宋_GB2312" w:cs="仿宋"/>
          <w:color w:val="auto"/>
          <w:kern w:val="0"/>
          <w:sz w:val="32"/>
          <w:szCs w:val="32"/>
          <w:highlight w:val="none"/>
          <w:lang w:val="zh-CN" w:eastAsia="zh-CN" w:bidi="ar-SA"/>
        </w:rPr>
        <w:t>推进调研工作，保障顺利履行参政议政职责，</w:t>
      </w:r>
      <w:r>
        <w:rPr>
          <w:rFonts w:hint="eastAsia" w:ascii="仿宋_GB2312" w:hAnsi="Calibri" w:eastAsia="仿宋_GB2312" w:cs="仿宋"/>
          <w:color w:val="auto"/>
          <w:kern w:val="0"/>
          <w:sz w:val="32"/>
          <w:szCs w:val="32"/>
          <w:highlight w:val="none"/>
          <w:lang w:val="en-US" w:eastAsia="zh-CN" w:bidi="ar-SA"/>
        </w:rPr>
        <w:t>走访企业形成走访报告2篇、调研文章1篇、上交各类提案10个以上。</w:t>
      </w:r>
    </w:p>
    <w:p>
      <w:pPr>
        <w:widowControl/>
        <w:adjustRightInd w:val="0"/>
        <w:snapToGrid w:val="0"/>
        <w:spacing w:line="580" w:lineRule="exact"/>
        <w:ind w:firstLine="720"/>
        <w:jc w:val="left"/>
        <w:rPr>
          <w:rFonts w:hint="default"/>
          <w:lang w:val="en-US" w:eastAsia="zh-CN"/>
        </w:rPr>
      </w:pPr>
      <w:r>
        <w:rPr>
          <w:rFonts w:hint="eastAsia" w:ascii="仿宋_GB2312" w:hAnsi="Calibri" w:eastAsia="仿宋_GB2312" w:cs="仿宋"/>
          <w:color w:val="auto"/>
          <w:kern w:val="0"/>
          <w:sz w:val="32"/>
          <w:szCs w:val="32"/>
          <w:highlight w:val="none"/>
          <w:lang w:val="en-US" w:eastAsia="zh-CN" w:bidi="ar-SA"/>
        </w:rPr>
        <w:t>基层组织建设费：</w:t>
      </w:r>
      <w:r>
        <w:rPr>
          <w:rFonts w:hint="eastAsia" w:ascii="仿宋_GB2312" w:hAnsi="Calibri" w:eastAsia="仿宋_GB2312" w:cs="仿宋"/>
          <w:color w:val="auto"/>
          <w:kern w:val="0"/>
          <w:sz w:val="32"/>
          <w:szCs w:val="32"/>
          <w:highlight w:val="none"/>
          <w:lang w:val="zh-CN" w:eastAsia="zh-CN" w:bidi="ar-SA"/>
        </w:rPr>
        <w:t>推进基层商会建设工作，保障全年基层商会健康发展，</w:t>
      </w:r>
      <w:r>
        <w:rPr>
          <w:rFonts w:hint="eastAsia" w:ascii="仿宋_GB2312" w:hAnsi="Calibri" w:eastAsia="仿宋_GB2312" w:cs="仿宋"/>
          <w:color w:val="auto"/>
          <w:kern w:val="0"/>
          <w:sz w:val="32"/>
          <w:szCs w:val="32"/>
          <w:highlight w:val="none"/>
          <w:lang w:val="en-US" w:eastAsia="zh-CN" w:bidi="ar-SA"/>
        </w:rPr>
        <w:t>走访企业形成走访报告2篇、调研文章1篇、上交各类提案10个以上。</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（2）机关厉行节约。</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根据单位实际情况，本着</w:t>
      </w:r>
      <w:r>
        <w:rPr>
          <w:rFonts w:hint="eastAsia" w:ascii="仿宋_GB2312" w:hAnsi="Calibri" w:eastAsia="仿宋_GB2312" w:cs="仿宋"/>
          <w:color w:val="auto"/>
          <w:kern w:val="0"/>
          <w:sz w:val="32"/>
          <w:szCs w:val="32"/>
          <w:highlight w:val="none"/>
          <w:lang w:val="zh-CN" w:eastAsia="zh-CN" w:bidi="ar-SA"/>
        </w:rPr>
        <w:t>厉行节约</w:t>
      </w:r>
      <w:r>
        <w:rPr>
          <w:rFonts w:hint="eastAsia" w:ascii="仿宋_GB2312" w:hAnsi="Calibri" w:eastAsia="仿宋_GB2312" w:cs="仿宋"/>
          <w:color w:val="auto"/>
          <w:kern w:val="0"/>
          <w:sz w:val="32"/>
          <w:szCs w:val="32"/>
          <w:highlight w:val="none"/>
          <w:lang w:val="en-US" w:eastAsia="zh-CN" w:bidi="ar-SA"/>
        </w:rPr>
        <w:t>的原则，大力压缩会议、文件、通信等方面的费用支出，提倡开短会、发短文，提高效率，精简开支；深入开展节约用电、用油、用水活动；进一步加强和规范公务车使用管理，实行定点保险、定点维修、定点加油制度。并把厉行节约列为加强机关作风建设的重要内容，与绩效考评挂钩。2021年主要会议开支、公务用车开支和公务接待开支较2020年有大幅度的减少。</w:t>
      </w:r>
      <w:r>
        <w:rPr>
          <w:rFonts w:hint="eastAsia" w:ascii="仿宋_GB2312" w:hAnsi="Calibri" w:eastAsia="仿宋_GB2312" w:cs="仿宋"/>
          <w:color w:val="auto"/>
          <w:kern w:val="0"/>
          <w:sz w:val="32"/>
          <w:szCs w:val="32"/>
          <w:highlight w:val="none"/>
          <w:lang w:val="zh-CN" w:eastAsia="zh-CN" w:bidi="ar-SA"/>
        </w:rPr>
        <w:t>会议费</w:t>
      </w:r>
      <w:r>
        <w:rPr>
          <w:rFonts w:hint="eastAsia" w:ascii="仿宋_GB2312" w:hAnsi="Calibri" w:eastAsia="仿宋_GB2312" w:cs="仿宋"/>
          <w:color w:val="auto"/>
          <w:kern w:val="0"/>
          <w:sz w:val="32"/>
          <w:szCs w:val="32"/>
          <w:highlight w:val="none"/>
          <w:lang w:val="en-US" w:eastAsia="zh-CN" w:bidi="ar-SA"/>
        </w:rPr>
        <w:t>0</w:t>
      </w:r>
      <w:r>
        <w:rPr>
          <w:rFonts w:hint="eastAsia" w:ascii="仿宋_GB2312" w:hAnsi="Calibri" w:eastAsia="仿宋_GB2312" w:cs="仿宋"/>
          <w:color w:val="auto"/>
          <w:kern w:val="0"/>
          <w:sz w:val="32"/>
          <w:szCs w:val="32"/>
          <w:highlight w:val="none"/>
          <w:lang w:val="zh-CN" w:eastAsia="zh-CN" w:bidi="ar-SA"/>
        </w:rPr>
        <w:t>万元，</w:t>
      </w:r>
      <w:r>
        <w:rPr>
          <w:rFonts w:hint="eastAsia" w:ascii="仿宋_GB2312" w:hAnsi="Calibri" w:eastAsia="仿宋_GB2312" w:cs="仿宋"/>
          <w:color w:val="auto"/>
          <w:kern w:val="0"/>
          <w:sz w:val="32"/>
          <w:szCs w:val="32"/>
          <w:highlight w:val="none"/>
          <w:lang w:val="en-US" w:eastAsia="zh-CN" w:bidi="ar-SA"/>
        </w:rPr>
        <w:t>公务车运行费用0.20万元</w:t>
      </w:r>
      <w:r>
        <w:rPr>
          <w:rFonts w:hint="eastAsia" w:ascii="仿宋_GB2312" w:hAnsi="Calibri" w:eastAsia="仿宋_GB2312" w:cs="仿宋"/>
          <w:color w:val="auto"/>
          <w:kern w:val="0"/>
          <w:sz w:val="32"/>
          <w:szCs w:val="32"/>
          <w:highlight w:val="none"/>
          <w:lang w:val="zh-CN" w:eastAsia="zh-CN" w:bidi="ar-SA"/>
        </w:rPr>
        <w:t>车辆购置及运行费用</w:t>
      </w:r>
      <w:r>
        <w:rPr>
          <w:rFonts w:hint="eastAsia" w:ascii="仿宋_GB2312" w:hAnsi="Calibri" w:eastAsia="仿宋_GB2312" w:cs="仿宋"/>
          <w:color w:val="auto"/>
          <w:kern w:val="0"/>
          <w:sz w:val="32"/>
          <w:szCs w:val="32"/>
          <w:highlight w:val="none"/>
          <w:lang w:val="en-US" w:eastAsia="zh-CN" w:bidi="ar-SA"/>
        </w:rPr>
        <w:t>0</w:t>
      </w:r>
      <w:r>
        <w:rPr>
          <w:rFonts w:hint="eastAsia" w:ascii="仿宋_GB2312" w:hAnsi="Calibri" w:eastAsia="仿宋_GB2312" w:cs="仿宋"/>
          <w:color w:val="auto"/>
          <w:kern w:val="0"/>
          <w:sz w:val="32"/>
          <w:szCs w:val="32"/>
          <w:highlight w:val="none"/>
          <w:lang w:val="zh-CN" w:eastAsia="zh-CN" w:bidi="ar-SA"/>
        </w:rPr>
        <w:t>万元，公务接待经费</w:t>
      </w:r>
      <w:r>
        <w:rPr>
          <w:rFonts w:hint="eastAsia" w:ascii="仿宋_GB2312" w:hAnsi="Calibri" w:eastAsia="仿宋_GB2312" w:cs="仿宋"/>
          <w:color w:val="auto"/>
          <w:kern w:val="0"/>
          <w:sz w:val="32"/>
          <w:szCs w:val="32"/>
          <w:highlight w:val="none"/>
          <w:lang w:val="en-US" w:eastAsia="zh-CN" w:bidi="ar-SA"/>
        </w:rPr>
        <w:t>1.11</w:t>
      </w:r>
      <w:r>
        <w:rPr>
          <w:rFonts w:hint="eastAsia" w:ascii="仿宋_GB2312" w:hAnsi="Calibri" w:eastAsia="仿宋_GB2312" w:cs="仿宋"/>
          <w:color w:val="auto"/>
          <w:kern w:val="0"/>
          <w:sz w:val="32"/>
          <w:szCs w:val="32"/>
          <w:highlight w:val="none"/>
          <w:lang w:val="zh-CN" w:eastAsia="zh-CN" w:bidi="ar-SA"/>
        </w:rPr>
        <w:t>万元。</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（3）机关节能降耗。</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机关2021年水</w:t>
      </w:r>
      <w:r>
        <w:rPr>
          <w:rFonts w:hint="eastAsia" w:ascii="仿宋_GB2312" w:hAnsi="Calibri" w:eastAsia="仿宋_GB2312" w:cs="仿宋"/>
          <w:color w:val="auto"/>
          <w:kern w:val="0"/>
          <w:sz w:val="32"/>
          <w:szCs w:val="32"/>
          <w:highlight w:val="none"/>
          <w:lang w:val="en-US" w:eastAsia="zh-CN" w:bidi="ar-SA"/>
        </w:rPr>
        <w:t>电</w:t>
      </w:r>
      <w:r>
        <w:rPr>
          <w:rFonts w:hint="eastAsia" w:ascii="仿宋_GB2312" w:hAnsi="Calibri" w:eastAsia="仿宋_GB2312" w:cs="仿宋"/>
          <w:color w:val="auto"/>
          <w:kern w:val="0"/>
          <w:sz w:val="32"/>
          <w:szCs w:val="32"/>
          <w:highlight w:val="none"/>
          <w:lang w:val="zh-CN" w:eastAsia="zh-CN" w:bidi="ar-SA"/>
        </w:rPr>
        <w:t>费开支</w:t>
      </w:r>
      <w:r>
        <w:rPr>
          <w:rFonts w:hint="eastAsia" w:ascii="仿宋_GB2312" w:hAnsi="Calibri" w:eastAsia="仿宋_GB2312" w:cs="仿宋"/>
          <w:color w:val="auto"/>
          <w:kern w:val="0"/>
          <w:sz w:val="32"/>
          <w:szCs w:val="32"/>
          <w:highlight w:val="none"/>
          <w:lang w:val="en-US" w:eastAsia="zh-CN" w:bidi="ar-SA"/>
        </w:rPr>
        <w:t>4.39</w:t>
      </w:r>
      <w:r>
        <w:rPr>
          <w:rFonts w:hint="eastAsia" w:ascii="仿宋_GB2312" w:hAnsi="Calibri" w:eastAsia="仿宋_GB2312" w:cs="仿宋"/>
          <w:color w:val="auto"/>
          <w:kern w:val="0"/>
          <w:sz w:val="32"/>
          <w:szCs w:val="32"/>
          <w:highlight w:val="none"/>
          <w:lang w:val="zh-CN" w:eastAsia="zh-CN" w:bidi="ar-SA"/>
        </w:rPr>
        <w:t>万元，做到人走灯灭。机关水、电、气、燃油节能降耗情况就上年有明显下降。</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2．专项预算项目支出绩效。</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（1）资金绩效分配情况。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执行《四川省省级财政专项资金绩效分配管理暂行办法》，科学规范。专项资金绩效分配围绕项目绩效目标，做到尊重客观、办法科学、程序透明，确保资金分配公平、公正、公开。原则上每类项目资金对应一种适当的分配方法。项目主管部门作为专项资金分配管理的责任主体，落实部门职责，强化监督约束，建立部门间协作配合、相互制衡的工作机制。实施绩效分配情况较好。</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（2）项目资金管理情况。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项目资金管理办法、中长期规划等制度建设情况等。我单位严格按照项目资金管理相关法规执行，做到专款专用。</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绩效目标完成情况。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1.全年完成情况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2021年，市委统战部学习贯彻习近平总书记关于加强和改进统一战线工作的重要思想，贯彻落实《中国共产党统一战线工作条例》，深入开展党史主题教育，坚持“不忘合作初心、继续携手前进”主题，广泛凝聚人心、凝聚力量、凝聚智慧、凝聚共识，引导各界增强“四个意识”、坚定“四个自信”、做到“两个维护”，确保统一战线各项工作始终沿着正确方向发展，助力市委“1238”发展总体思路取得良好开局。</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2.全年绩效目标社会效益</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资助峨眉、沙湾、夹江3地4校贫困学生102名，发放助学金14万余元，资助大为镇小学教具4万元，桂花桥镇慰问贫困学生60人、困难群众30人。积极搭建平台，支持民主党派参政议政民主监督，组织开展政党协商4次，听取相关部门就党风廉政建设和反腐败工作情况、政法系统教育整顿况、巩固拓展脱贫攻坚成果同乡村振兴有效衔接工作情况以及食品饮料、绿色材料、特色轻工三大产业建设情况的汇报，各民主党派、工商防、无党派人士等提出建议共48条。学习贯彻《中央关于加强新时代海外统战工作的意见》，推动“惠台31条”、“川台70条”在峨落地。采用多种方式调查走访摸底，收集侨情，重点是统计新侨人员信息，新增华人华侨20人，新增侨眷50人，新增侨企1家。对困难归侨侨眷进行摸底排查，对3户困难侨眷进行登记建档。开展“情暖侨心”慰问活动。先后深入走访调研慰问了侨商、侨资企业、归侨、侨眷等60多户，100余人次，发放慰问品物资约1.7万元。</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（四）财务管理情况。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2021年</w:t>
      </w: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按照机关财务管理规章制度及相关政策、文件规定，专题制定</w:t>
      </w:r>
      <w:r>
        <w:rPr>
          <w:rFonts w:hint="eastAsia" w:ascii="仿宋_GB2312" w:hAnsi="Calibri" w:eastAsia="仿宋_GB2312" w:cs="仿宋"/>
          <w:color w:val="auto"/>
          <w:kern w:val="0"/>
          <w:sz w:val="32"/>
          <w:szCs w:val="32"/>
          <w:highlight w:val="none"/>
          <w:lang w:val="en-US" w:eastAsia="zh-CN" w:bidi="ar-SA"/>
        </w:rPr>
        <w:t>更新了</w:t>
      </w:r>
      <w:r>
        <w:rPr>
          <w:rFonts w:hint="eastAsia" w:ascii="仿宋_GB2312" w:hAnsi="Calibri" w:eastAsia="仿宋_GB2312" w:cs="仿宋"/>
          <w:color w:val="auto"/>
          <w:kern w:val="0"/>
          <w:sz w:val="32"/>
          <w:szCs w:val="32"/>
          <w:highlight w:val="none"/>
          <w:lang w:val="zh-CN" w:eastAsia="zh-CN" w:bidi="ar-SA"/>
        </w:rPr>
        <w:t>《峨眉山市委统战部差旅费管理办法》、《机关财务事务管理制度》、《关于加强部机关公务车辆使用管理的通知》，工商联按照机关财务管理规章制度及相关政策、文件规定，专题制定《工商联经费报销管理暂行规定》《工商联固定资产管理制度》等对会计核算和账务管理，政府采购等进行了细化规范。</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（五）绩效管理工作开展情况。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部门自评工作开展和评价结果运用情况</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对预算资金绩效管理常抓不懈，认真对准政策法规及财政要求使用资金，不存在资金管理的重大问题。</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四、评价结论及建议</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（一）评价结论。</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峨眉山市委</w:t>
      </w: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紧紧围绕中心大局，充分发挥职能作用，有力推动</w:t>
      </w: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各项决策部署和落实。办公室全体同志敢担当、讲奉献、顾大局、善于克服各种困难矛盾，全力保证</w:t>
      </w:r>
      <w:r>
        <w:rPr>
          <w:rFonts w:hint="eastAsia" w:ascii="仿宋_GB2312" w:hAnsi="Calibri" w:eastAsia="仿宋_GB2312" w:cs="仿宋"/>
          <w:color w:val="auto"/>
          <w:kern w:val="0"/>
          <w:sz w:val="32"/>
          <w:szCs w:val="32"/>
          <w:highlight w:val="none"/>
          <w:lang w:val="en-US" w:eastAsia="zh-CN" w:bidi="ar-SA"/>
        </w:rPr>
        <w:t>统战部各项工作</w:t>
      </w:r>
      <w:r>
        <w:rPr>
          <w:rFonts w:hint="eastAsia" w:ascii="仿宋_GB2312" w:hAnsi="Calibri" w:eastAsia="仿宋_GB2312" w:cs="仿宋"/>
          <w:color w:val="auto"/>
          <w:kern w:val="0"/>
          <w:sz w:val="32"/>
          <w:szCs w:val="32"/>
          <w:highlight w:val="none"/>
          <w:lang w:val="zh-CN" w:eastAsia="zh-CN" w:bidi="ar-SA"/>
        </w:rPr>
        <w:t>高效运转。</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按照2021年度部门支出绩效评价指标体系，自查得分</w:t>
      </w:r>
      <w:r>
        <w:rPr>
          <w:rFonts w:hint="eastAsia" w:ascii="仿宋_GB2312" w:hAnsi="Calibri" w:eastAsia="仿宋_GB2312" w:cs="仿宋"/>
          <w:color w:val="auto"/>
          <w:kern w:val="0"/>
          <w:sz w:val="32"/>
          <w:szCs w:val="32"/>
          <w:highlight w:val="none"/>
          <w:lang w:val="en-US" w:eastAsia="zh-CN" w:bidi="ar-SA"/>
        </w:rPr>
        <w:t>95</w:t>
      </w:r>
      <w:r>
        <w:rPr>
          <w:rFonts w:hint="eastAsia" w:ascii="仿宋_GB2312" w:hAnsi="Calibri" w:eastAsia="仿宋_GB2312" w:cs="仿宋"/>
          <w:color w:val="auto"/>
          <w:kern w:val="0"/>
          <w:sz w:val="32"/>
          <w:szCs w:val="32"/>
          <w:highlight w:val="none"/>
          <w:lang w:val="zh-CN" w:eastAsia="zh-CN" w:bidi="ar-SA"/>
        </w:rPr>
        <w:t>。工商联按照20</w:t>
      </w:r>
      <w:r>
        <w:rPr>
          <w:rFonts w:hint="eastAsia" w:ascii="仿宋_GB2312" w:hAnsi="Calibri" w:eastAsia="仿宋_GB2312" w:cs="仿宋"/>
          <w:color w:val="auto"/>
          <w:kern w:val="0"/>
          <w:sz w:val="32"/>
          <w:szCs w:val="32"/>
          <w:highlight w:val="none"/>
          <w:lang w:val="en-US" w:eastAsia="zh-CN" w:bidi="ar-SA"/>
        </w:rPr>
        <w:t>21</w:t>
      </w:r>
      <w:r>
        <w:rPr>
          <w:rFonts w:hint="eastAsia" w:ascii="仿宋_GB2312" w:hAnsi="Calibri" w:eastAsia="仿宋_GB2312" w:cs="仿宋"/>
          <w:color w:val="auto"/>
          <w:kern w:val="0"/>
          <w:sz w:val="32"/>
          <w:szCs w:val="32"/>
          <w:highlight w:val="none"/>
          <w:lang w:val="zh-CN" w:eastAsia="zh-CN" w:bidi="ar-SA"/>
        </w:rPr>
        <w:t>年度部门支出绩效评价指标体系，自查得分</w:t>
      </w:r>
      <w:r>
        <w:rPr>
          <w:rFonts w:hint="eastAsia" w:ascii="仿宋_GB2312" w:hAnsi="Calibri" w:eastAsia="仿宋_GB2312" w:cs="仿宋"/>
          <w:color w:val="auto"/>
          <w:kern w:val="0"/>
          <w:sz w:val="32"/>
          <w:szCs w:val="32"/>
          <w:highlight w:val="none"/>
          <w:lang w:val="en-US" w:eastAsia="zh-CN" w:bidi="ar-SA"/>
        </w:rPr>
        <w:t>97</w:t>
      </w:r>
      <w:r>
        <w:rPr>
          <w:rFonts w:hint="eastAsia" w:ascii="仿宋_GB2312" w:hAnsi="Calibri" w:eastAsia="仿宋_GB2312" w:cs="仿宋"/>
          <w:color w:val="auto"/>
          <w:kern w:val="0"/>
          <w:sz w:val="32"/>
          <w:szCs w:val="32"/>
          <w:highlight w:val="none"/>
          <w:lang w:val="zh-CN" w:eastAsia="zh-CN" w:bidi="ar-SA"/>
        </w:rPr>
        <w:t>分。</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（二）存在问题。</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2021年仍然存在对目标管理项目的前瞻性判断不足。</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（三）改进建议。</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针对</w:t>
      </w:r>
      <w:r>
        <w:rPr>
          <w:rFonts w:hint="eastAsia" w:ascii="仿宋_GB2312" w:hAnsi="Calibri" w:eastAsia="仿宋_GB2312" w:cs="仿宋"/>
          <w:color w:val="auto"/>
          <w:kern w:val="0"/>
          <w:sz w:val="32"/>
          <w:szCs w:val="32"/>
          <w:highlight w:val="none"/>
          <w:lang w:val="en-US" w:eastAsia="zh-CN" w:bidi="ar-SA"/>
        </w:rPr>
        <w:t>统战部</w:t>
      </w:r>
      <w:r>
        <w:rPr>
          <w:rFonts w:hint="eastAsia" w:ascii="仿宋_GB2312" w:hAnsi="Calibri" w:eastAsia="仿宋_GB2312" w:cs="仿宋"/>
          <w:color w:val="auto"/>
          <w:kern w:val="0"/>
          <w:sz w:val="32"/>
          <w:szCs w:val="32"/>
          <w:highlight w:val="none"/>
          <w:lang w:val="zh-CN" w:eastAsia="zh-CN" w:bidi="ar-SA"/>
        </w:rPr>
        <w:t>经费基本属于保障性支出，所以因加强对资金支出的政策学习，并主动接收审计及纪检部门的检查。</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1.严格项目资金管理，严格区分项目使用范围，不得在项目经费中开支正常行政运转费用，提高项目资金使用效率。</w:t>
      </w:r>
    </w:p>
    <w:p>
      <w:pPr>
        <w:widowControl/>
        <w:adjustRightInd w:val="0"/>
        <w:snapToGrid w:val="0"/>
        <w:spacing w:line="580" w:lineRule="exact"/>
        <w:ind w:firstLine="720"/>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2.加强会计核算，特别是项目资金的分类核算。</w:t>
      </w:r>
    </w:p>
    <w:p>
      <w:pPr>
        <w:widowControl/>
        <w:adjustRightInd w:val="0"/>
        <w:snapToGrid w:val="0"/>
        <w:spacing w:line="580" w:lineRule="exact"/>
        <w:jc w:val="left"/>
        <w:rPr>
          <w:rFonts w:hint="eastAsia" w:ascii="仿宋_GB2312" w:hAnsi="Calibri" w:eastAsia="仿宋_GB2312" w:cs="仿宋"/>
          <w:color w:val="auto"/>
          <w:kern w:val="0"/>
          <w:sz w:val="32"/>
          <w:szCs w:val="32"/>
          <w:highlight w:val="none"/>
          <w:lang w:val="en-US" w:eastAsia="zh-CN" w:bidi="ar-SA"/>
        </w:rPr>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pPr>
      <w:r>
        <w:rPr>
          <w:rFonts w:hint="eastAsia" w:ascii="仿宋_GB2312" w:hAnsi="Calibri" w:eastAsia="仿宋_GB2312" w:cs="仿宋"/>
          <w:color w:val="auto"/>
          <w:kern w:val="0"/>
          <w:sz w:val="32"/>
          <w:szCs w:val="32"/>
          <w:highlight w:val="none"/>
          <w:lang w:val="en-US" w:eastAsia="zh-CN" w:bidi="ar-SA"/>
        </w:rPr>
        <w:t>3. 进一步强化绩效目标量细化填报工作，合理安排预算。</w:t>
      </w:r>
    </w:p>
    <w:tbl>
      <w:tblPr>
        <w:tblStyle w:val="15"/>
        <w:tblpPr w:leftFromText="180" w:rightFromText="180" w:vertAnchor="text" w:horzAnchor="page" w:tblpX="101" w:tblpY="34"/>
        <w:tblOverlap w:val="never"/>
        <w:tblW w:w="45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703"/>
        <w:gridCol w:w="579"/>
        <w:gridCol w:w="397"/>
        <w:gridCol w:w="588"/>
        <w:gridCol w:w="829"/>
        <w:gridCol w:w="2432"/>
        <w:gridCol w:w="1082"/>
        <w:gridCol w:w="1490"/>
        <w:gridCol w:w="1479"/>
        <w:gridCol w:w="2492"/>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18"/>
                <w:szCs w:val="18"/>
                <w:u w:val="none"/>
              </w:rPr>
            </w:pPr>
          </w:p>
        </w:tc>
        <w:tc>
          <w:tcPr>
            <w:tcW w:w="25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11"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5"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 w:type="pct"/>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88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8"/>
                <w:szCs w:val="8"/>
                <w:u w:val="none"/>
              </w:rPr>
            </w:pPr>
          </w:p>
        </w:tc>
        <w:tc>
          <w:tcPr>
            <w:tcW w:w="3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8"/>
                <w:szCs w:val="8"/>
                <w:u w:val="none"/>
              </w:rPr>
            </w:pPr>
          </w:p>
        </w:tc>
        <w:tc>
          <w:tcPr>
            <w:tcW w:w="54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8"/>
                <w:szCs w:val="8"/>
                <w:u w:val="none"/>
              </w:rPr>
            </w:pPr>
          </w:p>
        </w:tc>
        <w:tc>
          <w:tcPr>
            <w:tcW w:w="54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8"/>
                <w:szCs w:val="8"/>
                <w:u w:val="none"/>
              </w:rPr>
            </w:pPr>
          </w:p>
        </w:tc>
        <w:tc>
          <w:tcPr>
            <w:tcW w:w="91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2022年部门整体支出绩效评价指标体系（适用于无专项预算项目的部门）统战部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评价方式</w:t>
            </w:r>
          </w:p>
        </w:tc>
        <w:tc>
          <w:tcPr>
            <w:tcW w:w="14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整体评价</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样本评价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定性评价</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部门预算项目绩效管理（70分）</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目标管理（30分）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目标制定</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评价部门绩效目标是否要素完整、细化量化并集体决策。</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1.绩效目标编制要素完整的，得5分，否则酌情扣分。                                                       2.绩效指标细化量化的，得5分，否则酌情扣分。</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3.评价部门绩效目标纳入部门党组（委）会（办公会）集体决策范围的得5分，否则不得分。</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有项目绩效目标的部门（单位），根据项目绩效目标编制质量打分，无项目绩效目标的部门，根据部门整体支出绩效目标打分。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5"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目标实现</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评价部门绩效目标实际实现程度与预期目标的偏离度。</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财政重点绩效评价组评价范围为部门机关及至少2个下属单位的所有纳入绩效目标管理的部门预算项目，部门自评范围为部门所有纳入绩效目标管理的部门预算项目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部门预算项目绩效管理（70分）</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动态调整（20分）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部门公用经费及非定额公用支出控制情况。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计算部门日常公用经费、项目支出中“办公费、印刷费、水费、电费、物业管理费”等科目年初预算数与决算数偏差程度。                                                            预决算偏差程度在10%以内的，得5分。偏差度在10%-20%之间的，得2分，偏差度超过20%的，不得分。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及时处置</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评价部门开展绩效运行监控后，将绩效监控结果应用到预算调整的情况。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3.当部门绩效监控调整取消额与结余注销额均为零时，得满分。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执行进度</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评价部门在6、9、11月的预算执行情况。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部门预算执行进度在6、9、11月应达到序时进度的80%、90%、90%，即实际支出进度分别达到40%、67.5%、82.5%。                                                     6、9、11月部门预算执行进度达到量化指标的分别得1、2、2分，未达到目标进度的的按其实际进度占目标进度的比重计算得分。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部门预算项目绩效管理（70分）</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完成结果（20分）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预算完成</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评价部门预算项目年终预算执行情况。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部门预算项目12月预算执行进度达到100%的，得10分，未达100%的，按照实际进度量化计算得分。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资金结余率（低效无效率）</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评价部门预算项目年终资金结余情况。                 </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部门预算项目资金结余率小于0.1的项目数/部门预算项目总数*5。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违规记录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根据审计监督、财政检查结果反映部门上一年度部门预算管理是否合规。</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依据评价年度审计监督、财政检查结果，出现部门预算管理方面违纪违规问题的，每个问题扣0.5分，直至扣完。</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绩效结果应用（20分）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内部应用（6分）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预算挂钩</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部门内部绩效结果与预算挂钩情况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将内设机构和下属单位绩效自评纳入考核体系，建立对内设机构和下属单位预算与绩效挂钩机制的，得6分，否则酌情扣分。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信息公开（4分)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评价部门是否按要求将部门整体绩效自评情况和自行组织的评价情况向社会公开。</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按要求将相关绩效信息随同决算公开的，得4分，否则不得分。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整改反馈（10分）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问题整改</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评价部门根据绩效管理结果整改问题、完善政策、改进管理的情况。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针对绩效管理过程中（包括绩效目标核查、绩效监控核查和重点绩效评价）提出的问题进行整改，得5分，否则酌情扣分。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应用反馈</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评价部门按要求及时向财政部门反馈结果应用情况。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部门在规定时间内向财政部门反馈应用绩效结果报告的，得5分，否则不得分。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自评质量（10分）</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自评质量</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自评质量</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评价部门整体支出自评准确率。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扣分项（10分）</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被评价单位配合评价工作情况。</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bl>
    <w:p>
      <w:pPr>
        <w:pStyle w:val="6"/>
        <w:spacing w:before="93" w:line="600" w:lineRule="exact"/>
        <w:rPr>
          <w:rFonts w:hAnsi="宋体" w:cs="宋体"/>
          <w:sz w:val="32"/>
          <w:szCs w:val="32"/>
          <w:highlight w:val="yellow"/>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hint="eastAsia" w:ascii="黑体" w:hAnsi="黑体" w:eastAsia="黑体" w:cs="黑体"/>
          <w:kern w:val="0"/>
          <w:sz w:val="32"/>
          <w:szCs w:val="32"/>
          <w:highlight w:val="none"/>
          <w:shd w:val="clear" w:color="auto" w:fill="FFFFFF"/>
          <w:lang w:val="zh-CN"/>
        </w:rPr>
      </w:pPr>
    </w:p>
    <w:p>
      <w:pPr>
        <w:widowControl/>
        <w:adjustRightInd w:val="0"/>
        <w:snapToGrid w:val="0"/>
        <w:spacing w:line="600" w:lineRule="exact"/>
        <w:contextualSpacing/>
        <w:jc w:val="left"/>
        <w:rPr>
          <w:rFonts w:ascii="黑体" w:hAnsi="黑体" w:eastAsia="黑体" w:cs="黑体"/>
          <w:kern w:val="0"/>
          <w:sz w:val="32"/>
          <w:szCs w:val="32"/>
          <w:highlight w:val="none"/>
          <w:shd w:val="clear" w:color="auto" w:fill="FFFFFF"/>
          <w:lang w:val="zh-CN"/>
        </w:rPr>
      </w:pPr>
      <w:r>
        <w:rPr>
          <w:rFonts w:hint="eastAsia" w:ascii="黑体" w:hAnsi="黑体" w:eastAsia="黑体" w:cs="黑体"/>
          <w:kern w:val="0"/>
          <w:sz w:val="32"/>
          <w:szCs w:val="32"/>
          <w:highlight w:val="none"/>
          <w:shd w:val="clear" w:color="auto" w:fill="FFFFFF"/>
          <w:lang w:val="zh-CN"/>
        </w:rPr>
        <w:t>附表</w:t>
      </w:r>
    </w:p>
    <w:p>
      <w:pPr>
        <w:pStyle w:val="6"/>
        <w:spacing w:before="93" w:line="600" w:lineRule="exact"/>
        <w:rPr>
          <w:rFonts w:ascii="宋体" w:hAnsi="宋体" w:cs="宋体"/>
          <w:b/>
          <w:sz w:val="32"/>
          <w:szCs w:val="32"/>
          <w:highlight w:val="yellow"/>
        </w:rPr>
      </w:pPr>
    </w:p>
    <w:tbl>
      <w:tblPr>
        <w:tblStyle w:val="15"/>
        <w:tblpPr w:leftFromText="180" w:rightFromText="180" w:vertAnchor="text" w:horzAnchor="page" w:tblpX="406" w:tblpY="72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1650"/>
        <w:gridCol w:w="785"/>
        <w:gridCol w:w="600"/>
        <w:gridCol w:w="1382"/>
        <w:gridCol w:w="4815"/>
        <w:gridCol w:w="481"/>
        <w:gridCol w:w="481"/>
        <w:gridCol w:w="481"/>
        <w:gridCol w:w="481"/>
        <w:gridCol w:w="600"/>
        <w:gridCol w:w="2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894"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highlight w:val="none"/>
                <w:u w:val="none"/>
              </w:rPr>
            </w:pPr>
            <w:bookmarkStart w:id="63" w:name="_Toc15396618"/>
            <w:r>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
              </w:rPr>
              <w:t>2022年部门整体支出绩效评价指标体系（适用于无专项预算项目的部门）（工商联）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highlight w:val="none"/>
                <w:u w:val="none"/>
              </w:rPr>
            </w:pPr>
            <w:r>
              <w:rPr>
                <w:rFonts w:hint="eastAsia" w:ascii="宋体" w:hAnsi="宋体" w:eastAsia="宋体" w:cs="宋体"/>
                <w:b/>
                <w:bCs/>
                <w:i w:val="0"/>
                <w:iCs w:val="0"/>
                <w:color w:val="000000"/>
                <w:kern w:val="0"/>
                <w:sz w:val="26"/>
                <w:szCs w:val="26"/>
                <w:highlight w:val="none"/>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highlight w:val="none"/>
                <w:u w:val="none"/>
              </w:rPr>
            </w:pPr>
            <w:r>
              <w:rPr>
                <w:rFonts w:hint="eastAsia" w:ascii="宋体" w:hAnsi="宋体" w:eastAsia="宋体" w:cs="宋体"/>
                <w:b/>
                <w:bCs/>
                <w:i w:val="0"/>
                <w:iCs w:val="0"/>
                <w:color w:val="000000"/>
                <w:kern w:val="0"/>
                <w:sz w:val="26"/>
                <w:szCs w:val="26"/>
                <w:highlight w:val="none"/>
                <w:u w:val="none"/>
                <w:lang w:val="en-US" w:eastAsia="zh-CN" w:bidi="ar"/>
              </w:rPr>
              <w:t>指标分值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highlight w:val="none"/>
                <w:u w:val="none"/>
              </w:rPr>
            </w:pPr>
            <w:r>
              <w:rPr>
                <w:rFonts w:hint="eastAsia" w:ascii="宋体" w:hAnsi="宋体" w:eastAsia="宋体" w:cs="宋体"/>
                <w:b/>
                <w:bCs/>
                <w:i w:val="0"/>
                <w:iCs w:val="0"/>
                <w:color w:val="000000"/>
                <w:kern w:val="0"/>
                <w:sz w:val="26"/>
                <w:szCs w:val="26"/>
                <w:highlight w:val="none"/>
                <w:u w:val="none"/>
                <w:lang w:val="en-US" w:eastAsia="zh-CN" w:bidi="ar"/>
              </w:rPr>
              <w:t>指标解释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highlight w:val="none"/>
                <w:u w:val="none"/>
              </w:rPr>
            </w:pPr>
            <w:r>
              <w:rPr>
                <w:rFonts w:hint="eastAsia" w:ascii="宋体" w:hAnsi="宋体" w:eastAsia="宋体" w:cs="宋体"/>
                <w:b/>
                <w:bCs/>
                <w:i w:val="0"/>
                <w:iCs w:val="0"/>
                <w:color w:val="000000"/>
                <w:kern w:val="0"/>
                <w:sz w:val="26"/>
                <w:szCs w:val="26"/>
                <w:highlight w:val="none"/>
                <w:u w:val="none"/>
                <w:lang w:val="en-US" w:eastAsia="zh-CN" w:bidi="ar"/>
              </w:rPr>
              <w:t>计分标准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highlight w:val="none"/>
                <w:u w:val="none"/>
              </w:rPr>
            </w:pPr>
            <w:r>
              <w:rPr>
                <w:rFonts w:hint="eastAsia" w:ascii="宋体" w:hAnsi="宋体" w:eastAsia="宋体" w:cs="宋体"/>
                <w:b/>
                <w:bCs/>
                <w:i w:val="0"/>
                <w:iCs w:val="0"/>
                <w:color w:val="000000"/>
                <w:kern w:val="0"/>
                <w:sz w:val="26"/>
                <w:szCs w:val="26"/>
                <w:highlight w:val="none"/>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highlight w:val="none"/>
                <w:u w:val="none"/>
              </w:rPr>
            </w:pPr>
            <w:r>
              <w:rPr>
                <w:rFonts w:hint="eastAsia" w:ascii="宋体" w:hAnsi="宋体" w:eastAsia="宋体" w:cs="宋体"/>
                <w:b/>
                <w:bCs/>
                <w:i w:val="0"/>
                <w:iCs w:val="0"/>
                <w:color w:val="000000"/>
                <w:kern w:val="0"/>
                <w:sz w:val="26"/>
                <w:szCs w:val="26"/>
                <w:highlight w:val="none"/>
                <w:u w:val="none"/>
                <w:lang w:val="en-US" w:eastAsia="zh-CN" w:bidi="ar"/>
              </w:rPr>
              <w:t>评价属性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highlight w:val="none"/>
              </w:rPr>
            </w:pPr>
            <w:r>
              <w:rPr>
                <w:rFonts w:hint="eastAsia" w:ascii="宋体" w:hAnsi="宋体" w:eastAsia="宋体" w:cs="宋体"/>
                <w:b/>
                <w:bCs/>
                <w:i w:val="0"/>
                <w:iCs w:val="0"/>
                <w:color w:val="000000"/>
                <w:kern w:val="0"/>
                <w:sz w:val="26"/>
                <w:szCs w:val="26"/>
                <w:highlight w:val="none"/>
                <w:u w:val="none"/>
                <w:lang w:val="en-US" w:eastAsia="zh-CN" w:bidi="ar"/>
              </w:rPr>
              <w:t>自查得分</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highlight w:val="none"/>
              </w:rPr>
            </w:pPr>
            <w:r>
              <w:rPr>
                <w:rFonts w:hint="eastAsia" w:ascii="宋体" w:hAnsi="宋体" w:eastAsia="宋体" w:cs="宋体"/>
                <w:b/>
                <w:bCs/>
                <w:i w:val="0"/>
                <w:iCs w:val="0"/>
                <w:color w:val="000000"/>
                <w:kern w:val="0"/>
                <w:sz w:val="26"/>
                <w:szCs w:val="2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三级指标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整体评价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样本评价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定性评价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b/>
                <w:bCs/>
                <w:i w:val="0"/>
                <w:iCs w:val="0"/>
                <w:color w:val="000000"/>
                <w:kern w:val="0"/>
                <w:sz w:val="18"/>
                <w:szCs w:val="18"/>
                <w:highlight w:val="none"/>
                <w:u w:val="none"/>
                <w:lang w:val="en-US" w:eastAsia="zh-CN" w:bidi="ar"/>
              </w:rPr>
              <w:t>定量评价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3"/>
                <w:szCs w:val="16"/>
                <w:highlight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部门预算项目绩效管理（70分）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目标管理（30分）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目标制定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评价部门绩效目标是否要素完整、细化量化并集体决策。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1.绩效目标编制要素完整的，得5分，否则酌情扣分。                                                       2.绩效指标细化量化的，得5分，否则酌情扣分。</w:t>
            </w:r>
          </w:p>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3.评价部门绩效目标纳入部门党组（委）会（办公会）集体决策范围的得5分，否则不得分。</w:t>
            </w:r>
          </w:p>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有项目绩效目标的部门（单位），根据项目绩效目标编制质量打分，无项目绩效目标的部门，根据部门整体支出绩效目标打分。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评价部门绩效目标实际实现程度与预期目标的偏离度。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财政重点绩效评价组评价范围为部门机关及至少2个下属单位的所有纳入绩效目标管理的部门预算项目，部门自评范围为部门所有纳入绩效目标管理的部门预算项目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部门预算项目绩效管理（70分）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                                                                             动态调整（20分）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支出控制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部门公用经费及非定额公用支出控制情况。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计算部门日常公用经费、项目支出中“办公费、印刷费、水费、电费、物业管理费”等科目年初预算数与决算数偏差程度。                                                            预决算偏差程度在10%以内的，得5分。偏差度在10%-20%之间的，得2分，偏差度超过20%的，不得分。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及时处置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评价部门开展绩效运行监控后，将绩效监控结果应用到预算调整的情况。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w:t>
            </w:r>
          </w:p>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3.当部门绩效监控调整取消额与结余注销额均为零时，得满分。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评价部门在6、9、11月的预算执行情况。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部门预算执行进度在6、9、11月应达到序时进度的80%、90%、90%，即实际支出进度分别达到40%、67.5%、82.5%。                                                     6、9、11月部门预算执行进度达到量化指标的分别得1、2、2分，未达到目标进度的的按其实际进度占目标进度的比重计算得分。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部门预算项目绩效管理（70分）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完成结果（20分）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预算完成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评价部门预算项目年终预算执行情况。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部门预算项目12月预算执行进度达到100%的，得10分，未达100%的，按照实际进度量化计算得分。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资金结余率（低效无效率）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评价部门预算项目年终资金结余情况。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部门预算项目资金结余率小于0.1的项目数/部门预算项目总数*5。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违规记录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根据审计监督、财政检查结果反映部门上一年度部门预算管理是否合规。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依据评价年度审计监督、财政检查结果，出现部门预算管理方面违纪违规问题的，每个问题扣0.5分，直至扣完。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绩效结果应用（20分）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内部应用（6分）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预算挂钩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部门内部绩效结果与预算挂钩情况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 xml:space="preserve">将内设机构和下属单位绩效自评纳入考核体系，建立对内设机构和下属单位预算与绩效挂钩机制的，得6分，否则酌情扣分。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3"/>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信息公开（4分)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自评公开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评价部门是否按要求将部门整体绩效自评情况和自行组织的评价情况向社会公开。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按要求将相关绩效信息随同决算公开的，得4分，否则不得分。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整改反馈（10分）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问题整改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评价部门根据绩效管理结果整改问题、完善政策、改进管理的情况。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针对绩效管理过程中（包括绩效目标核查、绩效监控核查和重点绩效评价）提出的问题进行整改，得5分，否则酌情扣分。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应用反馈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评价部门按要求及时向财政部门反馈结果应用情况。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部门在规定时间内向财政部门反馈应用绩效结果报告的，得5分，否则不得分。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自评质量（10分）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自评质量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自评质量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评价部门整体支出自评准确率。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bl>
    <w:tbl>
      <w:tblPr>
        <w:tblStyle w:val="15"/>
        <w:tblpPr w:leftFromText="180" w:rightFromText="180" w:vertAnchor="text" w:horzAnchor="page" w:tblpX="472" w:tblpY="74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493"/>
        <w:gridCol w:w="1320"/>
        <w:gridCol w:w="7365"/>
        <w:gridCol w:w="523"/>
        <w:gridCol w:w="503"/>
        <w:gridCol w:w="425"/>
        <w:gridCol w:w="513"/>
        <w:gridCol w:w="662"/>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扣分项（10分）</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5"/>
                <w:szCs w:val="15"/>
                <w:highlight w:val="none"/>
                <w:u w:val="none"/>
                <w:lang w:val="en-US" w:eastAsia="zh-CN" w:bidi="ar"/>
              </w:rPr>
              <w:t>被评价单位配合评价工作情况。</w:t>
            </w:r>
          </w:p>
        </w:tc>
        <w:tc>
          <w:tcPr>
            <w:tcW w:w="7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3"/>
                <w:szCs w:val="16"/>
                <w:highlight w:val="none"/>
              </w:rPr>
            </w:pPr>
            <w:r>
              <w:rPr>
                <w:rFonts w:hint="eastAsia" w:ascii="宋体" w:hAnsi="宋体" w:eastAsia="宋体" w:cs="宋体"/>
                <w:i w:val="0"/>
                <w:iCs w:val="0"/>
                <w:color w:val="000000"/>
                <w:kern w:val="0"/>
                <w:sz w:val="16"/>
                <w:szCs w:val="16"/>
                <w:highlight w:val="none"/>
                <w:u w:val="none"/>
                <w:lang w:val="en-US" w:eastAsia="zh-CN" w:bidi="ar"/>
              </w:rPr>
              <w:t>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13"/>
                <w:szCs w:val="16"/>
                <w:highlight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sectPr>
          <w:pgSz w:w="16838" w:h="11906" w:orient="landscape"/>
          <w:pgMar w:top="1440" w:right="1080" w:bottom="1440" w:left="1080" w:header="851" w:footer="1134" w:gutter="0"/>
          <w:pgNumType w:start="1"/>
          <w:cols w:space="425" w:num="1"/>
          <w:titlePg/>
          <w:docGrid w:type="lines" w:linePitch="312" w:charSpace="0"/>
        </w:sectPr>
      </w:pPr>
    </w:p>
    <w:bookmarkEnd w:id="61"/>
    <w:bookmarkEnd w:id="63"/>
    <w:p>
      <w:pPr>
        <w:pStyle w:val="2"/>
        <w:rPr>
          <w:rFonts w:hint="eastAsia" w:ascii="仿宋_GB2312" w:hAnsi="仿宋_GB2312" w:eastAsia="仿宋_GB2312" w:cs="仿宋_GB2312"/>
          <w:sz w:val="20"/>
          <w:szCs w:val="20"/>
        </w:rPr>
      </w:pPr>
      <w:bookmarkStart w:id="64" w:name="_Toc15396619"/>
    </w:p>
    <w:p>
      <w:pPr>
        <w:rPr>
          <w:rFonts w:hint="eastAsia"/>
        </w:rPr>
      </w:pP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1180"/>
        <w:gridCol w:w="618"/>
        <w:gridCol w:w="1896"/>
        <w:gridCol w:w="2087"/>
        <w:gridCol w:w="1533"/>
        <w:gridCol w:w="1351"/>
        <w:gridCol w:w="1351"/>
        <w:gridCol w:w="697"/>
        <w:gridCol w:w="291"/>
        <w:gridCol w:w="321"/>
        <w:gridCol w:w="321"/>
        <w:gridCol w:w="321"/>
        <w:gridCol w:w="321"/>
        <w:gridCol w:w="321"/>
        <w:gridCol w:w="321"/>
        <w:gridCol w:w="321"/>
        <w:gridCol w:w="321"/>
        <w:gridCol w:w="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36"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3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54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45"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54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8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12"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14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17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侨联、侨务、外侨事务工作经费</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31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组织接待来我市的重要外宾和通过党委、政府渠道来访的外国团体和个人，保障侨务、外侨事务工作的正常运行</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12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22264</w:t>
            </w:r>
          </w:p>
        </w:tc>
        <w:tc>
          <w:tcPr>
            <w:tcW w:w="1221"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0.2783</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19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项目1</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疫情原因，资金使用率低</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484"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31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因疫情原因，导致外宾来访减少，故资金使用率低</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31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加强内部协调沟通</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1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  陈雅岚            </w:t>
            </w: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bl>
    <w:p>
      <w:pPr>
        <w:spacing w:line="600" w:lineRule="exact"/>
        <w:ind w:firstLine="400" w:firstLineChars="200"/>
        <w:rPr>
          <w:rFonts w:hint="eastAsia" w:ascii="仿宋_GB2312" w:hAnsi="仿宋_GB2312" w:eastAsia="仿宋_GB2312" w:cs="仿宋_GB2312"/>
          <w:sz w:val="20"/>
          <w:szCs w:val="20"/>
        </w:rPr>
      </w:pPr>
    </w:p>
    <w:p>
      <w:pPr>
        <w:spacing w:line="600" w:lineRule="exact"/>
        <w:ind w:firstLine="400" w:firstLineChars="200"/>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rPr>
      </w:pPr>
    </w:p>
    <w:tbl>
      <w:tblPr>
        <w:tblStyle w:val="15"/>
        <w:tblpPr w:leftFromText="180" w:rightFromText="180" w:vertAnchor="text" w:horzAnchor="page" w:tblpX="341" w:tblpY="296"/>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4"/>
        <w:gridCol w:w="1244"/>
        <w:gridCol w:w="1167"/>
        <w:gridCol w:w="2161"/>
        <w:gridCol w:w="3647"/>
        <w:gridCol w:w="2703"/>
        <w:gridCol w:w="741"/>
        <w:gridCol w:w="741"/>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1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41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2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22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1"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4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23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项目6</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17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党外干部培训费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41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用于全市党外干部学习党的政策方针，一年内培训党外干部80人次以上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45000</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45000</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2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项目6</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21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1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249"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41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41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rPr>
          <w:rFonts w:hint="eastAsia" w:ascii="仿宋_GB2312" w:hAnsi="仿宋_GB2312" w:eastAsia="仿宋_GB2312" w:cs="仿宋_GB2312"/>
          <w:sz w:val="20"/>
          <w:szCs w:val="20"/>
        </w:rPr>
      </w:pPr>
    </w:p>
    <w:p>
      <w:pPr>
        <w:pStyle w:val="2"/>
        <w:rPr>
          <w:rFonts w:hint="eastAsia" w:ascii="仿宋_GB2312" w:hAnsi="仿宋_GB2312" w:eastAsia="仿宋_GB2312" w:cs="仿宋_GB2312"/>
          <w:sz w:val="20"/>
          <w:szCs w:val="20"/>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5"/>
        <w:tblpPr w:leftFromText="180" w:rightFromText="180" w:vertAnchor="text" w:horzAnchor="page" w:tblpX="519" w:tblpY="1427"/>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6"/>
        <w:gridCol w:w="1245"/>
        <w:gridCol w:w="1170"/>
        <w:gridCol w:w="2159"/>
        <w:gridCol w:w="3642"/>
        <w:gridCol w:w="2704"/>
        <w:gridCol w:w="744"/>
        <w:gridCol w:w="744"/>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41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2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0"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23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项目9</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换届工作经费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用于2021年宗教团体和民主党派换届工作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140000</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75455</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0.538964286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2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项目9</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疫情原因，部分换届工作没有按期开展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疫情原因，部分换届工作没有按期开展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待疫情好转，按期开展换届工作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rPr>
          <w:rFonts w:hint="eastAsia"/>
        </w:rPr>
      </w:pPr>
    </w:p>
    <w:tbl>
      <w:tblPr>
        <w:tblStyle w:val="15"/>
        <w:tblpPr w:leftFromText="180" w:rightFromText="180" w:vertAnchor="text" w:horzAnchor="page" w:tblpX="617" w:tblpY="33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6"/>
        <w:gridCol w:w="1245"/>
        <w:gridCol w:w="1170"/>
        <w:gridCol w:w="2159"/>
        <w:gridCol w:w="3642"/>
        <w:gridCol w:w="2704"/>
        <w:gridCol w:w="744"/>
        <w:gridCol w:w="744"/>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41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2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0"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23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民主党派工作经费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保证各党派参政议政、考察调研，为我市经济社会发展更好的建言献策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345000</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130000</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0.376811594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2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项目5</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疫情原因，项目开展的较少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疫情原因，项目开展的较少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疫情原因，项目开展的较少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加强沟通协调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rPr>
          <w:rFonts w:hint="eastAsia"/>
        </w:rPr>
      </w:pPr>
    </w:p>
    <w:tbl>
      <w:tblPr>
        <w:tblStyle w:val="15"/>
        <w:tblpPr w:leftFromText="180" w:rightFromText="180" w:vertAnchor="text" w:horzAnchor="page" w:tblpX="694" w:tblpY="403"/>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6"/>
        <w:gridCol w:w="1245"/>
        <w:gridCol w:w="1170"/>
        <w:gridCol w:w="2159"/>
        <w:gridCol w:w="3642"/>
        <w:gridCol w:w="2704"/>
        <w:gridCol w:w="744"/>
        <w:gridCol w:w="744"/>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41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2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0"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23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民族宗教稳定工作经费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用于指导、保障各宗教团体能顺利开展宗教活动，为全市经济社会发展服务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70000</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65785.21</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0.939788714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2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项目4</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5"/>
        <w:tblpPr w:leftFromText="180" w:rightFromText="180" w:vertAnchor="text" w:horzAnchor="page" w:tblpX="783" w:tblpY="290"/>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1200"/>
        <w:gridCol w:w="1176"/>
        <w:gridCol w:w="2176"/>
        <w:gridCol w:w="3668"/>
        <w:gridCol w:w="2724"/>
        <w:gridCol w:w="747"/>
        <w:gridCol w:w="747"/>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9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40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23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1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56"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91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2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2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2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台湾事务工作经费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42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用于台湾事务办公室正常运转以及接待来我市重要台湾客人、台侨、台眷和来访关于台湾事务的团体和个人，保证台湾事务的正常运行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11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150000</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103616.2</w:t>
            </w:r>
          </w:p>
        </w:tc>
        <w:tc>
          <w:tcPr>
            <w:tcW w:w="927"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0.690774667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2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项目7</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因疫情原因，项目开展滞后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251"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42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因疫情原因项目开展滞后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42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待疫情好转后，再开展相关项目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194"/>
        <w:gridCol w:w="1182"/>
        <w:gridCol w:w="2174"/>
        <w:gridCol w:w="3665"/>
        <w:gridCol w:w="2727"/>
        <w:gridCol w:w="753"/>
        <w:gridCol w:w="751"/>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9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40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7"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23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1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2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54"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915"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2"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2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23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20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统战调研工作经费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42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提出开展统一战线工作的意见和建议、协调处理统战工作中的重大问题，组织开展统一战线重大活动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200000</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92874.3</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0.4643715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2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项目2</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2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1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253"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42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因疫情原因，故调研工作滞后，导致资金使用率低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42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加强工作对接，促进资金使用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5"/>
        <w:tblpPr w:leftFromText="180" w:rightFromText="180" w:vertAnchor="text" w:horzAnchor="page" w:tblpX="1163" w:tblpY="306"/>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6"/>
        <w:gridCol w:w="1245"/>
        <w:gridCol w:w="1170"/>
        <w:gridCol w:w="2159"/>
        <w:gridCol w:w="3642"/>
        <w:gridCol w:w="2704"/>
        <w:gridCol w:w="744"/>
        <w:gridCol w:w="744"/>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41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24"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70" w:type="pct"/>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90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50"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23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项目8</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宗教人士生活补助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关心宗教人士生产生活，12名宗教人士每人每月2151元补贴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309700</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258120</w:t>
            </w:r>
          </w:p>
        </w:tc>
        <w:tc>
          <w:tcPr>
            <w:tcW w:w="920" w:type="pct"/>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0.833451727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2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2"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项目8</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2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因政协委员、人大代表换届故未发放完毕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250" w:type="pct"/>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41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5"/>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1287"/>
        <w:gridCol w:w="1153"/>
        <w:gridCol w:w="2118"/>
        <w:gridCol w:w="3572"/>
        <w:gridCol w:w="2658"/>
        <w:gridCol w:w="727"/>
        <w:gridCol w:w="727"/>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附件7</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53"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每个项目单独填报一张绩效自评表。表格中有底色部分不可修改；</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2022年项目支出绩效自评表（共9个项目）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宗教团体春节慰问费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项目情况概述</w:t>
            </w:r>
          </w:p>
        </w:tc>
        <w:tc>
          <w:tcPr>
            <w:tcW w:w="124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春节慰问宗教团体和宗教人士，表达党委政府春节对宗教界人士的关心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资金执行情况（万元）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决算数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0.783333333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年初预期值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90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w:t>
            </w:r>
          </w:p>
        </w:tc>
        <w:tc>
          <w:tcPr>
            <w:tcW w:w="5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预算执行率=1，得10分；预算执行率&lt;1时，按预算执行率*10计算；2&gt;预算执行率&gt;1时，按（2-预算执行率）*10计算；预算执行率≥2时，不得分。</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财务管理制度健全性</w:t>
            </w:r>
          </w:p>
        </w:tc>
        <w:tc>
          <w:tcPr>
            <w:tcW w:w="5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财务监控有效性</w:t>
            </w:r>
          </w:p>
        </w:tc>
        <w:tc>
          <w:tcPr>
            <w:tcW w:w="5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项目申报规范性</w:t>
            </w:r>
          </w:p>
        </w:tc>
        <w:tc>
          <w:tcPr>
            <w:tcW w:w="5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项目3</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绩效情况</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资金分配规范性</w:t>
            </w:r>
          </w:p>
        </w:tc>
        <w:tc>
          <w:tcPr>
            <w:tcW w:w="5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信息公开情况</w:t>
            </w:r>
          </w:p>
        </w:tc>
        <w:tc>
          <w:tcPr>
            <w:tcW w:w="5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完成情况</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（项目预期完成情况，含数量，质量，时效，成本等）</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（项目实际完成情况，含数量，质量，时效，成本等）</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疫情原因，慰问宗教人士数量有所减少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效益情况</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（项目预期取得的效益及受益人员满意度等）</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（项目实际取得的效益及受益人员满意度等）</w:t>
            </w:r>
          </w:p>
        </w:tc>
        <w:tc>
          <w:tcPr>
            <w:tcW w:w="0" w:type="auto"/>
            <w:tcBorders>
              <w:top w:val="single" w:color="000000" w:sz="4" w:space="0"/>
              <w:left w:val="single" w:color="000000" w:sz="4" w:space="0"/>
              <w:bottom w:val="single" w:color="000000" w:sz="4" w:space="0"/>
              <w:right w:val="single" w:color="000000" w:sz="4" w:space="0"/>
            </w:tcBorders>
            <w:shd w:val="clear" w:color="auto" w:fill="FCE4D6"/>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124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疫情原因，慰问宗教人士数量有所减少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改进措施</w:t>
            </w:r>
          </w:p>
        </w:tc>
        <w:tc>
          <w:tcPr>
            <w:tcW w:w="124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减少2022年预算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填报人：陈雅岚              </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tabs>
          <w:tab w:val="center" w:pos="7398"/>
          <w:tab w:val="left" w:pos="13420"/>
        </w:tabs>
        <w:jc w:val="left"/>
        <w:rPr>
          <w:rFonts w:hint="eastAsia" w:ascii="宋体" w:hAnsi="宋体" w:cs="宋体"/>
          <w:b/>
          <w:bCs/>
          <w:i w:val="0"/>
          <w:iCs w:val="0"/>
          <w:color w:val="000000"/>
          <w:kern w:val="0"/>
          <w:sz w:val="48"/>
          <w:szCs w:val="48"/>
          <w:highlight w:val="none"/>
          <w:u w:val="none"/>
          <w:lang w:val="en-US" w:eastAsia="zh-CN" w:bidi="ar"/>
        </w:rPr>
      </w:pPr>
      <w:r>
        <w:rPr>
          <w:rFonts w:hint="eastAsia" w:ascii="宋体" w:hAnsi="宋体" w:cs="宋体"/>
          <w:b/>
          <w:bCs/>
          <w:i w:val="0"/>
          <w:iCs w:val="0"/>
          <w:color w:val="000000"/>
          <w:kern w:val="0"/>
          <w:sz w:val="48"/>
          <w:szCs w:val="48"/>
          <w:highlight w:val="none"/>
          <w:u w:val="none"/>
          <w:lang w:val="en-US" w:eastAsia="zh-CN" w:bidi="ar"/>
        </w:rPr>
        <w:tab/>
      </w:r>
      <w:r>
        <w:rPr>
          <w:rFonts w:hint="eastAsia" w:ascii="宋体" w:hAnsi="宋体" w:eastAsia="宋体" w:cs="宋体"/>
          <w:b/>
          <w:bCs/>
          <w:i w:val="0"/>
          <w:iCs w:val="0"/>
          <w:color w:val="000000"/>
          <w:kern w:val="0"/>
          <w:sz w:val="48"/>
          <w:szCs w:val="48"/>
          <w:highlight w:val="none"/>
          <w:u w:val="none"/>
          <w:lang w:val="en-US" w:eastAsia="zh-CN" w:bidi="ar"/>
        </w:rPr>
        <w:t>202</w:t>
      </w:r>
      <w:r>
        <w:rPr>
          <w:rFonts w:hint="eastAsia" w:ascii="宋体" w:hAnsi="宋体" w:cs="宋体"/>
          <w:b/>
          <w:bCs/>
          <w:i w:val="0"/>
          <w:iCs w:val="0"/>
          <w:color w:val="000000"/>
          <w:kern w:val="0"/>
          <w:sz w:val="48"/>
          <w:szCs w:val="48"/>
          <w:highlight w:val="none"/>
          <w:u w:val="none"/>
          <w:lang w:val="en-US" w:eastAsia="zh-CN" w:bidi="ar"/>
        </w:rPr>
        <w:t>1</w:t>
      </w:r>
      <w:r>
        <w:rPr>
          <w:rFonts w:hint="eastAsia" w:ascii="宋体" w:hAnsi="宋体" w:eastAsia="宋体" w:cs="宋体"/>
          <w:b/>
          <w:bCs/>
          <w:i w:val="0"/>
          <w:iCs w:val="0"/>
          <w:color w:val="000000"/>
          <w:kern w:val="0"/>
          <w:sz w:val="48"/>
          <w:szCs w:val="48"/>
          <w:highlight w:val="none"/>
          <w:u w:val="none"/>
          <w:lang w:val="en-US" w:eastAsia="zh-CN" w:bidi="ar"/>
        </w:rPr>
        <w:t>年项目支出绩效自评表（</w:t>
      </w:r>
      <w:r>
        <w:rPr>
          <w:rFonts w:hint="eastAsia" w:ascii="宋体" w:hAnsi="宋体" w:cs="宋体"/>
          <w:b/>
          <w:bCs/>
          <w:i w:val="0"/>
          <w:iCs w:val="0"/>
          <w:color w:val="000000"/>
          <w:kern w:val="0"/>
          <w:sz w:val="48"/>
          <w:szCs w:val="48"/>
          <w:highlight w:val="none"/>
          <w:u w:val="none"/>
          <w:lang w:val="en-US" w:eastAsia="zh-CN" w:bidi="ar"/>
        </w:rPr>
        <w:t>工商联</w:t>
      </w:r>
      <w:r>
        <w:rPr>
          <w:rFonts w:hint="eastAsia" w:ascii="宋体" w:hAnsi="宋体" w:eastAsia="宋体" w:cs="宋体"/>
          <w:b/>
          <w:bCs/>
          <w:i w:val="0"/>
          <w:iCs w:val="0"/>
          <w:color w:val="000000"/>
          <w:kern w:val="0"/>
          <w:sz w:val="48"/>
          <w:szCs w:val="48"/>
          <w:highlight w:val="none"/>
          <w:u w:val="none"/>
          <w:lang w:val="en-US" w:eastAsia="zh-CN" w:bidi="ar"/>
        </w:rPr>
        <w:t>共4个项目）</w:t>
      </w:r>
      <w:r>
        <w:rPr>
          <w:rFonts w:hint="eastAsia" w:ascii="宋体" w:hAnsi="宋体" w:cs="宋体"/>
          <w:b/>
          <w:bCs/>
          <w:i w:val="0"/>
          <w:iCs w:val="0"/>
          <w:color w:val="000000"/>
          <w:kern w:val="0"/>
          <w:sz w:val="48"/>
          <w:szCs w:val="48"/>
          <w:highlight w:val="none"/>
          <w:u w:val="none"/>
          <w:lang w:val="en-US" w:eastAsia="zh-CN" w:bidi="ar"/>
        </w:rPr>
        <w:tab/>
      </w:r>
    </w:p>
    <w:p>
      <w:pPr>
        <w:rPr>
          <w:rFonts w:hint="eastAsia"/>
        </w:rPr>
      </w:pPr>
    </w:p>
    <w:tbl>
      <w:tblPr>
        <w:tblStyle w:val="15"/>
        <w:tblW w:w="14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915"/>
        <w:gridCol w:w="1164"/>
        <w:gridCol w:w="1896"/>
        <w:gridCol w:w="2010"/>
        <w:gridCol w:w="2085"/>
        <w:gridCol w:w="1025"/>
        <w:gridCol w:w="1205"/>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926"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主管部门</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市委统战部</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实施单位</w:t>
            </w:r>
          </w:p>
        </w:tc>
        <w:tc>
          <w:tcPr>
            <w:tcW w:w="46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峨眉山市工商联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33"/>
                <w:highlight w:val="none"/>
                <w:lang w:val="en-US" w:eastAsia="zh-CN" w:bidi="ar"/>
              </w:rPr>
              <w:t>办公楼运行维护费</w:t>
            </w:r>
            <w:r>
              <w:rPr>
                <w:rStyle w:val="34"/>
                <w:rFonts w:eastAsia="宋体"/>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项目情况概述</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工商联和民主党派办公楼运行维护管理经费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资金执行情况（万元）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决算数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年初预期值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绩效情况</w:t>
            </w:r>
          </w:p>
        </w:tc>
        <w:tc>
          <w:tcPr>
            <w:tcW w:w="7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96.68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管理指标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预算执行率=1，得10分；预算执行率&lt;1时，按预算执行率*10计算；2&gt;预算执行率&gt;1时，按（2-预算执行率）*10计算；预算执行率≥2时，不得分。</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全机关工作人员提高节能降耗意识，节约用水、用电，加强节约型机关建设。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财务管理制度健全性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财务监控有效性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项目申报规范性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资金分配规范性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信息公开情况</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项目绩效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完成情况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物业正常运行，大楼管网畅通。</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物业正常运行，大楼管网畅通。</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效益情况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工商联及民主党派办公楼干净整洁。</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工商联及民主党派办公楼干净整洁。</w:t>
            </w:r>
          </w:p>
        </w:tc>
        <w:tc>
          <w:tcPr>
            <w:tcW w:w="0" w:type="auto"/>
            <w:tcBorders>
              <w:top w:val="single" w:color="000000" w:sz="4" w:space="0"/>
              <w:left w:val="single" w:color="000000" w:sz="4" w:space="0"/>
              <w:bottom w:val="single" w:color="000000" w:sz="4" w:space="0"/>
              <w:right w:val="single" w:color="000000" w:sz="4" w:space="0"/>
            </w:tcBorders>
            <w:shd w:val="clear" w:color="auto" w:fill="FBE4D5"/>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存在问题</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对部分项目未有效进行项目绩效跟踪、绩效评价及结果应用，绩效评价结果应用不够。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BE4D5"/>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改进措施</w:t>
            </w:r>
          </w:p>
        </w:tc>
        <w:tc>
          <w:tcPr>
            <w:tcW w:w="11812"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进一步根据项目实施进度，应用绩效评价结果，调整预算。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填报人：李芙蓉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2"/>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主管部门</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市委统战部</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实施单位</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峨眉山市工商联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调研经费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项目情况概述</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工商联参政议政调研经费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资金执行情况（万元）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决算数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0.754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年初预期值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绩效情况</w:t>
            </w:r>
          </w:p>
        </w:tc>
        <w:tc>
          <w:tcPr>
            <w:tcW w:w="7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97.54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管理指标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预算执行率=1，得10分；预算执行率&lt;1时，按预算执行率*10计算；2&gt;预算执行率&gt;1时，按（2-预算执行率）*10计算；预算执行率≥2时，不得分。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因疫情原因，走访企业数量受限。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财务管理制度健全性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财务监控有效性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项目申报规范性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资金分配规范性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信息公开情况</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项目绩效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完成情况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走访企业形成走访报告2篇、调研文章1篇、上交各类提案10以上。</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走访企业10次50家，共收集问题9个；共上交提案10件；完成调研文章1篇。</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效益情况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正常发挥为企业服务的职能，促进民营企业健康发展。</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为企业服务，民营满意度高企业整体健康发展。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存在问题</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受疫情客观原因影响较大，导致企业调研任务完成情况欠佳。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改进措施</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进一步推进调研工作，创新调研方式，收集民营企业发展难点、痛点，并协助解决。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填报人：  李芙蓉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市委统战部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峨眉山市工商联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非公经济人士学习培训费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项目情况概述</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组织非公经济人士学习培训相关费用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资金执行情况（万元）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决算数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年初预期值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绩效情况</w:t>
            </w:r>
          </w:p>
        </w:tc>
        <w:tc>
          <w:tcPr>
            <w:tcW w:w="7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管理指标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预算执行率=1，得10分；预算执行率&lt;1时，按预算执行率*10计算；2&gt;预算执行率&gt;1时，按（2-预算执行率）*10计算；预算执行率≥2时，不得分。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因疫情原因，导致未能举行大型培训。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财务管理制度健全性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财务监控有效性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项目申报规范性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资金分配规范性</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信息公开情况</w:t>
            </w:r>
          </w:p>
        </w:tc>
        <w:tc>
          <w:tcPr>
            <w:tcW w:w="409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项目绩效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完成情况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举办2期大型培训。</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今年完成线下培训8次，线上培训10余次。因疫情原因，今年的培训大多为线上培训，但也会确保培训效果。</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效益情况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提高非公经济人士的法律和管理能力，促进非公企业健康发展。</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非公经济人士的法律和管理能力有所提高，非公企业健康发展。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存在问题</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因疫情原因，导致线下培训目标未按计划完成。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改进措施</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创新培训方式方法，多维度多平台为会员提供培训机会。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填报人： 李芙蓉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市委统战部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峨眉山市工商联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33"/>
                <w:highlight w:val="none"/>
                <w:lang w:val="en-US" w:eastAsia="zh-CN" w:bidi="ar"/>
              </w:rPr>
              <w:t>工商联基层组织建设经费</w:t>
            </w:r>
            <w:r>
              <w:rPr>
                <w:rStyle w:val="34"/>
                <w:rFonts w:eastAsia="宋体"/>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项目情况概述</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确保基层商会工作正常运转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资金执行情况（万元）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决算数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年初预期值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扣分原因分析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绩效情况</w:t>
            </w:r>
          </w:p>
        </w:tc>
        <w:tc>
          <w:tcPr>
            <w:tcW w:w="7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得  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98.13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管理指标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预算执行率=1，得10分；预算执行率&lt;1时，按预算执行率*10计算；2&gt;预算执行率&gt;1时，按（2-预算执行率）*10计算；预算执行率≥2时，不得分。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财务管理制度健全性</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财务监控有效性</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项目申报规范性</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资金分配规范性</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信息公开情况</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（管理指标不设绩效指标，按指标评价内容直接评分）</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项目绩效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完成情况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建设基层组织，基层组织运行正常。</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建设基层组织，基层组织运行正常。2020年因疫情原因，乡镇、街道商会暂未能成功创建，目前处于前期筹备阶段。</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效益情况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全年基层商会健康发展。</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全年基层商会健康发展。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D9E3F3"/>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存在问题</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受疫情客观原因影响较大，导致乡镇、街道商会暂未能成功创建，推进较缓。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E3F3"/>
            <w:noWrap/>
            <w:vAlign w:val="center"/>
          </w:tcPr>
          <w:p>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改进措施</w:t>
            </w:r>
          </w:p>
        </w:tc>
        <w:tc>
          <w:tcPr>
            <w:tcW w:w="118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下一步市工商联将共同努力，推动基层商会各项工作取得新成绩、再上新台阶,为决战决胜全面建成小康社会贡献智慧力量。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填报人：李芙蓉              </w:t>
            </w: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600" w:lineRule="exact"/>
        <w:ind w:firstLine="2080" w:firstLineChars="40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第五部分 附表</w:t>
      </w:r>
    </w:p>
    <w:p>
      <w:pPr>
        <w:spacing w:line="600" w:lineRule="exact"/>
        <w:ind w:firstLine="800" w:firstLineChars="400"/>
        <w:rPr>
          <w:rFonts w:ascii="仿宋_GB2312" w:hAnsi="仿宋_GB2312" w:eastAsia="仿宋_GB2312" w:cs="仿宋_GB2312"/>
          <w:sz w:val="32"/>
          <w:szCs w:val="32"/>
        </w:rPr>
      </w:pPr>
      <w:r>
        <w:rPr>
          <w:rFonts w:hint="eastAsia" w:ascii="仿宋_GB2312" w:hAnsi="仿宋_GB2312" w:eastAsia="仿宋_GB2312" w:cs="仿宋_GB2312"/>
          <w:sz w:val="20"/>
          <w:szCs w:val="20"/>
        </w:rPr>
        <w:t>一、</w:t>
      </w:r>
      <w:r>
        <w:rPr>
          <w:rFonts w:hint="eastAsia" w:ascii="仿宋_GB2312" w:hAnsi="仿宋_GB2312" w:eastAsia="仿宋_GB2312" w:cs="仿宋_GB2312"/>
          <w:sz w:val="32"/>
          <w:szCs w:val="32"/>
        </w:rPr>
        <w:t>收入支出决算总表</w:t>
      </w:r>
      <w:bookmarkEnd w:id="64"/>
    </w:p>
    <w:p>
      <w:pPr>
        <w:spacing w:line="600" w:lineRule="exact"/>
        <w:ind w:firstLine="640" w:firstLineChars="200"/>
        <w:rPr>
          <w:rFonts w:ascii="仿宋_GB2312" w:hAnsi="仿宋_GB2312" w:eastAsia="仿宋_GB2312" w:cs="仿宋_GB2312"/>
          <w:sz w:val="32"/>
          <w:szCs w:val="32"/>
        </w:rPr>
      </w:pPr>
      <w:bookmarkStart w:id="65" w:name="_Toc15396620"/>
      <w:r>
        <w:rPr>
          <w:rFonts w:hint="eastAsia" w:ascii="仿宋_GB2312" w:hAnsi="仿宋_GB2312" w:eastAsia="仿宋_GB2312" w:cs="仿宋_GB2312"/>
          <w:sz w:val="32"/>
          <w:szCs w:val="32"/>
        </w:rPr>
        <w:t>二、收入决算表</w:t>
      </w:r>
      <w:bookmarkEnd w:id="65"/>
    </w:p>
    <w:p>
      <w:pPr>
        <w:spacing w:line="600" w:lineRule="exact"/>
        <w:ind w:firstLine="640" w:firstLineChars="200"/>
        <w:rPr>
          <w:rFonts w:ascii="仿宋_GB2312" w:hAnsi="仿宋_GB2312" w:eastAsia="仿宋_GB2312" w:cs="仿宋_GB2312"/>
          <w:sz w:val="32"/>
          <w:szCs w:val="32"/>
        </w:rPr>
      </w:pPr>
      <w:bookmarkStart w:id="66" w:name="_Toc15396621"/>
      <w:r>
        <w:rPr>
          <w:rFonts w:hint="eastAsia" w:ascii="仿宋_GB2312" w:hAnsi="仿宋_GB2312" w:eastAsia="仿宋_GB2312" w:cs="仿宋_GB2312"/>
          <w:sz w:val="32"/>
          <w:szCs w:val="32"/>
        </w:rPr>
        <w:t>三、支出决算表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22"/>
      <w:r>
        <w:rPr>
          <w:rFonts w:hint="eastAsia" w:ascii="仿宋_GB2312" w:hAnsi="仿宋_GB2312" w:eastAsia="仿宋_GB2312" w:cs="仿宋_GB2312"/>
          <w:sz w:val="32"/>
          <w:szCs w:val="32"/>
        </w:rPr>
        <w:t>四、财政拨款收入支出决算总表</w:t>
      </w:r>
      <w:bookmarkEnd w:id="67"/>
    </w:p>
    <w:p>
      <w:pPr>
        <w:spacing w:line="600" w:lineRule="exact"/>
        <w:ind w:firstLine="640" w:firstLineChars="200"/>
        <w:rPr>
          <w:rFonts w:ascii="仿宋_GB2312" w:hAnsi="仿宋_GB2312" w:eastAsia="仿宋_GB2312" w:cs="仿宋_GB2312"/>
          <w:sz w:val="32"/>
          <w:szCs w:val="32"/>
        </w:rPr>
      </w:pPr>
      <w:bookmarkStart w:id="68" w:name="_Toc15396623"/>
      <w:r>
        <w:rPr>
          <w:rFonts w:hint="eastAsia" w:ascii="仿宋_GB2312" w:hAnsi="仿宋_GB2312" w:eastAsia="仿宋_GB2312" w:cs="仿宋_GB2312"/>
          <w:sz w:val="32"/>
          <w:szCs w:val="32"/>
        </w:rPr>
        <w:t>五、财政拨款支出决算明细表</w:t>
      </w:r>
      <w:bookmarkEnd w:id="68"/>
      <w:bookmarkStart w:id="69"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9"/>
    </w:p>
    <w:p>
      <w:pPr>
        <w:spacing w:line="600" w:lineRule="exact"/>
        <w:ind w:firstLine="640" w:firstLineChars="200"/>
        <w:rPr>
          <w:rFonts w:ascii="仿宋_GB2312" w:hAnsi="仿宋_GB2312" w:eastAsia="仿宋_GB2312" w:cs="仿宋_GB2312"/>
          <w:sz w:val="32"/>
          <w:szCs w:val="32"/>
        </w:rPr>
      </w:pPr>
      <w:bookmarkStart w:id="70" w:name="_Toc15396625"/>
      <w:r>
        <w:rPr>
          <w:rFonts w:hint="eastAsia" w:ascii="仿宋_GB2312" w:hAnsi="仿宋_GB2312" w:eastAsia="仿宋_GB2312" w:cs="仿宋_GB2312"/>
          <w:sz w:val="32"/>
          <w:szCs w:val="32"/>
        </w:rPr>
        <w:t>七、一般公共预算财政拨款支出决算明细表</w:t>
      </w:r>
      <w:bookmarkEnd w:id="70"/>
    </w:p>
    <w:p>
      <w:pPr>
        <w:spacing w:line="600" w:lineRule="exact"/>
        <w:ind w:firstLine="640" w:firstLineChars="200"/>
        <w:rPr>
          <w:rFonts w:ascii="仿宋_GB2312" w:hAnsi="仿宋_GB2312" w:eastAsia="仿宋_GB2312" w:cs="仿宋_GB2312"/>
          <w:sz w:val="32"/>
          <w:szCs w:val="32"/>
        </w:rPr>
      </w:pPr>
      <w:bookmarkStart w:id="71" w:name="_Toc15396626"/>
      <w:r>
        <w:rPr>
          <w:rFonts w:hint="eastAsia" w:ascii="仿宋_GB2312" w:hAnsi="仿宋_GB2312" w:eastAsia="仿宋_GB2312" w:cs="仿宋_GB2312"/>
          <w:sz w:val="32"/>
          <w:szCs w:val="32"/>
        </w:rPr>
        <w:t>八、一般公共预算财政拨款基本支出决算表</w:t>
      </w:r>
      <w:bookmarkEnd w:id="71"/>
    </w:p>
    <w:p>
      <w:pPr>
        <w:spacing w:line="600" w:lineRule="exact"/>
        <w:ind w:firstLine="640" w:firstLineChars="200"/>
        <w:rPr>
          <w:rFonts w:ascii="仿宋_GB2312" w:hAnsi="仿宋_GB2312" w:eastAsia="仿宋_GB2312" w:cs="仿宋_GB2312"/>
          <w:sz w:val="32"/>
          <w:szCs w:val="32"/>
        </w:rPr>
      </w:pPr>
      <w:bookmarkStart w:id="72" w:name="_Toc15396627"/>
      <w:r>
        <w:rPr>
          <w:rFonts w:hint="eastAsia" w:ascii="仿宋_GB2312" w:hAnsi="仿宋_GB2312" w:eastAsia="仿宋_GB2312" w:cs="仿宋_GB2312"/>
          <w:sz w:val="32"/>
          <w:szCs w:val="32"/>
        </w:rPr>
        <w:t>九、一般公共预算财政拨款项目支出决算表</w:t>
      </w:r>
      <w:bookmarkEnd w:id="72"/>
    </w:p>
    <w:p>
      <w:pPr>
        <w:spacing w:line="600" w:lineRule="exact"/>
        <w:ind w:firstLine="640" w:firstLineChars="200"/>
        <w:rPr>
          <w:rFonts w:ascii="仿宋_GB2312" w:hAnsi="仿宋_GB2312" w:eastAsia="仿宋_GB2312" w:cs="仿宋_GB2312"/>
          <w:sz w:val="32"/>
          <w:szCs w:val="32"/>
        </w:rPr>
      </w:pPr>
      <w:bookmarkStart w:id="73" w:name="_Toc15396628"/>
      <w:r>
        <w:rPr>
          <w:rFonts w:hint="eastAsia" w:ascii="仿宋_GB2312" w:hAnsi="仿宋_GB2312" w:eastAsia="仿宋_GB2312" w:cs="仿宋_GB2312"/>
          <w:sz w:val="32"/>
          <w:szCs w:val="32"/>
        </w:rPr>
        <w:t>十、一般公共预算财政拨款“三公”经费支出决算表</w:t>
      </w:r>
      <w:bookmarkEnd w:id="73"/>
    </w:p>
    <w:p>
      <w:pPr>
        <w:spacing w:line="600" w:lineRule="exact"/>
        <w:ind w:firstLine="640" w:firstLineChars="200"/>
        <w:rPr>
          <w:rFonts w:ascii="仿宋_GB2312" w:hAnsi="仿宋_GB2312" w:eastAsia="仿宋_GB2312" w:cs="仿宋_GB2312"/>
          <w:sz w:val="32"/>
          <w:szCs w:val="32"/>
        </w:rPr>
      </w:pPr>
      <w:bookmarkStart w:id="74" w:name="_Toc15396629"/>
      <w:r>
        <w:rPr>
          <w:rFonts w:hint="eastAsia" w:ascii="仿宋_GB2312" w:hAnsi="仿宋_GB2312" w:eastAsia="仿宋_GB2312" w:cs="仿宋_GB2312"/>
          <w:sz w:val="32"/>
          <w:szCs w:val="32"/>
        </w:rPr>
        <w:t>十一、政府性基金预算财政拨款收入支出决算表</w:t>
      </w:r>
      <w:bookmarkEnd w:id="74"/>
    </w:p>
    <w:p>
      <w:pPr>
        <w:spacing w:line="600" w:lineRule="exact"/>
        <w:ind w:firstLine="640" w:firstLineChars="200"/>
        <w:rPr>
          <w:rFonts w:ascii="仿宋_GB2312" w:hAnsi="仿宋_GB2312" w:eastAsia="仿宋_GB2312" w:cs="仿宋_GB2312"/>
          <w:sz w:val="32"/>
          <w:szCs w:val="32"/>
        </w:rPr>
      </w:pPr>
      <w:bookmarkStart w:id="75" w:name="_Toc15396630"/>
      <w:r>
        <w:rPr>
          <w:rFonts w:hint="eastAsia" w:ascii="仿宋_GB2312" w:hAnsi="仿宋_GB2312" w:eastAsia="仿宋_GB2312" w:cs="仿宋_GB2312"/>
          <w:sz w:val="32"/>
          <w:szCs w:val="32"/>
        </w:rPr>
        <w:t>十二、政府性基金预算财政拨款“三公”经费支出决算表</w:t>
      </w:r>
      <w:bookmarkEnd w:id="75"/>
    </w:p>
    <w:p>
      <w:pPr>
        <w:spacing w:line="600" w:lineRule="exact"/>
        <w:ind w:firstLine="640" w:firstLineChars="200"/>
        <w:rPr>
          <w:rFonts w:ascii="仿宋_GB2312" w:hAnsi="仿宋_GB2312" w:eastAsia="仿宋_GB2312" w:cs="仿宋_GB2312"/>
          <w:sz w:val="32"/>
          <w:szCs w:val="32"/>
        </w:rPr>
      </w:pPr>
      <w:bookmarkStart w:id="76" w:name="_Toc15396631"/>
      <w:r>
        <w:rPr>
          <w:rFonts w:hint="eastAsia" w:ascii="仿宋_GB2312" w:hAnsi="仿宋_GB2312" w:eastAsia="仿宋_GB2312" w:cs="仿宋_GB2312"/>
          <w:sz w:val="32"/>
          <w:szCs w:val="32"/>
        </w:rPr>
        <w:t>十三、国有资本经营预算财政拨款收入支出决算表</w:t>
      </w:r>
      <w:bookmarkEnd w:id="7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pgSz w:w="16838" w:h="11906" w:orient="landscape"/>
      <w:pgMar w:top="1440" w:right="1080" w:bottom="1440" w:left="1080"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7" o:spid="_x0000_s1027" o:spt="202" type="#_x0000_t202" style="position:absolute;left:0pt;margin-top:-8.95pt;height:20.45pt;width:87.6pt;mso-position-horizontal:outside;mso-position-horizontal-relative:margin;z-index:251660288;mso-width-relative:page;mso-height-relative:page;" filled="f" stroked="f" coordsize="21600,21600" o:gfxdata="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2Vn3u9kAAAAKAQAADwAAAAAAAAABACAAAAAiAAAAZHJzL2Rvd25y&#10;ZXYueG1sUEsBAhQAFAAAAAgAh07iQHr8CznhAgAAJQYAAA4AAAAAAAAAAQAgAAAAKAEAAGRycy9l&#10;Mm9Eb2MueG1sUEsFBgAAAAAGAAYAWQEAAHsGAAAAAA==&#10;">
          <v:path/>
          <v:fill on="f" focussize="0,0"/>
          <v:stroke on="f" weight="0.5pt" joinstyle="miter"/>
          <v:imagedata o:title=""/>
          <o:lock v:ext="edit"/>
          <v:textbox inset="0mm,0mm,0mm,0mm">
            <w:txbxContent>
              <w:p>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8.95pt;height:144pt;width:144pt;mso-position-horizontal:outside;mso-position-horizontal-relative:margin;mso-wrap-style:none;z-index:251661312;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3p/yzdUAAAAIAQAADwAAAAAAAAABACAAAAAiAAAAZHJzL2Rvd25yZXYueG1sUEsB&#10;AhQAFAAAAAgAh07iQF/Ipr3cAgAAJAYAAA4AAAAAAAAAAQAgAAAAJAEAAGRycy9lMm9Eb2MueG1s&#10;UEsFBgAAAAAGAAYAWQEAAHIGAAAAAA==&#10;">
          <v:path/>
          <v:fill on="f" focussize="0,0"/>
          <v:stroke on="f" weight="0.5pt" joinstyle="miter"/>
          <v:imagedata o:title=""/>
          <o:lock v:ext="edit"/>
          <v:textbox inset="0mm,0mm,0mm,0mm" style="mso-fit-shape-to-text:t;">
            <w:txbxContent>
              <w:p>
                <w:pPr>
                  <w:pStyle w:val="9"/>
                </w:pPr>
                <w:r>
                  <w:t xml:space="preserve">— </w:t>
                </w:r>
                <w:r>
                  <w:fldChar w:fldCharType="begin"/>
                </w:r>
                <w:r>
                  <w:instrText xml:space="preserve"> PAGE  \* MERGEFORMAT </w:instrText>
                </w:r>
                <w:r>
                  <w:fldChar w:fldCharType="separate"/>
                </w:r>
                <w:r>
                  <w:t>14</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2D440BB"/>
    <w:multiLevelType w:val="singleLevel"/>
    <w:tmpl w:val="D2D440BB"/>
    <w:lvl w:ilvl="0" w:tentative="0">
      <w:start w:val="2"/>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2MGJmMWFmYmVlYjdjMDMyMTA3YWZiMmIxNDIzYjcifQ=="/>
  </w:docVars>
  <w:rsids>
    <w:rsidRoot w:val="00F1361C"/>
    <w:rsid w:val="000045A8"/>
    <w:rsid w:val="000222C6"/>
    <w:rsid w:val="0002549F"/>
    <w:rsid w:val="000468DB"/>
    <w:rsid w:val="0006487A"/>
    <w:rsid w:val="00065F8F"/>
    <w:rsid w:val="00070A43"/>
    <w:rsid w:val="000768F2"/>
    <w:rsid w:val="0008131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3A89"/>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4A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499B"/>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9C5"/>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0A46"/>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3F84"/>
    <w:rsid w:val="00D00095"/>
    <w:rsid w:val="00D114F0"/>
    <w:rsid w:val="00D20620"/>
    <w:rsid w:val="00D254F7"/>
    <w:rsid w:val="00D26091"/>
    <w:rsid w:val="00D2685C"/>
    <w:rsid w:val="00D34E7C"/>
    <w:rsid w:val="00D35489"/>
    <w:rsid w:val="00D36AFE"/>
    <w:rsid w:val="00D51276"/>
    <w:rsid w:val="00D52214"/>
    <w:rsid w:val="00D62C91"/>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9AD210A"/>
    <w:rsid w:val="0A2032A3"/>
    <w:rsid w:val="101860EC"/>
    <w:rsid w:val="10C055FF"/>
    <w:rsid w:val="118107EC"/>
    <w:rsid w:val="13D50BC4"/>
    <w:rsid w:val="16BB723D"/>
    <w:rsid w:val="1BE8440E"/>
    <w:rsid w:val="1D155CEE"/>
    <w:rsid w:val="228537CC"/>
    <w:rsid w:val="23860B96"/>
    <w:rsid w:val="240371BF"/>
    <w:rsid w:val="29FD04D3"/>
    <w:rsid w:val="2C8A61B5"/>
    <w:rsid w:val="2DF04E50"/>
    <w:rsid w:val="319F7F4E"/>
    <w:rsid w:val="31D72966"/>
    <w:rsid w:val="36AA5135"/>
    <w:rsid w:val="37E16F03"/>
    <w:rsid w:val="3D98207C"/>
    <w:rsid w:val="3EFA298A"/>
    <w:rsid w:val="44E268DA"/>
    <w:rsid w:val="46C85294"/>
    <w:rsid w:val="4A627F82"/>
    <w:rsid w:val="4B4F25DA"/>
    <w:rsid w:val="4BE068DB"/>
    <w:rsid w:val="4D577224"/>
    <w:rsid w:val="4EAB630A"/>
    <w:rsid w:val="4ECE2238"/>
    <w:rsid w:val="4FF43352"/>
    <w:rsid w:val="53582700"/>
    <w:rsid w:val="598D40DE"/>
    <w:rsid w:val="5AF92295"/>
    <w:rsid w:val="5CD71FC4"/>
    <w:rsid w:val="6B990054"/>
    <w:rsid w:val="6C4A05C8"/>
    <w:rsid w:val="6E7E3605"/>
    <w:rsid w:val="6FA62DEA"/>
    <w:rsid w:val="6FF5CC65"/>
    <w:rsid w:val="715C0E4B"/>
    <w:rsid w:val="72734D90"/>
    <w:rsid w:val="73AD73D5"/>
    <w:rsid w:val="73B6EB34"/>
    <w:rsid w:val="75525A21"/>
    <w:rsid w:val="79EE5BA4"/>
    <w:rsid w:val="7A894339"/>
    <w:rsid w:val="7AB52740"/>
    <w:rsid w:val="7DFD54DE"/>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rPr>
      <w:rFonts w:ascii="Times New Roman" w:hAnsi="Times New Roman"/>
    </w:rPr>
  </w:style>
  <w:style w:type="paragraph" w:styleId="6">
    <w:name w:val="Body Text"/>
    <w:basedOn w:val="1"/>
    <w:next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qFormat/>
    <w:uiPriority w:val="0"/>
    <w:pPr>
      <w:spacing w:before="240" w:after="60"/>
      <w:jc w:val="center"/>
      <w:outlineLvl w:val="0"/>
    </w:pPr>
    <w:rPr>
      <w:rFonts w:ascii="Arial" w:hAnsi="Arial" w:eastAsia="宋体" w:cs="Arial"/>
      <w:b/>
      <w:bCs/>
      <w:sz w:val="32"/>
      <w:szCs w:val="32"/>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font21"/>
    <w:basedOn w:val="16"/>
    <w:qFormat/>
    <w:uiPriority w:val="0"/>
    <w:rPr>
      <w:rFonts w:hint="eastAsia" w:ascii="宋体" w:hAnsi="宋体" w:eastAsia="宋体" w:cs="宋体"/>
      <w:b/>
      <w:bCs/>
      <w:color w:val="000000"/>
      <w:sz w:val="24"/>
      <w:szCs w:val="24"/>
      <w:u w:val="none"/>
    </w:rPr>
  </w:style>
  <w:style w:type="character" w:customStyle="1" w:styleId="34">
    <w:name w:val="font41"/>
    <w:basedOn w:val="16"/>
    <w:qFormat/>
    <w:uiPriority w:val="0"/>
    <w:rPr>
      <w:rFonts w:ascii="Arial" w:hAnsi="Arial" w:cs="Arial"/>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B11A2-84AE-4DDF-9468-7404D53BE82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83</Pages>
  <Words>28633</Words>
  <Characters>30345</Characters>
  <Lines>63</Lines>
  <Paragraphs>17</Paragraphs>
  <TotalTime>2</TotalTime>
  <ScaleCrop>false</ScaleCrop>
  <LinksUpToDate>false</LinksUpToDate>
  <CharactersWithSpaces>31603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2025-07-11T02:09:57Z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905C2A500C1F422FA946F85977A6FD06</vt:lpwstr>
  </property>
</Properties>
</file>