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425"/>
      <w:bookmarkStart w:id="4" w:name="_Toc15377193"/>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96476"/>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乐山市峨眉山市发展和改革局单位决算</w:t>
      </w:r>
      <w:bookmarkEnd w:id="6"/>
      <w:bookmarkEnd w:id="7"/>
      <w:bookmarkEnd w:id="8"/>
      <w:bookmarkEnd w:id="9"/>
      <w:bookmarkEnd w:id="10"/>
      <w:bookmarkEnd w:id="11"/>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bookmarkStart w:id="67" w:name="_GoBack"/>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第二部分2021年度单位决算情况说明</w:t>
      </w:r>
    </w:p>
    <w:p>
      <w:pPr>
        <w:pStyle w:val="13"/>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3"/>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3"/>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4"/>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spacing w:line="60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2"/>
      <w:bookmarkEnd w:id="13"/>
    </w:p>
    <w:p>
      <w:pPr>
        <w:spacing w:line="600" w:lineRule="exact"/>
        <w:rPr>
          <w:rFonts w:ascii="方正小标宋_GBK" w:hAnsi="方正小标宋_GBK" w:eastAsia="方正小标宋_GBK" w:cs="方正小标宋_GBK"/>
          <w:sz w:val="44"/>
          <w:szCs w:val="44"/>
        </w:rPr>
      </w:pPr>
    </w:p>
    <w:p>
      <w:pPr>
        <w:spacing w:line="600" w:lineRule="exact"/>
        <w:ind w:firstLine="640" w:firstLineChars="200"/>
        <w:rPr>
          <w:rFonts w:ascii="仿宋_GB2312" w:hAnsi="仿宋_GB2312" w:eastAsia="仿宋_GB2312" w:cs="仿宋_GB2312"/>
          <w:sz w:val="32"/>
          <w:szCs w:val="32"/>
        </w:rPr>
      </w:pPr>
      <w:bookmarkStart w:id="14" w:name="_Toc15396600"/>
      <w:bookmarkStart w:id="15" w:name="_Toc15377197"/>
      <w:r>
        <w:rPr>
          <w:rFonts w:hint="eastAsia" w:ascii="黑体" w:hAnsi="黑体" w:eastAsia="黑体" w:cs="黑体"/>
          <w:sz w:val="32"/>
          <w:szCs w:val="32"/>
        </w:rPr>
        <w:t>一、职能简介</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（一）主要职能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3、负责监测宏观经济和社会发展态势，承担预测预警和信息引导的责任，研究宏观调控重大问题并提出政策建议，搞好总量平衡，综合协调经济社会发展中的重大问题。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8、促进城乡区域协调发展。组织拟订区域协调发展战略、规划和重大政策，研究提出城镇化发展战略和统筹城乡发展的重大政策，负责区域经济协作的统筹协调。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11、负责科学技术普及工作，指导协调科普活动和科技宣传工作，推进全市科普能力建设。负责全市专利联络，保护知识产权工作，归上管理科技信息、情报工作。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14、指导、协调并综合管理全市招标投标工作，会同有关行政主管部门拟订招标投标的地方性规范文件，按照职责分工对建设项目的招标投标活动实施监督检查。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16、负责组织编制全市国民经济与装备动员规划、计划，研究国民经济动员与装备动员和国民经济、国防建设的关系，协调相关重大问题，组织实施国民经济动员与装备动员有关工作。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18、承办市政府交办的其他事项。</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二、2021年重点工作</w:t>
      </w:r>
      <w:bookmarkEnd w:id="14"/>
      <w:bookmarkEnd w:id="15"/>
      <w:r>
        <w:rPr>
          <w:rFonts w:hint="eastAsia" w:ascii="黑体" w:hAnsi="黑体" w:eastAsia="黑体" w:cs="黑体"/>
          <w:sz w:val="32"/>
          <w:szCs w:val="32"/>
        </w:rPr>
        <w:t>完成情况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（一）强化分析研判，助推经济发展向好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持续</w:t>
      </w:r>
      <w:r>
        <w:rPr>
          <w:rFonts w:hint="eastAsia" w:ascii="仿宋_GB2312" w:hAnsi="Calibri" w:eastAsia="仿宋_GB2312"/>
          <w:sz w:val="32"/>
          <w:szCs w:val="32"/>
        </w:rPr>
        <w:t>扎实开展经济形势分析研判，坚持月调度季分析，查漏补缺，</w:t>
      </w:r>
      <w:r>
        <w:rPr>
          <w:rFonts w:hint="eastAsia" w:ascii="仿宋_GB2312" w:hAnsi="仿宋_GB2312" w:eastAsia="仿宋_GB2312" w:cs="仿宋_GB2312"/>
          <w:sz w:val="32"/>
          <w:szCs w:val="32"/>
        </w:rPr>
        <w:t>2021年度我市经济运行总体平稳、稳中有进，整体向好，全市地区生产总值增长8.0%，第一产业增长6.8%，第二产业增长7.9%，其中规模以上工业增加值增长7.0%，第三产业增长8.2%；全社会固定资产投资增长13.3%；社会消费品零售总额增长19.2%；地方一般公共预算收入增长3.0%；城镇居民人均可支配收入增长9.0%，农村居民人均可支配收入增长10.3%；居民消费价格总指数(CPI)上涨0.2%。</w:t>
      </w:r>
      <w:r>
        <w:rPr>
          <w:rFonts w:hint="eastAsia" w:ascii="仿宋_GB2312" w:eastAsia="仿宋_GB2312"/>
          <w:sz w:val="32"/>
          <w:szCs w:val="32"/>
        </w:rPr>
        <w:t>有力</w:t>
      </w:r>
      <w:r>
        <w:rPr>
          <w:rFonts w:hint="eastAsia" w:ascii="仿宋_GB2312" w:hAnsi="仿宋_GB2312" w:eastAsia="仿宋_GB2312" w:cs="仿宋_GB2312"/>
          <w:sz w:val="32"/>
          <w:szCs w:val="32"/>
        </w:rPr>
        <w:t>推进全国百强县创建工作，分析研究迪赛高质量发展指标体系，编制工作方案，科学拟定奋斗目标，分解目标任务，制定工作措施，为百强县争创工作打下了基础。</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（二）倾力规划编制，务求全面优质高效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前期重大课题研究、重点项目储备、《基本思路》编制、《纲要》起草、会议审议等工作阶段高质量完成“十四五”规划编制;同时牵头编制《景城融合发展规划》和《环峨眉山市景区世界级生态医（康）养旅游度假带规划暨峨眉山市医（康）养产业发展规划》;制定《关于推动医（康）养产业高质量发展的实施意见》，牵头推进编制“十四五”期间43个重点专规和一般规划。</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（三）狠抓节能减排，严肃整改落地落实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牵头制定《关于推进碳达峰碳中和的指导意见》和《峨眉山市坚决遏制“两高”项目盲目发展的实施意见（试行）》，加强项目节能审查工作事中事后监管，6个未按要求履行节能审查的项目已完成整改并报乐山市进行评估，督促峨眉山市久乐纳米钙制品生产项目按中央环保督查要求整改。2021年，单位GDP能耗下降4.2%，超额完成乐山下达任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（四）优化投资结构，规范项目有序推进</w:t>
      </w:r>
    </w:p>
    <w:p>
      <w:pPr>
        <w:pStyle w:val="7"/>
        <w:spacing w:before="93" w:line="600" w:lineRule="exact"/>
        <w:ind w:firstLine="640" w:firstLineChars="200"/>
        <w:rPr>
          <w:rFonts w:hAnsi="仿宋_GB2312" w:cs="仿宋_GB2312"/>
          <w:sz w:val="32"/>
          <w:szCs w:val="32"/>
        </w:rPr>
      </w:pPr>
      <w:r>
        <w:rPr>
          <w:rFonts w:hint="eastAsia" w:hAnsi="仿宋_GB2312" w:cs="仿宋_GB2312"/>
          <w:sz w:val="32"/>
          <w:szCs w:val="32"/>
        </w:rPr>
        <w:t>1、全社会固定资产投资情况。全年全社会完成固定资产投资227亿元，同比增长13.3%；按照政府投资计划安排，组织了峨眉山市2021年一季度重大项目集中开工活动，牵头编制了《峨眉山市2021年政府投资项目计划》，确保政府投资项目有序推进，全年共实施政府投资项目81 个，总投资39.06亿元。</w:t>
      </w:r>
    </w:p>
    <w:p>
      <w:pPr>
        <w:pStyle w:val="7"/>
        <w:spacing w:before="93" w:line="600" w:lineRule="exact"/>
        <w:ind w:firstLine="640" w:firstLineChars="200"/>
        <w:rPr>
          <w:rFonts w:hAnsi="仿宋_GB2312" w:cs="仿宋_GB2312"/>
          <w:sz w:val="32"/>
          <w:szCs w:val="32"/>
        </w:rPr>
      </w:pPr>
      <w:r>
        <w:rPr>
          <w:rFonts w:hint="eastAsia" w:hAnsi="仿宋_GB2312" w:cs="仿宋_GB2312"/>
          <w:sz w:val="32"/>
          <w:szCs w:val="32"/>
        </w:rPr>
        <w:t>2、挂图作战项目推进情况。2021年，我市共实施40个“挂图作战”项目，总投资976.43亿元，年度计划投资60.37亿元，中期调整为39个，总投资721.58亿元，2021年计划投资57.07亿元。</w:t>
      </w:r>
    </w:p>
    <w:p>
      <w:pPr>
        <w:pStyle w:val="7"/>
        <w:spacing w:before="93" w:line="600" w:lineRule="exact"/>
        <w:ind w:firstLine="640" w:firstLineChars="200"/>
        <w:rPr>
          <w:rFonts w:hAnsi="仿宋_GB2312" w:cs="仿宋_GB2312"/>
          <w:sz w:val="32"/>
          <w:szCs w:val="32"/>
        </w:rPr>
      </w:pPr>
      <w:r>
        <w:rPr>
          <w:rFonts w:hint="eastAsia" w:hAnsi="仿宋_GB2312" w:cs="仿宋_GB2312"/>
          <w:sz w:val="32"/>
          <w:szCs w:val="32"/>
        </w:rPr>
        <w:t xml:space="preserve">3、省、乐山市重点项目推进情况。我市共9个省重点项目，16个乐山市级“挂图作战”项目，总投资分别为334.82亿元和527.28亿元，年度计划投资分别为25.47亿元、42.17亿元，截至目前完成投资分别为27.52亿元、38.70亿元，完成年度投资计划的108.0%、91.8%。    </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（五）着力民生保障，提升监督管控成效</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价格管理，注重行业规范。对我市污水处理企业峨眉山市海天水务有限公司2017至2019年度污水处理成本实施了监审；配合乐山市发改委对义务教育阶段学科类校外培训机构收费进行成本调查；组织相关部门、企业对城镇供水供电供气行业收费情况进行了清理规范。二是抓紧粮食与救灾物资管控。制定了《峨眉山市粮食购销领域腐败问题专项整治自查自纠工作方案》，抓好救灾物资出入库登记，加强日常监管力度，规范物资堆放，按要求进行整改，确保各类救灾物资都符合储备要求和质量标准。三是积极作为提供价格认定依据。2021年，完成刑事案件、行政案件涉案物品价格认定78件，涉案总金额1243万元，其中：涉嫌刑事案件77件，涉案金额1242万元；涉嫌违纪案件一件，涉案金额1.9万元，并按照国家发改委要求，在线上完成涉案物品价格认定工作及各项报表。四是坚持做好民生领域价格监测工作。始终坚持每日价格采集工作，密切关注猪肉、口罩、消毒液等重要民生物品价格，按要求上报相关监测信息，保质保量完成上级交办的价格监测任务。</w:t>
      </w:r>
    </w:p>
    <w:p>
      <w:pPr>
        <w:pStyle w:val="7"/>
        <w:spacing w:before="93" w:line="600" w:lineRule="exact"/>
        <w:ind w:firstLine="640" w:firstLineChars="20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（六）加快科技创新，引导科技发展增速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力培育高新技术企业、科技型中小企业,发展高新技术产业。1家企业已通过国家第一批高企认定，4家企业申报第二批高企认定，29家通过国家科技型中小企业评价。全年高新技术产业营业收入达77.29亿元，超额完成乐山市下达的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引导全社会加强科技投入。全市2020年度全社会研发经费达3.63亿元，并制定了《峨眉山市推进大众创业万众创新2021年工作要点》。申报省、乐山市科学技术进步奖各2项，其中拟授予乐山市科学技术进步二等奖1项、三等奖1项，目前已通过公示。组织实施科技成果转化项目8项。加强产学研合作，全年实施校(院）地合作项目10个。新增省级科技成果转移转化示范企业3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3、积极宣传落实科技创新税收优惠政策。减免2021年度高新技术企业所得税491.19万元，企业享受研发费用加计扣除金额6013.26万元，促进了全市科技创新。</w:t>
      </w:r>
    </w:p>
    <w:p>
      <w:pPr>
        <w:pStyle w:val="7"/>
        <w:spacing w:before="93"/>
      </w:pPr>
    </w:p>
    <w:p>
      <w:pPr>
        <w:widowControl/>
        <w:jc w:val="left"/>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pStyle w:val="2"/>
        <w:ind w:firstLine="640"/>
        <w:rPr>
          <w:rFonts w:ascii="仿宋" w:hAnsi="仿宋" w:eastAsia="仿宋"/>
          <w:kern w:val="0"/>
          <w:sz w:val="32"/>
          <w:szCs w:val="32"/>
        </w:rPr>
      </w:pPr>
    </w:p>
    <w:p>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2021年度单位决算情况说明</w:t>
      </w:r>
      <w:bookmarkEnd w:id="16"/>
      <w:bookmarkEnd w:id="17"/>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8" w:name="_Toc15396603"/>
      <w:bookmarkStart w:id="19" w:name="_Toc15377205"/>
      <w:r>
        <w:rPr>
          <w:rFonts w:hint="eastAsia" w:ascii="黑体" w:hAnsi="黑体" w:eastAsia="黑体" w:cs="黑体"/>
          <w:sz w:val="32"/>
          <w:szCs w:val="32"/>
        </w:rPr>
        <w:t>一、收入支出决算总体情况说明</w:t>
      </w:r>
      <w:bookmarkEnd w:id="18"/>
      <w:bookmarkEnd w:id="1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w:t>
      </w:r>
      <w:r>
        <w:rPr>
          <w:rFonts w:ascii="仿宋_GB2312" w:hAnsi="仿宋_GB2312" w:eastAsia="仿宋_GB2312" w:cs="仿宋_GB2312"/>
          <w:sz w:val="32"/>
          <w:szCs w:val="32"/>
        </w:rPr>
        <w:t>1234.09</w:t>
      </w:r>
      <w:r>
        <w:rPr>
          <w:rFonts w:hint="eastAsia" w:ascii="仿宋_GB2312" w:hAnsi="仿宋_GB2312" w:eastAsia="仿宋_GB2312" w:cs="仿宋_GB2312"/>
          <w:sz w:val="32"/>
          <w:szCs w:val="32"/>
        </w:rPr>
        <w:t>万元，支出1</w:t>
      </w:r>
      <w:r>
        <w:rPr>
          <w:rFonts w:ascii="仿宋_GB2312" w:hAnsi="仿宋_GB2312" w:eastAsia="仿宋_GB2312" w:cs="仿宋_GB2312"/>
          <w:sz w:val="32"/>
          <w:szCs w:val="32"/>
        </w:rPr>
        <w:t>368.56</w:t>
      </w:r>
      <w:r>
        <w:rPr>
          <w:rFonts w:hint="eastAsia" w:ascii="仿宋_GB2312" w:hAnsi="仿宋_GB2312" w:eastAsia="仿宋_GB2312" w:cs="仿宋_GB2312"/>
          <w:sz w:val="32"/>
          <w:szCs w:val="32"/>
        </w:rPr>
        <w:t>万元。与2020年相比，收入增加</w:t>
      </w:r>
      <w:r>
        <w:rPr>
          <w:rFonts w:ascii="仿宋_GB2312" w:hAnsi="仿宋_GB2312" w:eastAsia="仿宋_GB2312" w:cs="仿宋_GB2312"/>
          <w:sz w:val="32"/>
          <w:szCs w:val="32"/>
        </w:rPr>
        <w:t>93.26</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8.17</w:t>
      </w:r>
      <w:r>
        <w:rPr>
          <w:rFonts w:hint="eastAsia" w:ascii="仿宋_GB2312" w:hAnsi="仿宋_GB2312" w:eastAsia="仿宋_GB2312" w:cs="仿宋_GB2312"/>
          <w:sz w:val="32"/>
          <w:szCs w:val="32"/>
        </w:rPr>
        <w:t>%，支出增加5</w:t>
      </w:r>
      <w:r>
        <w:rPr>
          <w:rFonts w:ascii="仿宋_GB2312" w:hAnsi="仿宋_GB2312" w:eastAsia="仿宋_GB2312" w:cs="仿宋_GB2312"/>
          <w:sz w:val="32"/>
          <w:szCs w:val="32"/>
        </w:rPr>
        <w:t>77.36</w:t>
      </w:r>
      <w:r>
        <w:rPr>
          <w:rFonts w:hint="eastAsia" w:ascii="仿宋_GB2312" w:hAnsi="仿宋_GB2312" w:eastAsia="仿宋_GB2312" w:cs="仿宋_GB2312"/>
          <w:sz w:val="32"/>
          <w:szCs w:val="32"/>
        </w:rPr>
        <w:t>万元，增长7</w:t>
      </w:r>
      <w:r>
        <w:rPr>
          <w:rFonts w:ascii="仿宋_GB2312" w:hAnsi="仿宋_GB2312" w:eastAsia="仿宋_GB2312" w:cs="仿宋_GB2312"/>
          <w:sz w:val="32"/>
          <w:szCs w:val="32"/>
        </w:rPr>
        <w:t>2.97</w:t>
      </w:r>
      <w:r>
        <w:rPr>
          <w:rFonts w:hint="eastAsia" w:ascii="仿宋_GB2312" w:hAnsi="仿宋_GB2312" w:eastAsia="仿宋_GB2312" w:cs="仿宋_GB2312"/>
          <w:sz w:val="32"/>
          <w:szCs w:val="32"/>
        </w:rPr>
        <w:t>%。主要变动原因是清理归还财政垫款历史账</w:t>
      </w:r>
      <w:r>
        <w:rPr>
          <w:rFonts w:hint="eastAsia" w:ascii="仿宋_GB2312" w:hAnsi="仿宋_GB2312" w:eastAsia="仿宋_GB2312" w:cs="仿宋_GB2312"/>
          <w:sz w:val="32"/>
          <w:szCs w:val="32"/>
          <w:lang w:val="en-US" w:eastAsia="zh-CN"/>
        </w:rPr>
        <w:t>务</w:t>
      </w:r>
      <w:r>
        <w:rPr>
          <w:rFonts w:hint="eastAsia" w:ascii="仿宋_GB2312" w:hAnsi="仿宋_GB2312" w:eastAsia="仿宋_GB2312" w:cs="仿宋_GB2312"/>
          <w:sz w:val="32"/>
          <w:szCs w:val="32"/>
        </w:rPr>
        <w:t>及峨眉南山项目开发规划编制相关工作。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7"/>
        <w:spacing w:before="93"/>
      </w:pPr>
      <w:r>
        <w:drawing>
          <wp:inline distT="0" distB="0" distL="0" distR="0">
            <wp:extent cx="5688330" cy="2712085"/>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688330" cy="2712085"/>
                    </a:xfrm>
                    <a:prstGeom prst="rect">
                      <a:avLst/>
                    </a:prstGeom>
                  </pic:spPr>
                </pic:pic>
              </a:graphicData>
            </a:graphic>
          </wp:inline>
        </w:drawing>
      </w:r>
    </w:p>
    <w:p>
      <w:pPr>
        <w:pStyle w:val="28"/>
        <w:spacing w:line="600" w:lineRule="exact"/>
        <w:ind w:left="640" w:firstLine="0" w:firstLineChars="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rPr>
        <w:t>二、收</w:t>
      </w:r>
      <w:r>
        <w:rPr>
          <w:rStyle w:val="30"/>
          <w:rFonts w:hint="eastAsia" w:ascii="黑体" w:hAnsi="黑体" w:eastAsia="黑体"/>
          <w:b w:val="0"/>
        </w:rPr>
        <w:t>入决算情况说明</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ascii="仿宋_GB2312" w:hAnsi="仿宋_GB2312" w:eastAsia="仿宋_GB2312" w:cs="仿宋_GB2312"/>
          <w:sz w:val="32"/>
          <w:szCs w:val="32"/>
        </w:rPr>
        <w:t>1234.09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695.09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56.32</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2.84</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504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40.84</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7"/>
        <w:spacing w:before="93"/>
      </w:pPr>
      <w:r>
        <w:drawing>
          <wp:inline distT="0" distB="0" distL="0" distR="0">
            <wp:extent cx="5688330" cy="257683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688330" cy="2576830"/>
                    </a:xfrm>
                    <a:prstGeom prst="rect">
                      <a:avLst/>
                    </a:prstGeom>
                  </pic:spPr>
                </pic:pic>
              </a:graphicData>
            </a:graphic>
          </wp:inline>
        </w:drawing>
      </w:r>
    </w:p>
    <w:p>
      <w:pPr>
        <w:pStyle w:val="28"/>
        <w:spacing w:line="600" w:lineRule="exact"/>
        <w:ind w:left="640" w:firstLine="0"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三、支</w:t>
      </w:r>
      <w:r>
        <w:rPr>
          <w:rStyle w:val="30"/>
          <w:rFonts w:hint="eastAsia" w:ascii="黑体" w:hAnsi="黑体" w:eastAsia="黑体"/>
          <w:b w:val="0"/>
        </w:rPr>
        <w:t>出决算情况说明</w:t>
      </w:r>
      <w:bookmarkEnd w:id="22"/>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ascii="仿宋_GB2312" w:hAnsi="仿宋_GB2312" w:eastAsia="仿宋_GB2312" w:cs="仿宋_GB2312"/>
          <w:sz w:val="32"/>
          <w:szCs w:val="32"/>
        </w:rPr>
        <w:t>1368.56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545.39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39.85</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823.17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60.15</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7"/>
        <w:spacing w:before="93"/>
      </w:pPr>
      <w:r>
        <w:drawing>
          <wp:inline distT="0" distB="0" distL="0" distR="0">
            <wp:extent cx="5688330" cy="2547620"/>
            <wp:effectExtent l="0" t="0" r="762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688330" cy="2547620"/>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2021年财政拨款收入</w:t>
      </w:r>
      <w:r>
        <w:rPr>
          <w:rFonts w:ascii="仿宋_GB2312" w:hAnsi="仿宋_GB2312" w:eastAsia="仿宋_GB2312" w:cs="仿宋_GB2312"/>
          <w:sz w:val="32"/>
          <w:szCs w:val="32"/>
        </w:rPr>
        <w:t>1234.09</w:t>
      </w:r>
      <w:r>
        <w:rPr>
          <w:rFonts w:hint="eastAsia" w:ascii="仿宋_GB2312" w:hAnsi="仿宋_GB2312" w:eastAsia="仿宋_GB2312" w:cs="仿宋_GB2312"/>
          <w:sz w:val="32"/>
          <w:szCs w:val="32"/>
        </w:rPr>
        <w:t>万元，支出1</w:t>
      </w:r>
      <w:r>
        <w:rPr>
          <w:rFonts w:ascii="仿宋_GB2312" w:hAnsi="仿宋_GB2312" w:eastAsia="仿宋_GB2312" w:cs="仿宋_GB2312"/>
          <w:sz w:val="32"/>
          <w:szCs w:val="32"/>
        </w:rPr>
        <w:t>368.56</w:t>
      </w:r>
      <w:r>
        <w:rPr>
          <w:rFonts w:hint="eastAsia" w:ascii="仿宋_GB2312" w:hAnsi="仿宋_GB2312" w:eastAsia="仿宋_GB2312" w:cs="仿宋_GB2312"/>
          <w:sz w:val="32"/>
          <w:szCs w:val="32"/>
        </w:rPr>
        <w:t>万元。与2020年相比，财政拨款收入增加</w:t>
      </w:r>
      <w:r>
        <w:rPr>
          <w:rFonts w:ascii="仿宋_GB2312" w:hAnsi="仿宋_GB2312" w:eastAsia="仿宋_GB2312" w:cs="仿宋_GB2312"/>
          <w:sz w:val="32"/>
          <w:szCs w:val="32"/>
        </w:rPr>
        <w:t>93.26</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8.17</w:t>
      </w:r>
      <w:r>
        <w:rPr>
          <w:rFonts w:hint="eastAsia" w:ascii="仿宋_GB2312" w:hAnsi="仿宋_GB2312" w:eastAsia="仿宋_GB2312" w:cs="仿宋_GB2312"/>
          <w:sz w:val="32"/>
          <w:szCs w:val="32"/>
        </w:rPr>
        <w:t>%，支出增加5</w:t>
      </w:r>
      <w:r>
        <w:rPr>
          <w:rFonts w:ascii="仿宋_GB2312" w:hAnsi="仿宋_GB2312" w:eastAsia="仿宋_GB2312" w:cs="仿宋_GB2312"/>
          <w:sz w:val="32"/>
          <w:szCs w:val="32"/>
        </w:rPr>
        <w:t>77.36</w:t>
      </w:r>
      <w:r>
        <w:rPr>
          <w:rFonts w:hint="eastAsia" w:ascii="仿宋_GB2312" w:hAnsi="仿宋_GB2312" w:eastAsia="仿宋_GB2312" w:cs="仿宋_GB2312"/>
          <w:sz w:val="32"/>
          <w:szCs w:val="32"/>
        </w:rPr>
        <w:t>万元，增长7</w:t>
      </w:r>
      <w:r>
        <w:rPr>
          <w:rFonts w:ascii="仿宋_GB2312" w:hAnsi="仿宋_GB2312" w:eastAsia="仿宋_GB2312" w:cs="仿宋_GB2312"/>
          <w:sz w:val="32"/>
          <w:szCs w:val="32"/>
        </w:rPr>
        <w:t>2.97</w:t>
      </w:r>
      <w:r>
        <w:rPr>
          <w:rFonts w:hint="eastAsia" w:ascii="仿宋_GB2312" w:hAnsi="仿宋_GB2312" w:eastAsia="仿宋_GB2312" w:cs="仿宋_GB2312"/>
          <w:sz w:val="32"/>
          <w:szCs w:val="32"/>
        </w:rPr>
        <w:t>%。主要变动原因是清理归还财政垫款历史账目及峨眉南山项目开发规划编制相关工作。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7"/>
        <w:spacing w:before="93"/>
      </w:pPr>
      <w:r>
        <w:drawing>
          <wp:inline distT="0" distB="0" distL="0" distR="0">
            <wp:extent cx="5688330" cy="270637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688330" cy="2706370"/>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ascii="仿宋_GB2312" w:hAnsi="仿宋_GB2312" w:eastAsia="仿宋_GB2312" w:cs="仿宋_GB2312"/>
          <w:sz w:val="32"/>
          <w:szCs w:val="32"/>
        </w:rPr>
        <w:t>829.56</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60.62</w:t>
      </w:r>
      <w:r>
        <w:rPr>
          <w:rFonts w:hint="eastAsia" w:ascii="仿宋_GB2312" w:hAnsi="仿宋_GB2312" w:eastAsia="仿宋_GB2312" w:cs="仿宋_GB2312"/>
          <w:sz w:val="32"/>
          <w:szCs w:val="32"/>
        </w:rPr>
        <w:t>%。与2020年相比，一般公共预算财政拨款支出减少</w:t>
      </w:r>
      <w:r>
        <w:rPr>
          <w:rFonts w:ascii="仿宋_GB2312" w:hAnsi="仿宋_GB2312" w:eastAsia="仿宋_GB2312" w:cs="仿宋_GB2312"/>
          <w:sz w:val="32"/>
          <w:szCs w:val="32"/>
        </w:rPr>
        <w:t>182.37</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18.02</w:t>
      </w:r>
      <w:r>
        <w:rPr>
          <w:rFonts w:hint="eastAsia" w:ascii="仿宋_GB2312" w:hAnsi="仿宋_GB2312" w:eastAsia="仿宋_GB2312" w:cs="仿宋_GB2312"/>
          <w:sz w:val="32"/>
          <w:szCs w:val="32"/>
        </w:rPr>
        <w:t>%。主要变动原因是厉行节约，压缩公用经费。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ind w:firstLine="640" w:firstLineChars="200"/>
        <w:rPr>
          <w:rFonts w:ascii="仿宋_GB2312" w:hAnsi="仿宋_GB2312" w:eastAsia="仿宋_GB2312" w:cs="仿宋_GB2312"/>
          <w:sz w:val="32"/>
          <w:szCs w:val="32"/>
        </w:rPr>
      </w:pPr>
    </w:p>
    <w:p>
      <w:pPr>
        <w:pStyle w:val="7"/>
        <w:spacing w:before="93"/>
      </w:pPr>
      <w:r>
        <w:drawing>
          <wp:inline distT="0" distB="0" distL="0" distR="0">
            <wp:extent cx="5688330" cy="265176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688330" cy="2651760"/>
                    </a:xfrm>
                    <a:prstGeom prst="rect">
                      <a:avLst/>
                    </a:prstGeom>
                  </pic:spPr>
                </pic:pic>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ascii="仿宋_GB2312" w:hAnsi="仿宋_GB2312" w:eastAsia="仿宋_GB2312" w:cs="仿宋_GB2312"/>
          <w:sz w:val="32"/>
          <w:szCs w:val="32"/>
        </w:rPr>
        <w:t>829.56</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469.45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56.59</w:t>
      </w:r>
      <w:r>
        <w:rPr>
          <w:rFonts w:hint="eastAsia" w:ascii="仿宋_GB2312" w:hAnsi="仿宋_GB2312" w:eastAsia="仿宋_GB2312" w:cs="仿宋_GB2312"/>
          <w:sz w:val="32"/>
          <w:szCs w:val="32"/>
        </w:rPr>
        <w:t>%；教育支出（类）</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%；科学技术（类）支出</w:t>
      </w:r>
      <w:r>
        <w:rPr>
          <w:rFonts w:ascii="仿宋_GB2312" w:hAnsi="仿宋_GB2312" w:eastAsia="仿宋_GB2312" w:cs="仿宋_GB2312"/>
          <w:sz w:val="32"/>
          <w:szCs w:val="32"/>
        </w:rPr>
        <w:t>205.99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24.83</w:t>
      </w:r>
      <w:r>
        <w:rPr>
          <w:rFonts w:hint="eastAsia" w:ascii="仿宋_GB2312" w:hAnsi="仿宋_GB2312" w:eastAsia="仿宋_GB2312" w:cs="仿宋_GB2312"/>
          <w:sz w:val="32"/>
          <w:szCs w:val="32"/>
        </w:rPr>
        <w:t>%；文化旅游体育与传媒（类）支出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88.35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10.65</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8.67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%；资源勘探工业信息等（类）支出1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.69%</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43.09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5.19</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7"/>
        <w:spacing w:before="93"/>
      </w:pPr>
      <w:r>
        <w:drawing>
          <wp:inline distT="0" distB="0" distL="0" distR="0">
            <wp:extent cx="5688330" cy="2447290"/>
            <wp:effectExtent l="0" t="0" r="762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688330" cy="2447290"/>
                    </a:xfrm>
                    <a:prstGeom prst="rect">
                      <a:avLst/>
                    </a:prstGeom>
                  </pic:spPr>
                </pic:pic>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444"/>
      <w:bookmarkStart w:id="33" w:name="_Toc15377213"/>
      <w:r>
        <w:rPr>
          <w:rFonts w:hint="eastAsia" w:ascii="仿宋_GB2312" w:hAnsi="仿宋_GB2312" w:eastAsia="仿宋_GB2312" w:cs="仿宋_GB2312"/>
          <w:bCs/>
          <w:sz w:val="32"/>
          <w:szCs w:val="32"/>
        </w:rPr>
        <w:t>2021年一般公共预算支出决算数为</w:t>
      </w:r>
      <w:r>
        <w:rPr>
          <w:rFonts w:ascii="仿宋_GB2312" w:hAnsi="仿宋_GB2312" w:eastAsia="仿宋_GB2312" w:cs="仿宋_GB2312"/>
          <w:bCs/>
          <w:sz w:val="32"/>
          <w:szCs w:val="32"/>
        </w:rPr>
        <w:t>829.56</w:t>
      </w:r>
      <w:r>
        <w:rPr>
          <w:rFonts w:hint="eastAsia" w:ascii="仿宋_GB2312" w:hAnsi="仿宋_GB2312" w:eastAsia="仿宋_GB2312" w:cs="仿宋_GB2312"/>
          <w:bCs/>
          <w:sz w:val="32"/>
          <w:szCs w:val="32"/>
        </w:rPr>
        <w:t>，</w:t>
      </w:r>
      <w:r>
        <w:rPr>
          <w:rStyle w:val="19"/>
          <w:rFonts w:hint="eastAsia" w:ascii="仿宋_GB2312" w:hAnsi="仿宋_GB2312" w:eastAsia="仿宋_GB2312" w:cs="仿宋_GB2312"/>
          <w:b w:val="0"/>
          <w:bCs/>
          <w:sz w:val="32"/>
          <w:szCs w:val="32"/>
        </w:rPr>
        <w:t>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%。其中：</w:t>
      </w:r>
      <w:bookmarkEnd w:id="31"/>
      <w:bookmarkEnd w:id="32"/>
      <w:bookmarkEnd w:id="33"/>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1．一般公共服务（类）发展与改革事务（款）行政运行（项）: 支出决算为</w:t>
      </w:r>
      <w:r>
        <w:rPr>
          <w:rStyle w:val="19"/>
          <w:rFonts w:ascii="仿宋_GB2312" w:hAnsi="仿宋_GB2312" w:eastAsia="仿宋_GB2312" w:cs="仿宋_GB2312"/>
          <w:b w:val="0"/>
          <w:bCs/>
          <w:sz w:val="32"/>
          <w:szCs w:val="32"/>
        </w:rPr>
        <w:t>354.26</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2．一般公共服务（类）发展与改革事务（款）一般行政管理事务（项）: 支出决算为</w:t>
      </w:r>
      <w:r>
        <w:rPr>
          <w:rStyle w:val="19"/>
          <w:rFonts w:ascii="仿宋_GB2312" w:hAnsi="仿宋_GB2312" w:eastAsia="仿宋_GB2312" w:cs="仿宋_GB2312"/>
          <w:b w:val="0"/>
          <w:bCs/>
          <w:sz w:val="32"/>
          <w:szCs w:val="32"/>
        </w:rPr>
        <w:t>18.13</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3．一般公共服务（类）发展与改革事务（款）战略规划与实施（项）: 支出决算为</w:t>
      </w:r>
      <w:r>
        <w:rPr>
          <w:rStyle w:val="19"/>
          <w:rFonts w:ascii="仿宋_GB2312" w:hAnsi="仿宋_GB2312" w:eastAsia="仿宋_GB2312" w:cs="仿宋_GB2312"/>
          <w:b w:val="0"/>
          <w:bCs/>
          <w:sz w:val="32"/>
          <w:szCs w:val="32"/>
        </w:rPr>
        <w:t>7.58</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4．一般公共服务（类）发展与改革事务（款）经济体制改革研究（项）: 支出决算为</w:t>
      </w:r>
      <w:r>
        <w:rPr>
          <w:rStyle w:val="19"/>
          <w:rFonts w:ascii="仿宋_GB2312" w:hAnsi="仿宋_GB2312" w:eastAsia="仿宋_GB2312" w:cs="仿宋_GB2312"/>
          <w:b w:val="0"/>
          <w:bCs/>
          <w:sz w:val="32"/>
          <w:szCs w:val="32"/>
        </w:rPr>
        <w:t>14.67</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5．一般公共服务（类）发展与改革事务（款）物价管理（项）: 支出决算为</w:t>
      </w:r>
      <w:r>
        <w:rPr>
          <w:rStyle w:val="19"/>
          <w:rFonts w:ascii="仿宋_GB2312" w:hAnsi="仿宋_GB2312" w:eastAsia="仿宋_GB2312" w:cs="仿宋_GB2312"/>
          <w:b w:val="0"/>
          <w:bCs/>
          <w:sz w:val="32"/>
          <w:szCs w:val="32"/>
        </w:rPr>
        <w:t>4.30</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6．一般公共服务（类）发展与改革事务（款）事业运行（项）: 支出决算为</w:t>
      </w:r>
      <w:r>
        <w:rPr>
          <w:rStyle w:val="19"/>
          <w:rFonts w:ascii="仿宋_GB2312" w:hAnsi="仿宋_GB2312" w:eastAsia="仿宋_GB2312" w:cs="仿宋_GB2312"/>
          <w:b w:val="0"/>
          <w:bCs/>
          <w:sz w:val="32"/>
          <w:szCs w:val="32"/>
        </w:rPr>
        <w:t>70.51</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7</w:t>
      </w:r>
      <w:r>
        <w:rPr>
          <w:rStyle w:val="19"/>
          <w:rFonts w:hint="eastAsia" w:ascii="仿宋_GB2312" w:hAnsi="仿宋_GB2312" w:eastAsia="仿宋_GB2312" w:cs="仿宋_GB2312"/>
          <w:b w:val="0"/>
          <w:bCs/>
          <w:sz w:val="32"/>
          <w:szCs w:val="32"/>
        </w:rPr>
        <w:t>．科学技术支出（类）科学技术管理事务（款）其他科学技术管理事务支出（项）: 支出决算为</w:t>
      </w:r>
      <w:r>
        <w:rPr>
          <w:rStyle w:val="19"/>
          <w:rFonts w:ascii="仿宋_GB2312" w:hAnsi="仿宋_GB2312" w:eastAsia="仿宋_GB2312" w:cs="仿宋_GB2312"/>
          <w:b w:val="0"/>
          <w:bCs/>
          <w:sz w:val="32"/>
          <w:szCs w:val="32"/>
        </w:rPr>
        <w:t>5.99</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8</w:t>
      </w:r>
      <w:r>
        <w:rPr>
          <w:rStyle w:val="19"/>
          <w:rFonts w:hint="eastAsia" w:ascii="仿宋_GB2312" w:hAnsi="仿宋_GB2312" w:eastAsia="仿宋_GB2312" w:cs="仿宋_GB2312"/>
          <w:b w:val="0"/>
          <w:bCs/>
          <w:sz w:val="32"/>
          <w:szCs w:val="32"/>
        </w:rPr>
        <w:t>．科学技术支出（类）科技条件与服务（款）科技条件专项（项）: 支出决算为</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9</w:t>
      </w:r>
      <w:r>
        <w:rPr>
          <w:rStyle w:val="19"/>
          <w:rFonts w:hint="eastAsia" w:ascii="仿宋_GB2312" w:hAnsi="仿宋_GB2312" w:eastAsia="仿宋_GB2312" w:cs="仿宋_GB2312"/>
          <w:b w:val="0"/>
          <w:bCs/>
          <w:sz w:val="32"/>
          <w:szCs w:val="32"/>
        </w:rPr>
        <w:t>．科学技术支出（类）科技重大项目（款）重点研发计划（项）: 支出决算为</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10</w:t>
      </w:r>
      <w:r>
        <w:rPr>
          <w:rStyle w:val="19"/>
          <w:rFonts w:hint="eastAsia" w:ascii="仿宋_GB2312" w:hAnsi="仿宋_GB2312" w:eastAsia="仿宋_GB2312" w:cs="仿宋_GB2312"/>
          <w:b w:val="0"/>
          <w:bCs/>
          <w:sz w:val="32"/>
          <w:szCs w:val="32"/>
        </w:rPr>
        <w:t>．社会保障和就业支出（类）行政事业单位养老支出（款）机关事业单位基本养老保险缴费支出（项）: 支出决算为</w:t>
      </w:r>
      <w:r>
        <w:rPr>
          <w:rStyle w:val="19"/>
          <w:rFonts w:ascii="仿宋_GB2312" w:hAnsi="仿宋_GB2312" w:eastAsia="仿宋_GB2312" w:cs="仿宋_GB2312"/>
          <w:b w:val="0"/>
          <w:bCs/>
          <w:sz w:val="32"/>
          <w:szCs w:val="32"/>
        </w:rPr>
        <w:t>30.95</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11</w:t>
      </w:r>
      <w:r>
        <w:rPr>
          <w:rStyle w:val="19"/>
          <w:rFonts w:hint="eastAsia" w:ascii="仿宋_GB2312" w:hAnsi="仿宋_GB2312" w:eastAsia="仿宋_GB2312" w:cs="仿宋_GB2312"/>
          <w:b w:val="0"/>
          <w:bCs/>
          <w:sz w:val="32"/>
          <w:szCs w:val="32"/>
        </w:rPr>
        <w:t>．社会保障和就业支出（类）行政事业单位养老支出（款）机关事业单位职业年金缴费支出（项）: 支出决算为</w:t>
      </w:r>
      <w:r>
        <w:rPr>
          <w:rStyle w:val="19"/>
          <w:rFonts w:ascii="仿宋_GB2312" w:hAnsi="仿宋_GB2312" w:eastAsia="仿宋_GB2312" w:cs="仿宋_GB2312"/>
          <w:b w:val="0"/>
          <w:bCs/>
          <w:sz w:val="32"/>
          <w:szCs w:val="32"/>
        </w:rPr>
        <w:t>16.45</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12</w:t>
      </w:r>
      <w:r>
        <w:rPr>
          <w:rStyle w:val="19"/>
          <w:rFonts w:hint="eastAsia" w:ascii="仿宋_GB2312" w:hAnsi="仿宋_GB2312" w:eastAsia="仿宋_GB2312" w:cs="仿宋_GB2312"/>
          <w:b w:val="0"/>
          <w:bCs/>
          <w:sz w:val="32"/>
          <w:szCs w:val="32"/>
        </w:rPr>
        <w:t>．社会保障和就业支出（类）抚恤（款）死亡抚恤（项）: 支出决算为</w:t>
      </w:r>
      <w:r>
        <w:rPr>
          <w:rStyle w:val="19"/>
          <w:rFonts w:ascii="仿宋_GB2312" w:hAnsi="仿宋_GB2312" w:eastAsia="仿宋_GB2312" w:cs="仿宋_GB2312"/>
          <w:b w:val="0"/>
          <w:bCs/>
          <w:sz w:val="32"/>
          <w:szCs w:val="32"/>
        </w:rPr>
        <w:t>19.94</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firstLineChars="20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13</w:t>
      </w:r>
      <w:r>
        <w:rPr>
          <w:rStyle w:val="19"/>
          <w:rFonts w:hint="eastAsia" w:ascii="仿宋_GB2312" w:hAnsi="仿宋_GB2312" w:eastAsia="仿宋_GB2312" w:cs="仿宋_GB2312"/>
          <w:b w:val="0"/>
          <w:bCs/>
          <w:sz w:val="32"/>
          <w:szCs w:val="32"/>
        </w:rPr>
        <w:t>．社会保障和就业支出（类）其他社会保障和就业支出（款）其他社会保障和就业支出（项）: 支出决算为</w:t>
      </w:r>
      <w:r>
        <w:rPr>
          <w:rStyle w:val="19"/>
          <w:rFonts w:ascii="仿宋_GB2312" w:hAnsi="仿宋_GB2312" w:eastAsia="仿宋_GB2312" w:cs="仿宋_GB2312"/>
          <w:b w:val="0"/>
          <w:bCs/>
          <w:sz w:val="32"/>
          <w:szCs w:val="32"/>
        </w:rPr>
        <w:t>21.01</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r>
        <w:rPr>
          <w:rStyle w:val="19"/>
          <w:rFonts w:hint="eastAsia" w:ascii="仿宋_GB2312" w:hAnsi="仿宋_GB2312" w:eastAsia="仿宋_GB2312" w:cs="仿宋_GB2312"/>
          <w:b w:val="0"/>
          <w:bCs/>
          <w:sz w:val="32"/>
          <w:szCs w:val="32"/>
        </w:rPr>
        <w:t>。</w:t>
      </w:r>
    </w:p>
    <w:p>
      <w:pPr>
        <w:spacing w:line="600" w:lineRule="exact"/>
        <w:ind w:firstLine="64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14</w:t>
      </w:r>
      <w:r>
        <w:rPr>
          <w:rStyle w:val="19"/>
          <w:rFonts w:hint="eastAsia" w:ascii="仿宋_GB2312" w:hAnsi="仿宋_GB2312" w:eastAsia="仿宋_GB2312" w:cs="仿宋_GB2312"/>
          <w:b w:val="0"/>
          <w:bCs/>
          <w:sz w:val="32"/>
          <w:szCs w:val="32"/>
        </w:rPr>
        <w:t>．卫生健康支出（类）行政事业单位医疗（款）行政单位医疗（项）: 支出决算为8</w:t>
      </w:r>
      <w:r>
        <w:rPr>
          <w:rStyle w:val="19"/>
          <w:rFonts w:ascii="仿宋_GB2312" w:hAnsi="仿宋_GB2312" w:eastAsia="仿宋_GB2312" w:cs="仿宋_GB2312"/>
          <w:b w:val="0"/>
          <w:bCs/>
          <w:sz w:val="32"/>
          <w:szCs w:val="32"/>
        </w:rPr>
        <w:t>.67</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p>
    <w:p>
      <w:pPr>
        <w:spacing w:line="600" w:lineRule="exact"/>
        <w:ind w:firstLine="640"/>
        <w:rPr>
          <w:rStyle w:val="19"/>
          <w:rFonts w:ascii="仿宋_GB2312" w:hAnsi="仿宋_GB2312" w:eastAsia="仿宋_GB2312" w:cs="仿宋_GB2312"/>
          <w:b w:val="0"/>
          <w:bCs/>
          <w:sz w:val="32"/>
          <w:szCs w:val="32"/>
        </w:rPr>
      </w:pPr>
      <w:r>
        <w:rPr>
          <w:rStyle w:val="19"/>
          <w:rFonts w:ascii="仿宋_GB2312" w:hAnsi="仿宋_GB2312" w:eastAsia="仿宋_GB2312" w:cs="仿宋_GB2312"/>
          <w:b w:val="0"/>
          <w:bCs/>
          <w:sz w:val="32"/>
          <w:szCs w:val="32"/>
        </w:rPr>
        <w:t>15</w:t>
      </w:r>
      <w:r>
        <w:rPr>
          <w:rStyle w:val="19"/>
          <w:rFonts w:hint="eastAsia" w:ascii="仿宋_GB2312" w:hAnsi="仿宋_GB2312" w:eastAsia="仿宋_GB2312" w:cs="仿宋_GB2312"/>
          <w:b w:val="0"/>
          <w:bCs/>
          <w:sz w:val="32"/>
          <w:szCs w:val="32"/>
        </w:rPr>
        <w:t>．资源勘探工业信息等支出（类）支持中小企业发展和管理支出（款）中小企业发展专项（项）: 支出决算为</w:t>
      </w:r>
      <w:r>
        <w:rPr>
          <w:rStyle w:val="19"/>
          <w:rFonts w:ascii="仿宋_GB2312" w:hAnsi="仿宋_GB2312" w:eastAsia="仿宋_GB2312" w:cs="仿宋_GB2312"/>
          <w:b w:val="0"/>
          <w:bCs/>
          <w:sz w:val="32"/>
          <w:szCs w:val="32"/>
        </w:rPr>
        <w:t>14</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p>
    <w:p>
      <w:pPr>
        <w:spacing w:line="600" w:lineRule="exact"/>
        <w:ind w:firstLine="640"/>
        <w:rPr>
          <w:rFonts w:ascii="仿宋_GB2312" w:hAnsi="仿宋_GB2312" w:eastAsia="仿宋_GB2312" w:cs="仿宋_GB2312"/>
          <w:sz w:val="32"/>
          <w:szCs w:val="32"/>
        </w:rPr>
      </w:pPr>
      <w:r>
        <w:rPr>
          <w:rStyle w:val="19"/>
          <w:rFonts w:ascii="仿宋_GB2312" w:hAnsi="仿宋_GB2312" w:eastAsia="仿宋_GB2312" w:cs="仿宋_GB2312"/>
          <w:b w:val="0"/>
          <w:bCs/>
          <w:sz w:val="32"/>
          <w:szCs w:val="32"/>
        </w:rPr>
        <w:t>16</w:t>
      </w:r>
      <w:r>
        <w:rPr>
          <w:rStyle w:val="19"/>
          <w:rFonts w:hint="eastAsia" w:ascii="仿宋_GB2312" w:hAnsi="仿宋_GB2312" w:eastAsia="仿宋_GB2312" w:cs="仿宋_GB2312"/>
          <w:b w:val="0"/>
          <w:bCs/>
          <w:sz w:val="32"/>
          <w:szCs w:val="32"/>
        </w:rPr>
        <w:t>．住房保障支出（类）住房改革支出（款）住房公积金（项）: 支出决算为</w:t>
      </w:r>
      <w:r>
        <w:rPr>
          <w:rStyle w:val="19"/>
          <w:rFonts w:ascii="仿宋_GB2312" w:hAnsi="仿宋_GB2312" w:eastAsia="仿宋_GB2312" w:cs="仿宋_GB2312"/>
          <w:b w:val="0"/>
          <w:bCs/>
          <w:sz w:val="32"/>
          <w:szCs w:val="32"/>
        </w:rPr>
        <w:t>43.09</w:t>
      </w:r>
      <w:r>
        <w:rPr>
          <w:rStyle w:val="19"/>
          <w:rFonts w:hint="eastAsia" w:ascii="仿宋_GB2312" w:hAnsi="仿宋_GB2312" w:eastAsia="仿宋_GB2312" w:cs="仿宋_GB2312"/>
          <w:b w:val="0"/>
          <w:bCs/>
          <w:sz w:val="32"/>
          <w:szCs w:val="32"/>
        </w:rPr>
        <w:t>万元，完成预算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决算数与预算数持平的主要原因是科学编制预算，合理控制支出。</w:t>
      </w:r>
    </w:p>
    <w:p>
      <w:pPr>
        <w:spacing w:line="600" w:lineRule="exact"/>
        <w:ind w:firstLine="640" w:firstLineChars="200"/>
        <w:rPr>
          <w:rFonts w:ascii="仿宋_GB2312" w:hAnsi="仿宋_GB2312" w:eastAsia="仿宋_GB2312" w:cs="仿宋_GB2312"/>
          <w:bCs/>
          <w:sz w:val="32"/>
          <w:szCs w:val="32"/>
        </w:rPr>
      </w:pPr>
    </w:p>
    <w:p>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ascii="仿宋_GB2312" w:hAnsi="仿宋_GB2312" w:eastAsia="仿宋_GB2312" w:cs="仿宋_GB2312"/>
          <w:sz w:val="32"/>
          <w:szCs w:val="32"/>
        </w:rPr>
        <w:t>545.39</w:t>
      </w:r>
      <w:r>
        <w:rPr>
          <w:rFonts w:hint="eastAsia" w:ascii="仿宋_GB2312" w:hAnsi="仿宋_GB2312" w:eastAsia="仿宋_GB2312" w:cs="仿宋_GB2312"/>
          <w:sz w:val="32"/>
          <w:szCs w:val="32"/>
        </w:rPr>
        <w:t>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487.50</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职工基本医疗保险缴费、其他社会保障缴费、抚恤金、生活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ascii="仿宋_GB2312" w:hAnsi="仿宋_GB2312" w:eastAsia="仿宋_GB2312" w:cs="仿宋_GB2312"/>
          <w:sz w:val="32"/>
          <w:szCs w:val="32"/>
        </w:rPr>
        <w:t>57.89</w:t>
      </w:r>
      <w:r>
        <w:rPr>
          <w:rFonts w:hint="eastAsia" w:ascii="仿宋_GB2312" w:hAnsi="仿宋_GB2312" w:eastAsia="仿宋_GB2312" w:cs="仿宋_GB2312"/>
          <w:sz w:val="32"/>
          <w:szCs w:val="32"/>
        </w:rPr>
        <w:t>万元，主要包括：办公费、邮电费、差旅费、维修（护）费、公务接待费、劳务费、委托业务费、工会经费、其他交通费、其他商品和服务支出等。</w:t>
      </w:r>
    </w:p>
    <w:p>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%，决算数与预算数持平的主要原因是科学编制预算，合理控制支出。</w:t>
      </w:r>
    </w:p>
    <w:p>
      <w:pPr>
        <w:spacing w:line="600" w:lineRule="exact"/>
        <w:ind w:firstLine="640"/>
        <w:outlineLvl w:val="2"/>
        <w:rPr>
          <w:rFonts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pPr>
      <w:r>
        <w:rPr>
          <w:rFonts w:hint="eastAsia"/>
        </w:rPr>
        <w:drawing>
          <wp:inline distT="0" distB="0" distL="114300" distR="114300">
            <wp:extent cx="5362575" cy="2799715"/>
            <wp:effectExtent l="0" t="0" r="9525" b="6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1"/>
        </w:num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因公出国（境）经费支出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r>
        <w:rPr>
          <w:rStyle w:val="19"/>
          <w:rFonts w:hint="eastAsia" w:ascii="仿宋_GB2312" w:hAnsi="仿宋_GB2312" w:eastAsia="仿宋_GB2312" w:cs="仿宋_GB2312"/>
          <w:b w:val="0"/>
          <w:bCs/>
          <w:sz w:val="32"/>
          <w:szCs w:val="32"/>
        </w:rPr>
        <w:t>完成预算</w:t>
      </w:r>
      <w:r>
        <w:rPr>
          <w:rStyle w:val="19"/>
          <w:rFonts w:ascii="仿宋_GB2312" w:hAnsi="仿宋_GB2312" w:eastAsia="仿宋_GB2312" w:cs="仿宋_GB2312"/>
          <w:b w:val="0"/>
          <w:bCs/>
          <w:sz w:val="32"/>
          <w:szCs w:val="32"/>
        </w:rPr>
        <w:t>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全年安排因公出国（境）团组</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次，出国（境）</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人。因公出国（境）支出决算比2020年增加/减少</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万元，增长/下降</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r>
        <w:rPr>
          <w:rStyle w:val="19"/>
          <w:rFonts w:hint="eastAsia" w:ascii="仿宋_GB2312" w:hAnsi="仿宋_GB2312" w:eastAsia="仿宋_GB2312" w:cs="仿宋_GB2312"/>
          <w:b w:val="0"/>
          <w:bCs/>
          <w:sz w:val="32"/>
          <w:szCs w:val="32"/>
        </w:rPr>
        <w:t>完成预算</w:t>
      </w:r>
      <w:r>
        <w:rPr>
          <w:rStyle w:val="19"/>
          <w:rFonts w:ascii="仿宋_GB2312" w:hAnsi="仿宋_GB2312" w:eastAsia="仿宋_GB2312" w:cs="仿宋_GB2312"/>
          <w:b w:val="0"/>
          <w:bCs/>
          <w:sz w:val="32"/>
          <w:szCs w:val="32"/>
        </w:rPr>
        <w:t>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公务用车购置及运行维护费支出决算比2020年增加/减少</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万元，增长/下降</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万元。全年按规定更新购置公务用车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辆，其中：轿车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万元，越野车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万元，载客汽车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万元。截至2021年12月底，单位共有公务用车2辆，其中：轿车2辆、越野车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辆、载客汽车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w:t>
      </w:r>
      <w:r>
        <w:rPr>
          <w:rFonts w:ascii="仿宋_GB2312" w:hAnsi="仿宋_GB2312" w:eastAsia="仿宋_GB2312" w:cs="仿宋_GB2312"/>
          <w:bCs/>
          <w:sz w:val="32"/>
          <w:szCs w:val="32"/>
        </w:rPr>
        <w:t>0.52</w:t>
      </w:r>
      <w:r>
        <w:rPr>
          <w:rFonts w:hint="eastAsia" w:ascii="仿宋_GB2312" w:hAnsi="仿宋_GB2312" w:eastAsia="仿宋_GB2312" w:cs="仿宋_GB2312"/>
          <w:bCs/>
          <w:sz w:val="32"/>
          <w:szCs w:val="32"/>
        </w:rPr>
        <w:t>万元，</w:t>
      </w:r>
      <w:r>
        <w:rPr>
          <w:rStyle w:val="19"/>
          <w:rFonts w:hint="eastAsia" w:ascii="仿宋_GB2312" w:hAnsi="仿宋_GB2312" w:eastAsia="仿宋_GB2312" w:cs="仿宋_GB2312"/>
          <w:b w:val="0"/>
          <w:bCs/>
          <w:sz w:val="32"/>
          <w:szCs w:val="32"/>
        </w:rPr>
        <w:t>完成预算</w:t>
      </w:r>
      <w:r>
        <w:rPr>
          <w:rStyle w:val="19"/>
          <w:rFonts w:ascii="仿宋_GB2312" w:hAnsi="仿宋_GB2312" w:eastAsia="仿宋_GB2312" w:cs="仿宋_GB2312"/>
          <w:b w:val="0"/>
          <w:bCs/>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公务接待费支出决算比2020年减少</w:t>
      </w:r>
      <w:r>
        <w:rPr>
          <w:rFonts w:ascii="仿宋_GB2312" w:hAnsi="仿宋_GB2312" w:eastAsia="仿宋_GB2312" w:cs="仿宋_GB2312"/>
          <w:bCs/>
          <w:sz w:val="32"/>
          <w:szCs w:val="32"/>
        </w:rPr>
        <w:t>1.19</w:t>
      </w:r>
      <w:r>
        <w:rPr>
          <w:rFonts w:hint="eastAsia" w:ascii="仿宋_GB2312" w:hAnsi="仿宋_GB2312" w:eastAsia="仿宋_GB2312" w:cs="仿宋_GB2312"/>
          <w:bCs/>
          <w:sz w:val="32"/>
          <w:szCs w:val="32"/>
        </w:rPr>
        <w:t>万元，下降</w:t>
      </w:r>
      <w:r>
        <w:rPr>
          <w:rFonts w:ascii="仿宋_GB2312" w:hAnsi="仿宋_GB2312" w:eastAsia="仿宋_GB2312" w:cs="仿宋_GB2312"/>
          <w:bCs/>
          <w:sz w:val="32"/>
          <w:szCs w:val="32"/>
        </w:rPr>
        <w:t>59.59</w:t>
      </w:r>
      <w:r>
        <w:rPr>
          <w:rFonts w:hint="eastAsia" w:ascii="仿宋_GB2312" w:hAnsi="仿宋_GB2312" w:eastAsia="仿宋_GB2312" w:cs="仿宋_GB2312"/>
          <w:bCs/>
          <w:sz w:val="32"/>
          <w:szCs w:val="32"/>
        </w:rPr>
        <w:t>%。主要原因是合理降低公务接待标准，尽量缩减费用。其中：</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w:t>
      </w:r>
      <w:r>
        <w:rPr>
          <w:rFonts w:ascii="仿宋_GB2312" w:hAnsi="仿宋_GB2312" w:eastAsia="仿宋_GB2312" w:cs="仿宋_GB2312"/>
          <w:bCs/>
          <w:sz w:val="32"/>
          <w:szCs w:val="32"/>
        </w:rPr>
        <w:t>0.52</w:t>
      </w:r>
      <w:r>
        <w:rPr>
          <w:rFonts w:hint="eastAsia" w:ascii="仿宋_GB2312" w:hAnsi="仿宋_GB2312" w:eastAsia="仿宋_GB2312" w:cs="仿宋_GB2312"/>
          <w:bCs/>
          <w:sz w:val="32"/>
          <w:szCs w:val="32"/>
        </w:rPr>
        <w:t>万元，主要用于执行公务、开展业务活动开支的交通费、住宿费、用餐费等。国内公务接待4批次，83人次（不包括陪同人员），共计支出</w:t>
      </w:r>
      <w:r>
        <w:rPr>
          <w:rFonts w:ascii="仿宋_GB2312" w:hAnsi="仿宋_GB2312" w:eastAsia="仿宋_GB2312" w:cs="仿宋_GB2312"/>
          <w:bCs/>
          <w:sz w:val="32"/>
          <w:szCs w:val="32"/>
        </w:rPr>
        <w:t>0.52</w:t>
      </w:r>
      <w:r>
        <w:rPr>
          <w:rFonts w:hint="eastAsia" w:ascii="仿宋_GB2312" w:hAnsi="仿宋_GB2312" w:eastAsia="仿宋_GB2312" w:cs="仿宋_GB2312"/>
          <w:bCs/>
          <w:sz w:val="32"/>
          <w:szCs w:val="32"/>
        </w:rPr>
        <w:t>万元，具体内容包括：一是乐山“挂图作战”指挥部项目调研用餐费1200元；二是四川省成本调查监审局来峨检查工作用餐费1541元；三是四川省发改委来峨调研砂石价格用餐费900元；四是四川省发改委核验省重点项目工作用餐费1597元。</w:t>
      </w:r>
    </w:p>
    <w:p>
      <w:pPr>
        <w:spacing w:line="600" w:lineRule="exact"/>
        <w:rPr>
          <w:rFonts w:ascii="仿宋_GB2312" w:hAnsi="仿宋_GB2312" w:eastAsia="仿宋_GB2312" w:cs="仿宋_GB2312"/>
          <w:bCs/>
          <w:sz w:val="32"/>
          <w:szCs w:val="32"/>
        </w:rPr>
      </w:pP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万元，外事接待</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批次，</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人，共计支出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p>
    <w:p>
      <w:pPr>
        <w:spacing w:line="600" w:lineRule="exact"/>
        <w:outlineLvl w:val="1"/>
        <w:rPr>
          <w:rFonts w:ascii="仿宋_GB2312" w:hAnsi="仿宋_GB2312" w:eastAsia="仿宋_GB2312" w:cs="仿宋_GB2312"/>
          <w:bCs/>
          <w:sz w:val="32"/>
          <w:szCs w:val="32"/>
        </w:rPr>
      </w:pPr>
      <w:bookmarkStart w:id="40" w:name="_Toc15396610"/>
      <w:bookmarkStart w:id="41"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35.00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504.00</w:t>
      </w:r>
      <w:r>
        <w:rPr>
          <w:rFonts w:hint="eastAsia" w:ascii="仿宋_GB2312" w:eastAsia="仿宋_GB2312"/>
          <w:sz w:val="32"/>
          <w:szCs w:val="32"/>
        </w:rPr>
        <w:t>万元。</w:t>
      </w:r>
    </w:p>
    <w:p>
      <w:pPr>
        <w:spacing w:line="600" w:lineRule="exact"/>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0"/>
          <w:rFonts w:ascii="黑体" w:hAnsi="黑体" w:eastAsia="黑体"/>
          <w:b w:val="0"/>
        </w:rPr>
      </w:pPr>
      <w:bookmarkStart w:id="44" w:name="_Toc15396612"/>
      <w:bookmarkStart w:id="45" w:name="_Toc15377221"/>
      <w:r>
        <w:rPr>
          <w:rStyle w:val="30"/>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spacing w:line="600" w:lineRule="exact"/>
        <w:ind w:firstLine="640" w:firstLineChars="200"/>
        <w:rPr>
          <w:rFonts w:ascii="仿宋_GB2312" w:hAnsi="仿宋_GB2312" w:eastAsia="仿宋_GB2312" w:cs="仿宋_GB2312"/>
          <w:sz w:val="32"/>
          <w:szCs w:val="32"/>
        </w:rPr>
      </w:pPr>
      <w:bookmarkStart w:id="47" w:name="_Toc15377223"/>
      <w:r>
        <w:rPr>
          <w:rFonts w:hint="eastAsia" w:ascii="仿宋_GB2312" w:hAnsi="仿宋_GB2312" w:eastAsia="仿宋_GB2312" w:cs="仿宋_GB2312"/>
          <w:sz w:val="32"/>
          <w:szCs w:val="32"/>
        </w:rPr>
        <w:t>2021年，峨眉山市发展和改革局机关运行经费支出</w:t>
      </w:r>
      <w:r>
        <w:rPr>
          <w:rFonts w:ascii="仿宋_GB2312" w:hAnsi="仿宋_GB2312" w:eastAsia="仿宋_GB2312" w:cs="仿宋_GB2312"/>
          <w:sz w:val="32"/>
          <w:szCs w:val="32"/>
        </w:rPr>
        <w:t>57.89</w:t>
      </w:r>
      <w:r>
        <w:rPr>
          <w:rFonts w:hint="eastAsia" w:ascii="仿宋_GB2312" w:hAnsi="仿宋_GB2312" w:eastAsia="仿宋_GB2312" w:cs="仿宋_GB2312"/>
          <w:sz w:val="32"/>
          <w:szCs w:val="32"/>
        </w:rPr>
        <w:t>万元，比2020年减少4</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万元，降低</w:t>
      </w:r>
      <w:r>
        <w:rPr>
          <w:rFonts w:ascii="仿宋_GB2312" w:hAnsi="仿宋_GB2312" w:eastAsia="仿宋_GB2312" w:cs="仿宋_GB2312"/>
          <w:sz w:val="32"/>
          <w:szCs w:val="32"/>
        </w:rPr>
        <w:t>6.66</w:t>
      </w:r>
      <w:r>
        <w:rPr>
          <w:rFonts w:hint="eastAsia" w:ascii="仿宋_GB2312" w:hAnsi="仿宋_GB2312" w:eastAsia="仿宋_GB2312" w:cs="仿宋_GB2312"/>
          <w:sz w:val="32"/>
          <w:szCs w:val="32"/>
        </w:rPr>
        <w:t>%。主要原因是机关厉行节约。</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2021年，峨眉山市发展和改革局政府采购支出总额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万元。主要用于…（具体工作）。授予中小企业合同金额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截至2021年12月31日，峨眉山市发展和改革局共有车辆2辆，其中：主要领导干部用车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辆、应急保障用车1辆、其他用车1辆。其他用车主要是用于日常办公、下乡扶贫任务等，单价50万元以上通用设备0台（套），单价100万元以上专用设备0台（套）。</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科技计划管理经费项目、重点项目挂图作战、项目评审及课题研究、集中开工经费、体改工作经费、专项政府定价及应急物资采购工作经费等5个项目开展了预算事前绩效评估，对5个项目编制了绩效目标，预算执行过程中，选取5个项目开展绩效监控，年终执行完毕后，对5个项目开展了绩效自评，2021年特定目标类部门预算项目绩效目标自评表见附件（第四部分）。</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（注：单位2021年特定目标类部门预算项目绩效目标自评表为本部门2021年部门整体支出绩效评价报告中涉及本单位的附表）</w:t>
      </w:r>
    </w:p>
    <w:p>
      <w:pPr>
        <w:pStyle w:val="7"/>
        <w:spacing w:before="93" w:line="600" w:lineRule="exact"/>
        <w:rPr>
          <w:rFonts w:hAnsi="仿宋_GB2312" w:cs="仿宋_GB2312"/>
          <w:sz w:val="32"/>
          <w:szCs w:val="32"/>
          <w:highlight w:val="yellow"/>
        </w:rPr>
      </w:pP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9"/>
          <w:rFonts w:ascii="方正小标宋_GBK" w:hAnsi="方正小标宋_GBK" w:eastAsia="方正小标宋_GBK" w:cs="方正小标宋_GBK"/>
          <w:b w:val="0"/>
        </w:rPr>
      </w:pPr>
      <w:bookmarkStart w:id="49" w:name="_Toc15396613"/>
      <w:bookmarkStart w:id="50" w:name="_Toc15377225"/>
      <w:r>
        <w:rPr>
          <w:rFonts w:hint="eastAsia" w:ascii="方正小标宋_GBK" w:hAnsi="方正小标宋_GBK" w:eastAsia="方正小标宋_GBK" w:cs="方正小标宋_GBK"/>
          <w:sz w:val="44"/>
          <w:szCs w:val="44"/>
        </w:rPr>
        <w:t>第三部分 名</w:t>
      </w:r>
      <w:r>
        <w:rPr>
          <w:rStyle w:val="29"/>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r>
        <w:rPr>
          <w:rFonts w:ascii="仿宋_GB2312" w:eastAsia="仿宋_GB2312"/>
          <w:color w:val="auto"/>
          <w:sz w:val="32"/>
          <w:szCs w:val="32"/>
        </w:rPr>
        <w:t xml:space="preserve"> </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九、一般公共服务（类）发展与改革事务（款）行政运行（项）:反映行政单位（包括实行公务员管理的事业单位）的基本支出。</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十、一般公共服务（类）发展与改革事务（款）一般行政管理事务（项）:反映行政单位（包括实行公务员管理的事业单位）未单独设置项级科目的其他项目支出。</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十一、一般公共服务（类）发展与改革事务（款）战略规划与实施（项）:反映拟订并组织实施国民经济和社会发展战略、中长期规划和年度计划，实施宏观管理与调控等方面的支出。</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十二、一般公共服务（类）发展与改革事务（款）经济体制改革研究（项）:反映经济体制改革和研究方面的支出。</w:t>
      </w:r>
    </w:p>
    <w:p>
      <w:pPr>
        <w:spacing w:line="600" w:lineRule="exact"/>
        <w:ind w:firstLine="640" w:firstLineChars="200"/>
        <w:rPr>
          <w:rFonts w:ascii="仿宋_GB2312" w:hAnsi="仿宋_GB2312" w:eastAsia="仿宋_GB2312" w:cs="仿宋_GB2312"/>
          <w:bCs/>
          <w:sz w:val="32"/>
          <w:szCs w:val="32"/>
        </w:rPr>
      </w:pPr>
      <w:r>
        <w:rPr>
          <w:rStyle w:val="19"/>
          <w:rFonts w:hint="eastAsia" w:ascii="仿宋_GB2312" w:hAnsi="仿宋_GB2312" w:eastAsia="仿宋_GB2312" w:cs="仿宋_GB2312"/>
          <w:b w:val="0"/>
          <w:bCs/>
          <w:sz w:val="32"/>
          <w:szCs w:val="32"/>
        </w:rPr>
        <w:t>十三、一般公共服务（类）发展与改革事务（款）物价管理（项）:反映物价管理方面的支出。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十四、一般公共服务（类）发展与改革事务（款）事业运行（项）:反映事业单位的基本支出，不包括行政单位（包括实行公务员管理的事业单位）后勤服务中心、医务室等附属事业单位。</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十五、科学技术支出（类）科学技术管理事务（款）其他科学技术管理事务支出（项）:反映除上述项目以外其他用于科学技术管理事务方面的支出。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十六、科学技术支出（类）科技条件与服务（款）科技条件专项（项）:反映国家用于完善科技条件的支出，包括科技文献信息、网络环境支撑等科技条件专项支出。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十七、科学技术支出（类）科技重大项目（款）重点研发计划（项）:反映用于重点研发计划的有关经费支出。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十八、社会保障和就业支出（类）行政事业单位养老支出（款）机关事业单位基本养老保险缴费支出（项）:反映机关事业单位实施养老保险制度由单位缴纳的基本养老保险费支出。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十九、社会保障和就业支出（类）行政事业单位养老支出（款）机关事业单位职业年金缴费支出（项）:反映机关事业单位实施养老保险制度由单位实际缴纳的职业年金支出。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二十、社会保障和就业支出（类）抚恤（款）死亡抚恤（项）:反映按规定用于烈士和牺牲、病故人员家属的一次性和定期抚恤金以及丧葬补助费。</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二十一、社会保障和就业支出（类）其他社会保障和就业支出（款）其他社会保障和就业支出（项）:反映除上述项目以外其他用于社会保障和就业方面的支出。</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二十二、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Style w:val="19"/>
          <w:rFonts w:ascii="仿宋_GB2312" w:hAnsi="仿宋_GB2312" w:eastAsia="仿宋_GB2312" w:cs="仿宋_GB2312"/>
          <w:b w:val="0"/>
          <w:bCs/>
          <w:sz w:val="32"/>
          <w:szCs w:val="32"/>
        </w:rPr>
      </w:pPr>
      <w:r>
        <w:rPr>
          <w:rStyle w:val="19"/>
          <w:rFonts w:hint="eastAsia" w:ascii="仿宋_GB2312" w:hAnsi="仿宋_GB2312" w:eastAsia="仿宋_GB2312" w:cs="仿宋_GB2312"/>
          <w:b w:val="0"/>
          <w:bCs/>
          <w:sz w:val="32"/>
          <w:szCs w:val="32"/>
        </w:rPr>
        <w:t>二十三、资源勘探工业信息等支出（类）支持中小企业发展和管理支出（款）中小企业发展专项（项）:反映用于支持中小企业公共服务体系和融资服务体系建设等方面的支出。</w:t>
      </w:r>
    </w:p>
    <w:p>
      <w:pPr>
        <w:spacing w:line="600" w:lineRule="exact"/>
        <w:ind w:firstLine="640" w:firstLineChars="200"/>
        <w:rPr>
          <w:rFonts w:ascii="仿宋_GB2312" w:hAnsi="仿宋_GB2312" w:eastAsia="仿宋_GB2312" w:cs="仿宋_GB2312"/>
          <w:sz w:val="32"/>
          <w:szCs w:val="32"/>
        </w:rPr>
      </w:pPr>
      <w:r>
        <w:rPr>
          <w:rStyle w:val="19"/>
          <w:rFonts w:hint="eastAsia" w:ascii="仿宋_GB2312" w:hAnsi="仿宋_GB2312" w:eastAsia="仿宋_GB2312" w:cs="仿宋_GB2312"/>
          <w:b w:val="0"/>
          <w:bCs/>
          <w:sz w:val="32"/>
          <w:szCs w:val="32"/>
        </w:rPr>
        <w:t xml:space="preserve">二十四、住房保障支出（类）住房改革支出（款）住房公积金（项）:反映行政事业单位按人力资源和社会保障部、财政部规定的基本工资和津贴补贴以及规定比例为职工缴纳的住房公积金。 </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二十五、基本支出：指为保障机构正常运转、完成日常工作任务而发生的人员支出和公用支出。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二十六、项目支出：指在基本支出之外为完成特定行政任务和事业发展目标所发生的支出。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二十七、经营支出：指事业单位在专业业务活动及其辅助活动之外开展非独立核算经营活动发生的支出。</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八、“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方正小标宋_GBK" w:hAnsi="方正小标宋_GBK" w:eastAsia="方正小标宋_GBK" w:cs="方正小标宋_GBK"/>
          <w:b w:val="0"/>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rPr>
        <w:t>第</w:t>
      </w:r>
      <w:r>
        <w:rPr>
          <w:rStyle w:val="29"/>
          <w:rFonts w:hint="eastAsia" w:ascii="方正小标宋_GBK" w:hAnsi="方正小标宋_GBK" w:eastAsia="方正小标宋_GBK" w:cs="方正小标宋_GBK"/>
          <w:b w:val="0"/>
        </w:rPr>
        <w:t>四部分 附  件</w:t>
      </w:r>
      <w:bookmarkEnd w:id="52"/>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outlineLvl w:val="0"/>
      </w:pPr>
      <w:bookmarkStart w:id="53" w:name="_Toc15396618"/>
      <w:r>
        <w:rPr>
          <w:rFonts w:hint="eastAsia" w:ascii="宋体" w:hAnsi="宋体" w:cs="宋体"/>
          <w:b/>
          <w:sz w:val="44"/>
          <w:szCs w:val="44"/>
        </w:rPr>
        <w:t>2021年特定目标类部门预算项目绩效目标自评</w:t>
      </w:r>
    </w:p>
    <w:tbl>
      <w:tblPr>
        <w:tblStyle w:val="17"/>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eastAsia="仿宋_GB2312"/>
              </w:rPr>
            </w:pPr>
            <w:r>
              <w:rPr>
                <w:rFonts w:hint="eastAsia"/>
              </w:rPr>
              <w:t>科技计划管理经费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按月对全市科技项目实施情况进行调研，组织全市科技企业申报科技项目工作经费</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完成年度总体目标</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ab/>
            </w:r>
            <w:r>
              <w:rPr>
                <w:rFonts w:hint="eastAsia"/>
                <w:sz w:val="15"/>
                <w:szCs w:val="15"/>
              </w:rPr>
              <w:t>开展2021年科技项目评审，监督检查验收项目</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评审科技项目≥20个</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完成29个</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组织项目申报、评审、验收</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完成科技项目评审、监督检查验收</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顺利完成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项目评审三季度前完成，检查验收12月底前完成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按期完成率=100%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促进我市经济社会可持续发展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为我市经济社会可持续发展提供科技支撑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社会效益显著</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widowControl/>
        <w:tabs>
          <w:tab w:val="left" w:pos="319"/>
        </w:tabs>
        <w:spacing w:line="320" w:lineRule="exact"/>
        <w:jc w:val="left"/>
        <w:textAlignment w:val="bottom"/>
        <w:rPr>
          <w:sz w:val="15"/>
          <w:szCs w:val="15"/>
        </w:rPr>
      </w:pPr>
    </w:p>
    <w:p>
      <w:pPr>
        <w:pStyle w:val="2"/>
      </w:pPr>
    </w:p>
    <w:p>
      <w:pPr>
        <w:pStyle w:val="2"/>
      </w:pPr>
    </w:p>
    <w:tbl>
      <w:tblPr>
        <w:tblStyle w:val="17"/>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560"/>
              <w:rPr>
                <w:rFonts w:eastAsia="仿宋_GB2312"/>
              </w:rPr>
            </w:pPr>
            <w:r>
              <w:rPr>
                <w:rFonts w:hint="eastAsia" w:ascii="仿宋_GB2312" w:hAnsi="仿宋_GB2312" w:eastAsia="仿宋_GB2312" w:cs="仿宋_GB2312"/>
                <w:kern w:val="0"/>
                <w:sz w:val="28"/>
                <w:szCs w:val="28"/>
                <w:lang w:bidi="ar"/>
              </w:rPr>
              <w:t>体改工作经费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14.67</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推进经济体制改革，着力做好破产企业清算及其他后续工作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确保改革成效和破产企业人员稳定</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中小企业改革后续工作完善率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85%</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破产企业遗留问题解决率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≥60%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处理各类破产企业清算问题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及时接受并按期处置问题</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促进我市经济社会可持续发展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为我市经济社会可持续发展提供科技支撑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社会效益显著</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群众对体改工作满意率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pStyle w:val="2"/>
      </w:pPr>
    </w:p>
    <w:p>
      <w:pPr>
        <w:pStyle w:val="2"/>
      </w:pPr>
    </w:p>
    <w:tbl>
      <w:tblPr>
        <w:tblStyle w:val="17"/>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eastAsia="仿宋_GB2312"/>
              </w:rPr>
            </w:pPr>
            <w:r>
              <w:rPr>
                <w:rFonts w:hint="eastAsia"/>
              </w:rPr>
              <w:t>项目评审及课题研究、集中开工经费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3.86</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对全市政府重大投资项目进行可研评审、项目申请报告评审经费，组织集中开工</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按期完成项目可研报告，组织1次项目集中开工</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组织4次项目集中开工仪式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全年举行项目集中开工仪式≥2次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组织集中开工1次</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公平公正公开委托资质机构评审单个项目总投资超过5000万元的政府投资项目；高质量组织实施项目集中开工仪式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合格率≥90%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按期完成委托评审工作；按季度完成项目集中开工仪式。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12月底前完成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提高项目投资的带动性、公益性、合理性，使项目投资社会效益最大化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带动全社会投资≥10%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全社会投资增速为13.3%</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pStyle w:val="2"/>
      </w:pPr>
    </w:p>
    <w:tbl>
      <w:tblPr>
        <w:tblStyle w:val="17"/>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eastAsia="仿宋_GB2312"/>
              </w:rPr>
            </w:pPr>
            <w:r>
              <w:rPr>
                <w:rFonts w:hint="eastAsia" w:ascii="仿宋_GB2312" w:hAnsi="仿宋_GB2312" w:eastAsia="仿宋_GB2312" w:cs="仿宋_GB2312"/>
                <w:kern w:val="0"/>
                <w:sz w:val="28"/>
                <w:szCs w:val="28"/>
                <w:lang w:bidi="ar"/>
              </w:rPr>
              <w:t>重点项目挂图作战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8.1</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完成峨眉山市“挂图作战”项目年度投资目标、项目推进计划</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按期完成“挂图作战”项目年度投资目标、项目推进计划</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完成市委、政府下达项目推进计划</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全年专项工作总天数≥50天</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全年专项工作总天数为65天</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质量指标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确保全市重点项目推进达到预期目标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推进率≥60%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推进率为65%</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确保重点项目按时完成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节约经费使用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节约率大于5%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0%</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项目业主满意度</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bl>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pPr>
        <w:pStyle w:val="2"/>
        <w:ind w:firstLine="560"/>
        <w:rPr>
          <w:rFonts w:ascii="仿宋_GB2312" w:hAnsi="宋体" w:eastAsia="仿宋_GB2312" w:cs="宋体"/>
          <w:color w:val="000000"/>
          <w:kern w:val="0"/>
          <w:sz w:val="28"/>
          <w:szCs w:val="28"/>
          <w:shd w:val="clear" w:color="auto" w:fill="FFFFFF"/>
        </w:rPr>
      </w:pPr>
    </w:p>
    <w:p>
      <w:pPr>
        <w:pStyle w:val="2"/>
        <w:ind w:firstLine="560"/>
        <w:rPr>
          <w:rFonts w:ascii="仿宋_GB2312" w:hAnsi="宋体" w:eastAsia="仿宋_GB2312" w:cs="宋体"/>
          <w:color w:val="000000"/>
          <w:kern w:val="0"/>
          <w:sz w:val="28"/>
          <w:szCs w:val="28"/>
          <w:shd w:val="clear" w:color="auto" w:fill="FFFFFF"/>
        </w:rPr>
      </w:pPr>
    </w:p>
    <w:tbl>
      <w:tblPr>
        <w:tblStyle w:val="17"/>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02"/>
        <w:gridCol w:w="1718"/>
        <w:gridCol w:w="1687"/>
        <w:gridCol w:w="1517"/>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项目名称</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eastAsia="仿宋_GB2312"/>
              </w:rPr>
            </w:pPr>
            <w:r>
              <w:rPr>
                <w:rFonts w:hint="eastAsia" w:ascii="仿宋_GB2312" w:hAnsi="仿宋_GB2312" w:eastAsia="仿宋_GB2312" w:cs="仿宋_GB2312"/>
                <w:kern w:val="0"/>
                <w:sz w:val="28"/>
                <w:szCs w:val="28"/>
                <w:lang w:bidi="ar"/>
              </w:rPr>
              <w:t>专项政府定价及应急物资采购工作经费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rPr>
              <w:t>峨眉山市发展和改革局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4.3</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完成2021年度市政府安排的成本监审和物资采购任务</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rFonts w:ascii="仿宋_GB2312" w:hAnsi="仿宋_GB2312" w:eastAsia="仿宋_GB2312" w:cs="仿宋_GB2312"/>
                <w:sz w:val="18"/>
                <w:szCs w:val="18"/>
              </w:rPr>
            </w:pPr>
            <w:r>
              <w:rPr>
                <w:rFonts w:hint="eastAsia" w:ascii="仿宋_GB2312" w:hAnsi="仿宋_GB2312" w:eastAsia="仿宋_GB2312" w:cs="仿宋_GB2312"/>
                <w:sz w:val="18"/>
                <w:szCs w:val="18"/>
              </w:rPr>
              <w:t>保质保量完成市政府安排的成本监审和物资采购任务</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完成</w:t>
            </w:r>
          </w:p>
          <w:p>
            <w:pPr>
              <w:widowControl/>
              <w:tabs>
                <w:tab w:val="left" w:pos="319"/>
              </w:tabs>
              <w:spacing w:line="320" w:lineRule="exact"/>
              <w:jc w:val="left"/>
              <w:textAlignment w:val="bottom"/>
              <w:rPr>
                <w:sz w:val="18"/>
                <w:szCs w:val="18"/>
              </w:rPr>
            </w:pP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按照市政府要求和方案数目实施预计5个项目成本监审</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完成率&gt;80%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20%</w:t>
            </w:r>
          </w:p>
        </w:tc>
      </w:tr>
      <w:tr>
        <w:tblPrEx>
          <w:tblCellMar>
            <w:top w:w="0" w:type="dxa"/>
            <w:left w:w="108" w:type="dxa"/>
            <w:bottom w:w="0" w:type="dxa"/>
            <w:right w:w="108" w:type="dxa"/>
          </w:tblCellMar>
        </w:tblPrEx>
        <w:trPr>
          <w:trHeight w:val="95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数量指标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按照市政府要求实施物资相关物资采购</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完成率=100%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时效指标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合理安排政府制定价格成本监审和物资采购工作时间</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12月前完成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按期完成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成本指标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效益</w:t>
            </w:r>
            <w:r>
              <w:rPr>
                <w:rFonts w:hint="eastAsia"/>
                <w:sz w:val="18"/>
                <w:szCs w:val="18"/>
              </w:rPr>
              <w:br w:type="textWrapping"/>
            </w:r>
            <w:r>
              <w:rPr>
                <w:rFonts w:hint="eastAsia"/>
                <w:sz w:val="18"/>
                <w:szCs w:val="18"/>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经济效益指标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社会效益指标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价和采购行为严格按照相关法定程度进行，充分吸取社会意见</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民众知晓和参与度提升50%以上</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70%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生态效益指标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可持续影响指标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8"/>
                <w:szCs w:val="18"/>
              </w:rPr>
            </w:pPr>
            <w:r>
              <w:rPr>
                <w:rFonts w:hint="eastAsia"/>
                <w:sz w:val="18"/>
                <w:szCs w:val="18"/>
              </w:rPr>
              <w:t>满意</w:t>
            </w:r>
            <w:r>
              <w:rPr>
                <w:rFonts w:hint="eastAsia"/>
                <w:sz w:val="18"/>
                <w:szCs w:val="18"/>
              </w:rPr>
              <w:br w:type="textWrapping"/>
            </w:r>
            <w:r>
              <w:rPr>
                <w:rFonts w:hint="eastAsia"/>
                <w:sz w:val="18"/>
                <w:szCs w:val="18"/>
              </w:rPr>
              <w:t>度指标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8"/>
                <w:szCs w:val="18"/>
              </w:rPr>
              <w:t>满意度指标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定价和采购行为严格按照相关法定程度进行，接受社会群众监督</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群众对工作满意度≥90%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9"/>
              </w:tabs>
              <w:spacing w:line="320" w:lineRule="exact"/>
              <w:jc w:val="left"/>
              <w:textAlignment w:val="bottom"/>
              <w:rPr>
                <w:sz w:val="15"/>
                <w:szCs w:val="15"/>
              </w:rPr>
            </w:pPr>
            <w:r>
              <w:rPr>
                <w:rFonts w:hint="eastAsia"/>
                <w:sz w:val="15"/>
                <w:szCs w:val="15"/>
              </w:rPr>
              <w:t>95%</w:t>
            </w:r>
          </w:p>
        </w:tc>
      </w:tr>
    </w:tbl>
    <w:p>
      <w:pPr>
        <w:pStyle w:val="2"/>
        <w:ind w:firstLine="560"/>
        <w:rPr>
          <w:rFonts w:ascii="仿宋_GB2312" w:hAnsi="宋体" w:eastAsia="仿宋_GB2312" w:cs="宋体"/>
          <w:color w:val="000000"/>
          <w:kern w:val="0"/>
          <w:sz w:val="28"/>
          <w:szCs w:val="28"/>
          <w:shd w:val="clear" w:color="auto" w:fill="FFFFFF"/>
        </w:rPr>
      </w:pPr>
    </w:p>
    <w:p>
      <w:pPr>
        <w:pStyle w:val="2"/>
        <w:ind w:firstLine="560"/>
        <w:rPr>
          <w:rFonts w:ascii="仿宋_GB2312" w:hAnsi="宋体" w:eastAsia="仿宋_GB2312" w:cs="宋体"/>
          <w:color w:val="000000"/>
          <w:kern w:val="0"/>
          <w:sz w:val="28"/>
          <w:szCs w:val="28"/>
          <w:shd w:val="clear" w:color="auto" w:fill="FFFFFF"/>
        </w:rPr>
      </w:pPr>
    </w:p>
    <w:p>
      <w:pPr>
        <w:numPr>
          <w:ilvl w:val="0"/>
          <w:numId w:val="3"/>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51"/>
      <w:bookmarkEnd w:id="53"/>
      <w:bookmarkStart w:id="54" w:name="_Toc15396619"/>
    </w:p>
    <w:p>
      <w:pPr>
        <w:pStyle w:val="7"/>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4"/>
    </w:p>
    <w:p>
      <w:pPr>
        <w:spacing w:line="600" w:lineRule="exact"/>
        <w:ind w:firstLine="640" w:firstLineChars="200"/>
        <w:rPr>
          <w:rFonts w:ascii="仿宋_GB2312" w:hAnsi="仿宋_GB2312" w:eastAsia="仿宋_GB2312" w:cs="仿宋_GB2312"/>
          <w:sz w:val="32"/>
          <w:szCs w:val="32"/>
        </w:rPr>
      </w:pPr>
      <w:bookmarkStart w:id="55" w:name="_Toc15396620"/>
      <w:r>
        <w:rPr>
          <w:rFonts w:hint="eastAsia" w:ascii="仿宋_GB2312" w:hAnsi="仿宋_GB2312" w:eastAsia="仿宋_GB2312" w:cs="仿宋_GB2312"/>
          <w:sz w:val="32"/>
          <w:szCs w:val="32"/>
        </w:rPr>
        <w:t>二、收入决算表</w:t>
      </w:r>
      <w:bookmarkEnd w:id="55"/>
    </w:p>
    <w:p>
      <w:pPr>
        <w:spacing w:line="600" w:lineRule="exact"/>
        <w:ind w:firstLine="640" w:firstLineChars="200"/>
        <w:rPr>
          <w:rFonts w:ascii="仿宋_GB2312" w:hAnsi="仿宋_GB2312" w:eastAsia="仿宋_GB2312" w:cs="仿宋_GB2312"/>
          <w:sz w:val="32"/>
          <w:szCs w:val="32"/>
        </w:rPr>
      </w:pPr>
      <w:bookmarkStart w:id="56" w:name="_Toc15396621"/>
      <w:r>
        <w:rPr>
          <w:rFonts w:hint="eastAsia" w:ascii="仿宋_GB2312" w:hAnsi="仿宋_GB2312" w:eastAsia="仿宋_GB2312" w:cs="仿宋_GB2312"/>
          <w:sz w:val="32"/>
          <w:szCs w:val="32"/>
        </w:rPr>
        <w:t>三、支出决算表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2"/>
      <w:r>
        <w:rPr>
          <w:rFonts w:hint="eastAsia" w:ascii="仿宋_GB2312" w:hAnsi="仿宋_GB2312" w:eastAsia="仿宋_GB2312" w:cs="仿宋_GB2312"/>
          <w:sz w:val="32"/>
          <w:szCs w:val="32"/>
        </w:rPr>
        <w:t>四、财政拨款收入支出决算总表</w:t>
      </w:r>
      <w:bookmarkEnd w:id="57"/>
    </w:p>
    <w:p>
      <w:pPr>
        <w:spacing w:line="600" w:lineRule="exact"/>
        <w:ind w:firstLine="640" w:firstLineChars="200"/>
        <w:rPr>
          <w:rFonts w:ascii="仿宋_GB2312" w:hAnsi="仿宋_GB2312" w:eastAsia="仿宋_GB2312" w:cs="仿宋_GB2312"/>
          <w:sz w:val="32"/>
          <w:szCs w:val="32"/>
        </w:rPr>
      </w:pPr>
      <w:bookmarkStart w:id="58" w:name="_Toc15396623"/>
      <w:r>
        <w:rPr>
          <w:rFonts w:hint="eastAsia" w:ascii="仿宋_GB2312" w:hAnsi="仿宋_GB2312" w:eastAsia="仿宋_GB2312" w:cs="仿宋_GB2312"/>
          <w:sz w:val="32"/>
          <w:szCs w:val="32"/>
        </w:rPr>
        <w:t>五、财政拨款支出决算明细表</w:t>
      </w:r>
      <w:bookmarkEnd w:id="58"/>
      <w:bookmarkStart w:id="59"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5"/>
      <w:r>
        <w:rPr>
          <w:rFonts w:hint="eastAsia" w:ascii="仿宋_GB2312" w:hAnsi="仿宋_GB2312" w:eastAsia="仿宋_GB2312" w:cs="仿宋_GB2312"/>
          <w:sz w:val="32"/>
          <w:szCs w:val="32"/>
        </w:rPr>
        <w:t>七、一般公共预算财政拨款支出决算明细表</w:t>
      </w:r>
      <w:bookmarkEnd w:id="60"/>
    </w:p>
    <w:p>
      <w:pPr>
        <w:spacing w:line="600" w:lineRule="exact"/>
        <w:ind w:firstLine="640" w:firstLineChars="200"/>
        <w:rPr>
          <w:rFonts w:ascii="仿宋_GB2312" w:hAnsi="仿宋_GB2312" w:eastAsia="仿宋_GB2312" w:cs="仿宋_GB2312"/>
          <w:sz w:val="32"/>
          <w:szCs w:val="32"/>
        </w:rPr>
      </w:pPr>
      <w:bookmarkStart w:id="61" w:name="_Toc15396626"/>
      <w:r>
        <w:rPr>
          <w:rFonts w:hint="eastAsia" w:ascii="仿宋_GB2312" w:hAnsi="仿宋_GB2312" w:eastAsia="仿宋_GB2312" w:cs="仿宋_GB2312"/>
          <w:sz w:val="32"/>
          <w:szCs w:val="32"/>
        </w:rPr>
        <w:t>八、一般公共预算财政拨款基本支出决算表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7"/>
      <w:r>
        <w:rPr>
          <w:rFonts w:hint="eastAsia" w:ascii="仿宋_GB2312" w:hAnsi="仿宋_GB2312" w:eastAsia="仿宋_GB2312" w:cs="仿宋_GB2312"/>
          <w:sz w:val="32"/>
          <w:szCs w:val="32"/>
        </w:rPr>
        <w:t>九、一般公共预算财政拨款项目支出决算表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8"/>
      <w:r>
        <w:rPr>
          <w:rFonts w:hint="eastAsia" w:ascii="仿宋_GB2312" w:hAnsi="仿宋_GB2312" w:eastAsia="仿宋_GB2312" w:cs="仿宋_GB2312"/>
          <w:sz w:val="32"/>
          <w:szCs w:val="32"/>
        </w:rPr>
        <w:t>十、一般公共预算财政拨款“三公”经费支出决算表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9"/>
      <w:r>
        <w:rPr>
          <w:rFonts w:hint="eastAsia" w:ascii="仿宋_GB2312" w:hAnsi="仿宋_GB2312" w:eastAsia="仿宋_GB2312" w:cs="仿宋_GB2312"/>
          <w:sz w:val="32"/>
          <w:szCs w:val="32"/>
        </w:rPr>
        <w:t>十一、政府性基金预算财政拨款收入支出决算表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30"/>
      <w:r>
        <w:rPr>
          <w:rFonts w:hint="eastAsia" w:ascii="仿宋_GB2312" w:hAnsi="仿宋_GB2312" w:eastAsia="仿宋_GB2312" w:cs="仿宋_GB2312"/>
          <w:sz w:val="32"/>
          <w:szCs w:val="32"/>
        </w:rPr>
        <w:t>十二、政府性基金预算财政拨款“三公”经费支出决算表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1"/>
      <w:r>
        <w:rPr>
          <w:rFonts w:hint="eastAsia" w:ascii="仿宋_GB2312" w:hAnsi="仿宋_GB2312" w:eastAsia="仿宋_GB2312" w:cs="仿宋_GB2312"/>
          <w:sz w:val="32"/>
          <w:szCs w:val="32"/>
        </w:rPr>
        <w:t>十三、国有资本经营预算财政拨款收入支出决算表</w:t>
      </w:r>
      <w:bookmarkEnd w:id="6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aZ9x9UAAAAHAQAADwAAAAAAAAAB&#10;ACAAAAAiAAAAZHJzL2Rvd25yZXYueG1sUEsBAhQAFAAAAAgAh07iQFMYXRETAgAABwQAAA4AAAAA&#10;AAAAAQAgAAAAJAEAAGRycy9lMm9Eb2MueG1sUEsFBgAAAAAGAAYAWQEAAKkFAAAAAA==&#10;">
              <v:fill on="f" focussize="0,0"/>
              <v:stroke on="f" weight="0.5pt"/>
              <v:imagedata o:title=""/>
              <o:lock v:ext="edit" aspectratio="f"/>
              <v:textbox inset="0mm,0mm,0mm,0mm">
                <w:txbxContent>
                  <w:p>
                    <w:pPr>
                      <w:pStyle w:val="11"/>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QEnKTWAAAABwEAAA8AAAAAAAAA&#10;AQAgAAAAIgAAAGRycy9kb3ducmV2LnhtbFBLAQIUABQAAAAIAIdO4kDMVty0EwIAAAcEAAAOAAAA&#10;AAAAAAEAIAAAACUBAABkcnMvZTJvRG9jLnhtbFBLBQYAAAAABgAGAFkBAACqBQAAAAA=&#10;">
              <v:fill on="f" focussize="0,0"/>
              <v:stroke on="f" weight="0.5pt"/>
              <v:imagedata o:title=""/>
              <o:lock v:ext="edit" aspectratio="f"/>
              <v:textbox inset="0mm,0mm,0mm,0mm">
                <w:txbxContent>
                  <w:p>
                    <w:pPr>
                      <w:pStyle w:val="11"/>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8F757F87"/>
    <w:multiLevelType w:val="singleLevel"/>
    <w:tmpl w:val="8F757F87"/>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65FD"/>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06AA7"/>
    <w:rsid w:val="0021101A"/>
    <w:rsid w:val="00220536"/>
    <w:rsid w:val="00235629"/>
    <w:rsid w:val="00260C38"/>
    <w:rsid w:val="002616C0"/>
    <w:rsid w:val="00265372"/>
    <w:rsid w:val="002662AA"/>
    <w:rsid w:val="00280496"/>
    <w:rsid w:val="00294DC9"/>
    <w:rsid w:val="00295495"/>
    <w:rsid w:val="002A31DE"/>
    <w:rsid w:val="002B2613"/>
    <w:rsid w:val="002C5414"/>
    <w:rsid w:val="002D6D05"/>
    <w:rsid w:val="002F1818"/>
    <w:rsid w:val="002F567B"/>
    <w:rsid w:val="003216A9"/>
    <w:rsid w:val="00335A74"/>
    <w:rsid w:val="0036561B"/>
    <w:rsid w:val="0037013F"/>
    <w:rsid w:val="003749A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2C7A"/>
    <w:rsid w:val="00434489"/>
    <w:rsid w:val="00437085"/>
    <w:rsid w:val="00443880"/>
    <w:rsid w:val="004464F4"/>
    <w:rsid w:val="00471401"/>
    <w:rsid w:val="00473F31"/>
    <w:rsid w:val="00476B50"/>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40C"/>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53B94"/>
    <w:rsid w:val="0066343B"/>
    <w:rsid w:val="00664777"/>
    <w:rsid w:val="006748A4"/>
    <w:rsid w:val="00681A31"/>
    <w:rsid w:val="00683E73"/>
    <w:rsid w:val="006A3141"/>
    <w:rsid w:val="006A5E34"/>
    <w:rsid w:val="006B2422"/>
    <w:rsid w:val="006B2B9A"/>
    <w:rsid w:val="006C1937"/>
    <w:rsid w:val="006F020C"/>
    <w:rsid w:val="007127B7"/>
    <w:rsid w:val="0071798E"/>
    <w:rsid w:val="00736124"/>
    <w:rsid w:val="0073778C"/>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50625"/>
    <w:rsid w:val="00853718"/>
    <w:rsid w:val="00855221"/>
    <w:rsid w:val="00860645"/>
    <w:rsid w:val="0086435B"/>
    <w:rsid w:val="00871F71"/>
    <w:rsid w:val="00872FD8"/>
    <w:rsid w:val="00885AF4"/>
    <w:rsid w:val="008939CD"/>
    <w:rsid w:val="008A6DF3"/>
    <w:rsid w:val="008B768C"/>
    <w:rsid w:val="008C4DB1"/>
    <w:rsid w:val="008C4EAF"/>
    <w:rsid w:val="008C5176"/>
    <w:rsid w:val="008C7FD0"/>
    <w:rsid w:val="008E1DE7"/>
    <w:rsid w:val="008E707C"/>
    <w:rsid w:val="008F35FA"/>
    <w:rsid w:val="00900B08"/>
    <w:rsid w:val="00902155"/>
    <w:rsid w:val="00902FA3"/>
    <w:rsid w:val="00923564"/>
    <w:rsid w:val="0092392E"/>
    <w:rsid w:val="0093014E"/>
    <w:rsid w:val="009315F9"/>
    <w:rsid w:val="00933499"/>
    <w:rsid w:val="00935C98"/>
    <w:rsid w:val="00946945"/>
    <w:rsid w:val="00951248"/>
    <w:rsid w:val="0095152F"/>
    <w:rsid w:val="00954C49"/>
    <w:rsid w:val="00955E37"/>
    <w:rsid w:val="0097099F"/>
    <w:rsid w:val="00971997"/>
    <w:rsid w:val="00971FFC"/>
    <w:rsid w:val="00983B30"/>
    <w:rsid w:val="0098660A"/>
    <w:rsid w:val="009931C3"/>
    <w:rsid w:val="009A089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173B"/>
    <w:rsid w:val="00A331C8"/>
    <w:rsid w:val="00A40A00"/>
    <w:rsid w:val="00A4142F"/>
    <w:rsid w:val="00A422EB"/>
    <w:rsid w:val="00A45BB7"/>
    <w:rsid w:val="00A52A12"/>
    <w:rsid w:val="00A56DF2"/>
    <w:rsid w:val="00A56E6E"/>
    <w:rsid w:val="00A67AB5"/>
    <w:rsid w:val="00A70EB7"/>
    <w:rsid w:val="00A733B2"/>
    <w:rsid w:val="00A741C2"/>
    <w:rsid w:val="00A91760"/>
    <w:rsid w:val="00A93B00"/>
    <w:rsid w:val="00A93C21"/>
    <w:rsid w:val="00AA6923"/>
    <w:rsid w:val="00AB64C9"/>
    <w:rsid w:val="00AC0F12"/>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B42"/>
    <w:rsid w:val="00B53C56"/>
    <w:rsid w:val="00B57DAF"/>
    <w:rsid w:val="00B77EA6"/>
    <w:rsid w:val="00B81598"/>
    <w:rsid w:val="00B841F1"/>
    <w:rsid w:val="00B9419C"/>
    <w:rsid w:val="00B944D6"/>
    <w:rsid w:val="00BA2343"/>
    <w:rsid w:val="00BB4DF0"/>
    <w:rsid w:val="00BC289F"/>
    <w:rsid w:val="00BC2D50"/>
    <w:rsid w:val="00BC5361"/>
    <w:rsid w:val="00BC5460"/>
    <w:rsid w:val="00BC6B50"/>
    <w:rsid w:val="00BD0E25"/>
    <w:rsid w:val="00BF5BD6"/>
    <w:rsid w:val="00C03E31"/>
    <w:rsid w:val="00C24118"/>
    <w:rsid w:val="00C33E72"/>
    <w:rsid w:val="00C354B2"/>
    <w:rsid w:val="00C35554"/>
    <w:rsid w:val="00C42709"/>
    <w:rsid w:val="00C533CC"/>
    <w:rsid w:val="00C5751C"/>
    <w:rsid w:val="00C57CF0"/>
    <w:rsid w:val="00C61BFC"/>
    <w:rsid w:val="00C62B85"/>
    <w:rsid w:val="00C65438"/>
    <w:rsid w:val="00C87FD8"/>
    <w:rsid w:val="00C91381"/>
    <w:rsid w:val="00C91CBB"/>
    <w:rsid w:val="00CB4B16"/>
    <w:rsid w:val="00CB4E70"/>
    <w:rsid w:val="00CC09B6"/>
    <w:rsid w:val="00CC666F"/>
    <w:rsid w:val="00CD1E3F"/>
    <w:rsid w:val="00CE44F6"/>
    <w:rsid w:val="00CE49DA"/>
    <w:rsid w:val="00CE505F"/>
    <w:rsid w:val="00CE7B61"/>
    <w:rsid w:val="00D00095"/>
    <w:rsid w:val="00D114F0"/>
    <w:rsid w:val="00D20620"/>
    <w:rsid w:val="00D254F7"/>
    <w:rsid w:val="00D26091"/>
    <w:rsid w:val="00D2685C"/>
    <w:rsid w:val="00D3489A"/>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19D4"/>
    <w:rsid w:val="00E472B1"/>
    <w:rsid w:val="00E50624"/>
    <w:rsid w:val="00E568DF"/>
    <w:rsid w:val="00E64269"/>
    <w:rsid w:val="00E70079"/>
    <w:rsid w:val="00E82267"/>
    <w:rsid w:val="00E853CE"/>
    <w:rsid w:val="00E867B6"/>
    <w:rsid w:val="00EA010F"/>
    <w:rsid w:val="00ED1B63"/>
    <w:rsid w:val="00ED3C1F"/>
    <w:rsid w:val="00ED4085"/>
    <w:rsid w:val="00ED420E"/>
    <w:rsid w:val="00ED6FBE"/>
    <w:rsid w:val="00EE2F57"/>
    <w:rsid w:val="00EF4C34"/>
    <w:rsid w:val="00EF77C6"/>
    <w:rsid w:val="00F05438"/>
    <w:rsid w:val="00F10053"/>
    <w:rsid w:val="00F1252A"/>
    <w:rsid w:val="00F1361C"/>
    <w:rsid w:val="00F156F0"/>
    <w:rsid w:val="00F160C7"/>
    <w:rsid w:val="00F2408F"/>
    <w:rsid w:val="00F240E9"/>
    <w:rsid w:val="00F36D8F"/>
    <w:rsid w:val="00F417B1"/>
    <w:rsid w:val="00F45853"/>
    <w:rsid w:val="00F57451"/>
    <w:rsid w:val="00F602DF"/>
    <w:rsid w:val="00F754A1"/>
    <w:rsid w:val="00F81FD9"/>
    <w:rsid w:val="00F841AA"/>
    <w:rsid w:val="00F84A94"/>
    <w:rsid w:val="00F87E96"/>
    <w:rsid w:val="00FA23E8"/>
    <w:rsid w:val="00FB5095"/>
    <w:rsid w:val="00FD3CC1"/>
    <w:rsid w:val="00FF1E02"/>
    <w:rsid w:val="00FF30B4"/>
    <w:rsid w:val="0A2032A3"/>
    <w:rsid w:val="0B8A37D8"/>
    <w:rsid w:val="10C055FF"/>
    <w:rsid w:val="118107EC"/>
    <w:rsid w:val="11DD6519"/>
    <w:rsid w:val="13EB6774"/>
    <w:rsid w:val="16BB723D"/>
    <w:rsid w:val="18015F3F"/>
    <w:rsid w:val="1ADA59BF"/>
    <w:rsid w:val="1BE8440E"/>
    <w:rsid w:val="1D155CEE"/>
    <w:rsid w:val="20F57F95"/>
    <w:rsid w:val="22306ABD"/>
    <w:rsid w:val="240371BF"/>
    <w:rsid w:val="24567558"/>
    <w:rsid w:val="25C741E6"/>
    <w:rsid w:val="25F5766D"/>
    <w:rsid w:val="27842671"/>
    <w:rsid w:val="29FD04D3"/>
    <w:rsid w:val="2ABE7A3E"/>
    <w:rsid w:val="2D9A233C"/>
    <w:rsid w:val="2EFA178C"/>
    <w:rsid w:val="30B46D73"/>
    <w:rsid w:val="319F7F4E"/>
    <w:rsid w:val="36756156"/>
    <w:rsid w:val="378C2EA1"/>
    <w:rsid w:val="39AE70AB"/>
    <w:rsid w:val="3C0C0783"/>
    <w:rsid w:val="3F9F3A96"/>
    <w:rsid w:val="412C1772"/>
    <w:rsid w:val="42D6488F"/>
    <w:rsid w:val="4628740B"/>
    <w:rsid w:val="493C27E9"/>
    <w:rsid w:val="496F39ED"/>
    <w:rsid w:val="49FF41D3"/>
    <w:rsid w:val="4BE068DB"/>
    <w:rsid w:val="4BF6002B"/>
    <w:rsid w:val="4ECE2238"/>
    <w:rsid w:val="50312A77"/>
    <w:rsid w:val="51AB2023"/>
    <w:rsid w:val="51DB4B86"/>
    <w:rsid w:val="526F7A4E"/>
    <w:rsid w:val="55333C3E"/>
    <w:rsid w:val="55F219B6"/>
    <w:rsid w:val="58353BCF"/>
    <w:rsid w:val="62174AB4"/>
    <w:rsid w:val="643F2306"/>
    <w:rsid w:val="64CA39A1"/>
    <w:rsid w:val="663D7019"/>
    <w:rsid w:val="67B16658"/>
    <w:rsid w:val="6A821347"/>
    <w:rsid w:val="6C4A05C8"/>
    <w:rsid w:val="725433E0"/>
    <w:rsid w:val="72734D90"/>
    <w:rsid w:val="7497503D"/>
    <w:rsid w:val="780D19D6"/>
    <w:rsid w:val="798D23FE"/>
    <w:rsid w:val="79E7B28D"/>
    <w:rsid w:val="7B217634"/>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Salutation"/>
    <w:basedOn w:val="1"/>
    <w:next w:val="1"/>
    <w:qFormat/>
    <w:uiPriority w:val="0"/>
    <w:pPr>
      <w:jc w:val="center"/>
    </w:pPr>
    <w:rPr>
      <w:rFonts w:eastAsia="黑体"/>
      <w:sz w:val="30"/>
    </w:rPr>
  </w:style>
  <w:style w:type="paragraph" w:styleId="7">
    <w:name w:val="Body Text"/>
    <w:basedOn w:val="1"/>
    <w:next w:val="8"/>
    <w:link w:val="26"/>
    <w:qFormat/>
    <w:uiPriority w:val="99"/>
    <w:pPr>
      <w:spacing w:beforeLines="30"/>
    </w:pPr>
    <w:rPr>
      <w:rFonts w:ascii="仿宋_GB2312" w:eastAsia="仿宋_GB2312"/>
      <w:kern w:val="0"/>
      <w:sz w:val="30"/>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index 1"/>
    <w:basedOn w:val="1"/>
    <w:next w:val="1"/>
    <w:semiHidden/>
    <w:unhideWhenUsed/>
    <w:qFormat/>
    <w:uiPriority w:val="99"/>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10"/>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Header or footer|2"/>
    <w:basedOn w:val="1"/>
    <w:qFormat/>
    <w:uiPriority w:val="0"/>
    <w:pPr>
      <w:jc w:val="left"/>
    </w:pPr>
    <w:rPr>
      <w:kern w:val="0"/>
      <w:sz w:val="20"/>
      <w:szCs w:val="20"/>
      <w:lang w:val="zh-TW" w:eastAsia="zh-TW" w:bidi="zh-TW"/>
    </w:rPr>
  </w:style>
  <w:style w:type="paragraph" w:customStyle="1" w:styleId="36">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因公出国（境）经费</c:v>
                </c:pt>
                <c:pt idx="1">
                  <c:v>公务用车购置及运行维护费</c:v>
                </c:pt>
                <c:pt idx="2">
                  <c:v>公务接待费支出</c:v>
                </c:pt>
              </c:strCache>
            </c:strRef>
          </c:cat>
          <c:val>
            <c:numRef>
              <c:f>Sheet1!$B$2:$B$4</c:f>
              <c:numCache>
                <c:formatCode>General</c:formatCode>
                <c:ptCount val="3"/>
                <c:pt idx="0">
                  <c:v>0</c:v>
                </c:pt>
                <c:pt idx="1">
                  <c:v>0</c:v>
                </c:pt>
                <c:pt idx="2">
                  <c:v>0.52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EED34-C62A-442E-A0F5-7E7528DF32A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2103</Words>
  <Characters>11990</Characters>
  <Lines>99</Lines>
  <Paragraphs>28</Paragraphs>
  <TotalTime>1</TotalTime>
  <ScaleCrop>false</ScaleCrop>
  <LinksUpToDate>false</LinksUpToDate>
  <CharactersWithSpaces>14065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1</cp:lastModifiedBy>
  <cp:lastPrinted>2022-08-06T02:23:00Z</cp:lastPrinted>
  <dcterms:modified xsi:type="dcterms:W3CDTF">2022-10-28T08:38:24Z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