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A0903">
      <w:pPr>
        <w:spacing w:line="600" w:lineRule="exact"/>
        <w:jc w:val="center"/>
        <w:outlineLvl w:val="0"/>
        <w:rPr>
          <w:rFonts w:ascii="方正小标宋简体" w:hAnsi="宋体" w:eastAsia="方正小标宋简体"/>
          <w:sz w:val="72"/>
          <w:szCs w:val="72"/>
        </w:rPr>
      </w:pPr>
      <w:bookmarkStart w:id="0" w:name="_Toc15306267"/>
      <w:bookmarkStart w:id="66" w:name="_GoBack"/>
      <w:bookmarkEnd w:id="66"/>
    </w:p>
    <w:p w14:paraId="59EFF495">
      <w:pPr>
        <w:spacing w:line="600" w:lineRule="exact"/>
        <w:jc w:val="center"/>
        <w:outlineLvl w:val="0"/>
        <w:rPr>
          <w:rFonts w:ascii="方正小标宋简体" w:hAnsi="宋体" w:eastAsia="方正小标宋简体"/>
          <w:sz w:val="72"/>
          <w:szCs w:val="72"/>
        </w:rPr>
      </w:pPr>
    </w:p>
    <w:p w14:paraId="682D8299">
      <w:pPr>
        <w:spacing w:line="600" w:lineRule="exact"/>
        <w:jc w:val="center"/>
        <w:outlineLvl w:val="0"/>
        <w:rPr>
          <w:rFonts w:ascii="方正小标宋简体" w:hAnsi="宋体" w:eastAsia="方正小标宋简体"/>
          <w:sz w:val="72"/>
          <w:szCs w:val="72"/>
        </w:rPr>
      </w:pPr>
    </w:p>
    <w:p w14:paraId="6A245989">
      <w:pPr>
        <w:spacing w:line="600" w:lineRule="exact"/>
        <w:jc w:val="center"/>
        <w:outlineLvl w:val="0"/>
        <w:rPr>
          <w:rFonts w:ascii="方正小标宋简体" w:hAnsi="宋体" w:eastAsia="方正小标宋简体"/>
          <w:sz w:val="72"/>
          <w:szCs w:val="72"/>
        </w:rPr>
      </w:pPr>
    </w:p>
    <w:p w14:paraId="2C17C57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96597"/>
      <w:bookmarkStart w:id="3" w:name="_Toc15377193"/>
      <w:bookmarkStart w:id="4" w:name="_Toc15378441"/>
      <w:bookmarkStart w:id="5"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14:paraId="1535594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峨眉山市交通运输局单位决算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（本级）</w:t>
      </w:r>
    </w:p>
    <w:p w14:paraId="2FA62B45">
      <w:pPr>
        <w:spacing w:line="600" w:lineRule="exact"/>
        <w:jc w:val="center"/>
        <w:rPr>
          <w:rFonts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目录</w:t>
      </w:r>
    </w:p>
    <w:p w14:paraId="333C0C7A">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ascii="楷体_GB2312" w:hAnsi="楷体_GB2312" w:eastAsia="楷体_GB2312" w:cs="楷体_GB2312"/>
          <w:sz w:val="32"/>
          <w:szCs w:val="32"/>
        </w:rPr>
        <w:t>28</w:t>
      </w:r>
      <w:r>
        <w:rPr>
          <w:rFonts w:hint="eastAsia" w:ascii="楷体_GB2312" w:hAnsi="楷体_GB2312" w:eastAsia="楷体_GB2312" w:cs="楷体_GB2312"/>
          <w:sz w:val="32"/>
          <w:szCs w:val="32"/>
        </w:rPr>
        <w:t>日</w:t>
      </w:r>
    </w:p>
    <w:p w14:paraId="53C8E9FC">
      <w:pPr>
        <w:spacing w:line="600" w:lineRule="exact"/>
        <w:rPr>
          <w:rFonts w:ascii="黑体" w:hAnsi="黑体" w:eastAsia="黑体" w:cs="黑体"/>
          <w:sz w:val="32"/>
          <w:szCs w:val="32"/>
        </w:rPr>
      </w:pPr>
      <w:r>
        <w:rPr>
          <w:rFonts w:hint="eastAsia" w:ascii="黑体" w:hAnsi="黑体" w:eastAsia="黑体" w:cs="黑体"/>
          <w:sz w:val="32"/>
          <w:szCs w:val="32"/>
        </w:rPr>
        <w:t xml:space="preserve">    第一部分 单位概况</w:t>
      </w:r>
      <w:r>
        <w:rPr>
          <w:rFonts w:hint="eastAsia" w:ascii="仿宋_GB2312" w:hAnsi="仿宋_GB2312" w:eastAsia="仿宋_GB2312" w:cs="仿宋_GB2312"/>
          <w:sz w:val="32"/>
          <w:szCs w:val="32"/>
        </w:rPr>
        <w:t>.................................4</w:t>
      </w:r>
    </w:p>
    <w:p w14:paraId="78630301">
      <w:pPr>
        <w:tabs>
          <w:tab w:val="right" w:pos="8931"/>
        </w:tabs>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一、职能简介.......................................4</w:t>
      </w:r>
    </w:p>
    <w:p w14:paraId="427483E7">
      <w:pPr>
        <w:tabs>
          <w:tab w:val="right" w:leader="middleDot" w:pos="4620"/>
          <w:tab w:val="right" w:pos="4830"/>
        </w:tabs>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p>
    <w:p w14:paraId="281D3DA6">
      <w:pPr>
        <w:tabs>
          <w:tab w:val="right" w:leader="middleDot" w:pos="4620"/>
          <w:tab w:val="right" w:pos="4830"/>
        </w:tabs>
        <w:spacing w:line="600" w:lineRule="exact"/>
        <w:ind w:firstLine="641"/>
        <w:rPr>
          <w:rFonts w:ascii="黑体" w:hAnsi="黑体" w:eastAsia="黑体" w:cs="黑体"/>
          <w:sz w:val="32"/>
          <w:szCs w:val="32"/>
        </w:rPr>
      </w:pPr>
      <w:r>
        <w:rPr>
          <w:rFonts w:hint="eastAsia" w:ascii="黑体" w:hAnsi="黑体" w:eastAsia="黑体" w:cs="黑体"/>
          <w:sz w:val="32"/>
          <w:szCs w:val="32"/>
        </w:rPr>
        <w:t>第二部分2021年度单位决算情况说明</w:t>
      </w:r>
      <w:r>
        <w:rPr>
          <w:rFonts w:hint="eastAsia" w:ascii="仿宋_GB2312" w:hAnsi="仿宋_GB2312" w:eastAsia="仿宋_GB2312" w:cs="仿宋_GB2312"/>
          <w:sz w:val="32"/>
          <w:szCs w:val="32"/>
        </w:rPr>
        <w:t>.................16</w:t>
      </w:r>
    </w:p>
    <w:p w14:paraId="446F86AE">
      <w:pPr>
        <w:pStyle w:val="10"/>
        <w:tabs>
          <w:tab w:val="right" w:leader="middleDot" w:pos="4620"/>
          <w:tab w:val="right" w:pos="4830"/>
        </w:tabs>
        <w:adjustRightInd w:val="0"/>
        <w:snapToGrid w:val="0"/>
        <w:spacing w:before="0" w:line="600" w:lineRule="exact"/>
        <w:ind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一、收入支出决算总体情况说明......................16</w:t>
      </w:r>
    </w:p>
    <w:p w14:paraId="3672B8F0">
      <w:pPr>
        <w:pStyle w:val="12"/>
        <w:tabs>
          <w:tab w:val="right" w:leader="middleDot" w:pos="8789"/>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二、收入决算情况说明..............................17</w:t>
      </w:r>
    </w:p>
    <w:p w14:paraId="1EF3D7C0">
      <w:pPr>
        <w:pStyle w:val="12"/>
        <w:tabs>
          <w:tab w:val="right" w:pos="8364"/>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三、支出决算情况说明..............................18</w:t>
      </w:r>
    </w:p>
    <w:p w14:paraId="7DE69164">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四、财政拨款收入支出决算总体情况说明..............19</w:t>
      </w:r>
    </w:p>
    <w:p w14:paraId="44DF4215">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五、一般公共预算财政拨款支出决算情况说明..........19</w:t>
      </w:r>
    </w:p>
    <w:p w14:paraId="19D8476F">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六、一般公共预算财政拨款基本支出决算情况说明......25</w:t>
      </w:r>
    </w:p>
    <w:p w14:paraId="3AD4BC65">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七、“三公”经费财政拨款支出决算情况说明............26</w:t>
      </w:r>
    </w:p>
    <w:p w14:paraId="7F125323">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八、政府性基金预算支出决算情况说明................28</w:t>
      </w:r>
    </w:p>
    <w:p w14:paraId="11402059">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九、国有资本经营预算支出决算情况说明..............29</w:t>
      </w:r>
    </w:p>
    <w:p w14:paraId="40ED1ACA">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十、其他重要事项的情况说明........................29</w:t>
      </w:r>
    </w:p>
    <w:p w14:paraId="59563884">
      <w:pPr>
        <w:pStyle w:val="10"/>
        <w:tabs>
          <w:tab w:val="right" w:leader="middleDot" w:pos="4620"/>
          <w:tab w:val="right" w:pos="4830"/>
        </w:tabs>
        <w:adjustRightInd w:val="0"/>
        <w:snapToGrid w:val="0"/>
        <w:spacing w:before="0" w:line="600" w:lineRule="exact"/>
        <w:ind w:firstLine="641"/>
        <w:jc w:val="left"/>
        <w:rPr>
          <w:rFonts w:ascii="仿宋_GB2312" w:hAnsi="仿宋_GB2312" w:eastAsia="仿宋_GB2312" w:cs="仿宋_GB2312"/>
          <w:sz w:val="32"/>
          <w:szCs w:val="32"/>
        </w:rPr>
      </w:pPr>
      <w:r>
        <w:rPr>
          <w:rFonts w:hint="eastAsia" w:ascii="黑体" w:hAnsi="黑体" w:eastAsia="黑体" w:cs="黑体"/>
          <w:sz w:val="32"/>
          <w:szCs w:val="32"/>
        </w:rPr>
        <w:t>第三部分 名词解释</w:t>
      </w:r>
      <w:r>
        <w:rPr>
          <w:rFonts w:hint="eastAsia" w:ascii="仿宋_GB2312" w:hAnsi="仿宋_GB2312" w:eastAsia="仿宋_GB2312" w:cs="仿宋_GB2312"/>
          <w:sz w:val="32"/>
          <w:szCs w:val="32"/>
        </w:rPr>
        <w:t>................................31</w:t>
      </w:r>
    </w:p>
    <w:p w14:paraId="08CF9CB3">
      <w:pPr>
        <w:pStyle w:val="10"/>
        <w:tabs>
          <w:tab w:val="right" w:leader="middleDot" w:pos="4620"/>
          <w:tab w:val="right" w:pos="4830"/>
        </w:tabs>
        <w:adjustRightInd w:val="0"/>
        <w:snapToGrid w:val="0"/>
        <w:spacing w:before="0" w:line="600" w:lineRule="exact"/>
        <w:ind w:firstLine="641"/>
        <w:jc w:val="left"/>
        <w:rPr>
          <w:rFonts w:ascii="黑体" w:hAnsi="黑体" w:eastAsia="黑体" w:cs="黑体"/>
          <w:sz w:val="32"/>
          <w:szCs w:val="32"/>
        </w:rPr>
      </w:pPr>
      <w:r>
        <w:rPr>
          <w:rFonts w:hint="eastAsia" w:ascii="黑体" w:hAnsi="黑体" w:eastAsia="黑体" w:cs="黑体"/>
          <w:sz w:val="32"/>
          <w:szCs w:val="32"/>
        </w:rPr>
        <w:t>第四部分 附件</w:t>
      </w:r>
      <w:r>
        <w:rPr>
          <w:rFonts w:hint="eastAsia" w:ascii="仿宋_GB2312" w:hAnsi="仿宋_GB2312" w:eastAsia="仿宋_GB2312" w:cs="仿宋_GB2312"/>
          <w:sz w:val="32"/>
          <w:szCs w:val="32"/>
        </w:rPr>
        <w:t>....................................37</w:t>
      </w:r>
    </w:p>
    <w:p w14:paraId="711A0AE2">
      <w:pPr>
        <w:tabs>
          <w:tab w:val="right" w:leader="middleDot" w:pos="4620"/>
          <w:tab w:val="right" w:pos="4830"/>
        </w:tabs>
        <w:spacing w:line="600" w:lineRule="exact"/>
        <w:ind w:firstLine="641"/>
        <w:rPr>
          <w:rFonts w:ascii="仿宋_GB2312" w:hAnsi="仿宋_GB2312" w:eastAsia="仿宋_GB2312" w:cs="仿宋_GB2312"/>
          <w:sz w:val="32"/>
          <w:szCs w:val="32"/>
        </w:rPr>
      </w:pPr>
      <w:r>
        <w:rPr>
          <w:rFonts w:hint="eastAsia" w:ascii="黑体" w:hAnsi="黑体" w:eastAsia="黑体" w:cs="黑体"/>
          <w:sz w:val="32"/>
          <w:szCs w:val="32"/>
        </w:rPr>
        <w:t>第五部分 附表</w:t>
      </w:r>
      <w:r>
        <w:rPr>
          <w:rFonts w:hint="eastAsia" w:ascii="仿宋_GB2312" w:hAnsi="仿宋_GB2312" w:eastAsia="仿宋_GB2312" w:cs="仿宋_GB2312"/>
          <w:sz w:val="32"/>
          <w:szCs w:val="32"/>
        </w:rPr>
        <w:t>....................................81</w:t>
      </w:r>
    </w:p>
    <w:p w14:paraId="61182FC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7EF0C84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5BAD8F3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58E2A13C">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469EF78F">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20A9CCCF">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21F764A7">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231DA505">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6AF3C0E4">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219D67A0">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5BE00C96">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39468A5B">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112893E6">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681C95B6">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2A6508E2">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14:paraId="290CFFCC">
      <w:pPr>
        <w:widowControl/>
        <w:spacing w:line="60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09308F6">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第一部分单位概况</w:t>
      </w:r>
      <w:bookmarkEnd w:id="12"/>
      <w:bookmarkEnd w:id="13"/>
    </w:p>
    <w:p w14:paraId="7411BF08">
      <w:pPr>
        <w:spacing w:line="600" w:lineRule="exact"/>
        <w:rPr>
          <w:rFonts w:ascii="方正小标宋_GBK" w:hAnsi="方正小标宋_GBK" w:eastAsia="方正小标宋_GBK" w:cs="方正小标宋_GBK"/>
          <w:sz w:val="44"/>
          <w:szCs w:val="44"/>
        </w:rPr>
      </w:pPr>
    </w:p>
    <w:p w14:paraId="6C42E930">
      <w:pPr>
        <w:spacing w:line="600" w:lineRule="exact"/>
        <w:ind w:firstLine="640" w:firstLineChars="200"/>
        <w:rPr>
          <w:rFonts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一、职能简介</w:t>
      </w:r>
    </w:p>
    <w:p w14:paraId="1B60AC0C">
      <w:pPr>
        <w:spacing w:line="600" w:lineRule="exact"/>
        <w:ind w:firstLine="640" w:firstLineChars="200"/>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（一）机构组成。</w:t>
      </w:r>
    </w:p>
    <w:p w14:paraId="19888CA7">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峨眉山市交通运输局下属二级预算单位4个，其中参照公务员法管理的事业单位1个（峨眉山市道路运输服务中心），其他事业单位3个（峨眉山市公路建设服务中心、峨眉山市交通工程质量监督站、峨眉山市城乡客运和高铁服务中心）。</w:t>
      </w:r>
    </w:p>
    <w:p w14:paraId="5EDE0C7A">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（二）机构职能。</w:t>
      </w:r>
    </w:p>
    <w:p w14:paraId="3666A8E0">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负责交通有关涉外工作；承担市人民政府交通战备任务等事项。</w:t>
      </w:r>
    </w:p>
    <w:p w14:paraId="35CBB552">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（三）人员概况。</w:t>
      </w:r>
    </w:p>
    <w:p w14:paraId="74BCECF3">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峨眉山市交通运输局局机关设办公室、综合规划股、工程建设管理股、运输管理股（峨眉山市交通战备办公室）、交通安全监督管理股等5个股室。</w:t>
      </w:r>
      <w:r>
        <w:rPr>
          <w:rFonts w:hint="eastAsia" w:ascii="仿宋_GB2312" w:hAnsi="仿宋" w:eastAsia="仿宋_GB2312"/>
          <w:color w:val="000000"/>
          <w:sz w:val="32"/>
          <w:szCs w:val="32"/>
        </w:rPr>
        <w:t>2021年末人员共计21人（其中：在职21人，含船管所3名事业人员），退休人员16人。</w:t>
      </w:r>
    </w:p>
    <w:p w14:paraId="58EBCC15">
      <w:pPr>
        <w:spacing w:line="600" w:lineRule="exact"/>
        <w:rPr>
          <w:rFonts w:ascii="黑体" w:hAnsi="黑体" w:eastAsia="黑体" w:cs="黑体"/>
          <w:sz w:val="32"/>
          <w:szCs w:val="32"/>
          <w:highlight w:val="yellow"/>
        </w:rPr>
      </w:pPr>
    </w:p>
    <w:p w14:paraId="6B5E2965">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二、2021年重点工作</w:t>
      </w:r>
      <w:bookmarkEnd w:id="14"/>
      <w:bookmarkEnd w:id="15"/>
      <w:r>
        <w:rPr>
          <w:rFonts w:hint="eastAsia" w:ascii="黑体" w:hAnsi="黑体" w:eastAsia="黑体" w:cs="黑体"/>
          <w:sz w:val="32"/>
          <w:szCs w:val="32"/>
        </w:rPr>
        <w:t>完成情况</w:t>
      </w:r>
    </w:p>
    <w:p w14:paraId="100FF38B">
      <w:pPr>
        <w:widowControl/>
        <w:shd w:val="clear" w:color="auto" w:fill="FFFFFF"/>
        <w:spacing w:line="560" w:lineRule="exact"/>
        <w:ind w:firstLine="490"/>
        <w:textAlignment w:val="baseline"/>
        <w:rPr>
          <w:rFonts w:ascii="仿宋_GB2312" w:hAnsi="楷体_GB2312" w:eastAsia="仿宋_GB2312" w:cs="楷体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（一）工学结合，学思践悟，助推党建工作走实走深</w:t>
      </w:r>
    </w:p>
    <w:p w14:paraId="1C529B32">
      <w:pPr>
        <w:widowControl/>
        <w:shd w:val="clear" w:color="auto" w:fill="FFFFFF"/>
        <w:spacing w:line="560" w:lineRule="exact"/>
        <w:ind w:firstLine="490"/>
        <w:textAlignment w:val="baseline"/>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“打铁还需自身硬”。一年以来，局始终把党建工作摆在突出位置，常抓不懈、紧抓不放。</w:t>
      </w:r>
    </w:p>
    <w:p w14:paraId="2540CE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一是抓好党史学习教育工作。</w:t>
      </w:r>
      <w:r>
        <w:rPr>
          <w:rFonts w:ascii="仿宋_GB2312" w:hAnsi="仿宋_GB2312" w:eastAsia="仿宋_GB2312" w:cs="仿宋_GB2312"/>
          <w:sz w:val="32"/>
          <w:szCs w:val="32"/>
        </w:rPr>
        <w:t>成立了党史学习教育领导小组，统筹</w:t>
      </w:r>
      <w:r>
        <w:rPr>
          <w:rFonts w:hint="eastAsia" w:ascii="仿宋_GB2312" w:hAnsi="仿宋_GB2312" w:eastAsia="仿宋_GB2312" w:cs="仿宋_GB2312"/>
          <w:sz w:val="32"/>
          <w:szCs w:val="32"/>
        </w:rPr>
        <w:t>系统</w:t>
      </w:r>
      <w:r>
        <w:rPr>
          <w:rFonts w:ascii="仿宋_GB2312" w:hAnsi="仿宋_GB2312" w:eastAsia="仿宋_GB2312" w:cs="仿宋_GB2312"/>
          <w:sz w:val="32"/>
          <w:szCs w:val="32"/>
        </w:rPr>
        <w:t>各党支部和全体党员学习研讨习近平总书记在党史教育动员大会上的重要讲话精神，制定《中共峨眉山市交通运输局党组党史学习教育实施方案》和《办好交通民生实事工作方案》，各级党组织书记为党员上党课13次，组织党员前往峨眉山市名人馆开展党史</w:t>
      </w:r>
      <w:r>
        <w:rPr>
          <w:rFonts w:hint="eastAsia" w:ascii="仿宋_GB2312" w:hAnsi="仿宋_GB2312" w:eastAsia="仿宋_GB2312" w:cs="仿宋_GB2312"/>
          <w:sz w:val="32"/>
          <w:szCs w:val="32"/>
          <w:lang w:val="en-US" w:eastAsia="zh-CN"/>
        </w:rPr>
        <w:t>学习</w:t>
      </w:r>
      <w:r>
        <w:rPr>
          <w:rFonts w:ascii="仿宋_GB2312" w:hAnsi="仿宋_GB2312" w:eastAsia="仿宋_GB2312" w:cs="仿宋_GB2312"/>
          <w:sz w:val="32"/>
          <w:szCs w:val="32"/>
        </w:rPr>
        <w:t>教育，感受先辈精神，汲取红色力量，组织系统党员前往峨眉山市烈士陵园祭奠英烈，重温了入党誓词，组织观看了《黄大年》《十八洞村》等一批红色电影，丰富了学习形式，加强理论武装。深入推进办好交通民生实事工作，指导党员扎实开展“我为群众办实事”活动。</w:t>
      </w:r>
    </w:p>
    <w:p w14:paraId="22C83B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二是抓好系统支部全面建设。</w:t>
      </w:r>
      <w:r>
        <w:rPr>
          <w:rFonts w:ascii="仿宋_GB2312" w:hAnsi="仿宋_GB2312" w:eastAsia="仿宋_GB2312" w:cs="仿宋_GB2312"/>
          <w:sz w:val="32"/>
          <w:szCs w:val="32"/>
        </w:rPr>
        <w:t>按照组织程序和原则，组织并指导系统党支部完成换届工作。规范落实“三会一课”、主题党日、组织生活会、民主评议、谈心谈话等基本组织制度，切实加强党支部凝聚力、战斗力。从严抓好党员发展，按要求、按指标完成年度党员发展计划，发展预备党员3人，预备党员转正2人；按不低于25%的比例做好了党组织书记和党员轮训；完成了“四川省智慧党建云平台”接入工作</w:t>
      </w:r>
      <w:r>
        <w:rPr>
          <w:rFonts w:hint="eastAsia" w:ascii="仿宋_GB2312" w:hAnsi="仿宋_GB2312" w:eastAsia="仿宋_GB2312" w:cs="仿宋_GB2312"/>
          <w:sz w:val="32"/>
          <w:szCs w:val="32"/>
        </w:rPr>
        <w:t>；下属</w:t>
      </w:r>
      <w:r>
        <w:rPr>
          <w:rFonts w:ascii="仿宋_GB2312" w:hAnsi="仿宋_GB2312" w:eastAsia="仿宋_GB2312" w:cs="仿宋_GB2312"/>
          <w:sz w:val="32"/>
          <w:szCs w:val="32"/>
        </w:rPr>
        <w:t>两新党组织依托“红·领·带”行动，为民办实事、办好事，获得了群众好评。</w:t>
      </w:r>
    </w:p>
    <w:p w14:paraId="7AF5C31F">
      <w:pPr>
        <w:widowControl/>
        <w:shd w:val="clear" w:color="auto" w:fill="FFFFFF"/>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三是抓好意识形态领域斗争。</w:t>
      </w:r>
      <w:r>
        <w:rPr>
          <w:rFonts w:hint="eastAsia" w:ascii="仿宋_GB2312" w:hAnsi="仿宋_GB2312" w:eastAsia="仿宋_GB2312" w:cs="仿宋_GB2312"/>
          <w:sz w:val="32"/>
          <w:szCs w:val="32"/>
        </w:rPr>
        <w:t>扎实抓好“六中”全会精神的学习，通过不断丰富的学习载体，拓展宣传渠道，提高我局干部职工对中国特色社会主义的理论认同、政治认同和情感认同，增强对中国特色社会主义的道路自信、理论自信、制度自信、文化自信。通过每季度意识形态工作专题研判会，局党组成员对系统意识形态工作进行分析研判，找准薄弱点、定好方法措施。系统上下坚决抵制社会上的歪风邪气，坚决抵制各类错误思想的侵蚀。迄今为止，本单位无公开发表同中央精神相违背的言论以及妄议中央大政方针、散布政治谣言等倾向、苗头性的现象。</w:t>
      </w:r>
    </w:p>
    <w:p w14:paraId="09126716">
      <w:pPr>
        <w:spacing w:line="560" w:lineRule="exact"/>
        <w:ind w:firstLine="640" w:firstLineChars="200"/>
        <w:rPr>
          <w:rFonts w:ascii="仿宋_GB2312" w:hAnsi="Calibri" w:eastAsia="仿宋_GB2312"/>
          <w:sz w:val="32"/>
          <w:szCs w:val="32"/>
        </w:rPr>
      </w:pPr>
      <w:r>
        <w:rPr>
          <w:rFonts w:hint="eastAsia" w:ascii="仿宋_GB2312" w:hAnsi="仿宋_GB2312" w:eastAsia="仿宋_GB2312" w:cs="仿宋_GB2312"/>
          <w:bCs/>
          <w:sz w:val="32"/>
          <w:szCs w:val="32"/>
        </w:rPr>
        <w:t>四是抓好优化营商环境工作。</w:t>
      </w:r>
      <w:r>
        <w:rPr>
          <w:rFonts w:hint="eastAsia" w:ascii="仿宋_GB2312" w:hAnsi="Calibri" w:eastAsia="仿宋_GB2312"/>
          <w:sz w:val="32"/>
          <w:szCs w:val="32"/>
        </w:rPr>
        <w:t>配合行政审批局高效、精准地做好了特殊办理许可事项审核工作。优化办事流程，缩减办事时间。根据市政府要求，优化“一体化平台”办事流程，办件时限缩短比例78.49%、一次办事项数占比100%、网上办事项数占比100%、全</w:t>
      </w:r>
      <w:r>
        <w:rPr>
          <w:rFonts w:hint="eastAsia" w:ascii="仿宋_GB2312" w:eastAsia="仿宋_GB2312"/>
          <w:sz w:val="32"/>
          <w:szCs w:val="32"/>
        </w:rPr>
        <w:t>程</w:t>
      </w:r>
      <w:r>
        <w:rPr>
          <w:rFonts w:hint="eastAsia" w:ascii="仿宋_GB2312" w:hAnsi="Calibri" w:eastAsia="仿宋_GB2312"/>
          <w:sz w:val="32"/>
          <w:szCs w:val="32"/>
        </w:rPr>
        <w:t>网办率100%。配合完成好道路运输经营许可证等9类电子证照的启用，加强电子证照的监管，进一步细化道路运输电子证照的应用场景，采取多种形式加大电子证照应用的宣传，普及电子证照知识，鼓励企业申请电子证照。根据上级安排，积极推进川渝两地公交“一卡通”工作。</w:t>
      </w:r>
    </w:p>
    <w:p w14:paraId="4550A870">
      <w:pPr>
        <w:widowControl/>
        <w:shd w:val="clear" w:color="auto" w:fill="FFFFFF"/>
        <w:spacing w:line="560" w:lineRule="exact"/>
        <w:ind w:firstLine="490"/>
        <w:textAlignment w:val="baseline"/>
        <w:rPr>
          <w:rFonts w:ascii="仿宋_GB2312" w:hAnsi="楷体_GB2312" w:eastAsia="仿宋_GB2312" w:cs="楷体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（二）锚定目标，大干快上，纵深推进重点项目建设</w:t>
      </w:r>
    </w:p>
    <w:p w14:paraId="65701FF0">
      <w:pPr>
        <w:widowControl/>
        <w:shd w:val="clear" w:color="auto" w:fill="FFFFFF"/>
        <w:spacing w:line="560" w:lineRule="exact"/>
        <w:ind w:firstLine="490"/>
        <w:textAlignment w:val="baseline"/>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kern w:val="0"/>
          <w:sz w:val="32"/>
          <w:szCs w:val="32"/>
        </w:rPr>
        <w:t>（一）铁路建设项目。</w:t>
      </w:r>
      <w:r>
        <w:rPr>
          <w:rFonts w:hint="eastAsia" w:ascii="仿宋_GB2312" w:hAnsi="仿宋_GB2312" w:eastAsia="仿宋_GB2312" w:cs="仿宋_GB2312"/>
          <w:bCs/>
          <w:color w:val="000000"/>
          <w:kern w:val="0"/>
          <w:sz w:val="32"/>
          <w:szCs w:val="32"/>
          <w:shd w:val="clear" w:color="auto" w:fill="FFFFFF"/>
        </w:rPr>
        <w:t>积极协调成昆复线成峨段涉及地方道路、水渠、清概结算等收尾工作，召集相关单位推进遗留问题解决，正在积极协调成峨段铁路确权等工作；成昆铁路峨米段</w:t>
      </w:r>
      <w:r>
        <w:rPr>
          <w:rFonts w:ascii="仿宋_GB2312" w:hAnsi="仿宋_GB2312" w:eastAsia="仿宋_GB2312" w:cs="仿宋_GB2312"/>
          <w:bCs/>
          <w:color w:val="000000"/>
          <w:kern w:val="0"/>
          <w:sz w:val="32"/>
          <w:szCs w:val="32"/>
          <w:shd w:val="clear" w:color="auto" w:fill="FFFFFF"/>
        </w:rPr>
        <w:t>集体土地已征633.4亩，国有土地征拆122亩，农房拆迁192栋已全部完成，路基、桥墩、涵洞已完成80%，杆线迁改完成70%，两家厂房（鸿源新型材料厂、永华机械厂）已完成</w:t>
      </w:r>
      <w:r>
        <w:rPr>
          <w:rFonts w:ascii="微软雅黑" w:hAnsi="微软雅黑" w:eastAsia="微软雅黑" w:cs="微软雅黑"/>
          <w:bCs/>
          <w:color w:val="000000"/>
          <w:kern w:val="0"/>
          <w:sz w:val="32"/>
          <w:szCs w:val="32"/>
          <w:shd w:val="clear" w:color="auto" w:fill="FFFFFF"/>
        </w:rPr>
        <w:t>棬</w:t>
      </w:r>
      <w:r>
        <w:rPr>
          <w:rFonts w:ascii="仿宋_GB2312" w:hAnsi="仿宋_GB2312" w:eastAsia="仿宋_GB2312" w:cs="仿宋_GB2312"/>
          <w:bCs/>
          <w:color w:val="000000"/>
          <w:kern w:val="0"/>
          <w:sz w:val="32"/>
          <w:szCs w:val="32"/>
          <w:shd w:val="clear" w:color="auto" w:fill="FFFFFF"/>
        </w:rPr>
        <w:t>渔村鸿源新型材料厂拆迁及农房的拆迁，永华机械厂正在实施评估拆迁工作。按照工程施工组织安排，正在进行燕岗车站的站改工程和制梁铺架工程施工</w:t>
      </w:r>
      <w:r>
        <w:rPr>
          <w:rFonts w:hint="eastAsia" w:ascii="仿宋_GB2312" w:hAnsi="仿宋_GB2312" w:eastAsia="仿宋_GB2312" w:cs="仿宋_GB2312"/>
          <w:bCs/>
          <w:color w:val="000000"/>
          <w:kern w:val="0"/>
          <w:sz w:val="32"/>
          <w:szCs w:val="32"/>
          <w:shd w:val="clear" w:color="auto" w:fill="FFFFFF"/>
        </w:rPr>
        <w:t>；连乐铁路</w:t>
      </w:r>
      <w:r>
        <w:rPr>
          <w:rFonts w:hint="eastAsia" w:ascii="仿宋_GB2312" w:hAnsi="仿宋_GB2312" w:eastAsia="仿宋_GB2312" w:cs="仿宋_GB2312"/>
          <w:kern w:val="0"/>
          <w:sz w:val="32"/>
          <w:szCs w:val="32"/>
        </w:rPr>
        <w:t>已征土地379.5亩，征地红线范围内拆迁房屋40栋已全部拆迁，转非入保539人，已完成100%。杆管线产权单位8家均已在实施迁改，部分弱电已完成迁改，已完成嘉峨二回电力杆线搬迁，铁路路基、桥墩、桥梁已完成80%。正在协调成昆铁路专用电力线迁改和补征地问题。</w:t>
      </w:r>
    </w:p>
    <w:p w14:paraId="38902674">
      <w:pPr>
        <w:widowControl/>
        <w:shd w:val="clear" w:color="auto" w:fill="FFFFFF"/>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（二）高速公路建设项目。</w:t>
      </w:r>
      <w:r>
        <w:rPr>
          <w:rFonts w:hint="eastAsia" w:ascii="仿宋_GB2312" w:hAnsi="仿宋_GB2312" w:eastAsia="仿宋_GB2312" w:cs="仿宋_GB2312"/>
          <w:bCs/>
          <w:color w:val="000000"/>
          <w:kern w:val="0"/>
          <w:sz w:val="32"/>
          <w:szCs w:val="32"/>
          <w:shd w:val="clear" w:color="auto" w:fill="FFFFFF"/>
        </w:rPr>
        <w:t>乐西高速</w:t>
      </w:r>
      <w:r>
        <w:rPr>
          <w:rFonts w:hint="eastAsia" w:ascii="仿宋_GB2312" w:hAnsi="仿宋_GB2312" w:eastAsia="仿宋_GB2312" w:cs="仿宋_GB2312"/>
          <w:kern w:val="0"/>
          <w:sz w:val="32"/>
          <w:szCs w:val="32"/>
        </w:rPr>
        <w:t>截</w:t>
      </w:r>
      <w:r>
        <w:rPr>
          <w:rFonts w:hint="eastAsia" w:ascii="仿宋_GB2312" w:hAnsi="仿宋_GB2312" w:eastAsia="仿宋_GB2312" w:cs="仿宋_GB2312"/>
          <w:kern w:val="0"/>
          <w:sz w:val="32"/>
          <w:szCs w:val="32"/>
          <w:lang w:val="en-US" w:eastAsia="zh-CN"/>
        </w:rPr>
        <w:t>至</w:t>
      </w:r>
      <w:r>
        <w:rPr>
          <w:rFonts w:hint="eastAsia" w:ascii="仿宋_GB2312" w:hAnsi="仿宋_GB2312" w:eastAsia="仿宋_GB2312" w:cs="仿宋_GB2312"/>
          <w:kern w:val="0"/>
          <w:sz w:val="32"/>
          <w:szCs w:val="32"/>
        </w:rPr>
        <w:t>目前已完成全线征地拆迁工作，交付全部红线用地（含乐雅高速已征地协调），拆迁房屋已完成（14栋）。完成三家通讯公司线路和电力线路迁改。项目已全面进场，正在进行桥梁桩基和路基施工；成乐扩容已全面完成537亩土地征收和88户（栋）房屋拆迁工作，已完成国家电网、电信、移动、联通、广电线路迁改，峨眉自来水、峨眉天然气公司完成部分迁改。路基工程完成总工程量的70%，开始桥梁梁板架设，已完成桥梁工程的30%；积极协调蒲夹高速的规划修建工作；峨汉高速已于今年7月建成通车，正在进行龙池连接线、龙池服务区等工程的建设。</w:t>
      </w:r>
    </w:p>
    <w:p w14:paraId="13607011">
      <w:pPr>
        <w:widowControl/>
        <w:shd w:val="clear" w:color="auto" w:fill="FFFFFF"/>
        <w:spacing w:line="560" w:lineRule="exact"/>
        <w:ind w:firstLine="490"/>
        <w:textAlignment w:val="baseline"/>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（三）国省干线建设。</w:t>
      </w:r>
      <w:r>
        <w:rPr>
          <w:rFonts w:hint="eastAsia" w:ascii="仿宋_GB2312" w:hAnsi="仿宋_GB2312" w:eastAsia="仿宋_GB2312" w:cs="仿宋_GB2312"/>
          <w:bCs/>
          <w:color w:val="000000"/>
          <w:kern w:val="0"/>
          <w:sz w:val="32"/>
          <w:szCs w:val="32"/>
          <w:shd w:val="clear" w:color="auto" w:fill="FFFFFF"/>
        </w:rPr>
        <w:t>G245线峨眉山市高桥镇观音村至龙池镇杨柳村大修工程及G245线高桥至龙池回头弯道整治开工建设，年底完成主体工程；G245线射箭坪段三处回头弯道加宽和K721+900挡土墙裂缝整治工程已完工待验收；川桃路K1+400段公路内侧滑坡地质灾害治理工程和峨眉山市双木路滑坡治理工程已完工验收合格；省道308线峨眉山市绥山镇太泉村至绥山镇大楠村道路工程主体工程已完工。</w:t>
      </w:r>
    </w:p>
    <w:p w14:paraId="3B89967A">
      <w:pPr>
        <w:widowControl/>
        <w:shd w:val="clear" w:color="auto" w:fill="FFFFFF"/>
        <w:spacing w:line="560" w:lineRule="exact"/>
        <w:ind w:firstLine="490"/>
        <w:textAlignment w:val="baseline"/>
        <w:rPr>
          <w:rFonts w:ascii="仿宋_GB2312" w:hAnsi="黑体" w:eastAsia="仿宋_GB2312" w:cs="黑体"/>
          <w:bCs/>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（四）其他重点项目。</w:t>
      </w:r>
      <w:r>
        <w:rPr>
          <w:rFonts w:hint="eastAsia" w:ascii="仿宋_GB2312" w:hAnsi="宋体" w:eastAsia="仿宋_GB2312" w:cs="宋体"/>
          <w:kern w:val="0"/>
          <w:sz w:val="32"/>
          <w:szCs w:val="32"/>
        </w:rPr>
        <w:t>峨眉山市龙池镇苦</w:t>
      </w:r>
      <w:r>
        <w:rPr>
          <w:rFonts w:hint="eastAsia" w:ascii="仿宋_GB2312" w:hAnsi="仿宋_GB2312" w:eastAsia="仿宋_GB2312" w:cs="仿宋_GB2312"/>
          <w:bCs/>
          <w:color w:val="000000"/>
          <w:kern w:val="0"/>
          <w:sz w:val="32"/>
          <w:szCs w:val="32"/>
          <w:shd w:val="clear" w:color="auto" w:fill="FFFFFF"/>
        </w:rPr>
        <w:t>蒿坪片区旅游扶贫道路工程沿线地质灾害治理工程已完工且验收合格；九沙路卫星桥、小悦路胜利桥、小悦路团结桥改建工程已完工待验收；峨眉山第二批国家农村产业融合发展示范园（二期）——高桥至斜石板茶叶乡村旅游道路工程已完工；符汶河2#大桥、黑桥、临江大桥等八座桥梁病桥整治工程，续建项目预计年底完工。</w:t>
      </w:r>
    </w:p>
    <w:p w14:paraId="1A2CD131">
      <w:pPr>
        <w:widowControl/>
        <w:shd w:val="clear" w:color="auto" w:fill="FFFFFF"/>
        <w:spacing w:line="560" w:lineRule="exact"/>
        <w:ind w:firstLine="490"/>
        <w:textAlignment w:val="baseline"/>
        <w:rPr>
          <w:rFonts w:ascii="仿宋_GB2312" w:hAnsi="楷体_GB2312" w:eastAsia="仿宋_GB2312" w:cs="楷体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（三）科学谋划，精心组织，全面建好管好农村公路</w:t>
      </w:r>
    </w:p>
    <w:p w14:paraId="0D708CC5">
      <w:pPr>
        <w:widowControl/>
        <w:shd w:val="clear" w:color="auto" w:fill="FFFFFF"/>
        <w:spacing w:line="560" w:lineRule="exact"/>
        <w:ind w:firstLine="640" w:firstLineChars="200"/>
        <w:textAlignment w:val="baseline"/>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为切实推进乡村振兴，做深做实两项改革“后半篇”文章，抓紧解决了一批重点难点问题。</w:t>
      </w:r>
    </w:p>
    <w:p w14:paraId="5D6BA5E7">
      <w:pPr>
        <w:widowControl/>
        <w:shd w:val="clear" w:color="auto" w:fill="FFFFFF"/>
        <w:spacing w:line="56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bCs/>
          <w:kern w:val="0"/>
          <w:sz w:val="32"/>
          <w:szCs w:val="32"/>
        </w:rPr>
        <w:t>一是建设撤并建制村畅通工程。</w:t>
      </w:r>
      <w:r>
        <w:rPr>
          <w:rFonts w:hint="eastAsia" w:ascii="仿宋_GB2312" w:hAnsi="仿宋_GB2312" w:eastAsia="仿宋_GB2312" w:cs="仿宋_GB2312"/>
          <w:color w:val="000000"/>
          <w:kern w:val="0"/>
          <w:sz w:val="32"/>
          <w:szCs w:val="32"/>
        </w:rPr>
        <w:t>今年省交通运输厅下达我市“撤并建制村畅通工程”任务3条12.7公里，其中新建9.7公里，改建3公里。目前，胜利镇熊岗村至光荣村撤并建制村畅通工程和九里镇新沟村至顺江撤并建制村畅通工程，已完工；九里镇林场村至兴阳村撤并建制村畅通工程（1.1公里）正有序推进，预计12月底前完工。撤并建制村项目建成后将大大改善撤并村村民出行和办事需求。</w:t>
      </w:r>
    </w:p>
    <w:p w14:paraId="5EFB37A4">
      <w:pPr>
        <w:widowControl/>
        <w:shd w:val="clear" w:color="auto" w:fill="FFFFFF"/>
        <w:spacing w:line="56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bCs/>
          <w:kern w:val="0"/>
          <w:sz w:val="32"/>
          <w:szCs w:val="32"/>
        </w:rPr>
        <w:t>二是完善村组道路联网畅通工程。</w:t>
      </w:r>
      <w:r>
        <w:rPr>
          <w:rFonts w:hint="eastAsia" w:ascii="仿宋_GB2312" w:hAnsi="仿宋_GB2312" w:eastAsia="仿宋_GB2312" w:cs="仿宋_GB2312"/>
          <w:color w:val="000000"/>
          <w:kern w:val="0"/>
          <w:sz w:val="32"/>
          <w:szCs w:val="32"/>
        </w:rPr>
        <w:t>推进农村地区主要旅游景区、资源产地、农业示范区、产业园区等主要经济节点的对外连接公路建设，助力生态旅游、特色加工、能矿开发、休闲农业等产业落地。今年整合各级资金，建设美丽乡村路39.77公里（其中建成青杨路13.37公里，正在全力推进符溪—桂花桥—九里美丽乡村旅游产业道路26.4公里）、新改建村组道路50余公里，不断提升和改造农村公路路网，为沿线村民出行和产业发展提供强有力保障。</w:t>
      </w:r>
    </w:p>
    <w:p w14:paraId="4C46D892">
      <w:pPr>
        <w:widowControl/>
        <w:shd w:val="clear" w:color="auto" w:fill="FFFFFF"/>
        <w:spacing w:line="56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三是会同乡村振兴局加快联网道路建设工程。</w:t>
      </w:r>
      <w:r>
        <w:rPr>
          <w:rFonts w:hint="eastAsia" w:ascii="仿宋_GB2312" w:hAnsi="仿宋_GB2312" w:eastAsia="仿宋_GB2312" w:cs="仿宋_GB2312"/>
          <w:color w:val="000000"/>
          <w:kern w:val="0"/>
          <w:sz w:val="32"/>
          <w:szCs w:val="32"/>
        </w:rPr>
        <w:t>按照产业优先、服务群众的思路，全力做好主要道路间联网畅通和提升改造，尤其针对南部山区旅游规划和蔬菜基地、乡村旅游发展要求，合理布局、科学规划。重点为龙池镇、大为镇、龙门乡、高桥镇完成新改建村组道路50余公里，不断提升和改造农村公路路网，为沿线村民出行和产业发展提供强有力保障。</w:t>
      </w:r>
    </w:p>
    <w:p w14:paraId="4478A32F">
      <w:pPr>
        <w:widowControl/>
        <w:shd w:val="clear" w:color="auto" w:fill="FFFFFF"/>
        <w:spacing w:line="560" w:lineRule="exact"/>
        <w:ind w:firstLine="490"/>
        <w:textAlignment w:val="baseline"/>
        <w:rPr>
          <w:rFonts w:ascii="仿宋_GB2312" w:hAnsi="楷体_GB2312" w:eastAsia="仿宋_GB2312" w:cs="楷体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（四）着眼路况，管养并举，提升公路综合服务水平</w:t>
      </w:r>
    </w:p>
    <w:p w14:paraId="621F1D8C">
      <w:pPr>
        <w:widowControl/>
        <w:shd w:val="clear" w:color="auto" w:fill="FFFFFF"/>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在加大公路建设力度的同时，坚持建管并重，区域内公路管养水平不断提升。</w:t>
      </w:r>
    </w:p>
    <w:p w14:paraId="7EE52BDE">
      <w:pPr>
        <w:widowControl/>
        <w:shd w:val="clear" w:color="auto" w:fill="FFFFFF"/>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一是积极推动管养模式转变。继续</w:t>
      </w:r>
      <w:r>
        <w:rPr>
          <w:rFonts w:hint="eastAsia" w:ascii="仿宋_GB2312" w:hAnsi="仿宋_GB2312" w:eastAsia="仿宋_GB2312" w:cs="仿宋_GB2312"/>
          <w:kern w:val="0"/>
          <w:sz w:val="32"/>
          <w:szCs w:val="32"/>
        </w:rPr>
        <w:t>在养护站推行养护责任制，实行养护站长聘任制，与各养护站中标养护服务公司签订养护目标责任书和养护服务合同，采取定里程、定人员、定任务、定经费的管理模式；持续推进路长制工作，落实路长信息公开化和工作常态化，指导乡镇抓好乡村道路养护工作；推动深化农村公路管理养护体制改革，代市政府拟定并印发《峨眉山市深化农村公路管理养护体制改革实施方案》；对新建成通车的川桃路与农村公路双木路、双龙路养护打捆公开招标，对梅燕路养护进行政府采购，实行政府购买服务，形成竞争机制；投资230万元，购置2台扫地车和4台垃圾清运车，提升机械化养护水平。</w:t>
      </w:r>
    </w:p>
    <w:p w14:paraId="5A494874">
      <w:pPr>
        <w:widowControl/>
        <w:shd w:val="clear" w:color="auto" w:fill="FFFFFF"/>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二是扎实开展道路扬尘防治。</w:t>
      </w:r>
      <w:r>
        <w:rPr>
          <w:rFonts w:hint="eastAsia" w:ascii="仿宋_GB2312" w:hAnsi="仿宋_GB2312" w:eastAsia="仿宋_GB2312" w:cs="仿宋_GB2312"/>
          <w:kern w:val="0"/>
          <w:sz w:val="32"/>
          <w:szCs w:val="32"/>
        </w:rPr>
        <w:t>强化在建项目的监管工作，督促施工单位严格按照环评方案落实环保设施和相关工作；对重点路段，安排洒水车辆严格执行每日3次洒水降尘频次，及时清除道路积尘及道路垃圾，有效减少二次扬尘污染；实行部门联动，强化与执法部门的信息共享，及时通报路况信息，协调市交警大队、市综合行政执法局等执法部门及时查处货运车辆未覆盖篷布、覆盖篷布不到位、不规范以及“抛、洒、滴、漏”等道路污染行为，消除道路环境问题。自今年3月开展扬尘治理工作以来，累计投入路面保洁人员4万余人次、清运车共计800余台次，清运垃圾1000余吨，拨打举报电话举报公路污染行为42次。</w:t>
      </w:r>
    </w:p>
    <w:p w14:paraId="7F113FF8">
      <w:pPr>
        <w:widowControl/>
        <w:shd w:val="clear" w:color="auto" w:fill="FFFFFF"/>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三是有序推进公路“八清”行动。</w:t>
      </w:r>
      <w:r>
        <w:rPr>
          <w:rFonts w:hint="eastAsia" w:ascii="仿宋_GB2312" w:hAnsi="仿宋_GB2312" w:eastAsia="仿宋_GB2312" w:cs="仿宋_GB2312"/>
          <w:kern w:val="0"/>
          <w:sz w:val="32"/>
          <w:szCs w:val="32"/>
        </w:rPr>
        <w:t>开展专项行动以来，投入人工16820人次、投入机械车辆1447台次，投入经费约216.74万元，清扫路面220公里。其中修补路面坑凼6300平方米，路面灌缝51000米；清理边沟水沟8.2万米；清理桥涵45座，清理伸缩缝1650米、清理泄水孔80个、清洗桥梁防撞墙1200平方米；清理挡墙500米，清理边坡23400米，清理护栏386公里；清理标识500个，其中维修、更换标识牌30个；清理服务设施、站所6处；清理公路红线内垃圾、建渣约260吨。累计清理塌方1500立方；清理非公路标志标牌80余个，流动600余个；投入20万元对30余套缺损、锈蚀的公路标志标牌予以更新恢复。</w:t>
      </w:r>
    </w:p>
    <w:p w14:paraId="120C8C7F">
      <w:pPr>
        <w:widowControl/>
        <w:shd w:val="clear" w:color="auto" w:fill="FFFFFF"/>
        <w:spacing w:line="560" w:lineRule="exact"/>
        <w:ind w:firstLine="490"/>
        <w:textAlignment w:val="baseline"/>
        <w:rPr>
          <w:rFonts w:ascii="仿宋_GB2312" w:hAnsi="楷体_GB2312" w:eastAsia="仿宋_GB2312" w:cs="楷体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（五）主动作为，服务民生，提升城乡客运服务水平</w:t>
      </w:r>
    </w:p>
    <w:p w14:paraId="3800ABC4">
      <w:pPr>
        <w:widowControl/>
        <w:shd w:val="clear" w:color="auto" w:fill="FFFFFF"/>
        <w:spacing w:line="560" w:lineRule="exact"/>
        <w:ind w:firstLine="640" w:firstLineChars="200"/>
        <w:textAlignment w:val="baseline"/>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kern w:val="0"/>
          <w:sz w:val="32"/>
          <w:szCs w:val="32"/>
        </w:rPr>
        <w:t>一是加强行业监管职责。</w:t>
      </w:r>
      <w:r>
        <w:rPr>
          <w:rFonts w:hint="eastAsia" w:ascii="仿宋_GB2312" w:hAnsi="Calibri" w:eastAsia="仿宋_GB2312"/>
          <w:kern w:val="0"/>
          <w:sz w:val="32"/>
          <w:szCs w:val="32"/>
        </w:rPr>
        <w:t>系统各单位克服自身困难加强行业监管。</w:t>
      </w:r>
      <w:r>
        <w:rPr>
          <w:rFonts w:hint="eastAsia" w:ascii="仿宋_GB2312" w:hAnsi="宋体" w:eastAsia="仿宋_GB2312"/>
          <w:kern w:val="0"/>
          <w:sz w:val="32"/>
          <w:szCs w:val="32"/>
        </w:rPr>
        <w:t>全年共</w:t>
      </w:r>
      <w:r>
        <w:rPr>
          <w:rFonts w:hint="eastAsia" w:ascii="仿宋_GB2312" w:hAnsi="Calibri" w:eastAsia="仿宋_GB2312"/>
          <w:kern w:val="0"/>
          <w:sz w:val="32"/>
          <w:szCs w:val="32"/>
        </w:rPr>
        <w:t>检查客运企业和车站120家次，危货企业10家次，驾校48家次，维修企业320家次，物流企业33家次，出租车17050台次，检查各类船舶67次，共抄告各类违法线索至综合行政执法局93起</w:t>
      </w:r>
      <w:r>
        <w:rPr>
          <w:rFonts w:hint="eastAsia" w:ascii="仿宋_GB2312" w:hAnsi="宋体" w:eastAsia="仿宋_GB2312"/>
          <w:kern w:val="0"/>
          <w:sz w:val="32"/>
          <w:szCs w:val="32"/>
        </w:rPr>
        <w:t>；严把道路运输经营许可证到期年审关，审核经营许可到期货运企业12家，</w:t>
      </w:r>
      <w:r>
        <w:rPr>
          <w:rFonts w:hint="eastAsia" w:ascii="仿宋_GB2312" w:hAnsi="仿宋_GB2312" w:eastAsia="仿宋_GB2312" w:cs="仿宋_GB2312"/>
          <w:bCs/>
          <w:color w:val="000000"/>
          <w:kern w:val="0"/>
          <w:sz w:val="32"/>
          <w:szCs w:val="32"/>
          <w:shd w:val="clear" w:color="auto" w:fill="FFFFFF"/>
        </w:rPr>
        <w:t>完成对运营满6年的出租车更新工作；严格落实“一超四罚”制度，收到交警部门、行政执法部门违法超载超限抄告函39件，对涉及的30家违规超载超限货运企业开展了警示约谈；做好投诉处理和回复工作，共受理出租汽车投诉137起，处理率为100%，并将处理情况通报各公司，维护了消费者和经营者合法权益。</w:t>
      </w:r>
    </w:p>
    <w:p w14:paraId="3F9D8A46">
      <w:pPr>
        <w:widowControl/>
        <w:shd w:val="clear" w:color="auto" w:fill="FFFFFF"/>
        <w:spacing w:line="560" w:lineRule="exact"/>
        <w:ind w:firstLine="640" w:firstLineChars="200"/>
        <w:textAlignment w:val="baseline"/>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kern w:val="0"/>
          <w:sz w:val="32"/>
          <w:szCs w:val="32"/>
        </w:rPr>
        <w:t>二是持续开展“金通”工程。</w:t>
      </w:r>
      <w:r>
        <w:rPr>
          <w:rFonts w:hint="eastAsia" w:ascii="仿宋_GB2312" w:hAnsi="仿宋_GB2312" w:eastAsia="仿宋_GB2312" w:cs="仿宋_GB2312"/>
          <w:bCs/>
          <w:color w:val="000000"/>
          <w:kern w:val="0"/>
          <w:sz w:val="32"/>
          <w:szCs w:val="32"/>
          <w:shd w:val="clear" w:color="auto" w:fill="FFFFFF"/>
        </w:rPr>
        <w:t>统一全市57辆通村小巴车辆外观，统一通村小巴和农村客运班线车辆客运标识；统一乡村客运驾驶员工作服及工牌，向峨眉山市通村客运有限公司和峨眉山市第二汽车运输有限公司发放统一的工作服56套，并按编码规则制作发放了工牌198个，完成统一编码管理，56台通村小巴和245个招呼站台信息上报工作。</w:t>
      </w:r>
    </w:p>
    <w:p w14:paraId="1174AA59">
      <w:pPr>
        <w:widowControl/>
        <w:shd w:val="clear" w:color="auto" w:fill="FFFFFF"/>
        <w:spacing w:line="560" w:lineRule="exact"/>
        <w:ind w:firstLine="640" w:firstLineChars="200"/>
        <w:textAlignment w:val="baseline"/>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kern w:val="0"/>
          <w:sz w:val="32"/>
          <w:szCs w:val="32"/>
        </w:rPr>
        <w:t>三是抓好疫情防控工作。</w:t>
      </w:r>
      <w:r>
        <w:rPr>
          <w:rFonts w:hint="eastAsia" w:ascii="仿宋_GB2312" w:hAnsi="仿宋_GB2312" w:eastAsia="仿宋_GB2312" w:cs="仿宋_GB2312"/>
          <w:bCs/>
          <w:color w:val="000000"/>
          <w:kern w:val="0"/>
          <w:sz w:val="32"/>
          <w:szCs w:val="32"/>
          <w:shd w:val="clear" w:color="auto" w:fill="FFFFFF"/>
        </w:rPr>
        <w:t>多次组织召开疫情防控工作会，安排和部署疫情防控工作，压实四方责任（属地、行业、单位、个人），要求各企业严格执行疫情防控相关要求，坚决严格落实“四个100%”（体温检测、通风消毒、口罩防护、扫码验码）措施，充分利用车载LED滚动播放疫情防控宣传标语，对客运车辆张贴的 “乘车须戴口罩”温馨提示进行清查，确保所有客运车辆张贴规范；加强重点地区来峨人员的排查、登记及上报工作；充分利用车辆GPS监控系统及时发现并纠正驾驶员未佩戴口罩行为。全年，全市各交通枢纽共检测旅客2696418人，筑牢了进入峨眉的第一道防线。</w:t>
      </w:r>
    </w:p>
    <w:p w14:paraId="225392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四是搞好旅游市场整治。</w:t>
      </w:r>
      <w:r>
        <w:rPr>
          <w:rFonts w:hint="eastAsia" w:ascii="仿宋_GB2312" w:hAnsi="仿宋_GB2312" w:eastAsia="仿宋_GB2312" w:cs="仿宋_GB2312"/>
          <w:sz w:val="32"/>
          <w:szCs w:val="32"/>
        </w:rPr>
        <w:t>联合市综合行政执法局开展了出租车质量提升专项整治活动，共出动综合行政执法人员76人次，城乡客运和高铁服务中心工作人员78人次，出租车公司管理人员104人次，出动执法车辆52台次，路面巡查检查出租车970台次，监控视频巡查出租车1150台次，纠正了轻微违规行为101起，查获未按规定使用计价器22起，擅自拼客5起，发放出租车优质文明服务和乘客文明乘车宣传单1960份。联合整治活动有效净化了车租车行业不文明、不规范乱象，提升了行业服务质量。</w:t>
      </w:r>
    </w:p>
    <w:p w14:paraId="24D5C85D">
      <w:pPr>
        <w:widowControl/>
        <w:shd w:val="clear" w:color="auto" w:fill="FFFFFF"/>
        <w:spacing w:line="560" w:lineRule="exact"/>
        <w:ind w:firstLine="490"/>
        <w:textAlignment w:val="baseline"/>
        <w:rPr>
          <w:rFonts w:ascii="仿宋_GB2312" w:hAnsi="楷体_GB2312" w:eastAsia="仿宋_GB2312" w:cs="楷体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（六）聚焦风险，强化整治，有效筑牢交通安全防线</w:t>
      </w:r>
    </w:p>
    <w:p w14:paraId="4E47594B">
      <w:pPr>
        <w:widowControl/>
        <w:shd w:val="clear" w:color="auto" w:fill="FFFFFF"/>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一是抓好安全生产管理。</w:t>
      </w:r>
      <w:r>
        <w:rPr>
          <w:rFonts w:hint="eastAsia" w:ascii="仿宋_GB2312" w:hAnsi="仿宋_GB2312" w:eastAsia="仿宋_GB2312" w:cs="仿宋_GB2312"/>
          <w:kern w:val="0"/>
          <w:sz w:val="32"/>
          <w:szCs w:val="32"/>
        </w:rPr>
        <w:t>认真落实</w:t>
      </w:r>
      <w:r>
        <w:rPr>
          <w:rFonts w:hint="eastAsia" w:ascii="仿宋_GB2312" w:hAnsi="仿宋_GB2312" w:eastAsia="仿宋_GB2312" w:cs="仿宋_GB2312"/>
          <w:color w:val="000000"/>
          <w:kern w:val="0"/>
          <w:sz w:val="32"/>
          <w:szCs w:val="32"/>
        </w:rPr>
        <w:t>每季度交通运输行业安全生产工作（培训）会，传达学习安全会议精神，分析行业安全形势，查找行业安全生产管理存在的问题，提出相应管理措施，安排和部署下一阶段安全工作。全年共组织召开安全工作会议17次，同时每周利用视频调度会议制度对局属单位和企业进行安全形势分析，增强安全生产意识，确保我市交通运输行业安全管理工作落到实处；督促企业</w:t>
      </w:r>
      <w:r>
        <w:rPr>
          <w:rFonts w:hint="eastAsia" w:ascii="仿宋_GB2312" w:hAnsi="仿宋_GB2312" w:eastAsia="仿宋_GB2312" w:cs="仿宋_GB2312"/>
          <w:kern w:val="0"/>
          <w:sz w:val="32"/>
          <w:szCs w:val="32"/>
        </w:rPr>
        <w:t>认真落实开展从业人员安全教育培训，采取播放警示教育片等方式加强从业人员安全教育培训。全年上报乐山交委安全生产简报60期。</w:t>
      </w:r>
    </w:p>
    <w:p w14:paraId="0694EED5">
      <w:pPr>
        <w:widowControl/>
        <w:shd w:val="clear" w:color="auto" w:fill="FFFFFF"/>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二是搞好防灾减灾教育。</w:t>
      </w:r>
      <w:r>
        <w:rPr>
          <w:rFonts w:hint="eastAsia" w:ascii="仿宋_GB2312" w:hAnsi="仿宋_GB2312" w:eastAsia="仿宋_GB2312" w:cs="仿宋_GB2312"/>
          <w:sz w:val="32"/>
          <w:szCs w:val="32"/>
        </w:rPr>
        <w:t>请乐山消防培训中心对我市交通运输系统各单位进行消防培训2次，有效的提升单位和企业的消防意识和消防应急知识；收集、印发防灾减灾相关资料2500余份，开展防灾减灾教育，组织开展消防安全知识学习会6次，普及防灾减灾知识和避灾自救措施技能，完善防灾减灾应急预案，积极参加全市防灾减灾应急演练活动现场推演会，提高职工综合减灾应急能力。</w:t>
      </w:r>
    </w:p>
    <w:p w14:paraId="5EA7FFA5">
      <w:pPr>
        <w:widowControl/>
        <w:shd w:val="clear" w:color="auto" w:fill="FFFFFF"/>
        <w:spacing w:line="560" w:lineRule="exact"/>
        <w:ind w:firstLine="49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三是深入开展安全检查。</w:t>
      </w:r>
      <w:r>
        <w:rPr>
          <w:rFonts w:hint="eastAsia" w:ascii="仿宋_GB2312" w:hAnsi="仿宋_GB2312" w:eastAsia="仿宋_GB2312" w:cs="仿宋_GB2312"/>
          <w:kern w:val="0"/>
          <w:sz w:val="32"/>
          <w:szCs w:val="32"/>
        </w:rPr>
        <w:t>进一步加大了各运输企业、客运站、驾校维修企业安全检查，检查采取明查和暗访，对存在问题的企业责令立即进行整改，共检查企业204家次，排查隐患132项，并责令存在问题企业采取有效措施进行整改，约谈企业相关负责人37次，对6名驾驶员进行了记分处理；加大对各在建项目执行强制性条文的监督和查处力度，加大对危险性较大工程、临边临崖临水项目、高空作业、临时用电等环节的检查力度，严厉打击违章操作、违规生产的行为，对违反强制性条文、违反建设程序的严格处理。全年共检查项目42次，共发现安全隐患20个，已经完成整改20个。</w:t>
      </w:r>
    </w:p>
    <w:p w14:paraId="189B221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四是加强应急管理工作。</w:t>
      </w:r>
      <w:r>
        <w:rPr>
          <w:rFonts w:hint="eastAsia" w:ascii="仿宋_GB2312" w:hAnsi="仿宋_GB2312" w:eastAsia="仿宋_GB2312" w:cs="仿宋_GB2312"/>
          <w:kern w:val="0"/>
          <w:sz w:val="32"/>
          <w:szCs w:val="32"/>
        </w:rPr>
        <w:t>组织系统各单位开展消防应急演练和汛期应急演练4次，参加了市组织的地质灾害和消防应急演练；准备了</w:t>
      </w:r>
      <w:r>
        <w:rPr>
          <w:rFonts w:hint="eastAsia" w:ascii="仿宋_GB2312" w:hAnsi="仿宋_GB2312" w:eastAsia="仿宋_GB2312" w:cs="仿宋_GB2312"/>
          <w:sz w:val="32"/>
          <w:szCs w:val="32"/>
        </w:rPr>
        <w:t>10辆客车、5辆货车作为应急保障车辆和2家应急保障维修企业随时待命；做好冬季冰雪天气道路安全，在G245线、九沙路设置冰雪观测点4个，融雪盐存储点4个，储备融雪盐12吨，安排应急人员30人，做好冰雪天气道路通行保障。</w:t>
      </w:r>
    </w:p>
    <w:p w14:paraId="5499F007">
      <w:pPr>
        <w:widowControl/>
        <w:shd w:val="clear" w:color="auto" w:fill="FFFFFF"/>
        <w:spacing w:line="560" w:lineRule="exact"/>
        <w:ind w:firstLine="490"/>
        <w:textAlignment w:val="baseline"/>
        <w:rPr>
          <w:rFonts w:ascii="仿宋_GB2312" w:hAnsi="楷体_GB2312" w:eastAsia="仿宋_GB2312" w:cs="楷体_GB2312"/>
          <w:b/>
          <w:bCs/>
          <w:color w:val="000000"/>
          <w:kern w:val="0"/>
          <w:sz w:val="32"/>
          <w:szCs w:val="32"/>
          <w:shd w:val="clear" w:color="auto" w:fill="FFFFFF"/>
        </w:rPr>
      </w:pPr>
      <w:r>
        <w:rPr>
          <w:rFonts w:hint="eastAsia" w:ascii="仿宋_GB2312" w:hAnsi="楷体_GB2312" w:eastAsia="仿宋_GB2312" w:cs="楷体_GB2312"/>
          <w:b/>
          <w:bCs/>
          <w:color w:val="000000"/>
          <w:kern w:val="0"/>
          <w:sz w:val="32"/>
          <w:szCs w:val="32"/>
          <w:shd w:val="clear" w:color="auto" w:fill="FFFFFF"/>
        </w:rPr>
        <w:t>（七）坚定不移，统筹兼顾，深入开展清廉交通建设</w:t>
      </w:r>
    </w:p>
    <w:p w14:paraId="033A664D">
      <w:pPr>
        <w:widowControl/>
        <w:shd w:val="clear" w:color="auto" w:fill="FFFFFF"/>
        <w:spacing w:line="560" w:lineRule="exact"/>
        <w:ind w:firstLine="640" w:firstLineChars="200"/>
        <w:textAlignment w:val="baseline"/>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kern w:val="0"/>
          <w:sz w:val="32"/>
          <w:szCs w:val="32"/>
        </w:rPr>
        <w:t>一是夯实主体责任。</w:t>
      </w:r>
      <w:r>
        <w:rPr>
          <w:rFonts w:hint="eastAsia" w:ascii="仿宋_GB2312" w:hAnsi="仿宋_GB2312" w:eastAsia="仿宋_GB2312" w:cs="仿宋_GB2312"/>
          <w:bCs/>
          <w:color w:val="000000"/>
          <w:kern w:val="0"/>
          <w:sz w:val="32"/>
          <w:szCs w:val="32"/>
          <w:shd w:val="clear" w:color="auto" w:fill="FFFFFF"/>
        </w:rPr>
        <w:t>切实履行党组主体责任，始终把党风廉政建设工作与业务工作同研究、同部署、同落实，召开党组会议专题研究部署党风廉政建设工作4次；严格履行党组书记“第一责任人”责任，党组书记带头严格执行民主集中制，定期听取班子成员落实“一岗双责”情况汇报2次；班子成员认真履行“一岗双责”，严格执行领导干部述责述廉、个人重大事项报告等制度，积极参加民主生活会、组织生活会、党史学习教育专题组织生活会，深入剖析查摆问题，积极开展批评和自我批评。</w:t>
      </w:r>
    </w:p>
    <w:p w14:paraId="2215D1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二是营造实干风气。</w:t>
      </w:r>
      <w:r>
        <w:rPr>
          <w:rFonts w:hint="eastAsia" w:ascii="仿宋_GB2312" w:hAnsi="仿宋_GB2312" w:eastAsia="仿宋_GB2312" w:cs="仿宋_GB2312"/>
          <w:sz w:val="32"/>
          <w:szCs w:val="32"/>
        </w:rPr>
        <w:t>注重营造勇担当、抓落实的氛围。</w:t>
      </w:r>
      <w:r>
        <w:rPr>
          <w:rFonts w:hint="eastAsia" w:ascii="仿宋_GB2312" w:hAnsi="仿宋_GB2312" w:eastAsia="仿宋_GB2312" w:cs="仿宋_GB2312"/>
          <w:bCs/>
          <w:sz w:val="32"/>
          <w:szCs w:val="32"/>
        </w:rPr>
        <w:t>对上级布置的各项工作，建立台账、明确责任人和时限、定期督导进度、及时汇报落实情况，确保上级的决策部署不</w:t>
      </w:r>
      <w:r>
        <w:rPr>
          <w:rFonts w:hint="eastAsia" w:ascii="仿宋_GB2312" w:hAnsi="仿宋_GB2312" w:eastAsia="仿宋_GB2312" w:cs="仿宋_GB2312"/>
          <w:bCs/>
          <w:sz w:val="32"/>
          <w:szCs w:val="32"/>
          <w:lang w:val="en-US" w:eastAsia="zh-CN"/>
        </w:rPr>
        <w:t>折</w:t>
      </w:r>
      <w:r>
        <w:rPr>
          <w:rFonts w:hint="eastAsia" w:ascii="仿宋_GB2312" w:hAnsi="仿宋_GB2312" w:eastAsia="仿宋_GB2312" w:cs="仿宋_GB2312"/>
          <w:bCs/>
          <w:sz w:val="32"/>
          <w:szCs w:val="32"/>
        </w:rPr>
        <w:t>不扣、迅速有力在交通系统得到落实；把握正确用人导向，注重把政治上靠得住、纪律上把得严、工作上有担当、破难上有办法的干部选出来、用起来，在系统</w:t>
      </w:r>
      <w:r>
        <w:rPr>
          <w:rFonts w:hint="eastAsia" w:ascii="仿宋_GB2312" w:hAnsi="仿宋_GB2312" w:eastAsia="仿宋_GB2312" w:cs="仿宋_GB2312"/>
          <w:sz w:val="32"/>
          <w:szCs w:val="32"/>
        </w:rPr>
        <w:t>切实形成崇尚实干、狠抓落实的良好风气。</w:t>
      </w:r>
    </w:p>
    <w:p w14:paraId="25F8F8A3">
      <w:pPr>
        <w:widowControl/>
        <w:shd w:val="clear" w:color="auto" w:fill="FFFFFF"/>
        <w:spacing w:line="560" w:lineRule="exact"/>
        <w:ind w:firstLine="640" w:firstLineChars="200"/>
        <w:textAlignment w:val="baseline"/>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kern w:val="0"/>
          <w:sz w:val="32"/>
          <w:szCs w:val="32"/>
        </w:rPr>
        <w:t>三是严格落实制度。</w:t>
      </w:r>
      <w:r>
        <w:rPr>
          <w:rFonts w:hint="eastAsia" w:ascii="仿宋_GB2312" w:hAnsi="宋体" w:eastAsia="仿宋_GB2312" w:cs="宋体"/>
          <w:kern w:val="0"/>
          <w:sz w:val="32"/>
          <w:szCs w:val="32"/>
        </w:rPr>
        <w:t>始终把制度建设作为工作的重中之重，成立党风廉政建设领导小组，</w:t>
      </w:r>
      <w:r>
        <w:rPr>
          <w:rFonts w:hint="eastAsia" w:ascii="仿宋_GB2312" w:hAnsi="仿宋_GB2312" w:eastAsia="仿宋_GB2312" w:cs="仿宋_GB2312"/>
          <w:kern w:val="0"/>
          <w:sz w:val="32"/>
          <w:szCs w:val="32"/>
        </w:rPr>
        <w:t>细化形成了责任清单，制定并严格执行党风廉政建设工作报告制度、检查通报制度；修订了《峨眉山市交通运输局党组议事规则暨重大事项决策流程规范》、《峨眉山市交通运输局行政管理规定》，强化“三重一大”机制；推进谈话提醒规范化、制度化，坚持廉洁过节谈话、任前廉政谈话等制度，切实做到常提醒、常警示。今年以来，对系统3人次进行谈话提醒、书记</w:t>
      </w:r>
      <w:r>
        <w:rPr>
          <w:rFonts w:hint="eastAsia" w:ascii="仿宋_GB2312" w:hAnsi="仿宋_GB2312" w:eastAsia="仿宋_GB2312" w:cs="仿宋_GB2312"/>
          <w:bCs/>
          <w:color w:val="000000"/>
          <w:kern w:val="0"/>
          <w:sz w:val="32"/>
          <w:szCs w:val="32"/>
          <w:shd w:val="clear" w:color="auto" w:fill="FFFFFF"/>
        </w:rPr>
        <w:t>与班子成员开展廉政提醒谈话10人次，与新招录人员开展谈心谈话2人次，</w:t>
      </w:r>
      <w:r>
        <w:rPr>
          <w:rFonts w:hint="eastAsia" w:ascii="仿宋_GB2312" w:hAnsi="仿宋_GB2312" w:eastAsia="仿宋_GB2312" w:cs="仿宋_GB2312"/>
          <w:kern w:val="0"/>
          <w:sz w:val="32"/>
          <w:szCs w:val="32"/>
        </w:rPr>
        <w:t>在节假日前夕对班子成员和下属单位负责人进行廉政过节谈话，共发送廉政短信和微信800余条。</w:t>
      </w:r>
    </w:p>
    <w:p w14:paraId="109E182A">
      <w:pPr>
        <w:widowControl/>
        <w:shd w:val="clear" w:color="auto" w:fill="FFFFFF"/>
        <w:spacing w:line="560" w:lineRule="exact"/>
        <w:ind w:firstLine="640" w:firstLineChars="200"/>
        <w:textAlignment w:val="baseline"/>
        <w:rPr>
          <w:rFonts w:ascii="仿宋_GB2312" w:hAnsi="黑体" w:eastAsia="仿宋_GB2312" w:cs="黑体"/>
          <w:bCs/>
          <w:color w:val="000000"/>
          <w:kern w:val="0"/>
          <w:sz w:val="32"/>
          <w:szCs w:val="32"/>
          <w:shd w:val="clear" w:color="auto" w:fill="FFFFFF"/>
        </w:rPr>
      </w:pPr>
      <w:r>
        <w:rPr>
          <w:rFonts w:hint="eastAsia" w:ascii="仿宋_GB2312" w:hAnsi="仿宋_GB2312" w:eastAsia="仿宋_GB2312" w:cs="仿宋_GB2312"/>
          <w:bCs/>
          <w:kern w:val="0"/>
          <w:sz w:val="32"/>
          <w:szCs w:val="32"/>
        </w:rPr>
        <w:t>四是强化多维监督。</w:t>
      </w:r>
      <w:r>
        <w:rPr>
          <w:rFonts w:hint="eastAsia" w:ascii="仿宋_GB2312" w:hAnsi="仿宋_GB2312" w:eastAsia="仿宋_GB2312" w:cs="仿宋_GB2312"/>
          <w:kern w:val="0"/>
          <w:sz w:val="32"/>
          <w:szCs w:val="32"/>
        </w:rPr>
        <w:t>自觉接受派驻纪检组的监督指导和日常工作对接，凡涉及重大决策、重大项目安排、重要人事任免和大额经费运作，均邀请派驻纪检组全程参与、全程监督；积极回应群众反映的问题，全面共处理信访案件7起，“心连心”热线投诉713起，网友留言76起，均能保质保量进行回复，切实解决群众反映的问题。</w:t>
      </w:r>
    </w:p>
    <w:p w14:paraId="47ECE578">
      <w:pPr>
        <w:widowControl/>
        <w:jc w:val="left"/>
        <w:rPr>
          <w:rFonts w:ascii="仿宋" w:hAnsi="仿宋" w:eastAsia="仿宋"/>
          <w:sz w:val="32"/>
          <w:szCs w:val="32"/>
        </w:rPr>
      </w:pPr>
    </w:p>
    <w:p w14:paraId="5DA62025">
      <w:pPr>
        <w:pStyle w:val="2"/>
        <w:spacing w:before="93"/>
      </w:pPr>
    </w:p>
    <w:p w14:paraId="416E09A7">
      <w:pPr>
        <w:pStyle w:val="2"/>
        <w:spacing w:before="93"/>
      </w:pPr>
    </w:p>
    <w:p w14:paraId="2A24AA58">
      <w:pPr>
        <w:pStyle w:val="2"/>
        <w:spacing w:before="93"/>
      </w:pPr>
    </w:p>
    <w:p w14:paraId="2C71E922">
      <w:pPr>
        <w:pStyle w:val="2"/>
        <w:spacing w:before="93"/>
      </w:pPr>
    </w:p>
    <w:p w14:paraId="6564D116">
      <w:pPr>
        <w:pStyle w:val="2"/>
        <w:spacing w:before="93"/>
      </w:pPr>
    </w:p>
    <w:p w14:paraId="1A54486C">
      <w:pPr>
        <w:pStyle w:val="2"/>
        <w:spacing w:before="93"/>
      </w:pPr>
    </w:p>
    <w:p w14:paraId="39B32050">
      <w:pPr>
        <w:pStyle w:val="2"/>
        <w:spacing w:before="93"/>
      </w:pPr>
    </w:p>
    <w:p w14:paraId="1394ABDB">
      <w:pPr>
        <w:pStyle w:val="2"/>
        <w:spacing w:before="93"/>
      </w:pPr>
    </w:p>
    <w:p w14:paraId="4067036E">
      <w:pPr>
        <w:pStyle w:val="2"/>
        <w:spacing w:before="93"/>
      </w:pPr>
    </w:p>
    <w:p w14:paraId="581680EE">
      <w:pPr>
        <w:pStyle w:val="2"/>
        <w:spacing w:before="93"/>
      </w:pPr>
    </w:p>
    <w:p w14:paraId="79B768E2">
      <w:pPr>
        <w:pStyle w:val="2"/>
        <w:spacing w:before="93"/>
      </w:pPr>
    </w:p>
    <w:p w14:paraId="219EA3C3">
      <w:pPr>
        <w:spacing w:line="600" w:lineRule="exact"/>
        <w:jc w:val="center"/>
        <w:rPr>
          <w:rFonts w:ascii="方正小标宋_GBK" w:hAnsi="方正小标宋_GBK" w:eastAsia="方正小标宋_GBK" w:cs="方正小标宋_GBK"/>
          <w:sz w:val="44"/>
          <w:szCs w:val="44"/>
        </w:rPr>
      </w:pPr>
      <w:bookmarkStart w:id="16" w:name="_Toc15377204"/>
      <w:bookmarkStart w:id="17" w:name="_Toc15396602"/>
      <w:r>
        <w:rPr>
          <w:rFonts w:hint="eastAsia" w:ascii="方正小标宋_GBK" w:hAnsi="方正小标宋_GBK" w:eastAsia="方正小标宋_GBK" w:cs="方正小标宋_GBK"/>
          <w:sz w:val="44"/>
          <w:szCs w:val="44"/>
        </w:rPr>
        <w:t>第二部分 2021年度单位决算情况说明</w:t>
      </w:r>
      <w:bookmarkEnd w:id="16"/>
      <w:bookmarkEnd w:id="17"/>
    </w:p>
    <w:p w14:paraId="44B0523B">
      <w:pPr>
        <w:spacing w:line="600" w:lineRule="exact"/>
        <w:rPr>
          <w:rFonts w:ascii="仿宋_GB2312" w:hAnsi="仿宋_GB2312" w:eastAsia="仿宋_GB2312" w:cs="仿宋_GB2312"/>
          <w:sz w:val="32"/>
          <w:szCs w:val="32"/>
        </w:rPr>
      </w:pPr>
    </w:p>
    <w:p w14:paraId="65F76D22">
      <w:pPr>
        <w:spacing w:line="600" w:lineRule="exact"/>
        <w:ind w:firstLine="640" w:firstLineChars="200"/>
        <w:rPr>
          <w:rFonts w:ascii="黑体" w:hAnsi="黑体" w:eastAsia="黑体" w:cs="黑体"/>
          <w:sz w:val="32"/>
          <w:szCs w:val="32"/>
        </w:rPr>
      </w:pPr>
      <w:bookmarkStart w:id="18" w:name="_Toc15396603"/>
      <w:bookmarkStart w:id="19" w:name="_Toc15377205"/>
      <w:r>
        <w:rPr>
          <w:rFonts w:hint="eastAsia" w:ascii="黑体" w:hAnsi="黑体" w:eastAsia="黑体" w:cs="黑体"/>
          <w:sz w:val="32"/>
          <w:szCs w:val="32"/>
        </w:rPr>
        <w:t>一、收入支出决算总体情况说明</w:t>
      </w:r>
      <w:bookmarkEnd w:id="18"/>
      <w:bookmarkEnd w:id="19"/>
    </w:p>
    <w:p w14:paraId="34BF543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2021年度收、支总计12634.94万元。与2020年相比，收、支总计各减少18474.47万元，下降59.39%。主要变动原因是受经济下行影响，支出缩减，预算更加细致精准。</w:t>
      </w:r>
    </w:p>
    <w:p w14:paraId="1E91A53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14:paraId="22695FAD">
      <w:pPr>
        <w:pStyle w:val="2"/>
        <w:spacing w:before="93"/>
      </w:pPr>
      <w:r>
        <w:rPr>
          <w:rFonts w:hint="eastAsia"/>
        </w:rPr>
        <w:drawing>
          <wp:anchor distT="0" distB="0" distL="114300" distR="114300" simplePos="0" relativeHeight="251659264" behindDoc="0" locked="0" layoutInCell="1" allowOverlap="1">
            <wp:simplePos x="0" y="0"/>
            <wp:positionH relativeFrom="column">
              <wp:posOffset>-2540</wp:posOffset>
            </wp:positionH>
            <wp:positionV relativeFrom="paragraph">
              <wp:posOffset>257810</wp:posOffset>
            </wp:positionV>
            <wp:extent cx="5526405" cy="4538980"/>
            <wp:effectExtent l="0" t="0" r="17145" b="1397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526405" cy="4538980"/>
                    </a:xfrm>
                    <a:prstGeom prst="rect">
                      <a:avLst/>
                    </a:prstGeom>
                    <a:noFill/>
                    <a:ln>
                      <a:noFill/>
                    </a:ln>
                  </pic:spPr>
                </pic:pic>
              </a:graphicData>
            </a:graphic>
          </wp:anchor>
        </w:drawing>
      </w:r>
    </w:p>
    <w:p w14:paraId="0C49FC1B">
      <w:pPr>
        <w:pStyle w:val="2"/>
        <w:spacing w:before="93"/>
      </w:pPr>
    </w:p>
    <w:p w14:paraId="21C35396">
      <w:pPr>
        <w:pStyle w:val="2"/>
        <w:spacing w:before="93"/>
      </w:pPr>
    </w:p>
    <w:p w14:paraId="6C0614C2">
      <w:pPr>
        <w:pStyle w:val="2"/>
        <w:spacing w:before="93"/>
      </w:pPr>
    </w:p>
    <w:p w14:paraId="78FA194E">
      <w:pPr>
        <w:pStyle w:val="2"/>
        <w:spacing w:before="93"/>
      </w:pPr>
    </w:p>
    <w:p w14:paraId="76B6191C">
      <w:pPr>
        <w:pStyle w:val="2"/>
        <w:spacing w:before="93"/>
      </w:pPr>
    </w:p>
    <w:p w14:paraId="47B65CD5">
      <w:pPr>
        <w:pStyle w:val="2"/>
        <w:spacing w:before="93"/>
      </w:pPr>
    </w:p>
    <w:p w14:paraId="2A2D092E">
      <w:pPr>
        <w:pStyle w:val="2"/>
        <w:spacing w:before="93"/>
      </w:pPr>
    </w:p>
    <w:p w14:paraId="1BD605A2">
      <w:pPr>
        <w:pStyle w:val="2"/>
        <w:spacing w:before="93"/>
      </w:pPr>
    </w:p>
    <w:p w14:paraId="1C541C68">
      <w:pPr>
        <w:pStyle w:val="2"/>
        <w:spacing w:before="93"/>
      </w:pPr>
    </w:p>
    <w:p w14:paraId="67413DD5">
      <w:pPr>
        <w:pStyle w:val="2"/>
        <w:spacing w:before="93"/>
      </w:pPr>
    </w:p>
    <w:p w14:paraId="730E4623">
      <w:pPr>
        <w:pStyle w:val="2"/>
        <w:spacing w:before="93"/>
      </w:pPr>
    </w:p>
    <w:p w14:paraId="47EE9B23">
      <w:pPr>
        <w:spacing w:line="600" w:lineRule="exact"/>
        <w:rPr>
          <w:rFonts w:ascii="仿宋_GB2312" w:hAnsi="仿宋_GB2312" w:eastAsia="仿宋_GB2312" w:cs="仿宋_GB2312"/>
          <w:sz w:val="32"/>
          <w:szCs w:val="32"/>
        </w:rPr>
      </w:pPr>
    </w:p>
    <w:p w14:paraId="400C238D">
      <w:pPr>
        <w:pStyle w:val="31"/>
        <w:spacing w:line="600" w:lineRule="exact"/>
        <w:ind w:left="640" w:firstLine="0" w:firstLineChars="0"/>
        <w:outlineLvl w:val="1"/>
        <w:rPr>
          <w:rStyle w:val="21"/>
          <w:rFonts w:ascii="黑体" w:hAnsi="黑体" w:eastAsia="黑体"/>
          <w:b w:val="0"/>
        </w:rPr>
      </w:pPr>
      <w:bookmarkStart w:id="20" w:name="_Toc15396604"/>
      <w:bookmarkStart w:id="21" w:name="_Toc15377206"/>
      <w:r>
        <w:rPr>
          <w:rFonts w:hint="eastAsia" w:ascii="黑体" w:hAnsi="黑体" w:eastAsia="黑体"/>
          <w:sz w:val="32"/>
          <w:szCs w:val="32"/>
        </w:rPr>
        <w:t>二、收</w:t>
      </w:r>
      <w:r>
        <w:rPr>
          <w:rStyle w:val="21"/>
          <w:rFonts w:hint="eastAsia" w:ascii="黑体" w:hAnsi="黑体" w:eastAsia="黑体"/>
          <w:b w:val="0"/>
        </w:rPr>
        <w:t>入决算情况说明</w:t>
      </w:r>
      <w:bookmarkEnd w:id="20"/>
      <w:bookmarkEnd w:id="21"/>
    </w:p>
    <w:p w14:paraId="2193F1E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7900.79万元，其中：一般公共预算财政拨款收入5358.43万元，占67.82%；政府性基金预算财政拨款收入2542.36万元，占32.18%；国有资本经营预算财政拨款收入0万元，占0%；上级补助收入0万元，占0%；事业收入0万元，占0%；经营收入0万元，占0%；附属单位上缴收入0万元，占0%；其他收入0万元，占0%。</w:t>
      </w:r>
    </w:p>
    <w:p w14:paraId="731EB98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（注：数据来源于财决01表，仅罗列本单位涉及的收入。）</w:t>
      </w:r>
    </w:p>
    <w:p w14:paraId="449C002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3909634B">
      <w:pPr>
        <w:pStyle w:val="2"/>
        <w:spacing w:before="93"/>
      </w:pPr>
      <w:r>
        <w:rPr>
          <w:rFonts w:hint="eastAsia"/>
        </w:rPr>
        <w:drawing>
          <wp:anchor distT="0" distB="0" distL="114300" distR="114300" simplePos="0" relativeHeight="251660288" behindDoc="0" locked="0" layoutInCell="1" allowOverlap="1">
            <wp:simplePos x="0" y="0"/>
            <wp:positionH relativeFrom="column">
              <wp:posOffset>80010</wp:posOffset>
            </wp:positionH>
            <wp:positionV relativeFrom="paragraph">
              <wp:posOffset>436880</wp:posOffset>
            </wp:positionV>
            <wp:extent cx="5744845" cy="4015105"/>
            <wp:effectExtent l="0" t="0" r="8255" b="444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5744845" cy="4015105"/>
                    </a:xfrm>
                    <a:prstGeom prst="rect">
                      <a:avLst/>
                    </a:prstGeom>
                    <a:noFill/>
                    <a:ln>
                      <a:noFill/>
                    </a:ln>
                  </pic:spPr>
                </pic:pic>
              </a:graphicData>
            </a:graphic>
          </wp:anchor>
        </w:drawing>
      </w:r>
    </w:p>
    <w:p w14:paraId="21D3A7D1">
      <w:pPr>
        <w:pStyle w:val="2"/>
        <w:spacing w:before="93"/>
      </w:pPr>
    </w:p>
    <w:p w14:paraId="7E1200B4">
      <w:pPr>
        <w:pStyle w:val="2"/>
        <w:spacing w:before="93"/>
      </w:pPr>
    </w:p>
    <w:p w14:paraId="70B3F892">
      <w:pPr>
        <w:pStyle w:val="2"/>
        <w:spacing w:before="93"/>
      </w:pPr>
    </w:p>
    <w:p w14:paraId="68076095">
      <w:pPr>
        <w:pStyle w:val="2"/>
        <w:spacing w:before="93"/>
      </w:pPr>
    </w:p>
    <w:p w14:paraId="0B70A962">
      <w:pPr>
        <w:pStyle w:val="2"/>
        <w:spacing w:before="93"/>
      </w:pPr>
    </w:p>
    <w:p w14:paraId="4EE335D6">
      <w:pPr>
        <w:pStyle w:val="2"/>
        <w:spacing w:before="93"/>
      </w:pPr>
    </w:p>
    <w:p w14:paraId="6CFE1AB2">
      <w:pPr>
        <w:pStyle w:val="2"/>
        <w:spacing w:before="93"/>
      </w:pPr>
    </w:p>
    <w:p w14:paraId="57DA9557">
      <w:pPr>
        <w:pStyle w:val="2"/>
        <w:spacing w:before="93"/>
      </w:pPr>
    </w:p>
    <w:p w14:paraId="3F8E7A5E">
      <w:pPr>
        <w:pStyle w:val="2"/>
        <w:spacing w:before="93"/>
      </w:pPr>
    </w:p>
    <w:p w14:paraId="3D6163A5">
      <w:pPr>
        <w:spacing w:line="600" w:lineRule="exact"/>
        <w:rPr>
          <w:rFonts w:ascii="仿宋_GB2312" w:hAnsi="仿宋_GB2312" w:eastAsia="仿宋_GB2312" w:cs="仿宋_GB2312"/>
          <w:sz w:val="32"/>
          <w:szCs w:val="32"/>
        </w:rPr>
      </w:pPr>
    </w:p>
    <w:p w14:paraId="78BFFB90">
      <w:pPr>
        <w:pStyle w:val="31"/>
        <w:spacing w:line="600" w:lineRule="exact"/>
        <w:ind w:left="640" w:firstLine="0" w:firstLineChars="0"/>
        <w:outlineLvl w:val="1"/>
        <w:rPr>
          <w:rStyle w:val="21"/>
          <w:rFonts w:ascii="黑体" w:hAnsi="黑体" w:eastAsia="黑体"/>
          <w:b w:val="0"/>
        </w:rPr>
      </w:pPr>
      <w:bookmarkStart w:id="22" w:name="_Toc15396605"/>
      <w:bookmarkStart w:id="23" w:name="_Toc15377207"/>
      <w:r>
        <w:rPr>
          <w:rFonts w:hint="eastAsia" w:ascii="黑体" w:hAnsi="黑体" w:eastAsia="黑体"/>
          <w:sz w:val="32"/>
          <w:szCs w:val="32"/>
        </w:rPr>
        <w:t>三、支</w:t>
      </w:r>
      <w:r>
        <w:rPr>
          <w:rStyle w:val="21"/>
          <w:rFonts w:hint="eastAsia" w:ascii="黑体" w:hAnsi="黑体" w:eastAsia="黑体"/>
          <w:b w:val="0"/>
        </w:rPr>
        <w:t>出决算情况说明</w:t>
      </w:r>
      <w:bookmarkEnd w:id="22"/>
      <w:bookmarkEnd w:id="23"/>
    </w:p>
    <w:p w14:paraId="765302D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2021年本年支出合计12573.74万元，其中：基本支出488.90万元，占3.89%；项目支出12084.84万元，占96.11%；上缴上级支出0万元，占0%；经营支出0万元，占0%；对附属单位补助支出0万元，占0%。</w:t>
      </w:r>
    </w:p>
    <w:p w14:paraId="49E927FB">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（注：数据来源于财决04表，仅罗列本单位涉及的支出。）</w:t>
      </w:r>
    </w:p>
    <w:p w14:paraId="6331F4E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44442D10">
      <w:pPr>
        <w:spacing w:line="600" w:lineRule="exact"/>
        <w:ind w:firstLine="640" w:firstLineChars="200"/>
        <w:rPr>
          <w:rFonts w:ascii="仿宋_GB2312" w:hAnsi="仿宋_GB2312" w:eastAsia="仿宋_GB2312" w:cs="仿宋_GB2312"/>
          <w:sz w:val="32"/>
          <w:szCs w:val="32"/>
        </w:rPr>
      </w:pPr>
    </w:p>
    <w:p w14:paraId="4CA1C67B">
      <w:pPr>
        <w:pStyle w:val="2"/>
        <w:spacing w:before="93"/>
      </w:pPr>
      <w:r>
        <w:rPr>
          <w:rFonts w:hint="eastAsia"/>
        </w:rPr>
        <w:drawing>
          <wp:anchor distT="0" distB="0" distL="114300" distR="114300" simplePos="0" relativeHeight="251661312" behindDoc="0" locked="0" layoutInCell="1" allowOverlap="1">
            <wp:simplePos x="0" y="0"/>
            <wp:positionH relativeFrom="column">
              <wp:posOffset>46990</wp:posOffset>
            </wp:positionH>
            <wp:positionV relativeFrom="paragraph">
              <wp:posOffset>27940</wp:posOffset>
            </wp:positionV>
            <wp:extent cx="5815965" cy="4264025"/>
            <wp:effectExtent l="0" t="0" r="13335" b="317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5815965" cy="4264025"/>
                    </a:xfrm>
                    <a:prstGeom prst="rect">
                      <a:avLst/>
                    </a:prstGeom>
                    <a:noFill/>
                    <a:ln>
                      <a:noFill/>
                    </a:ln>
                  </pic:spPr>
                </pic:pic>
              </a:graphicData>
            </a:graphic>
          </wp:anchor>
        </w:drawing>
      </w:r>
    </w:p>
    <w:p w14:paraId="29A4B5A0">
      <w:pPr>
        <w:pStyle w:val="2"/>
        <w:spacing w:before="93"/>
      </w:pPr>
    </w:p>
    <w:p w14:paraId="1BA5EC6B">
      <w:pPr>
        <w:pStyle w:val="2"/>
        <w:spacing w:before="93"/>
      </w:pPr>
    </w:p>
    <w:p w14:paraId="4D4AE1EA">
      <w:pPr>
        <w:pStyle w:val="2"/>
        <w:spacing w:before="93"/>
      </w:pPr>
    </w:p>
    <w:p w14:paraId="39684A8C">
      <w:pPr>
        <w:pStyle w:val="2"/>
        <w:spacing w:before="93"/>
      </w:pPr>
    </w:p>
    <w:p w14:paraId="7DB18A5F">
      <w:pPr>
        <w:pStyle w:val="2"/>
        <w:spacing w:before="93"/>
      </w:pPr>
    </w:p>
    <w:p w14:paraId="5CA46981">
      <w:pPr>
        <w:pStyle w:val="2"/>
        <w:spacing w:before="93"/>
      </w:pPr>
    </w:p>
    <w:p w14:paraId="426C6555">
      <w:pPr>
        <w:pStyle w:val="2"/>
        <w:spacing w:before="93"/>
      </w:pPr>
    </w:p>
    <w:p w14:paraId="3BDD4F0B">
      <w:pPr>
        <w:pStyle w:val="2"/>
        <w:spacing w:before="93"/>
      </w:pPr>
    </w:p>
    <w:p w14:paraId="3E477471">
      <w:pPr>
        <w:pStyle w:val="2"/>
        <w:spacing w:before="93"/>
      </w:pPr>
    </w:p>
    <w:p w14:paraId="67F2B64E">
      <w:pPr>
        <w:pStyle w:val="2"/>
        <w:spacing w:before="93"/>
      </w:pPr>
    </w:p>
    <w:p w14:paraId="046FA112">
      <w:pPr>
        <w:spacing w:line="600" w:lineRule="exact"/>
        <w:ind w:firstLine="640" w:firstLineChars="200"/>
        <w:outlineLvl w:val="1"/>
        <w:rPr>
          <w:rStyle w:val="2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1"/>
          <w:rFonts w:hint="eastAsia" w:ascii="黑体" w:hAnsi="黑体" w:eastAsia="黑体"/>
          <w:b w:val="0"/>
        </w:rPr>
        <w:t>政拨款收入支出决算总体情况说明</w:t>
      </w:r>
      <w:bookmarkEnd w:id="24"/>
      <w:bookmarkEnd w:id="25"/>
    </w:p>
    <w:p w14:paraId="6B64B6A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2021年财政拨款收、支总计12634.94万元。与2020年相比，财政拨款收、支总计各减少18474.47万元，下降59.39%。主要变动原因是受经济下行影响，支出缩减，预算更加细致精准。（注：数据来源于财决01-1表）</w:t>
      </w:r>
    </w:p>
    <w:p w14:paraId="1F5207D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14:paraId="7DF4DDF0">
      <w:pPr>
        <w:pStyle w:val="2"/>
        <w:spacing w:before="93"/>
      </w:pPr>
      <w:r>
        <w:rPr>
          <w:rFonts w:hint="eastAsia"/>
        </w:rPr>
        <w:drawing>
          <wp:anchor distT="0" distB="0" distL="114300" distR="114300" simplePos="0" relativeHeight="251662336" behindDoc="0" locked="0" layoutInCell="1" allowOverlap="1">
            <wp:simplePos x="0" y="0"/>
            <wp:positionH relativeFrom="column">
              <wp:posOffset>22225</wp:posOffset>
            </wp:positionH>
            <wp:positionV relativeFrom="paragraph">
              <wp:posOffset>446405</wp:posOffset>
            </wp:positionV>
            <wp:extent cx="5663565" cy="4098290"/>
            <wp:effectExtent l="0" t="0" r="13335" b="16510"/>
            <wp:wrapNone/>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0"/>
                    <a:stretch>
                      <a:fillRect/>
                    </a:stretch>
                  </pic:blipFill>
                  <pic:spPr>
                    <a:xfrm>
                      <a:off x="0" y="0"/>
                      <a:ext cx="5663565" cy="4098290"/>
                    </a:xfrm>
                    <a:prstGeom prst="rect">
                      <a:avLst/>
                    </a:prstGeom>
                    <a:noFill/>
                    <a:ln>
                      <a:noFill/>
                    </a:ln>
                  </pic:spPr>
                </pic:pic>
              </a:graphicData>
            </a:graphic>
          </wp:anchor>
        </w:drawing>
      </w:r>
    </w:p>
    <w:p w14:paraId="224813D7">
      <w:pPr>
        <w:pStyle w:val="2"/>
        <w:spacing w:before="93"/>
      </w:pPr>
    </w:p>
    <w:p w14:paraId="4265F4C5">
      <w:pPr>
        <w:pStyle w:val="2"/>
        <w:spacing w:before="93"/>
      </w:pPr>
    </w:p>
    <w:p w14:paraId="24A58DBD">
      <w:pPr>
        <w:pStyle w:val="2"/>
        <w:spacing w:before="93"/>
      </w:pPr>
    </w:p>
    <w:p w14:paraId="7E13B675">
      <w:pPr>
        <w:pStyle w:val="2"/>
        <w:spacing w:before="93"/>
      </w:pPr>
    </w:p>
    <w:p w14:paraId="77299C87">
      <w:pPr>
        <w:pStyle w:val="2"/>
        <w:spacing w:before="93"/>
      </w:pPr>
    </w:p>
    <w:p w14:paraId="2F973B76">
      <w:pPr>
        <w:pStyle w:val="2"/>
        <w:spacing w:before="93"/>
      </w:pPr>
    </w:p>
    <w:p w14:paraId="5C421FFA">
      <w:pPr>
        <w:pStyle w:val="2"/>
        <w:spacing w:before="93"/>
      </w:pPr>
    </w:p>
    <w:p w14:paraId="7F39285B">
      <w:pPr>
        <w:pStyle w:val="2"/>
        <w:spacing w:before="93"/>
      </w:pPr>
    </w:p>
    <w:p w14:paraId="6724D9CF">
      <w:pPr>
        <w:pStyle w:val="2"/>
        <w:spacing w:before="93"/>
      </w:pPr>
    </w:p>
    <w:p w14:paraId="72021571">
      <w:pPr>
        <w:spacing w:line="600" w:lineRule="exact"/>
        <w:ind w:firstLine="640" w:firstLineChars="200"/>
        <w:outlineLvl w:val="1"/>
        <w:rPr>
          <w:rStyle w:val="2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1"/>
          <w:rFonts w:hint="eastAsia" w:ascii="黑体" w:hAnsi="黑体" w:eastAsia="黑体"/>
          <w:b w:val="0"/>
        </w:rPr>
        <w:t>般公共预算财政拨款支出决算情况说明</w:t>
      </w:r>
      <w:bookmarkEnd w:id="26"/>
      <w:bookmarkEnd w:id="27"/>
    </w:p>
    <w:p w14:paraId="40707C3F">
      <w:pPr>
        <w:spacing w:line="600" w:lineRule="exact"/>
        <w:ind w:firstLine="640" w:firstLineChars="200"/>
        <w:outlineLvl w:val="2"/>
        <w:rPr>
          <w:rFonts w:ascii="楷体_GB2312" w:hAnsi="楷体_GB2312" w:eastAsia="楷体_GB2312" w:cs="楷体_GB2312"/>
          <w:bCs/>
          <w:sz w:val="32"/>
          <w:szCs w:val="32"/>
        </w:rPr>
      </w:pPr>
      <w:bookmarkStart w:id="28" w:name="_Toc15377210"/>
      <w:r>
        <w:rPr>
          <w:rFonts w:hint="eastAsia" w:ascii="楷体_GB2312" w:hAnsi="楷体_GB2312" w:eastAsia="楷体_GB2312" w:cs="楷体_GB2312"/>
          <w:bCs/>
          <w:sz w:val="32"/>
          <w:szCs w:val="32"/>
        </w:rPr>
        <w:t>（一）一般公共预算财政拨款支出决算总体情况</w:t>
      </w:r>
      <w:bookmarkEnd w:id="28"/>
    </w:p>
    <w:p w14:paraId="6E2016B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2021年一般公共预算财政拨款支出9202.38万元，占本年支出合计的73.19%。与2020年相比，一般公共预算财政拨款支出增加4284.40万元，增长87.12%。主要变动原因是预算更加细致精准。</w:t>
      </w:r>
    </w:p>
    <w:p w14:paraId="054E6C21">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-31115</wp:posOffset>
            </wp:positionH>
            <wp:positionV relativeFrom="paragraph">
              <wp:posOffset>285115</wp:posOffset>
            </wp:positionV>
            <wp:extent cx="5638800" cy="4171950"/>
            <wp:effectExtent l="0" t="0" r="0" b="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1"/>
                    <a:stretch>
                      <a:fillRect/>
                    </a:stretch>
                  </pic:blipFill>
                  <pic:spPr>
                    <a:xfrm>
                      <a:off x="0" y="0"/>
                      <a:ext cx="5638800" cy="4171950"/>
                    </a:xfrm>
                    <a:prstGeom prst="rect">
                      <a:avLst/>
                    </a:prstGeom>
                    <a:noFill/>
                    <a:ln>
                      <a:noFill/>
                    </a:ln>
                  </pic:spPr>
                </pic:pic>
              </a:graphicData>
            </a:graphic>
          </wp:anchor>
        </w:drawing>
      </w:r>
    </w:p>
    <w:p w14:paraId="303C1AE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14:paraId="47780D29">
      <w:pPr>
        <w:spacing w:line="600" w:lineRule="exact"/>
        <w:ind w:firstLine="640" w:firstLineChars="200"/>
        <w:rPr>
          <w:rFonts w:ascii="仿宋_GB2312" w:hAnsi="仿宋_GB2312" w:eastAsia="仿宋_GB2312" w:cs="仿宋_GB2312"/>
          <w:sz w:val="32"/>
          <w:szCs w:val="32"/>
        </w:rPr>
      </w:pPr>
    </w:p>
    <w:p w14:paraId="471F67EF">
      <w:pPr>
        <w:pStyle w:val="2"/>
        <w:spacing w:before="93"/>
      </w:pPr>
    </w:p>
    <w:p w14:paraId="350E3F2F">
      <w:pPr>
        <w:pStyle w:val="2"/>
        <w:spacing w:before="93"/>
      </w:pPr>
    </w:p>
    <w:p w14:paraId="0E66F5A4">
      <w:pPr>
        <w:pStyle w:val="2"/>
        <w:spacing w:before="93"/>
      </w:pPr>
    </w:p>
    <w:p w14:paraId="505F92D1">
      <w:pPr>
        <w:pStyle w:val="2"/>
        <w:spacing w:before="93"/>
      </w:pPr>
    </w:p>
    <w:p w14:paraId="7EAE3AC5">
      <w:pPr>
        <w:pStyle w:val="2"/>
        <w:spacing w:before="93"/>
      </w:pPr>
    </w:p>
    <w:p w14:paraId="3CA75C2D">
      <w:pPr>
        <w:pStyle w:val="2"/>
        <w:spacing w:before="93"/>
      </w:pPr>
    </w:p>
    <w:p w14:paraId="731427A7">
      <w:pPr>
        <w:pStyle w:val="2"/>
        <w:spacing w:before="93"/>
      </w:pPr>
    </w:p>
    <w:p w14:paraId="675CD7C8">
      <w:pPr>
        <w:pStyle w:val="2"/>
        <w:spacing w:before="93"/>
      </w:pPr>
    </w:p>
    <w:p w14:paraId="7BA7F832">
      <w:pPr>
        <w:spacing w:line="600" w:lineRule="exact"/>
        <w:ind w:firstLine="640" w:firstLineChars="200"/>
        <w:outlineLvl w:val="2"/>
        <w:rPr>
          <w:rFonts w:ascii="楷体_GB2312" w:hAnsi="楷体_GB2312" w:eastAsia="楷体_GB2312" w:cs="楷体_GB2312"/>
          <w:bCs/>
          <w:sz w:val="32"/>
          <w:szCs w:val="32"/>
        </w:rPr>
      </w:pPr>
      <w:bookmarkStart w:id="29" w:name="_Toc15377211"/>
      <w:r>
        <w:rPr>
          <w:rFonts w:hint="eastAsia" w:ascii="楷体_GB2312" w:hAnsi="楷体_GB2312" w:eastAsia="楷体_GB2312" w:cs="楷体_GB2312"/>
          <w:bCs/>
          <w:sz w:val="32"/>
          <w:szCs w:val="32"/>
        </w:rPr>
        <w:t>（二）一般公共预算财政拨款支出决算结构情况</w:t>
      </w:r>
      <w:bookmarkEnd w:id="29"/>
    </w:p>
    <w:p w14:paraId="58E68DC3">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9202.38万元，主要用于以下方面:一般公共服务（类）支出0万元，占0%；教育支出（类）0万元，占0%；科学技术（类）支出0万元，占0%；文化旅游体育与传媒（类）支出0万元，占0%；社会保障和就业（类）支出65.93万元，占0.72%；卫生健康支出9.54万元，占0.10%；农林水支出97.30万元，占1.06%；交通运输支出8994.91万元，占97.75%；住房保障支出34.70万元，占0.37%；…。</w:t>
      </w:r>
    </w:p>
    <w:p w14:paraId="0803466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（注：数据来源于财决01-1表，仅罗列本单位涉及的全部功能分类科目，至类级。）</w:t>
      </w:r>
    </w:p>
    <w:p w14:paraId="7536A6F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3231FCB8">
      <w:pPr>
        <w:spacing w:line="600" w:lineRule="exact"/>
        <w:ind w:firstLine="640" w:firstLineChars="200"/>
        <w:rPr>
          <w:rFonts w:ascii="仿宋_GB2312" w:hAnsi="仿宋_GB2312" w:eastAsia="仿宋_GB2312" w:cs="仿宋_GB2312"/>
          <w:sz w:val="32"/>
          <w:szCs w:val="32"/>
        </w:rPr>
      </w:pPr>
    </w:p>
    <w:p w14:paraId="54FF7DE3">
      <w:pPr>
        <w:pStyle w:val="2"/>
        <w:spacing w:before="93"/>
      </w:pPr>
      <w:r>
        <w:rPr>
          <w:rFonts w:hint="eastAsia"/>
        </w:rPr>
        <w:drawing>
          <wp:anchor distT="0" distB="0" distL="114300" distR="114300" simplePos="0" relativeHeight="251664384" behindDoc="0" locked="0" layoutInCell="1" allowOverlap="1">
            <wp:simplePos x="0" y="0"/>
            <wp:positionH relativeFrom="column">
              <wp:posOffset>-12065</wp:posOffset>
            </wp:positionH>
            <wp:positionV relativeFrom="paragraph">
              <wp:posOffset>142240</wp:posOffset>
            </wp:positionV>
            <wp:extent cx="5819775" cy="4152900"/>
            <wp:effectExtent l="0" t="0" r="9525" b="0"/>
            <wp:wrapNone/>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2"/>
                    <a:stretch>
                      <a:fillRect/>
                    </a:stretch>
                  </pic:blipFill>
                  <pic:spPr>
                    <a:xfrm>
                      <a:off x="0" y="0"/>
                      <a:ext cx="5819775" cy="4152900"/>
                    </a:xfrm>
                    <a:prstGeom prst="rect">
                      <a:avLst/>
                    </a:prstGeom>
                    <a:noFill/>
                    <a:ln>
                      <a:noFill/>
                    </a:ln>
                  </pic:spPr>
                </pic:pic>
              </a:graphicData>
            </a:graphic>
          </wp:anchor>
        </w:drawing>
      </w:r>
    </w:p>
    <w:p w14:paraId="00F42138">
      <w:pPr>
        <w:pStyle w:val="2"/>
        <w:spacing w:before="93"/>
      </w:pPr>
    </w:p>
    <w:p w14:paraId="372B4689">
      <w:pPr>
        <w:pStyle w:val="2"/>
        <w:spacing w:before="93"/>
      </w:pPr>
    </w:p>
    <w:p w14:paraId="25C342A8">
      <w:pPr>
        <w:pStyle w:val="2"/>
        <w:spacing w:before="93"/>
      </w:pPr>
    </w:p>
    <w:p w14:paraId="23019B0D">
      <w:pPr>
        <w:pStyle w:val="2"/>
        <w:spacing w:before="93"/>
      </w:pPr>
    </w:p>
    <w:p w14:paraId="7E5BEC90">
      <w:pPr>
        <w:pStyle w:val="2"/>
        <w:spacing w:before="93"/>
      </w:pPr>
    </w:p>
    <w:p w14:paraId="152C144A">
      <w:pPr>
        <w:pStyle w:val="2"/>
        <w:spacing w:before="93"/>
      </w:pPr>
    </w:p>
    <w:p w14:paraId="6F709A31">
      <w:pPr>
        <w:pStyle w:val="2"/>
        <w:spacing w:before="93"/>
      </w:pPr>
    </w:p>
    <w:p w14:paraId="4D310E9B">
      <w:pPr>
        <w:pStyle w:val="2"/>
        <w:spacing w:before="93"/>
      </w:pPr>
    </w:p>
    <w:p w14:paraId="4F8A9388">
      <w:pPr>
        <w:pStyle w:val="2"/>
        <w:spacing w:before="93"/>
      </w:pPr>
    </w:p>
    <w:p w14:paraId="3AD0DDD1">
      <w:pPr>
        <w:pStyle w:val="2"/>
        <w:spacing w:before="93"/>
      </w:pPr>
    </w:p>
    <w:p w14:paraId="0BA93AE6">
      <w:pPr>
        <w:spacing w:line="600" w:lineRule="exact"/>
        <w:ind w:firstLine="640" w:firstLineChars="200"/>
        <w:outlineLvl w:val="2"/>
        <w:rPr>
          <w:rFonts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14:paraId="58373F7F">
      <w:pPr>
        <w:spacing w:line="600" w:lineRule="exact"/>
        <w:ind w:firstLine="640" w:firstLineChars="200"/>
        <w:outlineLvl w:val="2"/>
        <w:rPr>
          <w:rFonts w:ascii="仿宋_GB2312" w:hAnsi="仿宋_GB2312" w:eastAsia="仿宋_GB2312" w:cs="仿宋_GB2312"/>
          <w:bCs/>
          <w:sz w:val="32"/>
          <w:szCs w:val="32"/>
        </w:rPr>
      </w:pPr>
      <w:bookmarkStart w:id="31" w:name="_Toc15377444"/>
      <w:bookmarkStart w:id="32" w:name="_Toc15378460"/>
      <w:bookmarkStart w:id="33" w:name="_Toc15377213"/>
      <w:r>
        <w:rPr>
          <w:rFonts w:hint="eastAsia" w:ascii="仿宋_GB2312" w:hAnsi="仿宋_GB2312" w:eastAsia="仿宋_GB2312" w:cs="仿宋_GB2312"/>
          <w:bCs/>
          <w:sz w:val="32"/>
          <w:szCs w:val="32"/>
        </w:rPr>
        <w:t>2021年一般公共预算支出决算数为9202.38万元，</w:t>
      </w:r>
      <w:r>
        <w:rPr>
          <w:rStyle w:val="17"/>
          <w:rFonts w:hint="eastAsia" w:ascii="仿宋_GB2312" w:hAnsi="仿宋_GB2312" w:eastAsia="仿宋_GB2312" w:cs="仿宋_GB2312"/>
          <w:b w:val="0"/>
          <w:bCs/>
          <w:sz w:val="32"/>
          <w:szCs w:val="32"/>
        </w:rPr>
        <w:t>完成预算100%。其中：</w:t>
      </w:r>
      <w:bookmarkEnd w:id="31"/>
      <w:bookmarkEnd w:id="32"/>
      <w:bookmarkEnd w:id="33"/>
    </w:p>
    <w:p w14:paraId="3EAB6E92">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1．一般公共服务（类）***（款）***（项）: 本年无此项业务发生。</w:t>
      </w:r>
    </w:p>
    <w:p w14:paraId="0C488B3E">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2．教育（类）***（款）***（项）: 本年无此项业务发生。</w:t>
      </w:r>
    </w:p>
    <w:p w14:paraId="7B88ECD8">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3．科学技术（类）***（款）***（项）: 本年无此项业务发生。</w:t>
      </w:r>
    </w:p>
    <w:p w14:paraId="558314CB">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4．文化旅游体育与传媒（类）***（款）***（项）: 本年无此项业务发生。</w:t>
      </w:r>
    </w:p>
    <w:p w14:paraId="2370EE79">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5.社会保障和就业（类）行政事业单位养老支出（款）机关事业单位基本养老保险缴费支出（项）: 支出决算为23.82万元，完成预算100%，决算数与预算数持平。</w:t>
      </w:r>
    </w:p>
    <w:p w14:paraId="45A4528B">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6.社会保障和就业（类）行政事业单位养老支出（款）机关事业单位职业年金缴费支出（项）: 支出决算为14.77万元，完成预算100%，决算数与预算数持平。</w:t>
      </w:r>
    </w:p>
    <w:p w14:paraId="15510D24">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7.社会保障和就业（类）抚恤（款）死亡抚恤（项）: 支出决算为20.24万元，</w:t>
      </w:r>
      <w:r>
        <w:rPr>
          <w:rStyle w:val="17"/>
          <w:rFonts w:hint="eastAsia" w:hAnsi="仿宋_GB2312" w:cs="仿宋_GB2312"/>
          <w:b w:val="0"/>
          <w:bCs/>
          <w:color w:val="000000"/>
          <w:sz w:val="32"/>
          <w:szCs w:val="32"/>
        </w:rPr>
        <w:t>完成预算100</w:t>
      </w:r>
      <w:r>
        <w:rPr>
          <w:rStyle w:val="17"/>
          <w:rFonts w:hAnsi="仿宋_GB2312" w:cs="仿宋_GB2312"/>
          <w:b w:val="0"/>
          <w:bCs/>
          <w:color w:val="000000"/>
          <w:sz w:val="32"/>
          <w:szCs w:val="32"/>
        </w:rPr>
        <w:t>%</w:t>
      </w:r>
      <w:r>
        <w:rPr>
          <w:rStyle w:val="17"/>
          <w:rFonts w:hint="eastAsia" w:hAnsi="仿宋_GB2312" w:cs="仿宋_GB2312"/>
          <w:b w:val="0"/>
          <w:bCs/>
          <w:color w:val="000000"/>
          <w:sz w:val="32"/>
          <w:szCs w:val="32"/>
        </w:rPr>
        <w:t>，决算数与预算数持平</w:t>
      </w:r>
      <w:r>
        <w:rPr>
          <w:rStyle w:val="17"/>
          <w:rFonts w:hint="eastAsia" w:hAnsi="仿宋_GB2312" w:cs="仿宋_GB2312"/>
          <w:b w:val="0"/>
          <w:bCs/>
          <w:sz w:val="32"/>
          <w:szCs w:val="32"/>
        </w:rPr>
        <w:t>。</w:t>
      </w:r>
    </w:p>
    <w:p w14:paraId="687C9238">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8.社会保障和就业（类）抚恤（款）其他优抚支出（项）: 支出决算为1.26万元，</w:t>
      </w:r>
      <w:r>
        <w:rPr>
          <w:rStyle w:val="17"/>
          <w:rFonts w:hint="eastAsia" w:hAnsi="仿宋_GB2312" w:cs="仿宋_GB2312"/>
          <w:b w:val="0"/>
          <w:bCs/>
          <w:color w:val="000000"/>
          <w:sz w:val="32"/>
          <w:szCs w:val="32"/>
        </w:rPr>
        <w:t>完成预算100</w:t>
      </w:r>
      <w:r>
        <w:rPr>
          <w:rStyle w:val="17"/>
          <w:rFonts w:hAnsi="仿宋_GB2312" w:cs="仿宋_GB2312"/>
          <w:b w:val="0"/>
          <w:bCs/>
          <w:color w:val="000000"/>
          <w:sz w:val="32"/>
          <w:szCs w:val="32"/>
        </w:rPr>
        <w:t>%</w:t>
      </w:r>
      <w:r>
        <w:rPr>
          <w:rStyle w:val="17"/>
          <w:rFonts w:hint="eastAsia" w:hAnsi="仿宋_GB2312" w:cs="仿宋_GB2312"/>
          <w:b w:val="0"/>
          <w:bCs/>
          <w:color w:val="000000"/>
          <w:sz w:val="32"/>
          <w:szCs w:val="32"/>
        </w:rPr>
        <w:t>，决算数与预算数持平</w:t>
      </w:r>
      <w:r>
        <w:rPr>
          <w:rStyle w:val="17"/>
          <w:rFonts w:hint="eastAsia" w:hAnsi="仿宋_GB2312" w:cs="仿宋_GB2312"/>
          <w:b w:val="0"/>
          <w:bCs/>
          <w:sz w:val="32"/>
          <w:szCs w:val="32"/>
        </w:rPr>
        <w:t>。</w:t>
      </w:r>
    </w:p>
    <w:p w14:paraId="263458D5">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9.社会保障和就业（类）残疾人事业（款）其他残疾人事业支出（项）: 支出决算为0.66万元，</w:t>
      </w:r>
      <w:r>
        <w:rPr>
          <w:rStyle w:val="17"/>
          <w:rFonts w:hint="eastAsia" w:hAnsi="仿宋_GB2312" w:cs="仿宋_GB2312"/>
          <w:b w:val="0"/>
          <w:bCs/>
          <w:color w:val="000000"/>
          <w:sz w:val="32"/>
          <w:szCs w:val="32"/>
        </w:rPr>
        <w:t>完成预算100</w:t>
      </w:r>
      <w:r>
        <w:rPr>
          <w:rStyle w:val="17"/>
          <w:rFonts w:hAnsi="仿宋_GB2312" w:cs="仿宋_GB2312"/>
          <w:b w:val="0"/>
          <w:bCs/>
          <w:color w:val="000000"/>
          <w:sz w:val="32"/>
          <w:szCs w:val="32"/>
        </w:rPr>
        <w:t>%</w:t>
      </w:r>
      <w:r>
        <w:rPr>
          <w:rStyle w:val="17"/>
          <w:rFonts w:hint="eastAsia" w:hAnsi="仿宋_GB2312" w:cs="仿宋_GB2312"/>
          <w:b w:val="0"/>
          <w:bCs/>
          <w:color w:val="000000"/>
          <w:sz w:val="32"/>
          <w:szCs w:val="32"/>
        </w:rPr>
        <w:t>，决算数与预算数持平</w:t>
      </w:r>
      <w:r>
        <w:rPr>
          <w:rStyle w:val="17"/>
          <w:rFonts w:hint="eastAsia" w:hAnsi="仿宋_GB2312" w:cs="仿宋_GB2312"/>
          <w:b w:val="0"/>
          <w:bCs/>
          <w:sz w:val="32"/>
          <w:szCs w:val="32"/>
        </w:rPr>
        <w:t>。</w:t>
      </w:r>
    </w:p>
    <w:p w14:paraId="638A0283">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10.社会保障和就业（类）其他社会保障和就业支出（款）其他社会保障和就业支出（项）: 支出决算为5.18万元，完成预算100%，决算数与预算数持平。</w:t>
      </w:r>
    </w:p>
    <w:p w14:paraId="0BDBD4C1">
      <w:pPr>
        <w:ind w:firstLine="640" w:firstLineChars="200"/>
        <w:rPr>
          <w:rFonts w:ascii="仿宋_GB2312" w:hAnsi="仿宋" w:eastAsia="仿宋_GB2312"/>
          <w:bCs/>
          <w:color w:val="000000"/>
          <w:sz w:val="32"/>
          <w:szCs w:val="32"/>
        </w:rPr>
      </w:pPr>
      <w:r>
        <w:rPr>
          <w:rStyle w:val="17"/>
          <w:rFonts w:hint="eastAsia" w:ascii="仿宋_GB2312" w:hAnsi="仿宋" w:eastAsia="仿宋_GB2312"/>
          <w:b w:val="0"/>
          <w:bCs/>
          <w:color w:val="000000"/>
          <w:sz w:val="32"/>
          <w:szCs w:val="32"/>
        </w:rPr>
        <w:t>11.</w:t>
      </w:r>
      <w:r>
        <w:rPr>
          <w:rFonts w:hint="eastAsia" w:ascii="仿宋_GB2312" w:hAnsi="仿宋" w:eastAsia="仿宋_GB2312"/>
          <w:bCs/>
          <w:color w:val="000000"/>
          <w:sz w:val="32"/>
          <w:szCs w:val="32"/>
        </w:rPr>
        <w:t>卫生健康</w:t>
      </w:r>
      <w:r>
        <w:rPr>
          <w:rStyle w:val="17"/>
          <w:rFonts w:hint="eastAsia" w:ascii="仿宋_GB2312" w:hAnsi="仿宋" w:eastAsia="仿宋_GB2312"/>
          <w:b w:val="0"/>
          <w:bCs/>
          <w:color w:val="000000"/>
          <w:sz w:val="32"/>
          <w:szCs w:val="32"/>
        </w:rPr>
        <w:t>（类）行政事业单位医疗（款）行政单位医疗（项）:支出决算为8.39万元，完成预算100%，决算数与预算数持平。</w:t>
      </w:r>
    </w:p>
    <w:p w14:paraId="772DCE7D">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12.</w:t>
      </w:r>
      <w:r>
        <w:rPr>
          <w:rFonts w:hint="eastAsia" w:ascii="仿宋_GB2312" w:hAnsi="仿宋" w:eastAsia="仿宋_GB2312"/>
          <w:bCs/>
          <w:color w:val="000000"/>
          <w:sz w:val="32"/>
          <w:szCs w:val="32"/>
        </w:rPr>
        <w:t>卫生健康</w:t>
      </w:r>
      <w:r>
        <w:rPr>
          <w:rStyle w:val="17"/>
          <w:rFonts w:hint="eastAsia" w:ascii="仿宋_GB2312" w:hAnsi="仿宋" w:eastAsia="仿宋_GB2312"/>
          <w:b w:val="0"/>
          <w:bCs/>
          <w:color w:val="000000"/>
          <w:sz w:val="32"/>
          <w:szCs w:val="32"/>
        </w:rPr>
        <w:t>（类）行政事业单位医疗（款）事业单位医疗（项）:支出决算为1.15万元，完成预算100%，决算数与预算数持平。</w:t>
      </w:r>
    </w:p>
    <w:p w14:paraId="042529F9">
      <w:pPr>
        <w:pStyle w:val="2"/>
        <w:spacing w:before="93"/>
        <w:rPr>
          <w:rStyle w:val="17"/>
          <w:rFonts w:hAnsi="仿宋"/>
          <w:b w:val="0"/>
          <w:bCs/>
          <w:color w:val="000000"/>
          <w:sz w:val="32"/>
          <w:szCs w:val="32"/>
        </w:rPr>
      </w:pPr>
      <w:r>
        <w:rPr>
          <w:rStyle w:val="17"/>
          <w:rFonts w:hint="eastAsia" w:hAnsi="仿宋"/>
          <w:b w:val="0"/>
          <w:bCs/>
          <w:color w:val="000000"/>
          <w:sz w:val="32"/>
          <w:szCs w:val="32"/>
        </w:rPr>
        <w:t>13.</w:t>
      </w:r>
      <w:r>
        <w:rPr>
          <w:rFonts w:hint="eastAsia" w:hAnsi="仿宋"/>
          <w:bCs/>
          <w:color w:val="000000"/>
          <w:sz w:val="32"/>
          <w:szCs w:val="32"/>
        </w:rPr>
        <w:t>农林水支出</w:t>
      </w:r>
      <w:r>
        <w:rPr>
          <w:rStyle w:val="17"/>
          <w:rFonts w:hint="eastAsia" w:hAnsi="仿宋"/>
          <w:b w:val="0"/>
          <w:bCs/>
          <w:color w:val="000000"/>
          <w:sz w:val="32"/>
          <w:szCs w:val="32"/>
        </w:rPr>
        <w:t>（类）扶贫（款）农村基础设施建设（项）:支出决算为97.30万元，完成预算100%，决算数与预算数持平。</w:t>
      </w:r>
    </w:p>
    <w:p w14:paraId="1291C0C9">
      <w:pPr>
        <w:pStyle w:val="2"/>
        <w:spacing w:before="93"/>
        <w:rPr>
          <w:sz w:val="32"/>
          <w:szCs w:val="32"/>
        </w:rPr>
      </w:pPr>
      <w:r>
        <w:rPr>
          <w:rFonts w:hint="eastAsia"/>
          <w:sz w:val="32"/>
          <w:szCs w:val="32"/>
        </w:rPr>
        <w:t>14.交通运输（类）公路水路运输（款）行政运行（项）：支出决算为361.39万元，完成预算100%，决算数与预算数持平。</w:t>
      </w:r>
    </w:p>
    <w:p w14:paraId="0A4CE2D6">
      <w:pPr>
        <w:pStyle w:val="2"/>
        <w:spacing w:before="93"/>
        <w:rPr>
          <w:sz w:val="32"/>
          <w:szCs w:val="32"/>
        </w:rPr>
      </w:pPr>
      <w:r>
        <w:rPr>
          <w:rFonts w:hint="eastAsia"/>
          <w:sz w:val="32"/>
          <w:szCs w:val="32"/>
        </w:rPr>
        <w:t xml:space="preserve">    15.交通运输（类）公路水路运输（款）一般行政管理事务（项）：支出决算为1.44万元，完成预算100%，决算数与预算数持平。</w:t>
      </w:r>
    </w:p>
    <w:p w14:paraId="759BF9EF">
      <w:pPr>
        <w:pStyle w:val="2"/>
        <w:spacing w:before="93"/>
        <w:rPr>
          <w:sz w:val="32"/>
          <w:szCs w:val="32"/>
        </w:rPr>
      </w:pPr>
      <w:r>
        <w:rPr>
          <w:rFonts w:hint="eastAsia"/>
          <w:sz w:val="32"/>
          <w:szCs w:val="32"/>
        </w:rPr>
        <w:t xml:space="preserve">    16.交通运输（类）公路水路运输（款）公路建设（项）：支出决算为1368.31万元，完成预算100%，决算数与预算数持平。</w:t>
      </w:r>
    </w:p>
    <w:p w14:paraId="22B37B91">
      <w:pPr>
        <w:pStyle w:val="2"/>
        <w:spacing w:before="93"/>
        <w:rPr>
          <w:sz w:val="32"/>
          <w:szCs w:val="32"/>
        </w:rPr>
      </w:pPr>
      <w:r>
        <w:rPr>
          <w:rFonts w:hint="eastAsia"/>
          <w:sz w:val="32"/>
          <w:szCs w:val="32"/>
        </w:rPr>
        <w:t xml:space="preserve">    17.交通运输（类）公路水路运输（款）水路运输管理（项）：支出决算为21.95万元，完成预算100%，决算数与预算数持平。</w:t>
      </w:r>
    </w:p>
    <w:p w14:paraId="078E98C5">
      <w:pPr>
        <w:pStyle w:val="2"/>
        <w:spacing w:before="93"/>
        <w:rPr>
          <w:sz w:val="32"/>
          <w:szCs w:val="32"/>
        </w:rPr>
      </w:pPr>
      <w:r>
        <w:rPr>
          <w:rFonts w:hint="eastAsia"/>
          <w:sz w:val="32"/>
          <w:szCs w:val="32"/>
        </w:rPr>
        <w:t xml:space="preserve">    18.交通运输（类）公路水路运输（款）其他公路水路运输支出（项）：支出决算为258.56万元，完成预算100%，决算数与预算数持平。</w:t>
      </w:r>
    </w:p>
    <w:p w14:paraId="6C13BD98">
      <w:pPr>
        <w:pStyle w:val="2"/>
        <w:spacing w:before="93"/>
        <w:rPr>
          <w:sz w:val="32"/>
          <w:szCs w:val="32"/>
        </w:rPr>
      </w:pPr>
      <w:r>
        <w:rPr>
          <w:rFonts w:hint="eastAsia"/>
          <w:sz w:val="32"/>
          <w:szCs w:val="32"/>
        </w:rPr>
        <w:t xml:space="preserve">    19.交通运输（类）成品油价格改革对交通运输的补贴（款）对城市公交的补贴（项）：支出决算为191.00万元，完成预算100%，决算数与预算数持平。</w:t>
      </w:r>
    </w:p>
    <w:p w14:paraId="4B01BB6A">
      <w:pPr>
        <w:pStyle w:val="2"/>
        <w:spacing w:before="93"/>
        <w:rPr>
          <w:sz w:val="32"/>
          <w:szCs w:val="32"/>
        </w:rPr>
      </w:pPr>
      <w:r>
        <w:rPr>
          <w:rFonts w:hint="eastAsia"/>
          <w:sz w:val="32"/>
          <w:szCs w:val="32"/>
        </w:rPr>
        <w:t xml:space="preserve">    20.交通运输（类）成品油价格改革对交通运输的补贴（款）对农村道路客运的补贴（项）：支出决算为134.14万元，完成预算100%，决算数与预算数持平。</w:t>
      </w:r>
    </w:p>
    <w:p w14:paraId="3C040834">
      <w:pPr>
        <w:pStyle w:val="2"/>
        <w:spacing w:before="93"/>
        <w:rPr>
          <w:sz w:val="32"/>
          <w:szCs w:val="32"/>
        </w:rPr>
      </w:pPr>
      <w:r>
        <w:rPr>
          <w:rFonts w:hint="eastAsia"/>
          <w:sz w:val="32"/>
          <w:szCs w:val="32"/>
        </w:rPr>
        <w:t xml:space="preserve">    21.交通运输（类）成品油价格改革对交通运输的补贴（款）对出租车的补贴（项）：支出决算为9.74万元，完成预算100%，决算数与预算数持平。</w:t>
      </w:r>
    </w:p>
    <w:p w14:paraId="74730869">
      <w:pPr>
        <w:pStyle w:val="2"/>
        <w:spacing w:before="93"/>
        <w:rPr>
          <w:sz w:val="32"/>
          <w:szCs w:val="32"/>
        </w:rPr>
      </w:pPr>
      <w:r>
        <w:rPr>
          <w:rFonts w:hint="eastAsia"/>
          <w:sz w:val="32"/>
          <w:szCs w:val="32"/>
        </w:rPr>
        <w:t xml:space="preserve">    22.交通运输（类）成品油价格改革对交通运输的补贴（款）成品油价格改革补贴其他支出（项）：支出决算为52.65万元，完成预算100%，决算数与预算数持平。</w:t>
      </w:r>
    </w:p>
    <w:p w14:paraId="5C77B3F2">
      <w:pPr>
        <w:pStyle w:val="2"/>
        <w:spacing w:before="93"/>
        <w:rPr>
          <w:sz w:val="32"/>
          <w:szCs w:val="32"/>
        </w:rPr>
      </w:pPr>
      <w:r>
        <w:rPr>
          <w:rFonts w:hint="eastAsia"/>
          <w:sz w:val="32"/>
          <w:szCs w:val="32"/>
        </w:rPr>
        <w:t xml:space="preserve">    23.交通运输（类）车辆购置税（款）车辆购置税用于公路等基础设施建设（项）：支出决算为5097.04万元，完成预算100%，决算数与预算数持平。</w:t>
      </w:r>
    </w:p>
    <w:p w14:paraId="5C0B0342">
      <w:pPr>
        <w:pStyle w:val="2"/>
        <w:spacing w:before="93"/>
        <w:rPr>
          <w:sz w:val="32"/>
          <w:szCs w:val="32"/>
        </w:rPr>
      </w:pPr>
      <w:r>
        <w:rPr>
          <w:rFonts w:hint="eastAsia"/>
          <w:sz w:val="32"/>
          <w:szCs w:val="32"/>
        </w:rPr>
        <w:t xml:space="preserve">    24.交通运输（类）车辆购置税（款）车辆购置税用于农村公路建设（项）：支出决算为378.30万元，完成预算100%，决算数与预算数持平。</w:t>
      </w:r>
    </w:p>
    <w:p w14:paraId="132D509C">
      <w:pPr>
        <w:pStyle w:val="2"/>
        <w:spacing w:before="93"/>
        <w:rPr>
          <w:sz w:val="32"/>
          <w:szCs w:val="32"/>
        </w:rPr>
      </w:pPr>
      <w:r>
        <w:rPr>
          <w:rFonts w:hint="eastAsia"/>
          <w:sz w:val="32"/>
          <w:szCs w:val="32"/>
        </w:rPr>
        <w:t xml:space="preserve">    25.交通运输（类）车辆购置税（款）车辆购置税其他支出（项）：支出决算为1120.39万元，完成预算100%，决算数与预算数持平。</w:t>
      </w:r>
    </w:p>
    <w:p w14:paraId="12C47740">
      <w:pPr>
        <w:ind w:firstLine="640" w:firstLineChars="200"/>
        <w:rPr>
          <w:rFonts w:ascii="仿宋_GB2312" w:hAnsi="仿宋" w:eastAsia="仿宋_GB2312"/>
          <w:b/>
          <w:color w:val="FF0000"/>
          <w:sz w:val="32"/>
          <w:szCs w:val="32"/>
        </w:rPr>
      </w:pPr>
      <w:r>
        <w:rPr>
          <w:rStyle w:val="17"/>
          <w:rFonts w:hint="eastAsia" w:ascii="仿宋_GB2312" w:hAnsi="仿宋" w:eastAsia="仿宋_GB2312"/>
          <w:b w:val="0"/>
          <w:bCs/>
          <w:color w:val="000000"/>
          <w:sz w:val="32"/>
          <w:szCs w:val="32"/>
        </w:rPr>
        <w:t>26.</w:t>
      </w:r>
      <w:r>
        <w:rPr>
          <w:rFonts w:hint="eastAsia" w:ascii="仿宋_GB2312" w:hAnsi="仿宋" w:eastAsia="仿宋_GB2312"/>
          <w:bCs/>
          <w:color w:val="000000"/>
          <w:sz w:val="32"/>
          <w:szCs w:val="32"/>
        </w:rPr>
        <w:t>住房保障支出</w:t>
      </w:r>
      <w:r>
        <w:rPr>
          <w:rStyle w:val="17"/>
          <w:rFonts w:hint="eastAsia" w:ascii="仿宋_GB2312" w:hAnsi="仿宋" w:eastAsia="仿宋_GB2312"/>
          <w:b w:val="0"/>
          <w:bCs/>
          <w:color w:val="000000"/>
          <w:sz w:val="32"/>
          <w:szCs w:val="32"/>
        </w:rPr>
        <w:t>（类）住房改革支出（款）住房公积金（项）:支出决算为34.70万元，完成预算100%，决算数与预算数持平。</w:t>
      </w:r>
    </w:p>
    <w:p w14:paraId="3B48F53C">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单位涉及的全部功能分类科目，至项级。上述“预算”口径为调整预算数。增减变动原因为决算数&lt;项级&gt;和调整预算数&lt;项级&gt;比较，与预算数持平可以不写原因。）</w:t>
      </w:r>
    </w:p>
    <w:p w14:paraId="3276EBF9">
      <w:pPr>
        <w:spacing w:line="600" w:lineRule="exact"/>
        <w:ind w:firstLine="640"/>
        <w:rPr>
          <w:rFonts w:ascii="仿宋_GB2312" w:hAnsi="仿宋_GB2312" w:eastAsia="仿宋_GB2312" w:cs="仿宋_GB2312"/>
          <w:bCs/>
          <w:sz w:val="32"/>
          <w:szCs w:val="32"/>
        </w:rPr>
      </w:pPr>
    </w:p>
    <w:p w14:paraId="711E6010">
      <w:pPr>
        <w:tabs>
          <w:tab w:val="right" w:pos="8306"/>
        </w:tabs>
        <w:spacing w:line="600" w:lineRule="exact"/>
        <w:ind w:firstLine="640"/>
        <w:outlineLvl w:val="1"/>
        <w:rPr>
          <w:rStyle w:val="21"/>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1"/>
          <w:rFonts w:hint="eastAsia" w:ascii="黑体" w:hAnsi="黑体" w:eastAsia="黑体"/>
          <w:b w:val="0"/>
        </w:rPr>
        <w:t>般公共预算财政拨款基本支出决算情况说明</w:t>
      </w:r>
      <w:bookmarkEnd w:id="34"/>
      <w:bookmarkEnd w:id="35"/>
      <w:r>
        <w:rPr>
          <w:rStyle w:val="21"/>
          <w:rFonts w:ascii="黑体" w:hAnsi="黑体" w:eastAsia="黑体"/>
          <w:b w:val="0"/>
        </w:rPr>
        <w:tab/>
      </w:r>
    </w:p>
    <w:p w14:paraId="730CAC06">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2021年一般公共预算财政拨款基本支出488.90万元，其中：</w:t>
      </w:r>
    </w:p>
    <w:p w14:paraId="3C9F45F4">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418.53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70.37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98DBCD3">
      <w:pPr>
        <w:spacing w:line="60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（注：数据来源于财决07表和财决08-1表，仅罗列本单位实际支出涉及的经济分类科目。）</w:t>
      </w:r>
    </w:p>
    <w:p w14:paraId="69876DA8">
      <w:pPr>
        <w:spacing w:line="600" w:lineRule="exact"/>
        <w:ind w:firstLine="640"/>
        <w:rPr>
          <w:rFonts w:ascii="仿宋_GB2312" w:hAnsi="仿宋_GB2312" w:eastAsia="仿宋_GB2312" w:cs="仿宋_GB2312"/>
          <w:b/>
          <w:sz w:val="32"/>
          <w:szCs w:val="32"/>
        </w:rPr>
      </w:pPr>
    </w:p>
    <w:p w14:paraId="02920536">
      <w:pPr>
        <w:spacing w:line="600" w:lineRule="exact"/>
        <w:ind w:firstLine="640"/>
        <w:outlineLvl w:val="1"/>
        <w:rPr>
          <w:rStyle w:val="21"/>
          <w:rFonts w:ascii="黑体" w:hAnsi="黑体" w:eastAsia="黑体"/>
          <w:b w:val="0"/>
        </w:rPr>
      </w:pPr>
      <w:bookmarkStart w:id="36" w:name="_Toc15377215"/>
      <w:bookmarkStart w:id="37" w:name="_Toc15396609"/>
      <w:r>
        <w:rPr>
          <w:rFonts w:hint="eastAsia" w:ascii="黑体" w:eastAsia="黑体"/>
          <w:sz w:val="32"/>
          <w:szCs w:val="32"/>
        </w:rPr>
        <w:t>七、</w:t>
      </w:r>
      <w:r>
        <w:rPr>
          <w:rStyle w:val="21"/>
          <w:rFonts w:hint="eastAsia" w:ascii="黑体" w:hAnsi="黑体" w:eastAsia="黑体"/>
        </w:rPr>
        <w:t>“</w:t>
      </w:r>
      <w:r>
        <w:rPr>
          <w:rStyle w:val="21"/>
          <w:rFonts w:hint="eastAsia" w:ascii="黑体" w:hAnsi="黑体" w:eastAsia="黑体"/>
          <w:b w:val="0"/>
        </w:rPr>
        <w:t>三公”经费财政拨款支出决算情况说明</w:t>
      </w:r>
      <w:bookmarkEnd w:id="36"/>
      <w:bookmarkEnd w:id="37"/>
    </w:p>
    <w:p w14:paraId="77DD02A9">
      <w:pPr>
        <w:spacing w:line="600" w:lineRule="exact"/>
        <w:ind w:firstLine="640"/>
        <w:outlineLvl w:val="2"/>
        <w:rPr>
          <w:rFonts w:ascii="楷体_GB2312" w:hAnsi="楷体_GB2312" w:eastAsia="楷体_GB2312" w:cs="楷体_GB2312"/>
          <w:bCs/>
          <w:sz w:val="32"/>
          <w:szCs w:val="32"/>
        </w:rPr>
      </w:pPr>
      <w:bookmarkStart w:id="38" w:name="_Toc15377216"/>
      <w:r>
        <w:rPr>
          <w:rFonts w:hint="eastAsia" w:ascii="楷体_GB2312" w:hAnsi="楷体_GB2312" w:eastAsia="楷体_GB2312" w:cs="楷体_GB2312"/>
          <w:bCs/>
          <w:sz w:val="32"/>
          <w:szCs w:val="32"/>
        </w:rPr>
        <w:t>（一）“三公”经费财政拨款支出决算总体情况说明</w:t>
      </w:r>
      <w:bookmarkEnd w:id="38"/>
    </w:p>
    <w:p w14:paraId="04B75877">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2021年“三公”经费财政拨款支出决算为9.19万元，完成预算100%，决算数与预算数持平。</w:t>
      </w:r>
    </w:p>
    <w:p w14:paraId="237CB399">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（注：上述“预算”口径为调整预算数，包括一般公共预算和政府性基金预算财政拨款支出决算情况。）</w:t>
      </w:r>
    </w:p>
    <w:p w14:paraId="3AC516B3">
      <w:pPr>
        <w:spacing w:line="600" w:lineRule="exact"/>
        <w:ind w:firstLine="640"/>
        <w:outlineLvl w:val="2"/>
        <w:rPr>
          <w:rFonts w:ascii="楷体_GB2312" w:hAnsi="楷体_GB2312" w:eastAsia="楷体_GB2312" w:cs="楷体_GB2312"/>
          <w:bCs/>
          <w:sz w:val="32"/>
          <w:szCs w:val="32"/>
        </w:rPr>
      </w:pPr>
      <w:bookmarkStart w:id="39" w:name="_Toc15377217"/>
      <w:r>
        <w:rPr>
          <w:rFonts w:hint="eastAsia" w:ascii="楷体_GB2312" w:hAnsi="楷体_GB2312" w:eastAsia="楷体_GB2312" w:cs="楷体_GB2312"/>
          <w:bCs/>
          <w:sz w:val="32"/>
          <w:szCs w:val="32"/>
        </w:rPr>
        <w:t>（二）“三公”经费财政拨款支出决算具体情况说明</w:t>
      </w:r>
      <w:bookmarkEnd w:id="39"/>
    </w:p>
    <w:p w14:paraId="52223AE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2021年“三公”经费财政拨款支出决算中，因公出国（境）费支出决算0万元，占0%；公务用车购置及运行维护费支出决算8.93万元，占97.17%；公务接待费支出决算0.26万元，占2.83%。具体情况如下：</w:t>
      </w:r>
    </w:p>
    <w:p w14:paraId="7F5D326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14:paraId="2863ACB4">
      <w:pPr>
        <w:pStyle w:val="2"/>
        <w:spacing w:before="93"/>
      </w:pPr>
    </w:p>
    <w:p w14:paraId="75404E49">
      <w:pPr>
        <w:pStyle w:val="2"/>
        <w:spacing w:before="93"/>
      </w:pPr>
    </w:p>
    <w:p w14:paraId="594053FA">
      <w:pPr>
        <w:pStyle w:val="2"/>
        <w:spacing w:before="93"/>
      </w:pPr>
    </w:p>
    <w:p w14:paraId="5B3321A9">
      <w:pPr>
        <w:pStyle w:val="2"/>
        <w:spacing w:before="93"/>
      </w:pPr>
    </w:p>
    <w:p w14:paraId="04FE509A">
      <w:pPr>
        <w:pStyle w:val="2"/>
        <w:spacing w:before="93"/>
      </w:pPr>
      <w:r>
        <w:drawing>
          <wp:anchor distT="0" distB="0" distL="114300" distR="114300" simplePos="0" relativeHeight="251665408" behindDoc="0" locked="0" layoutInCell="1" allowOverlap="1">
            <wp:simplePos x="0" y="0"/>
            <wp:positionH relativeFrom="column">
              <wp:posOffset>45085</wp:posOffset>
            </wp:positionH>
            <wp:positionV relativeFrom="paragraph">
              <wp:posOffset>22225</wp:posOffset>
            </wp:positionV>
            <wp:extent cx="5486400" cy="4191000"/>
            <wp:effectExtent l="0" t="0" r="0" b="0"/>
            <wp:wrapNone/>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3"/>
                    <a:stretch>
                      <a:fillRect/>
                    </a:stretch>
                  </pic:blipFill>
                  <pic:spPr>
                    <a:xfrm>
                      <a:off x="0" y="0"/>
                      <a:ext cx="5486400" cy="4191000"/>
                    </a:xfrm>
                    <a:prstGeom prst="rect">
                      <a:avLst/>
                    </a:prstGeom>
                    <a:noFill/>
                    <a:ln>
                      <a:noFill/>
                    </a:ln>
                  </pic:spPr>
                </pic:pic>
              </a:graphicData>
            </a:graphic>
          </wp:anchor>
        </w:drawing>
      </w:r>
    </w:p>
    <w:p w14:paraId="5CE9D9A1">
      <w:pPr>
        <w:pStyle w:val="2"/>
        <w:spacing w:before="93"/>
      </w:pPr>
    </w:p>
    <w:p w14:paraId="4EA9FF02">
      <w:pPr>
        <w:pStyle w:val="2"/>
        <w:spacing w:before="93"/>
      </w:pPr>
    </w:p>
    <w:p w14:paraId="6687FB7B">
      <w:pPr>
        <w:pStyle w:val="2"/>
        <w:spacing w:before="93"/>
      </w:pPr>
    </w:p>
    <w:p w14:paraId="34F5CCAC">
      <w:pPr>
        <w:pStyle w:val="2"/>
        <w:spacing w:before="93"/>
      </w:pPr>
    </w:p>
    <w:p w14:paraId="4C5F53F3">
      <w:pPr>
        <w:pStyle w:val="2"/>
        <w:spacing w:before="93"/>
      </w:pPr>
    </w:p>
    <w:p w14:paraId="0CE85C3A">
      <w:pPr>
        <w:pStyle w:val="2"/>
        <w:spacing w:before="93"/>
      </w:pPr>
    </w:p>
    <w:p w14:paraId="6A777C0A">
      <w:pPr>
        <w:pStyle w:val="2"/>
        <w:spacing w:before="93"/>
      </w:pPr>
    </w:p>
    <w:p w14:paraId="3B440D7F">
      <w:pPr>
        <w:pStyle w:val="2"/>
        <w:spacing w:before="93"/>
      </w:pPr>
    </w:p>
    <w:p w14:paraId="01A9D1EE">
      <w:pPr>
        <w:pStyle w:val="2"/>
        <w:spacing w:before="93"/>
      </w:pPr>
    </w:p>
    <w:p w14:paraId="7A624B50">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1．因公出国（境）经费支出0万元，</w:t>
      </w:r>
      <w:r>
        <w:rPr>
          <w:rStyle w:val="17"/>
          <w:rFonts w:hint="eastAsia" w:ascii="仿宋_GB2312" w:hAnsi="仿宋_GB2312" w:eastAsia="仿宋_GB2312" w:cs="仿宋_GB2312"/>
          <w:b w:val="0"/>
          <w:bCs/>
          <w:sz w:val="32"/>
          <w:szCs w:val="32"/>
        </w:rPr>
        <w:t>完成预算0%。</w:t>
      </w:r>
      <w:r>
        <w:rPr>
          <w:rFonts w:hint="eastAsia" w:ascii="仿宋_GB2312" w:hAnsi="仿宋_GB2312" w:eastAsia="仿宋_GB2312" w:cs="仿宋_GB2312"/>
          <w:bCs/>
          <w:sz w:val="32"/>
          <w:szCs w:val="32"/>
        </w:rPr>
        <w:t>全年安排因公出国（境）团组0次，出国（境）0人。本年无此项业务发生。</w:t>
      </w:r>
    </w:p>
    <w:p w14:paraId="60B26E3D">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2．公务用车购置及运行维护费支出8.93万元,</w:t>
      </w:r>
      <w:r>
        <w:rPr>
          <w:rStyle w:val="17"/>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Cs/>
          <w:sz w:val="32"/>
          <w:szCs w:val="32"/>
        </w:rPr>
        <w:t>公务用车购置及运行维护费支出决算比2020年增加8.82万元，主要原因是全市重点项目建设项目增多，疫情工作量加大，市委市政府交办的任务重。</w:t>
      </w:r>
    </w:p>
    <w:p w14:paraId="72161B3A">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0万元。全年按规定更新购置公务用车0辆，其中：轿车0辆、金额0万元，越野车0辆、金额0万元，载客汽车0辆、金额0万元。截至2021年12月底，单位共有公务用车8辆，其中：轿车3辆、越野车5辆、载客汽车0辆。</w:t>
      </w:r>
    </w:p>
    <w:p w14:paraId="4A22ABE0">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公务用车运行维护费支出8.93万元。</w:t>
      </w:r>
      <w:r>
        <w:rPr>
          <w:rFonts w:hint="eastAsia" w:ascii="仿宋_GB2312" w:hAnsi="仿宋_GB2312" w:eastAsia="仿宋_GB2312" w:cs="仿宋_GB2312"/>
          <w:sz w:val="32"/>
          <w:szCs w:val="32"/>
        </w:rPr>
        <w:t>主要用于</w:t>
      </w:r>
      <w:r>
        <w:rPr>
          <w:rFonts w:hint="eastAsia" w:ascii="仿宋_GB2312" w:hAnsi="仿宋" w:eastAsia="仿宋_GB2312"/>
          <w:sz w:val="32"/>
          <w:szCs w:val="32"/>
        </w:rPr>
        <w:t>全市交通运输市场监管，交通公路工程建设及养护管理，水上交通安全监管职责，监督、指导全市经营性道路运输源头安全、公路工程建设和交通企事业单位内部安全，以及完成市委市政府交的各项应急任务</w:t>
      </w:r>
      <w:r>
        <w:rPr>
          <w:rFonts w:hint="eastAsia" w:ascii="仿宋_GB2312" w:hAnsi="仿宋_GB2312" w:eastAsia="仿宋_GB2312" w:cs="仿宋_GB2312"/>
          <w:bCs/>
          <w:sz w:val="32"/>
          <w:szCs w:val="32"/>
        </w:rPr>
        <w:t>等所需的公务用车燃料费、维修费、过路过桥费、保险费等支出。</w:t>
      </w:r>
    </w:p>
    <w:p w14:paraId="4E6E5BD6">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3．公务接待费支出0.26万元，</w:t>
      </w:r>
      <w:r>
        <w:rPr>
          <w:rStyle w:val="17"/>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Cs/>
          <w:sz w:val="32"/>
          <w:szCs w:val="32"/>
        </w:rPr>
        <w:t>公务接待费支出决算比2020年减少0.76万元，下降74.51%。主要原因是预算更加精准，缩减开支。其中：</w:t>
      </w:r>
    </w:p>
    <w:p w14:paraId="1F21EB54">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国内公务接待支出0.26万元，</w:t>
      </w:r>
      <w:r>
        <w:rPr>
          <w:rFonts w:hint="eastAsia" w:ascii="仿宋_GB2312" w:hAnsi="仿宋_GB2312" w:eastAsia="仿宋_GB2312" w:cs="仿宋_GB2312"/>
          <w:sz w:val="32"/>
          <w:szCs w:val="32"/>
        </w:rPr>
        <w:t>主要用于</w:t>
      </w:r>
      <w:r>
        <w:rPr>
          <w:rFonts w:hint="eastAsia" w:ascii="仿宋_GB2312" w:hAnsi="仿宋" w:eastAsia="仿宋_GB2312"/>
          <w:sz w:val="32"/>
          <w:szCs w:val="32"/>
        </w:rPr>
        <w:t>全市交通运输市场监管，交通公路工程建设及养护管理，水上交通安全监管，监督、指导全市经营性道路运输源头安全、公路工程建设和交通企事业单位内部安全，以及完成市委市政府交的各项应急任务</w:t>
      </w:r>
      <w:r>
        <w:rPr>
          <w:rFonts w:hint="eastAsia" w:ascii="仿宋_GB2312" w:hAnsi="仿宋_GB2312" w:eastAsia="仿宋_GB2312" w:cs="仿宋_GB2312"/>
          <w:bCs/>
          <w:sz w:val="32"/>
          <w:szCs w:val="32"/>
        </w:rPr>
        <w:t>开支的交通费、住宿费、用餐费等。国内公务接待3批次，39人次（不包括陪同人员），共计支出0.26万元。</w:t>
      </w:r>
    </w:p>
    <w:p w14:paraId="5DE1A873">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外事接待支出0万元，外事接待0批次，0人，共计支出0万元。本年无此项业务发生。</w:t>
      </w:r>
    </w:p>
    <w:p w14:paraId="478700C4">
      <w:pPr>
        <w:spacing w:line="600" w:lineRule="exact"/>
        <w:ind w:firstLine="640"/>
        <w:outlineLvl w:val="1"/>
        <w:rPr>
          <w:rStyle w:val="21"/>
          <w:rFonts w:ascii="黑体" w:hAnsi="黑体" w:eastAsia="黑体"/>
        </w:rPr>
      </w:pPr>
      <w:bookmarkStart w:id="40" w:name="_Toc15396610"/>
      <w:bookmarkStart w:id="41" w:name="_Toc15377218"/>
      <w:r>
        <w:rPr>
          <w:rFonts w:hint="eastAsia" w:ascii="黑体" w:eastAsia="黑体"/>
          <w:sz w:val="32"/>
          <w:szCs w:val="32"/>
        </w:rPr>
        <w:t>八、</w:t>
      </w:r>
      <w:r>
        <w:rPr>
          <w:rStyle w:val="21"/>
          <w:rFonts w:hint="eastAsia" w:ascii="黑体" w:hAnsi="黑体" w:eastAsia="黑体"/>
          <w:b w:val="0"/>
        </w:rPr>
        <w:t>政府性基金预算支出决算情况说明</w:t>
      </w:r>
      <w:bookmarkEnd w:id="40"/>
      <w:bookmarkEnd w:id="41"/>
    </w:p>
    <w:p w14:paraId="65A3DEEC">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21年政府性基金预算财政拨款支出3371.36万元。</w:t>
      </w:r>
    </w:p>
    <w:p w14:paraId="4F1F1971">
      <w:pPr>
        <w:numPr>
          <w:ilvl w:val="0"/>
          <w:numId w:val="1"/>
        </w:numPr>
        <w:spacing w:line="600" w:lineRule="exact"/>
        <w:ind w:firstLine="640"/>
        <w:outlineLvl w:val="1"/>
        <w:rPr>
          <w:rStyle w:val="21"/>
          <w:rFonts w:ascii="黑体" w:hAnsi="黑体" w:eastAsia="黑体"/>
          <w:b w:val="0"/>
        </w:rPr>
      </w:pPr>
      <w:bookmarkStart w:id="42" w:name="_Toc15396611"/>
      <w:bookmarkStart w:id="43" w:name="_Toc15377219"/>
      <w:r>
        <w:rPr>
          <w:rStyle w:val="21"/>
          <w:rFonts w:hint="eastAsia" w:ascii="黑体" w:hAnsi="黑体" w:eastAsia="黑体"/>
          <w:b w:val="0"/>
        </w:rPr>
        <w:t>国有资本经营预算支出决算情况说明</w:t>
      </w:r>
      <w:bookmarkEnd w:id="42"/>
      <w:bookmarkEnd w:id="43"/>
    </w:p>
    <w:p w14:paraId="42581D6C">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04E063FF">
      <w:pPr>
        <w:spacing w:line="600" w:lineRule="exact"/>
        <w:jc w:val="center"/>
        <w:rPr>
          <w:rFonts w:ascii="方正小标宋简体" w:hAnsi="方正小标宋简体" w:eastAsia="方正小标宋简体" w:cs="方正小标宋简体"/>
          <w:sz w:val="44"/>
          <w:szCs w:val="44"/>
        </w:rPr>
      </w:pPr>
    </w:p>
    <w:p w14:paraId="35BB2942">
      <w:pPr>
        <w:numPr>
          <w:ilvl w:val="0"/>
          <w:numId w:val="1"/>
        </w:numPr>
        <w:spacing w:line="600" w:lineRule="exact"/>
        <w:ind w:firstLine="640"/>
        <w:outlineLvl w:val="1"/>
        <w:rPr>
          <w:rStyle w:val="21"/>
          <w:rFonts w:ascii="黑体" w:hAnsi="黑体" w:eastAsia="黑体"/>
          <w:b w:val="0"/>
        </w:rPr>
      </w:pPr>
      <w:bookmarkStart w:id="44" w:name="_Toc15377221"/>
      <w:bookmarkStart w:id="45" w:name="_Toc15396612"/>
      <w:r>
        <w:rPr>
          <w:rStyle w:val="21"/>
          <w:rFonts w:hint="eastAsia" w:ascii="黑体" w:hAnsi="黑体" w:eastAsia="黑体"/>
          <w:b w:val="0"/>
        </w:rPr>
        <w:t>其他重要事项的情况说明</w:t>
      </w:r>
      <w:bookmarkEnd w:id="44"/>
      <w:bookmarkEnd w:id="45"/>
    </w:p>
    <w:p w14:paraId="05E8DB83">
      <w:pPr>
        <w:spacing w:line="600" w:lineRule="exact"/>
        <w:ind w:firstLine="640" w:firstLineChars="200"/>
        <w:outlineLvl w:val="2"/>
        <w:rPr>
          <w:rFonts w:ascii="楷体_GB2312" w:hAnsi="楷体_GB2312" w:eastAsia="楷体_GB2312" w:cs="楷体_GB2312"/>
          <w:bCs/>
          <w:sz w:val="32"/>
          <w:szCs w:val="32"/>
        </w:rPr>
      </w:pPr>
      <w:bookmarkStart w:id="46" w:name="_Toc15377222"/>
      <w:r>
        <w:rPr>
          <w:rFonts w:hint="eastAsia" w:ascii="楷体_GB2312" w:hAnsi="楷体_GB2312" w:eastAsia="楷体_GB2312" w:cs="楷体_GB2312"/>
          <w:bCs/>
          <w:sz w:val="32"/>
          <w:szCs w:val="32"/>
        </w:rPr>
        <w:t>（一）机关运行经费支出情况</w:t>
      </w:r>
      <w:bookmarkEnd w:id="46"/>
    </w:p>
    <w:p w14:paraId="68C5E30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2021年，峨眉山市交通运输局机关运行经费支出70.37万元，比2020年增加19.98万元，增长39.65%。</w:t>
      </w:r>
      <w:r>
        <w:rPr>
          <w:rFonts w:hint="eastAsia" w:ascii="仿宋_GB2312" w:hAnsi="仿宋_GB2312" w:eastAsia="仿宋_GB2312" w:cs="仿宋_GB2312"/>
          <w:bCs/>
          <w:sz w:val="32"/>
          <w:szCs w:val="32"/>
        </w:rPr>
        <w:t>主要原因是全市重点项目建设项目增多，疫情工作量加大，市委市政府交办的任务重。</w:t>
      </w:r>
    </w:p>
    <w:p w14:paraId="49CD609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14:paraId="176BE062">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7" w:name="_Toc15377223"/>
      <w:r>
        <w:rPr>
          <w:rFonts w:hint="eastAsia" w:ascii="楷体_GB2312" w:hAnsi="楷体_GB2312" w:eastAsia="楷体_GB2312" w:cs="楷体_GB2312"/>
          <w:bCs/>
          <w:sz w:val="32"/>
          <w:szCs w:val="32"/>
        </w:rPr>
        <w:t>（二）政府采购支出情况</w:t>
      </w:r>
      <w:bookmarkEnd w:id="47"/>
    </w:p>
    <w:p w14:paraId="2D5B6F1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2021年，峨眉山市交通运输局政府采购支出总额9190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万元，其中：政府采购货物支出281.00万元、政府采购工程支出8657.00万元、政府采购服务支出252万元。主要用于</w:t>
      </w:r>
      <w:r>
        <w:rPr>
          <w:rFonts w:hint="eastAsia" w:ascii="仿宋_GB2312" w:hAnsi="仿宋" w:eastAsia="仿宋_GB2312"/>
          <w:sz w:val="32"/>
          <w:szCs w:val="32"/>
        </w:rPr>
        <w:t>全市交通公路工程建设及养护管理工作，</w:t>
      </w:r>
      <w:r>
        <w:rPr>
          <w:rFonts w:hint="eastAsia" w:ascii="仿宋_GB2312" w:hAnsi="仿宋_GB2312" w:eastAsia="仿宋_GB2312" w:cs="仿宋_GB2312"/>
          <w:sz w:val="32"/>
          <w:szCs w:val="32"/>
        </w:rPr>
        <w:t>授予中小企业合同金额9190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14:paraId="205D537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14:paraId="5AC72820">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14:paraId="07014A1F">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截至2021年12月31日，峨眉山市交通运输局共有车辆8辆，其中：主要领导干部用车0辆、机要通信用车1辆、应急保障用车0辆、执法执勤用车3辆、其他用车4辆，主要用于</w:t>
      </w:r>
      <w:r>
        <w:rPr>
          <w:rFonts w:hint="eastAsia" w:ascii="仿宋_GB2312" w:hAnsi="仿宋" w:eastAsia="仿宋_GB2312"/>
          <w:sz w:val="32"/>
          <w:szCs w:val="32"/>
        </w:rPr>
        <w:t>全市交通运输市场监管，交通公路工程建设及养护管理，水上交通安全监管，监督、指导全市经营性道路运输源头安全、公路工程建设和交通企事业单位内部安全，以及完成市委市政府交的各项应急任务等。</w:t>
      </w:r>
      <w:r>
        <w:rPr>
          <w:rFonts w:hint="eastAsia" w:ascii="仿宋_GB2312" w:hAnsi="仿宋_GB2312" w:eastAsia="仿宋_GB2312" w:cs="仿宋_GB2312"/>
          <w:sz w:val="32"/>
          <w:szCs w:val="32"/>
        </w:rPr>
        <w:t>单价50万元以上通用设备,0台（套），单价100万元以上专用设备0台（套）。</w:t>
      </w:r>
    </w:p>
    <w:p w14:paraId="593A1DF4">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（注：数据来源于财决附03表，按单位决算报表填报数据罗列车辆情况。）</w:t>
      </w:r>
    </w:p>
    <w:p w14:paraId="6F387E94">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14:paraId="3D79C5BD">
      <w:pPr>
        <w:pStyle w:val="2"/>
        <w:spacing w:before="93" w:line="600" w:lineRule="exact"/>
        <w:ind w:firstLine="640" w:firstLineChars="200"/>
        <w:rPr>
          <w:rFonts w:hAnsi="仿宋_GB2312" w:cs="仿宋_GB2312"/>
          <w:sz w:val="32"/>
          <w:szCs w:val="32"/>
          <w:highlight w:val="yellow"/>
        </w:rPr>
      </w:pPr>
      <w:r>
        <w:rPr>
          <w:rFonts w:hint="eastAsia" w:hAnsi="仿宋_GB2312" w:cs="仿宋_GB2312"/>
          <w:sz w:val="32"/>
          <w:szCs w:val="32"/>
        </w:rPr>
        <w:t>根据预算绩效管理要求，本部门在2021年度预算编制阶段，组织</w:t>
      </w:r>
      <w:r>
        <w:rPr>
          <w:rFonts w:hint="eastAsia"/>
          <w:color w:val="000000"/>
          <w:sz w:val="32"/>
          <w:szCs w:val="32"/>
          <w:shd w:val="clear" w:color="auto" w:fill="FFFFFF"/>
        </w:rPr>
        <w:t>对重点建设项目及交通安全工作经费、四好农村路常态化管理整治工作经费、通村组公路监督检查验收经费、县乡村道路维护及路长制考核经费、通村组道路建设补助、2</w:t>
      </w:r>
      <w:r>
        <w:rPr>
          <w:color w:val="000000"/>
          <w:sz w:val="32"/>
          <w:szCs w:val="32"/>
          <w:shd w:val="clear" w:color="auto" w:fill="FFFFFF"/>
        </w:rPr>
        <w:t>021年车辆购置税补助地方资金、</w:t>
      </w:r>
      <w:r>
        <w:rPr>
          <w:rFonts w:hint="eastAsia"/>
          <w:color w:val="000000"/>
          <w:sz w:val="32"/>
          <w:szCs w:val="32"/>
          <w:shd w:val="clear" w:color="auto" w:fill="FFFFFF"/>
        </w:rPr>
        <w:t>公汽司IC卡优惠政策补贴、九珠客运中心临时搬迁租金及税费、农村道路座位及天然气补贴、农村客运车辆和水运船舶保险补贴</w:t>
      </w:r>
      <w:r>
        <w:rPr>
          <w:rFonts w:hint="eastAsia" w:hAnsi="仿宋_GB2312" w:cs="仿宋_GB2312"/>
          <w:sz w:val="32"/>
          <w:szCs w:val="32"/>
        </w:rPr>
        <w:t>等</w:t>
      </w:r>
      <w:r>
        <w:rPr>
          <w:rFonts w:hAnsi="仿宋_GB2312" w:cs="仿宋_GB2312"/>
          <w:sz w:val="32"/>
          <w:szCs w:val="32"/>
        </w:rPr>
        <w:t>14</w:t>
      </w:r>
      <w:r>
        <w:rPr>
          <w:rFonts w:hint="eastAsia" w:hAnsi="仿宋_GB2312" w:cs="仿宋_GB2312"/>
          <w:sz w:val="32"/>
          <w:szCs w:val="32"/>
        </w:rPr>
        <w:t>个项目开展了预算事前绩效评估，对</w:t>
      </w:r>
      <w:r>
        <w:rPr>
          <w:rFonts w:hAnsi="仿宋_GB2312" w:cs="仿宋_GB2312"/>
          <w:sz w:val="32"/>
          <w:szCs w:val="32"/>
        </w:rPr>
        <w:t>14</w:t>
      </w:r>
      <w:r>
        <w:rPr>
          <w:rFonts w:hint="eastAsia" w:hAnsi="仿宋_GB2312" w:cs="仿宋_GB2312"/>
          <w:sz w:val="32"/>
          <w:szCs w:val="32"/>
        </w:rPr>
        <w:t>个项目编制了绩效目标，预算执行过程中，选取</w:t>
      </w:r>
      <w:r>
        <w:rPr>
          <w:rFonts w:hAnsi="仿宋_GB2312" w:cs="仿宋_GB2312"/>
          <w:sz w:val="32"/>
          <w:szCs w:val="32"/>
        </w:rPr>
        <w:t>14</w:t>
      </w:r>
      <w:r>
        <w:rPr>
          <w:rFonts w:hint="eastAsia" w:hAnsi="仿宋_GB2312" w:cs="仿宋_GB2312"/>
          <w:sz w:val="32"/>
          <w:szCs w:val="32"/>
        </w:rPr>
        <w:t>个项目开展绩效监控，年终执行完毕后，对</w:t>
      </w:r>
      <w:r>
        <w:rPr>
          <w:rFonts w:hAnsi="仿宋_GB2312" w:cs="仿宋_GB2312"/>
          <w:sz w:val="32"/>
          <w:szCs w:val="32"/>
        </w:rPr>
        <w:t>5</w:t>
      </w:r>
      <w:r>
        <w:rPr>
          <w:rFonts w:hint="eastAsia" w:hAnsi="仿宋_GB2312" w:cs="仿宋_GB2312"/>
          <w:sz w:val="32"/>
          <w:szCs w:val="32"/>
        </w:rPr>
        <w:t>个项目开展了绩效自评。同时，本部门对2021年部门整体开展绩效自评，《2021年交通运输局部门整体绩效评价报告》见附件（第四部分）。</w:t>
      </w:r>
    </w:p>
    <w:p w14:paraId="721BB2A8">
      <w:pPr>
        <w:widowControl/>
        <w:spacing w:line="600" w:lineRule="exact"/>
        <w:jc w:val="left"/>
        <w:rPr>
          <w:rFonts w:ascii="仿宋_GB2312" w:eastAsia="仿宋_GB2312"/>
          <w:b/>
          <w:sz w:val="32"/>
          <w:szCs w:val="32"/>
        </w:rPr>
      </w:pPr>
      <w:r>
        <w:rPr>
          <w:rFonts w:ascii="仿宋_GB2312" w:eastAsia="仿宋_GB2312"/>
          <w:b/>
          <w:sz w:val="32"/>
          <w:szCs w:val="32"/>
        </w:rPr>
        <w:br w:type="page"/>
      </w:r>
    </w:p>
    <w:p w14:paraId="49EF8B75">
      <w:pPr>
        <w:spacing w:line="600" w:lineRule="exact"/>
        <w:jc w:val="center"/>
        <w:outlineLvl w:val="0"/>
        <w:rPr>
          <w:rStyle w:val="20"/>
          <w:rFonts w:ascii="方正小标宋_GBK" w:hAnsi="方正小标宋_GBK" w:eastAsia="方正小标宋_GBK" w:cs="方正小标宋_GBK"/>
          <w:b w:val="0"/>
        </w:rPr>
      </w:pPr>
      <w:bookmarkStart w:id="49" w:name="_Toc15396613"/>
      <w:bookmarkStart w:id="50" w:name="_Toc15377225"/>
      <w:r>
        <w:rPr>
          <w:rFonts w:hint="eastAsia" w:ascii="方正小标宋_GBK" w:hAnsi="方正小标宋_GBK" w:eastAsia="方正小标宋_GBK" w:cs="方正小标宋_GBK"/>
          <w:sz w:val="44"/>
          <w:szCs w:val="44"/>
        </w:rPr>
        <w:t>第三部分名</w:t>
      </w:r>
      <w:r>
        <w:rPr>
          <w:rStyle w:val="20"/>
          <w:rFonts w:hint="eastAsia" w:ascii="方正小标宋_GBK" w:hAnsi="方正小标宋_GBK" w:eastAsia="方正小标宋_GBK" w:cs="方正小标宋_GBK"/>
          <w:b w:val="0"/>
        </w:rPr>
        <w:t>词解释</w:t>
      </w:r>
      <w:bookmarkEnd w:id="49"/>
      <w:bookmarkEnd w:id="50"/>
    </w:p>
    <w:p w14:paraId="5D735EC9">
      <w:pPr>
        <w:spacing w:line="600" w:lineRule="exact"/>
        <w:jc w:val="left"/>
        <w:rPr>
          <w:rFonts w:ascii="宋体"/>
          <w:b/>
          <w:sz w:val="44"/>
          <w:szCs w:val="44"/>
        </w:rPr>
      </w:pPr>
    </w:p>
    <w:p w14:paraId="10918CBC">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14:paraId="10BEB295">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14:paraId="1134E3E7">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14:paraId="5E69A13D">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14:paraId="5DA5077F">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14:paraId="242D6D2C">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14:paraId="16F65467">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14:paraId="563CBD32">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14:paraId="42066A8E">
      <w:pPr>
        <w:pStyle w:val="30"/>
        <w:spacing w:line="560" w:lineRule="exact"/>
        <w:ind w:firstLine="640" w:firstLineChars="200"/>
        <w:rPr>
          <w:rFonts w:hAnsi="仿宋"/>
          <w:sz w:val="32"/>
          <w:szCs w:val="32"/>
        </w:rPr>
      </w:pPr>
      <w:r>
        <w:rPr>
          <w:rFonts w:hint="eastAsia" w:hAnsi="仿宋"/>
          <w:sz w:val="32"/>
          <w:szCs w:val="32"/>
        </w:rPr>
        <w:t>九、社会保障和就业（类）行政事业单位养老支出（款）机关事业单位基本养老保险缴费支出（项）：是指反映机关事业单位实施养老保险制度由单位缴纳的基本养老保险费支出。</w:t>
      </w:r>
    </w:p>
    <w:p w14:paraId="2C3FAD7D">
      <w:pPr>
        <w:pStyle w:val="30"/>
        <w:spacing w:line="560" w:lineRule="exact"/>
        <w:ind w:firstLine="640" w:firstLineChars="200"/>
        <w:rPr>
          <w:rFonts w:hAnsi="仿宋"/>
          <w:sz w:val="32"/>
          <w:szCs w:val="32"/>
        </w:rPr>
      </w:pPr>
      <w:r>
        <w:rPr>
          <w:rFonts w:hint="eastAsia" w:hAnsi="仿宋"/>
          <w:sz w:val="32"/>
          <w:szCs w:val="32"/>
        </w:rPr>
        <w:t>十、社会保障和就业（类）行政事业单位养老支出（款）机关事业单位职业年金缴费支出（项）:是指反映机关事业单位实施养老保险制度由单位实际缴纳的职业年金支出。</w:t>
      </w:r>
    </w:p>
    <w:p w14:paraId="67A62845">
      <w:pPr>
        <w:pStyle w:val="30"/>
        <w:spacing w:line="560" w:lineRule="exact"/>
        <w:ind w:firstLine="640" w:firstLineChars="200"/>
        <w:rPr>
          <w:rFonts w:hAnsi="仿宋"/>
          <w:sz w:val="32"/>
          <w:szCs w:val="32"/>
        </w:rPr>
      </w:pPr>
      <w:r>
        <w:rPr>
          <w:rFonts w:hint="eastAsia" w:hAnsi="仿宋"/>
          <w:sz w:val="32"/>
          <w:szCs w:val="32"/>
        </w:rPr>
        <w:t>十一、社会保障和就业（类）抚恤（款）死亡抚恤（项）:反映按规定用于烈士和牺牲、病故人员家属的一次性和定期抚恤金以及丧葬补助费。</w:t>
      </w:r>
    </w:p>
    <w:p w14:paraId="1D88A808">
      <w:pPr>
        <w:pStyle w:val="30"/>
        <w:spacing w:line="560" w:lineRule="exact"/>
        <w:ind w:firstLine="640" w:firstLineChars="200"/>
        <w:rPr>
          <w:rFonts w:hAnsi="仿宋"/>
          <w:sz w:val="32"/>
          <w:szCs w:val="32"/>
        </w:rPr>
      </w:pPr>
      <w:r>
        <w:rPr>
          <w:rFonts w:hint="eastAsia" w:hAnsi="仿宋"/>
          <w:sz w:val="32"/>
          <w:szCs w:val="32"/>
        </w:rPr>
        <w:t>十二、社会保障和就业（类）抚恤（款）其他优抚支出（项）:反映除上述项目以外其他用于优抚方面的支出，包括向优抚对象发放的价格临时补贴等支出。</w:t>
      </w:r>
    </w:p>
    <w:p w14:paraId="43AC1D2A">
      <w:pPr>
        <w:pStyle w:val="30"/>
        <w:spacing w:line="560" w:lineRule="exact"/>
        <w:ind w:firstLine="640" w:firstLineChars="200"/>
        <w:rPr>
          <w:rFonts w:hAnsi="仿宋"/>
          <w:sz w:val="32"/>
          <w:szCs w:val="32"/>
        </w:rPr>
      </w:pPr>
      <w:r>
        <w:rPr>
          <w:rFonts w:hint="eastAsia" w:hAnsi="仿宋"/>
          <w:sz w:val="32"/>
          <w:szCs w:val="32"/>
        </w:rPr>
        <w:t>十三、社会保障和就业（类）残疾人事业（款）其他残疾人事业支出（项）:反映除上述项目以外</w:t>
      </w:r>
      <w:r>
        <w:rPr>
          <w:rFonts w:hAnsi="仿宋"/>
          <w:sz w:val="32"/>
          <w:szCs w:val="32"/>
        </w:rPr>
        <w:t>其他用</w:t>
      </w:r>
      <w:r>
        <w:rPr>
          <w:rFonts w:hint="eastAsia" w:hAnsi="仿宋"/>
          <w:sz w:val="32"/>
          <w:szCs w:val="32"/>
        </w:rPr>
        <w:t>于</w:t>
      </w:r>
      <w:r>
        <w:rPr>
          <w:rFonts w:hAnsi="仿宋"/>
          <w:sz w:val="32"/>
          <w:szCs w:val="32"/>
        </w:rPr>
        <w:t>残疾人事业方面的支</w:t>
      </w:r>
      <w:r>
        <w:rPr>
          <w:rFonts w:hint="eastAsia" w:hAnsi="仿宋"/>
          <w:sz w:val="32"/>
          <w:szCs w:val="32"/>
        </w:rPr>
        <w:t>出。</w:t>
      </w:r>
    </w:p>
    <w:p w14:paraId="193BBF99">
      <w:pPr>
        <w:pStyle w:val="30"/>
        <w:spacing w:line="560" w:lineRule="exact"/>
        <w:ind w:firstLine="640" w:firstLineChars="200"/>
        <w:rPr>
          <w:rFonts w:hAnsi="仿宋"/>
          <w:sz w:val="32"/>
          <w:szCs w:val="32"/>
        </w:rPr>
      </w:pPr>
      <w:r>
        <w:rPr>
          <w:rFonts w:hint="eastAsia" w:hAnsi="仿宋"/>
          <w:sz w:val="32"/>
          <w:szCs w:val="32"/>
        </w:rPr>
        <w:t>十四、社会保障和就业（类）其他社会保障和就业支出（款）其他社会保障和就业支出（项）:是指反映除上述项目以外其他用于社会保障和就业方面的支出。</w:t>
      </w:r>
    </w:p>
    <w:p w14:paraId="3DD2B2D4">
      <w:pPr>
        <w:pStyle w:val="30"/>
        <w:spacing w:line="560" w:lineRule="exact"/>
        <w:ind w:firstLine="640" w:firstLineChars="200"/>
        <w:rPr>
          <w:rFonts w:hAnsi="仿宋"/>
          <w:sz w:val="32"/>
          <w:szCs w:val="32"/>
        </w:rPr>
      </w:pPr>
      <w:r>
        <w:rPr>
          <w:rFonts w:hint="eastAsia" w:hAnsi="仿宋"/>
          <w:sz w:val="32"/>
          <w:szCs w:val="32"/>
        </w:rPr>
        <w:t>十五、卫生健康（类）行政事业单位医疗（款）行政单位医疗（项）:反映财政部门安排的行政单位（包括实行公务员管理的事业单位，下同）基本医疗保险缴费经费，未参加医疗保险的行政单位的公费医疗经费，按国家规定享受离退休人员、红军老战士待遇人员的医疗经费。</w:t>
      </w:r>
    </w:p>
    <w:p w14:paraId="43C4412D">
      <w:pPr>
        <w:pStyle w:val="30"/>
        <w:spacing w:line="560" w:lineRule="exact"/>
        <w:ind w:firstLine="640" w:firstLineChars="200"/>
        <w:rPr>
          <w:rFonts w:hAnsi="仿宋"/>
          <w:sz w:val="32"/>
          <w:szCs w:val="32"/>
        </w:rPr>
      </w:pPr>
      <w:r>
        <w:rPr>
          <w:rFonts w:hint="eastAsia" w:hAnsi="仿宋"/>
          <w:sz w:val="32"/>
          <w:szCs w:val="32"/>
        </w:rPr>
        <w:t>十六、卫生健康（类）行政事业单位医疗（款）事业单位医疗（项）:</w:t>
      </w:r>
      <w:r>
        <w:rPr>
          <w:rFonts w:hAnsi="仿宋"/>
          <w:sz w:val="32"/>
          <w:szCs w:val="32"/>
        </w:rPr>
        <w:t>反映财政部门安排的事业单位基本医疗保险缴费经费，未参加医疗保险的事业单位的公费医疗经费，按国家规定享受离休人员待遇的医疗经费</w:t>
      </w:r>
      <w:r>
        <w:rPr>
          <w:rFonts w:hint="eastAsia" w:hAnsi="仿宋"/>
          <w:sz w:val="32"/>
          <w:szCs w:val="32"/>
        </w:rPr>
        <w:t>。</w:t>
      </w:r>
    </w:p>
    <w:p w14:paraId="1ACB4E6F">
      <w:pPr>
        <w:pStyle w:val="30"/>
        <w:spacing w:line="560" w:lineRule="exact"/>
        <w:ind w:firstLine="640" w:firstLineChars="200"/>
        <w:rPr>
          <w:rFonts w:hAnsi="仿宋"/>
          <w:sz w:val="32"/>
          <w:szCs w:val="32"/>
        </w:rPr>
      </w:pPr>
      <w:r>
        <w:rPr>
          <w:rFonts w:hint="eastAsia" w:hAnsi="仿宋"/>
          <w:sz w:val="32"/>
          <w:szCs w:val="32"/>
        </w:rPr>
        <w:t>十七、农林水支出（类）扶贫（款）农村基础设施建设（项）：</w:t>
      </w:r>
      <w:r>
        <w:rPr>
          <w:rFonts w:hAnsi="仿宋"/>
          <w:sz w:val="32"/>
          <w:szCs w:val="32"/>
        </w:rPr>
        <w:t>反映用</w:t>
      </w:r>
      <w:r>
        <w:rPr>
          <w:rFonts w:hint="eastAsia" w:hAnsi="仿宋"/>
          <w:sz w:val="32"/>
          <w:szCs w:val="32"/>
        </w:rPr>
        <w:t>于</w:t>
      </w:r>
      <w:r>
        <w:rPr>
          <w:rFonts w:hAnsi="仿宋"/>
          <w:sz w:val="32"/>
          <w:szCs w:val="32"/>
        </w:rPr>
        <w:t>农村贫困地区乡村道路、住房、基本农田、水利设施、人畜饮水、生态环境保护等生产生活条件改善方面的支出。</w:t>
      </w:r>
    </w:p>
    <w:p w14:paraId="337D0B5A">
      <w:pPr>
        <w:pStyle w:val="30"/>
        <w:spacing w:line="560" w:lineRule="exact"/>
        <w:ind w:firstLine="640" w:firstLineChars="200"/>
        <w:rPr>
          <w:rFonts w:hAnsi="仿宋"/>
          <w:sz w:val="32"/>
          <w:szCs w:val="32"/>
        </w:rPr>
      </w:pPr>
      <w:r>
        <w:rPr>
          <w:rFonts w:hint="eastAsia" w:hAnsi="仿宋"/>
          <w:sz w:val="32"/>
          <w:szCs w:val="32"/>
        </w:rPr>
        <w:t>十八、城乡社区支出（类）国有土地使用权出让收入安排的支出（款）土地开发支出（项）：</w:t>
      </w:r>
      <w:r>
        <w:rPr>
          <w:rFonts w:hAnsi="仿宋"/>
          <w:sz w:val="32"/>
          <w:szCs w:val="32"/>
        </w:rPr>
        <w:t>反映新疆生产建设兵团和地方政府用</w:t>
      </w:r>
      <w:r>
        <w:rPr>
          <w:rFonts w:hint="eastAsia" w:hAnsi="仿宋"/>
          <w:sz w:val="32"/>
          <w:szCs w:val="32"/>
        </w:rPr>
        <w:t>于</w:t>
      </w:r>
      <w:r>
        <w:rPr>
          <w:rFonts w:hAnsi="仿宋"/>
          <w:sz w:val="32"/>
          <w:szCs w:val="32"/>
        </w:rPr>
        <w:t>前期土地开发性支出以及与前期土地开发相关的费</w:t>
      </w:r>
      <w:r>
        <w:rPr>
          <w:rFonts w:hint="eastAsia" w:hAnsi="仿宋"/>
          <w:sz w:val="32"/>
          <w:szCs w:val="32"/>
        </w:rPr>
        <w:t>用</w:t>
      </w:r>
      <w:r>
        <w:rPr>
          <w:rFonts w:hAnsi="仿宋"/>
          <w:sz w:val="32"/>
          <w:szCs w:val="32"/>
        </w:rPr>
        <w:t>等支出。</w:t>
      </w:r>
    </w:p>
    <w:p w14:paraId="3924A773">
      <w:pPr>
        <w:pStyle w:val="30"/>
        <w:spacing w:line="560" w:lineRule="exact"/>
        <w:ind w:firstLine="640" w:firstLineChars="200"/>
        <w:rPr>
          <w:rFonts w:hAnsi="仿宋"/>
          <w:sz w:val="32"/>
          <w:szCs w:val="32"/>
        </w:rPr>
      </w:pPr>
      <w:r>
        <w:rPr>
          <w:rFonts w:hint="eastAsia" w:hAnsi="仿宋"/>
          <w:sz w:val="32"/>
          <w:szCs w:val="32"/>
        </w:rPr>
        <w:t>十九、城乡社区支出（类）国有土地使用权出让收入安排的支出（款）农村基础设施建设支出（项）：</w:t>
      </w:r>
      <w:r>
        <w:rPr>
          <w:rFonts w:hAnsi="仿宋"/>
          <w:sz w:val="32"/>
          <w:szCs w:val="32"/>
        </w:rPr>
        <w:t>反映土地出让收入用</w:t>
      </w:r>
      <w:r>
        <w:rPr>
          <w:rFonts w:hint="eastAsia" w:hAnsi="仿宋"/>
          <w:sz w:val="32"/>
          <w:szCs w:val="32"/>
        </w:rPr>
        <w:t>于</w:t>
      </w:r>
      <w:r>
        <w:rPr>
          <w:rFonts w:hAnsi="仿宋"/>
          <w:sz w:val="32"/>
          <w:szCs w:val="32"/>
        </w:rPr>
        <w:t>农村饮水、环境、卫生、教育以及文化等基础设施建设支出。</w:t>
      </w:r>
    </w:p>
    <w:p w14:paraId="37C96A5A">
      <w:pPr>
        <w:pStyle w:val="30"/>
        <w:spacing w:line="560" w:lineRule="exact"/>
        <w:ind w:firstLine="640" w:firstLineChars="200"/>
        <w:rPr>
          <w:rFonts w:hAnsi="仿宋"/>
          <w:sz w:val="32"/>
          <w:szCs w:val="32"/>
        </w:rPr>
      </w:pPr>
      <w:r>
        <w:rPr>
          <w:rFonts w:hint="eastAsia" w:hAnsi="仿宋"/>
          <w:sz w:val="32"/>
          <w:szCs w:val="32"/>
        </w:rPr>
        <w:t>二十、城乡社区支出（类）国有土地使用权出让收入安排的支出（款）其他国有土地使用权出让收入安排的支出（项）：反映土地出让收入用于其他方面的支出。不包括市县级政府当年按规定用于土地出让收入向中央和省级政府缴纳的新增建设用地土地有偿使用费的支出</w:t>
      </w:r>
    </w:p>
    <w:p w14:paraId="3A2615C4">
      <w:pPr>
        <w:pStyle w:val="30"/>
        <w:spacing w:line="560" w:lineRule="exact"/>
        <w:ind w:firstLine="640" w:firstLineChars="200"/>
        <w:rPr>
          <w:rFonts w:hAnsi="仿宋"/>
          <w:sz w:val="32"/>
          <w:szCs w:val="32"/>
        </w:rPr>
      </w:pPr>
      <w:r>
        <w:rPr>
          <w:rFonts w:hint="eastAsia" w:hAnsi="仿宋"/>
          <w:sz w:val="32"/>
          <w:szCs w:val="32"/>
        </w:rPr>
        <w:t>二十一、交通运输支出（类）公路水路运输（款）行政运行（项）：反映与公路、水路运输相关的行政单（包括实行公务员管理的事业单位）的基本支出。</w:t>
      </w:r>
    </w:p>
    <w:p w14:paraId="1E017ABE">
      <w:pPr>
        <w:pStyle w:val="30"/>
        <w:spacing w:line="560" w:lineRule="exact"/>
        <w:ind w:firstLine="640" w:firstLineChars="200"/>
        <w:rPr>
          <w:rFonts w:hAnsi="仿宋"/>
          <w:sz w:val="32"/>
          <w:szCs w:val="32"/>
        </w:rPr>
      </w:pPr>
      <w:r>
        <w:rPr>
          <w:rFonts w:hint="eastAsia" w:hAnsi="仿宋"/>
          <w:sz w:val="32"/>
          <w:szCs w:val="32"/>
        </w:rPr>
        <w:t>二十二、交通运输支出（类）公路水路运输（款）一般行政管理事务（项）：</w:t>
      </w:r>
      <w:r>
        <w:rPr>
          <w:rFonts w:hAnsi="仿宋"/>
          <w:sz w:val="32"/>
          <w:szCs w:val="32"/>
        </w:rPr>
        <w:t>反映行政单位（包括实行公务员管理的事业单位）未单独设置项级科目的其他项目支出。</w:t>
      </w:r>
    </w:p>
    <w:p w14:paraId="50C5A8D4">
      <w:pPr>
        <w:pStyle w:val="30"/>
        <w:spacing w:line="560" w:lineRule="exact"/>
        <w:ind w:firstLine="640" w:firstLineChars="200"/>
        <w:rPr>
          <w:rFonts w:hAnsi="仿宋"/>
          <w:sz w:val="32"/>
          <w:szCs w:val="32"/>
        </w:rPr>
      </w:pPr>
    </w:p>
    <w:p w14:paraId="45485F96">
      <w:pPr>
        <w:pStyle w:val="30"/>
        <w:spacing w:line="560" w:lineRule="exact"/>
        <w:ind w:firstLine="640" w:firstLineChars="200"/>
        <w:rPr>
          <w:rFonts w:hAnsi="仿宋"/>
          <w:sz w:val="32"/>
          <w:szCs w:val="32"/>
        </w:rPr>
      </w:pPr>
      <w:r>
        <w:rPr>
          <w:rFonts w:hint="eastAsia" w:hAnsi="仿宋"/>
          <w:sz w:val="32"/>
          <w:szCs w:val="32"/>
        </w:rPr>
        <w:t>二十三、交通运输支出（类）公路水路运输（款）公路建设（项）：</w:t>
      </w:r>
      <w:r>
        <w:rPr>
          <w:rFonts w:hAnsi="仿宋"/>
          <w:sz w:val="32"/>
          <w:szCs w:val="32"/>
        </w:rPr>
        <w:t>反映新建公路支出，公路改建支出，特大型桥梁建设支出</w:t>
      </w:r>
      <w:r>
        <w:rPr>
          <w:rFonts w:hint="eastAsia" w:hAnsi="仿宋"/>
          <w:sz w:val="32"/>
          <w:szCs w:val="32"/>
        </w:rPr>
        <w:t>，</w:t>
      </w:r>
      <w:r>
        <w:rPr>
          <w:rFonts w:hAnsi="仿宋"/>
          <w:sz w:val="32"/>
          <w:szCs w:val="32"/>
        </w:rPr>
        <w:t>公路客货运站（场）建设支出。</w:t>
      </w:r>
    </w:p>
    <w:p w14:paraId="3E0AECD4">
      <w:pPr>
        <w:pStyle w:val="30"/>
        <w:spacing w:line="560" w:lineRule="exact"/>
        <w:ind w:firstLine="640" w:firstLineChars="200"/>
        <w:rPr>
          <w:rFonts w:hAnsi="仿宋"/>
          <w:sz w:val="32"/>
          <w:szCs w:val="32"/>
        </w:rPr>
      </w:pPr>
      <w:r>
        <w:rPr>
          <w:rFonts w:hint="eastAsia" w:hAnsi="仿宋"/>
          <w:sz w:val="32"/>
          <w:szCs w:val="32"/>
        </w:rPr>
        <w:t>二十四、交通运输支出（类）公路水路运输（款）其他公路水路运输支出（项）：</w:t>
      </w:r>
      <w:r>
        <w:rPr>
          <w:rFonts w:hAnsi="仿宋"/>
          <w:sz w:val="32"/>
          <w:szCs w:val="32"/>
        </w:rPr>
        <w:t>反映除上述项目以外其他用于公路水路运输方面的支出。</w:t>
      </w:r>
    </w:p>
    <w:p w14:paraId="50006CCD">
      <w:pPr>
        <w:pStyle w:val="30"/>
        <w:spacing w:line="560" w:lineRule="exact"/>
        <w:ind w:firstLine="640" w:firstLineChars="200"/>
        <w:rPr>
          <w:rFonts w:hAnsi="仿宋"/>
          <w:sz w:val="32"/>
          <w:szCs w:val="32"/>
        </w:rPr>
      </w:pPr>
      <w:r>
        <w:rPr>
          <w:rFonts w:hint="eastAsia" w:hAnsi="仿宋"/>
          <w:sz w:val="32"/>
          <w:szCs w:val="32"/>
        </w:rPr>
        <w:t>二十五、交通运输支出（类）成品油价格改革对交通运输的补贴（款）对城市公交的补贴（项）：</w:t>
      </w:r>
      <w:r>
        <w:rPr>
          <w:rFonts w:hAnsi="仿宋"/>
          <w:sz w:val="32"/>
          <w:szCs w:val="32"/>
        </w:rPr>
        <w:t>反映成品油价格改革财政对</w:t>
      </w:r>
      <w:r>
        <w:rPr>
          <w:rFonts w:hint="eastAsia" w:hAnsi="仿宋"/>
          <w:sz w:val="32"/>
          <w:szCs w:val="32"/>
        </w:rPr>
        <w:t>农村道路客运</w:t>
      </w:r>
      <w:r>
        <w:rPr>
          <w:rFonts w:hAnsi="仿宋"/>
          <w:sz w:val="32"/>
          <w:szCs w:val="32"/>
        </w:rPr>
        <w:t>的补贴。</w:t>
      </w:r>
    </w:p>
    <w:p w14:paraId="6916FAE7">
      <w:pPr>
        <w:pStyle w:val="30"/>
        <w:spacing w:line="560" w:lineRule="exact"/>
        <w:ind w:firstLine="640" w:firstLineChars="200"/>
        <w:rPr>
          <w:rFonts w:hAnsi="仿宋"/>
          <w:sz w:val="32"/>
          <w:szCs w:val="32"/>
        </w:rPr>
      </w:pPr>
      <w:r>
        <w:rPr>
          <w:rFonts w:hint="eastAsia" w:hAnsi="仿宋"/>
          <w:sz w:val="32"/>
          <w:szCs w:val="32"/>
        </w:rPr>
        <w:t>二十六、交通运输支出（类）成品油价格改革对交通运输的补贴（款）对农村道路客运的补贴（项）：</w:t>
      </w:r>
      <w:r>
        <w:rPr>
          <w:rFonts w:hAnsi="仿宋"/>
          <w:sz w:val="32"/>
          <w:szCs w:val="32"/>
        </w:rPr>
        <w:t>反映成品油价格改革财政对</w:t>
      </w:r>
      <w:r>
        <w:rPr>
          <w:rFonts w:hint="eastAsia" w:hAnsi="仿宋"/>
          <w:sz w:val="32"/>
          <w:szCs w:val="32"/>
        </w:rPr>
        <w:t>农村道路客运</w:t>
      </w:r>
      <w:r>
        <w:rPr>
          <w:rFonts w:hAnsi="仿宋"/>
          <w:sz w:val="32"/>
          <w:szCs w:val="32"/>
        </w:rPr>
        <w:t>的补贴。</w:t>
      </w:r>
    </w:p>
    <w:p w14:paraId="471AE399">
      <w:pPr>
        <w:pStyle w:val="30"/>
        <w:spacing w:line="560" w:lineRule="exact"/>
        <w:ind w:firstLine="640" w:firstLineChars="200"/>
        <w:rPr>
          <w:rFonts w:hAnsi="仿宋"/>
          <w:sz w:val="32"/>
          <w:szCs w:val="32"/>
        </w:rPr>
      </w:pPr>
      <w:r>
        <w:rPr>
          <w:rFonts w:hint="eastAsia" w:hAnsi="仿宋"/>
          <w:sz w:val="32"/>
          <w:szCs w:val="32"/>
        </w:rPr>
        <w:t>二十七、交通运输支出（类）成品油价格改革对交通运输的补贴（款）对出租车的补贴（项）：</w:t>
      </w:r>
      <w:r>
        <w:rPr>
          <w:rFonts w:hAnsi="仿宋"/>
          <w:sz w:val="32"/>
          <w:szCs w:val="32"/>
        </w:rPr>
        <w:t>反映成品油价格改革财政对</w:t>
      </w:r>
      <w:r>
        <w:rPr>
          <w:rFonts w:hint="eastAsia" w:hAnsi="仿宋"/>
          <w:sz w:val="32"/>
          <w:szCs w:val="32"/>
        </w:rPr>
        <w:t>出租车</w:t>
      </w:r>
      <w:r>
        <w:rPr>
          <w:rFonts w:hAnsi="仿宋"/>
          <w:sz w:val="32"/>
          <w:szCs w:val="32"/>
        </w:rPr>
        <w:t>的补贴。</w:t>
      </w:r>
    </w:p>
    <w:p w14:paraId="5EC3BC17">
      <w:pPr>
        <w:pStyle w:val="30"/>
        <w:spacing w:line="560" w:lineRule="exact"/>
        <w:ind w:firstLine="640" w:firstLineChars="200"/>
        <w:rPr>
          <w:rFonts w:hAnsi="仿宋"/>
          <w:sz w:val="32"/>
          <w:szCs w:val="32"/>
        </w:rPr>
      </w:pPr>
      <w:r>
        <w:rPr>
          <w:rFonts w:hint="eastAsia" w:hAnsi="仿宋"/>
          <w:sz w:val="32"/>
          <w:szCs w:val="32"/>
        </w:rPr>
        <w:t>二十八、交通运输支出（类）成品油价格改革对交通运输的补贴（款）成品油价格改革补贴其他支出（项）：</w:t>
      </w:r>
      <w:r>
        <w:rPr>
          <w:rFonts w:hAnsi="仿宋"/>
          <w:sz w:val="32"/>
          <w:szCs w:val="32"/>
        </w:rPr>
        <w:t>反映成品油价格改革财政</w:t>
      </w:r>
      <w:r>
        <w:rPr>
          <w:rFonts w:hint="eastAsia" w:hAnsi="仿宋"/>
          <w:sz w:val="32"/>
          <w:szCs w:val="32"/>
        </w:rPr>
        <w:t>补贴对其他方面的支出</w:t>
      </w:r>
      <w:r>
        <w:rPr>
          <w:rFonts w:hAnsi="仿宋"/>
          <w:sz w:val="32"/>
          <w:szCs w:val="32"/>
        </w:rPr>
        <w:t>。</w:t>
      </w:r>
    </w:p>
    <w:p w14:paraId="56BD9FF1">
      <w:pPr>
        <w:pStyle w:val="30"/>
        <w:spacing w:line="560" w:lineRule="exact"/>
        <w:ind w:firstLine="640" w:firstLineChars="200"/>
        <w:rPr>
          <w:rFonts w:hAnsi="仿宋"/>
          <w:sz w:val="32"/>
          <w:szCs w:val="32"/>
        </w:rPr>
      </w:pPr>
      <w:r>
        <w:rPr>
          <w:rFonts w:hint="eastAsia" w:hAnsi="仿宋"/>
          <w:sz w:val="32"/>
          <w:szCs w:val="32"/>
        </w:rPr>
        <w:t>二十九、交通运输支出（类）车辆购置税支出（款）车辆购置税用于公路等基础设施建设支出（项）：</w:t>
      </w:r>
      <w:r>
        <w:rPr>
          <w:rFonts w:hAnsi="仿宋"/>
          <w:sz w:val="32"/>
          <w:szCs w:val="32"/>
        </w:rPr>
        <w:t>反映车辆购置税收入安排用</w:t>
      </w:r>
      <w:r>
        <w:rPr>
          <w:rFonts w:hint="eastAsia" w:hAnsi="仿宋"/>
          <w:sz w:val="32"/>
          <w:szCs w:val="32"/>
        </w:rPr>
        <w:t>于</w:t>
      </w:r>
      <w:r>
        <w:rPr>
          <w:rFonts w:hAnsi="仿宋"/>
          <w:sz w:val="32"/>
          <w:szCs w:val="32"/>
        </w:rPr>
        <w:t>公路等基础设施建设的支出</w:t>
      </w:r>
      <w:r>
        <w:rPr>
          <w:rFonts w:hint="eastAsia" w:hAnsi="仿宋"/>
          <w:sz w:val="32"/>
          <w:szCs w:val="32"/>
        </w:rPr>
        <w:t>。</w:t>
      </w:r>
    </w:p>
    <w:p w14:paraId="5327241C">
      <w:pPr>
        <w:pStyle w:val="30"/>
        <w:spacing w:line="560" w:lineRule="exact"/>
        <w:ind w:firstLine="640" w:firstLineChars="200"/>
        <w:rPr>
          <w:rFonts w:hAnsi="仿宋"/>
          <w:sz w:val="32"/>
          <w:szCs w:val="32"/>
        </w:rPr>
      </w:pPr>
      <w:r>
        <w:rPr>
          <w:rFonts w:hint="eastAsia" w:hAnsi="仿宋"/>
          <w:sz w:val="32"/>
          <w:szCs w:val="32"/>
        </w:rPr>
        <w:t>三十、交通运输支出（类）车辆购置税支出（款）车辆购置税用于农村公路建设支出（项）：</w:t>
      </w:r>
      <w:r>
        <w:rPr>
          <w:rFonts w:hAnsi="仿宋"/>
          <w:sz w:val="32"/>
          <w:szCs w:val="32"/>
        </w:rPr>
        <w:t>反映车辆购置税收入安排用</w:t>
      </w:r>
      <w:r>
        <w:rPr>
          <w:rFonts w:hint="eastAsia" w:hAnsi="仿宋"/>
          <w:sz w:val="32"/>
          <w:szCs w:val="32"/>
        </w:rPr>
        <w:t>于农村</w:t>
      </w:r>
      <w:r>
        <w:rPr>
          <w:rFonts w:hAnsi="仿宋"/>
          <w:sz w:val="32"/>
          <w:szCs w:val="32"/>
        </w:rPr>
        <w:t>公路建设的支出</w:t>
      </w:r>
      <w:r>
        <w:rPr>
          <w:rFonts w:hint="eastAsia" w:hAnsi="仿宋"/>
          <w:sz w:val="32"/>
          <w:szCs w:val="32"/>
        </w:rPr>
        <w:t>。</w:t>
      </w:r>
    </w:p>
    <w:p w14:paraId="657F5B26">
      <w:pPr>
        <w:pStyle w:val="30"/>
        <w:spacing w:line="560" w:lineRule="exact"/>
        <w:ind w:firstLine="640" w:firstLineChars="200"/>
        <w:rPr>
          <w:rFonts w:hAnsi="仿宋"/>
          <w:sz w:val="32"/>
          <w:szCs w:val="32"/>
        </w:rPr>
      </w:pPr>
      <w:r>
        <w:rPr>
          <w:rFonts w:hint="eastAsia" w:hAnsi="仿宋"/>
          <w:sz w:val="32"/>
          <w:szCs w:val="32"/>
        </w:rPr>
        <w:t>三十一、交通运输支出（类）车辆购置税支出（款）车辆购置税其他支出（项）：</w:t>
      </w:r>
      <w:r>
        <w:rPr>
          <w:rFonts w:hAnsi="仿宋"/>
          <w:sz w:val="32"/>
          <w:szCs w:val="32"/>
        </w:rPr>
        <w:t>反映车辆购置税收入安排用</w:t>
      </w:r>
      <w:r>
        <w:rPr>
          <w:rFonts w:hint="eastAsia" w:hAnsi="仿宋"/>
          <w:sz w:val="32"/>
          <w:szCs w:val="32"/>
        </w:rPr>
        <w:t>于除上述项目以外的其他支出。</w:t>
      </w:r>
    </w:p>
    <w:p w14:paraId="02C80283">
      <w:pPr>
        <w:pStyle w:val="30"/>
        <w:spacing w:line="560" w:lineRule="exact"/>
        <w:ind w:firstLine="640" w:firstLineChars="200"/>
        <w:rPr>
          <w:rFonts w:hAnsi="仿宋"/>
          <w:sz w:val="32"/>
          <w:szCs w:val="32"/>
        </w:rPr>
      </w:pPr>
      <w:r>
        <w:rPr>
          <w:rFonts w:hint="eastAsia" w:hAnsi="仿宋"/>
          <w:sz w:val="32"/>
          <w:szCs w:val="32"/>
        </w:rPr>
        <w:t>三十二、住房保障（类）住房改革支出（款）住房公积金（项）:是指反映行政事业单位按人力资源和社会保障部、财政部规定的基本工资和津贴补贴以及规定比例为职工缴纳的住房公积金。</w:t>
      </w:r>
    </w:p>
    <w:p w14:paraId="4DD16963">
      <w:pPr>
        <w:spacing w:line="600" w:lineRule="exact"/>
        <w:ind w:firstLine="640" w:firstLineChars="200"/>
        <w:rPr>
          <w:rFonts w:ascii="仿宋_GB2312" w:eastAsia="仿宋_GB2312"/>
          <w:sz w:val="32"/>
          <w:szCs w:val="32"/>
        </w:rPr>
      </w:pPr>
      <w:r>
        <w:rPr>
          <w:rFonts w:hint="eastAsia" w:ascii="仿宋_GB2312" w:eastAsia="仿宋_GB2312"/>
          <w:sz w:val="32"/>
          <w:szCs w:val="32"/>
        </w:rPr>
        <w:t>三十三、基本支出：指为保障机构正常运转、完成日常工作任务而发生的人员支出和公用支出。</w:t>
      </w:r>
    </w:p>
    <w:p w14:paraId="6C41F7AD">
      <w:pPr>
        <w:spacing w:line="600" w:lineRule="exact"/>
        <w:ind w:firstLine="640" w:firstLineChars="200"/>
        <w:rPr>
          <w:rFonts w:ascii="仿宋_GB2312" w:eastAsia="仿宋_GB2312"/>
          <w:sz w:val="32"/>
          <w:szCs w:val="32"/>
        </w:rPr>
      </w:pPr>
      <w:r>
        <w:rPr>
          <w:rFonts w:hint="eastAsia" w:ascii="仿宋_GB2312" w:eastAsia="仿宋_GB2312"/>
          <w:sz w:val="32"/>
          <w:szCs w:val="32"/>
        </w:rPr>
        <w:t>三十四、项目支出：指在基本支出之外为完成特定行政任务和事业发展目标所发生的支出。</w:t>
      </w:r>
    </w:p>
    <w:p w14:paraId="733E79A1">
      <w:pPr>
        <w:spacing w:line="600" w:lineRule="exact"/>
        <w:ind w:firstLine="640" w:firstLineChars="200"/>
        <w:rPr>
          <w:rFonts w:ascii="仿宋_GB2312" w:eastAsia="仿宋_GB2312"/>
          <w:sz w:val="32"/>
          <w:szCs w:val="32"/>
        </w:rPr>
      </w:pPr>
      <w:r>
        <w:rPr>
          <w:rFonts w:hint="eastAsia" w:ascii="仿宋_GB2312" w:eastAsia="仿宋_GB2312"/>
          <w:sz w:val="32"/>
          <w:szCs w:val="32"/>
        </w:rPr>
        <w:t>三十五、经营支出：指事业单位在专业业务活动及其辅助活动之外开展非独立核算经营活动发生的支出。</w:t>
      </w:r>
    </w:p>
    <w:p w14:paraId="1D7FC0C4">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十六、“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9DADC52">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7C9DC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（名词解释部分请根据各单位实际列支情况罗列，并根据本单位职责职能增减名词解释内容。）</w:t>
      </w:r>
    </w:p>
    <w:p w14:paraId="1ABB9D6C">
      <w:pPr>
        <w:pStyle w:val="2"/>
        <w:spacing w:before="93"/>
      </w:pPr>
    </w:p>
    <w:p w14:paraId="24399303">
      <w:pPr>
        <w:pStyle w:val="2"/>
        <w:spacing w:before="93"/>
      </w:pPr>
    </w:p>
    <w:p w14:paraId="614120D1">
      <w:pPr>
        <w:pStyle w:val="2"/>
        <w:spacing w:before="93"/>
      </w:pPr>
    </w:p>
    <w:p w14:paraId="36B28FF1">
      <w:pPr>
        <w:pStyle w:val="2"/>
        <w:spacing w:before="93"/>
      </w:pPr>
    </w:p>
    <w:p w14:paraId="27258384">
      <w:pPr>
        <w:pStyle w:val="2"/>
        <w:spacing w:before="93"/>
      </w:pPr>
    </w:p>
    <w:p w14:paraId="64580544">
      <w:pPr>
        <w:pStyle w:val="2"/>
        <w:spacing w:before="93"/>
      </w:pPr>
    </w:p>
    <w:p w14:paraId="5A8C6B01">
      <w:pPr>
        <w:pStyle w:val="2"/>
        <w:spacing w:before="93"/>
      </w:pPr>
    </w:p>
    <w:p w14:paraId="448F3BBC">
      <w:pPr>
        <w:pStyle w:val="2"/>
        <w:spacing w:before="93"/>
      </w:pPr>
    </w:p>
    <w:p w14:paraId="75578F19">
      <w:pPr>
        <w:pStyle w:val="2"/>
        <w:spacing w:before="93"/>
      </w:pPr>
    </w:p>
    <w:p w14:paraId="0296EA04">
      <w:pPr>
        <w:pStyle w:val="2"/>
        <w:spacing w:before="93"/>
      </w:pPr>
    </w:p>
    <w:p w14:paraId="3DA24234">
      <w:pPr>
        <w:pStyle w:val="2"/>
        <w:spacing w:before="93"/>
      </w:pPr>
    </w:p>
    <w:p w14:paraId="660F5ABC">
      <w:pPr>
        <w:pStyle w:val="2"/>
        <w:spacing w:before="93"/>
      </w:pPr>
    </w:p>
    <w:p w14:paraId="7083C130">
      <w:pPr>
        <w:pStyle w:val="2"/>
        <w:spacing w:before="93"/>
      </w:pPr>
    </w:p>
    <w:p w14:paraId="70FE2575">
      <w:pPr>
        <w:pStyle w:val="2"/>
        <w:spacing w:before="93"/>
      </w:pPr>
    </w:p>
    <w:p w14:paraId="7FB9E029">
      <w:pPr>
        <w:spacing w:line="600" w:lineRule="exact"/>
        <w:jc w:val="center"/>
        <w:outlineLvl w:val="0"/>
        <w:rPr>
          <w:rStyle w:val="20"/>
          <w:rFonts w:ascii="方正小标宋_GBK" w:hAnsi="方正小标宋_GBK" w:eastAsia="方正小标宋_GBK" w:cs="方正小标宋_GBK"/>
          <w:b w:val="0"/>
          <w:bCs w:val="0"/>
        </w:rPr>
      </w:pPr>
      <w:r>
        <w:rPr>
          <w:rFonts w:hint="eastAsia" w:ascii="方正小标宋_GBK" w:hAnsi="方正小标宋_GBK" w:eastAsia="方正小标宋_GBK" w:cs="方正小标宋_GBK"/>
          <w:sz w:val="44"/>
          <w:szCs w:val="44"/>
        </w:rPr>
        <w:t>第</w:t>
      </w:r>
      <w:r>
        <w:rPr>
          <w:rStyle w:val="20"/>
          <w:rFonts w:hint="eastAsia" w:ascii="方正小标宋_GBK" w:hAnsi="方正小标宋_GBK" w:eastAsia="方正小标宋_GBK" w:cs="方正小标宋_GBK"/>
          <w:b w:val="0"/>
          <w:bCs w:val="0"/>
        </w:rPr>
        <w:t>四部分 附件</w:t>
      </w:r>
    </w:p>
    <w:p w14:paraId="4BBB6D72">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p>
    <w:p w14:paraId="44DB6678">
      <w:pPr>
        <w:pStyle w:val="2"/>
        <w:spacing w:before="93"/>
      </w:pPr>
    </w:p>
    <w:p w14:paraId="23DE96D5">
      <w:pPr>
        <w:widowControl/>
        <w:spacing w:line="540" w:lineRule="exact"/>
        <w:jc w:val="center"/>
        <w:rPr>
          <w:rFonts w:ascii="宋体" w:hAnsi="宋体"/>
          <w:b/>
          <w:sz w:val="44"/>
          <w:szCs w:val="44"/>
          <w:shd w:val="clear" w:color="auto" w:fill="FFFFFF"/>
        </w:rPr>
      </w:pPr>
      <w:r>
        <w:rPr>
          <w:rFonts w:ascii="宋体" w:hAnsi="宋体"/>
          <w:b/>
          <w:sz w:val="44"/>
          <w:szCs w:val="44"/>
          <w:shd w:val="clear" w:color="auto" w:fill="FFFFFF"/>
        </w:rPr>
        <w:t>2021</w:t>
      </w:r>
      <w:r>
        <w:rPr>
          <w:rFonts w:hint="eastAsia" w:ascii="宋体" w:hAnsi="宋体"/>
          <w:b/>
          <w:sz w:val="44"/>
          <w:szCs w:val="44"/>
          <w:shd w:val="clear" w:color="auto" w:fill="FFFFFF"/>
        </w:rPr>
        <w:t>年峨眉山市交通运输局部门整体支出绩效评价报告（本级）</w:t>
      </w:r>
    </w:p>
    <w:p w14:paraId="5227F9BD">
      <w:pPr>
        <w:widowControl/>
        <w:adjustRightInd w:val="0"/>
        <w:snapToGrid w:val="0"/>
        <w:spacing w:line="540" w:lineRule="exact"/>
        <w:ind w:firstLine="720"/>
        <w:jc w:val="left"/>
        <w:rPr>
          <w:rFonts w:ascii="黑体" w:hAnsi="宋体" w:eastAsia="黑体" w:cs="宋体"/>
          <w:color w:val="000000"/>
          <w:kern w:val="0"/>
          <w:sz w:val="24"/>
          <w:szCs w:val="32"/>
          <w:shd w:val="clear" w:color="auto" w:fill="FFFFFF"/>
        </w:rPr>
      </w:pPr>
    </w:p>
    <w:p w14:paraId="05538D1A">
      <w:pPr>
        <w:widowControl/>
        <w:adjustRightInd w:val="0"/>
        <w:snapToGrid w:val="0"/>
        <w:spacing w:line="540" w:lineRule="exact"/>
        <w:ind w:firstLine="720"/>
        <w:jc w:val="left"/>
        <w:rPr>
          <w:rFonts w:ascii="黑体" w:hAnsi="宋体" w:eastAsia="黑体" w:cs="宋体"/>
          <w:color w:val="000000"/>
          <w:kern w:val="0"/>
          <w:sz w:val="24"/>
          <w:szCs w:val="32"/>
          <w:shd w:val="clear" w:color="auto" w:fill="FFFFFF"/>
        </w:rPr>
      </w:pPr>
    </w:p>
    <w:p w14:paraId="32BDCA41">
      <w:pPr>
        <w:widowControl/>
        <w:adjustRightInd w:val="0"/>
        <w:snapToGrid w:val="0"/>
        <w:spacing w:line="540" w:lineRule="exact"/>
        <w:ind w:firstLine="720"/>
        <w:jc w:val="left"/>
        <w:rPr>
          <w:rFonts w:ascii="黑体" w:hAnsi="黑体" w:eastAsia="黑体" w:cs="宋体"/>
          <w:b/>
          <w:color w:val="000000"/>
          <w:kern w:val="0"/>
          <w:sz w:val="32"/>
          <w:szCs w:val="32"/>
          <w:shd w:val="clear" w:color="auto" w:fill="FFFFFF"/>
          <w:lang w:val="zh-CN"/>
        </w:rPr>
      </w:pPr>
      <w:r>
        <w:rPr>
          <w:rFonts w:hint="eastAsia" w:ascii="黑体" w:hAnsi="黑体" w:eastAsia="黑体" w:cs="宋体"/>
          <w:b/>
          <w:color w:val="000000"/>
          <w:kern w:val="0"/>
          <w:sz w:val="32"/>
          <w:szCs w:val="32"/>
          <w:shd w:val="clear" w:color="auto" w:fill="FFFFFF"/>
        </w:rPr>
        <w:t>一、</w:t>
      </w:r>
      <w:r>
        <w:rPr>
          <w:rFonts w:hint="eastAsia" w:ascii="黑体" w:hAnsi="黑体" w:eastAsia="黑体" w:cs="宋体"/>
          <w:b/>
          <w:color w:val="000000"/>
          <w:kern w:val="0"/>
          <w:sz w:val="32"/>
          <w:szCs w:val="32"/>
          <w:shd w:val="clear" w:color="auto" w:fill="FFFFFF"/>
          <w:lang w:val="zh-CN"/>
        </w:rPr>
        <w:t>部门（单位）概况</w:t>
      </w:r>
    </w:p>
    <w:p w14:paraId="3EFB4C38">
      <w:pPr>
        <w:spacing w:line="600" w:lineRule="exact"/>
        <w:ind w:firstLine="640" w:firstLineChars="200"/>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（一）机构组成。</w:t>
      </w:r>
    </w:p>
    <w:p w14:paraId="404C105F">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峨眉山市交通运输局下属二级预算单位4个，其中参照公务员法管理的事业单位1个（峨眉山市道路运输服务中心），其他事业单位3个（峨眉山市公路建设服务中心、峨眉山市交通工程质量监督站、峨眉山市城乡客运和高铁服务中心）。</w:t>
      </w:r>
    </w:p>
    <w:p w14:paraId="25B10314">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（二）机构职能。</w:t>
      </w:r>
    </w:p>
    <w:p w14:paraId="0A78F808">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负责交通有关涉外工作；承担市人民政府交通战备任务等事项。</w:t>
      </w:r>
    </w:p>
    <w:p w14:paraId="6DBC7E80">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（三）人员概况。</w:t>
      </w:r>
    </w:p>
    <w:p w14:paraId="5E652AC4">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峨眉山市交通运输局局机关设办公室、综合规划股、工程建设管理股、运输管理股（峨眉山市交通战备办公室）、交通安全监督管理股等5个股室。</w:t>
      </w:r>
      <w:r>
        <w:rPr>
          <w:rFonts w:hint="eastAsia" w:ascii="仿宋_GB2312" w:hAnsi="仿宋" w:eastAsia="仿宋_GB2312"/>
          <w:color w:val="000000"/>
          <w:sz w:val="32"/>
          <w:szCs w:val="32"/>
        </w:rPr>
        <w:t>2021年末人员共计21人（其中：在职21人，含船管所3名事业人员），退休人员16人。</w:t>
      </w:r>
    </w:p>
    <w:p w14:paraId="2D84FCC6">
      <w:pPr>
        <w:spacing w:line="360" w:lineRule="auto"/>
        <w:ind w:firstLine="537" w:firstLineChars="168"/>
        <w:rPr>
          <w:rFonts w:ascii="仿宋_GB2312" w:hAnsi="仿宋" w:eastAsia="仿宋_GB2312"/>
          <w:sz w:val="32"/>
          <w:szCs w:val="32"/>
        </w:rPr>
      </w:pPr>
      <w:r>
        <w:rPr>
          <w:rFonts w:hint="eastAsia" w:ascii="仿宋_GB2312" w:hAnsi="仿宋" w:eastAsia="仿宋_GB2312"/>
          <w:color w:val="000000"/>
          <w:sz w:val="32"/>
          <w:szCs w:val="32"/>
        </w:rPr>
        <w:t>交通运输局遗属人员2人，交通运输局新世纪聘用人员4人。</w:t>
      </w:r>
    </w:p>
    <w:p w14:paraId="6F4C48EB">
      <w:pPr>
        <w:widowControl/>
        <w:adjustRightInd w:val="0"/>
        <w:snapToGrid w:val="0"/>
        <w:spacing w:line="540" w:lineRule="exact"/>
        <w:ind w:firstLine="720"/>
        <w:jc w:val="left"/>
        <w:rPr>
          <w:rFonts w:ascii="黑体" w:hAnsi="黑体" w:eastAsia="黑体" w:cs="宋体"/>
          <w:b/>
          <w:color w:val="000000"/>
          <w:kern w:val="0"/>
          <w:sz w:val="32"/>
          <w:szCs w:val="32"/>
          <w:shd w:val="clear" w:color="auto" w:fill="FFFFFF"/>
        </w:rPr>
      </w:pPr>
      <w:r>
        <w:rPr>
          <w:rFonts w:hint="eastAsia" w:ascii="黑体" w:hAnsi="黑体" w:eastAsia="黑体" w:cs="宋体"/>
          <w:b/>
          <w:color w:val="000000"/>
          <w:kern w:val="0"/>
          <w:sz w:val="32"/>
          <w:szCs w:val="32"/>
          <w:shd w:val="clear" w:color="auto" w:fill="FFFFFF"/>
        </w:rPr>
        <w:t>二、部门财政资金收支情况</w:t>
      </w:r>
    </w:p>
    <w:p w14:paraId="2C453358">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（一）部门财政资金收入情况。</w:t>
      </w:r>
    </w:p>
    <w:p w14:paraId="7EF927D7">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收入年初预算安排31469010.00元，与上年年初预算安排56156226.00元对比减少24687216.00元，年度执行中调整47538930.75元，调整原因</w:t>
      </w:r>
      <w:r>
        <w:rPr>
          <w:rFonts w:hint="eastAsia" w:ascii="仿宋_GB2312" w:hAnsi="仿宋" w:eastAsia="仿宋_GB2312" w:cs="仿宋"/>
          <w:bCs/>
          <w:color w:val="000000"/>
          <w:sz w:val="32"/>
          <w:szCs w:val="32"/>
        </w:rPr>
        <w:t>为经济受疫情影响，财政预算只能保障基本运行，项目预算开支减少</w:t>
      </w:r>
      <w:r>
        <w:rPr>
          <w:rFonts w:hint="eastAsia" w:ascii="仿宋_GB2312" w:hAnsi="仿宋" w:eastAsia="仿宋_GB2312"/>
          <w:sz w:val="32"/>
          <w:szCs w:val="32"/>
        </w:rPr>
        <w:t>。</w:t>
      </w:r>
    </w:p>
    <w:p w14:paraId="73AC8E17">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（二）部门财政资金支出情况。</w:t>
      </w:r>
    </w:p>
    <w:p w14:paraId="2CC9BA76">
      <w:pPr>
        <w:widowControl/>
        <w:adjustRightInd w:val="0"/>
        <w:snapToGrid w:val="0"/>
        <w:spacing w:line="540" w:lineRule="exact"/>
        <w:ind w:firstLine="720"/>
        <w:jc w:val="left"/>
        <w:rPr>
          <w:rFonts w:ascii="仿宋_GB2312" w:hAnsi="仿宋" w:eastAsia="仿宋_GB2312"/>
          <w:color w:val="000000"/>
          <w:sz w:val="32"/>
          <w:szCs w:val="32"/>
        </w:rPr>
      </w:pPr>
      <w:r>
        <w:rPr>
          <w:rFonts w:hint="eastAsia" w:ascii="仿宋_GB2312" w:hAnsi="仿宋" w:eastAsia="仿宋_GB2312"/>
          <w:sz w:val="32"/>
          <w:szCs w:val="32"/>
        </w:rPr>
        <w:t>2021年财政拨款收入79007940.75元，调整后上年结转收入47341463.11元，</w:t>
      </w:r>
      <w:r>
        <w:rPr>
          <w:rFonts w:hint="eastAsia" w:ascii="仿宋_GB2312" w:hAnsi="仿宋" w:eastAsia="仿宋_GB2312"/>
          <w:color w:val="000000"/>
          <w:sz w:val="32"/>
          <w:szCs w:val="32"/>
        </w:rPr>
        <w:t xml:space="preserve">本年支出125737403.86元。其中：基本支出4888965.01元，项目支出120848438.85元，项目支出比率96.1%。  </w:t>
      </w:r>
    </w:p>
    <w:p w14:paraId="43153713">
      <w:pPr>
        <w:widowControl/>
        <w:adjustRightInd w:val="0"/>
        <w:snapToGrid w:val="0"/>
        <w:spacing w:line="540" w:lineRule="exact"/>
        <w:ind w:firstLine="720"/>
        <w:jc w:val="left"/>
        <w:rPr>
          <w:rFonts w:ascii="黑体" w:hAnsi="黑体" w:eastAsia="黑体" w:cs="宋体"/>
          <w:color w:val="000000"/>
          <w:kern w:val="0"/>
          <w:sz w:val="32"/>
          <w:szCs w:val="32"/>
          <w:shd w:val="clear" w:color="auto" w:fill="FFFFFF"/>
          <w:lang w:val="zh-CN"/>
        </w:rPr>
      </w:pPr>
      <w:r>
        <w:rPr>
          <w:rFonts w:hint="eastAsia" w:ascii="黑体" w:hAnsi="黑体" w:eastAsia="黑体" w:cs="宋体"/>
          <w:b/>
          <w:color w:val="000000"/>
          <w:kern w:val="0"/>
          <w:sz w:val="32"/>
          <w:szCs w:val="32"/>
          <w:shd w:val="clear" w:color="auto" w:fill="FFFFFF"/>
        </w:rPr>
        <w:t>三、部门整体预算项目绩效管理情况</w:t>
      </w:r>
    </w:p>
    <w:p w14:paraId="461F12DB">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（一）部门预算项目绩效管理</w:t>
      </w:r>
    </w:p>
    <w:p w14:paraId="1BF25C45">
      <w:pPr>
        <w:pStyle w:val="14"/>
        <w:ind w:firstLine="640" w:firstLineChars="200"/>
        <w:jc w:val="both"/>
        <w:rPr>
          <w:rFonts w:ascii="仿宋_GB2312" w:eastAsia="仿宋_GB2312"/>
          <w:b w:val="0"/>
          <w:bCs w:val="0"/>
          <w:lang w:val="zh-CN"/>
        </w:rPr>
      </w:pPr>
      <w:r>
        <w:rPr>
          <w:rFonts w:hint="eastAsia" w:ascii="仿宋_GB2312" w:hAnsi="楷体_GB2312" w:eastAsia="仿宋_GB2312" w:cs="楷体_GB2312"/>
          <w:b w:val="0"/>
          <w:bCs w:val="0"/>
          <w:color w:val="000000"/>
          <w:kern w:val="0"/>
          <w:shd w:val="clear" w:color="auto" w:fill="FFFFFF"/>
        </w:rPr>
        <w:t>1.预决算编制情况</w:t>
      </w:r>
    </w:p>
    <w:p w14:paraId="45DAFD33">
      <w:pPr>
        <w:pStyle w:val="11"/>
        <w:ind w:left="0" w:leftChars="0"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（1）按照峨眉山市财政局关于编制2021年部门预算的通知和有关要求，按时完成基础款、项目库报送工作，按时完成预算编制工作并提交部门预算草案。</w:t>
      </w:r>
    </w:p>
    <w:p w14:paraId="07A348E3">
      <w:pPr>
        <w:pStyle w:val="11"/>
        <w:ind w:left="0" w:leftChars="0"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 w:eastAsia="仿宋_GB2312"/>
          <w:sz w:val="32"/>
          <w:szCs w:val="32"/>
        </w:rPr>
        <w:t>峨眉山市</w:t>
      </w:r>
      <w:r>
        <w:rPr>
          <w:rFonts w:hint="eastAsia" w:ascii="仿宋_GB2312" w:hAnsi="仿宋_GB2312" w:eastAsia="仿宋_GB2312" w:cs="仿宋_GB2312"/>
          <w:sz w:val="32"/>
          <w:szCs w:val="32"/>
        </w:rPr>
        <w:t>交通运输局</w:t>
      </w:r>
      <w:r>
        <w:rPr>
          <w:rFonts w:hint="eastAsia" w:ascii="仿宋_GB2312" w:hAnsi="仿宋_GB2312" w:eastAsia="仿宋_GB2312" w:cs="仿宋_GB2312"/>
          <w:color w:val="000000"/>
          <w:kern w:val="0"/>
          <w:sz w:val="32"/>
          <w:szCs w:val="32"/>
          <w:shd w:val="clear" w:color="auto" w:fill="FFFFFF"/>
        </w:rPr>
        <w:t>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14:paraId="4D663EA9">
      <w:pPr>
        <w:pStyle w:val="11"/>
        <w:ind w:left="0" w:leftChars="0" w:firstLine="640" w:firstLineChars="200"/>
        <w:rPr>
          <w:rFonts w:ascii="仿宋_GB2312" w:hAnsi="仿宋" w:cs="宋体"/>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（3）进一步强化绩效理念，健全管理制度，提高绩效评价工作质量，细化部门预算编制。</w:t>
      </w:r>
    </w:p>
    <w:p w14:paraId="25A1A8CA">
      <w:pPr>
        <w:widowControl/>
        <w:adjustRightInd w:val="0"/>
        <w:snapToGrid w:val="0"/>
        <w:spacing w:line="540" w:lineRule="exact"/>
        <w:ind w:firstLine="720"/>
        <w:jc w:val="left"/>
        <w:rPr>
          <w:rFonts w:ascii="仿宋_GB2312" w:hAnsi="仿宋" w:cs="宋体"/>
          <w:color w:val="000000"/>
          <w:kern w:val="0"/>
          <w:szCs w:val="32"/>
          <w:shd w:val="clear" w:color="auto" w:fill="FFFFFF"/>
          <w:lang w:val="zh-CN"/>
        </w:rPr>
      </w:pPr>
      <w:r>
        <w:rPr>
          <w:rFonts w:hint="eastAsia" w:ascii="仿宋_GB2312" w:hAnsi="仿宋" w:cs="宋体"/>
          <w:color w:val="000000"/>
          <w:kern w:val="0"/>
          <w:szCs w:val="32"/>
          <w:shd w:val="clear" w:color="auto" w:fill="FFFFFF"/>
          <w:lang w:val="zh-CN"/>
        </w:rPr>
        <w:t>2.目标实现</w:t>
      </w:r>
    </w:p>
    <w:p w14:paraId="743C0494">
      <w:pPr>
        <w:widowControl/>
        <w:ind w:firstLine="720" w:firstLineChars="300"/>
        <w:jc w:val="left"/>
        <w:rPr>
          <w:rFonts w:ascii="宋体" w:hAnsi="宋体" w:cs="宋体"/>
          <w:color w:val="000000"/>
          <w:kern w:val="0"/>
          <w:sz w:val="24"/>
        </w:rPr>
      </w:pPr>
    </w:p>
    <w:tbl>
      <w:tblPr>
        <w:tblStyle w:val="15"/>
        <w:tblW w:w="8788" w:type="dxa"/>
        <w:tblInd w:w="0" w:type="dxa"/>
        <w:tblLayout w:type="fixed"/>
        <w:tblCellMar>
          <w:top w:w="15" w:type="dxa"/>
          <w:left w:w="15" w:type="dxa"/>
          <w:bottom w:w="15" w:type="dxa"/>
          <w:right w:w="15" w:type="dxa"/>
        </w:tblCellMar>
      </w:tblPr>
      <w:tblGrid>
        <w:gridCol w:w="1888"/>
        <w:gridCol w:w="392"/>
        <w:gridCol w:w="1453"/>
        <w:gridCol w:w="1545"/>
        <w:gridCol w:w="1755"/>
        <w:gridCol w:w="1755"/>
      </w:tblGrid>
      <w:tr w14:paraId="2E7A936F">
        <w:tblPrEx>
          <w:tblCellMar>
            <w:top w:w="15" w:type="dxa"/>
            <w:left w:w="15" w:type="dxa"/>
            <w:bottom w:w="15" w:type="dxa"/>
            <w:right w:w="15" w:type="dxa"/>
          </w:tblCellMar>
        </w:tblPrEx>
        <w:trPr>
          <w:trHeight w:val="300" w:hRule="atLeast"/>
        </w:trPr>
        <w:tc>
          <w:tcPr>
            <w:tcW w:w="8788" w:type="dxa"/>
            <w:gridSpan w:val="6"/>
            <w:tcBorders>
              <w:top w:val="single" w:color="000000" w:sz="4" w:space="0"/>
              <w:bottom w:val="single" w:color="000000" w:sz="4" w:space="0"/>
              <w:right w:val="single" w:color="000000" w:sz="4" w:space="0"/>
            </w:tcBorders>
            <w:noWrap w:val="0"/>
            <w:vAlign w:val="center"/>
          </w:tcPr>
          <w:p w14:paraId="129CBD33">
            <w:pPr>
              <w:widowControl/>
              <w:jc w:val="center"/>
              <w:textAlignment w:val="center"/>
              <w:rPr>
                <w:rFonts w:ascii="宋体" w:hAnsi="宋体" w:cs="宋体"/>
                <w:sz w:val="22"/>
                <w:szCs w:val="22"/>
              </w:rPr>
            </w:pPr>
            <w:r>
              <w:rPr>
                <w:rFonts w:hint="eastAsia" w:ascii="宋体" w:hAnsi="宋体" w:cs="宋体"/>
                <w:kern w:val="0"/>
                <w:sz w:val="22"/>
                <w:szCs w:val="22"/>
              </w:rPr>
              <w:t>收入支出决算总表</w:t>
            </w:r>
          </w:p>
        </w:tc>
      </w:tr>
      <w:tr w14:paraId="710A2D25">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noWrap w:val="0"/>
            <w:vAlign w:val="center"/>
          </w:tcPr>
          <w:p w14:paraId="1ED40D3E">
            <w:pPr>
              <w:widowControl/>
              <w:jc w:val="center"/>
              <w:textAlignment w:val="center"/>
              <w:rPr>
                <w:rFonts w:ascii="宋体" w:hAnsi="宋体" w:cs="宋体"/>
                <w:sz w:val="22"/>
                <w:szCs w:val="22"/>
              </w:rPr>
            </w:pPr>
            <w:r>
              <w:rPr>
                <w:rFonts w:hint="eastAsia" w:ascii="宋体" w:hAnsi="宋体" w:cs="宋体"/>
                <w:kern w:val="0"/>
                <w:sz w:val="22"/>
                <w:szCs w:val="22"/>
              </w:rPr>
              <w:t>项目(按功能分类)</w:t>
            </w:r>
          </w:p>
        </w:tc>
        <w:tc>
          <w:tcPr>
            <w:tcW w:w="392" w:type="dxa"/>
            <w:tcBorders>
              <w:bottom w:val="single" w:color="000000" w:sz="4" w:space="0"/>
              <w:right w:val="single" w:color="000000" w:sz="4" w:space="0"/>
            </w:tcBorders>
            <w:noWrap w:val="0"/>
            <w:vAlign w:val="center"/>
          </w:tcPr>
          <w:p w14:paraId="3B4373DF">
            <w:pPr>
              <w:widowControl/>
              <w:jc w:val="center"/>
              <w:textAlignment w:val="center"/>
              <w:rPr>
                <w:rFonts w:ascii="宋体" w:hAnsi="宋体" w:cs="宋体"/>
                <w:sz w:val="22"/>
                <w:szCs w:val="22"/>
              </w:rPr>
            </w:pPr>
            <w:r>
              <w:rPr>
                <w:rFonts w:hint="eastAsia" w:ascii="宋体" w:hAnsi="宋体" w:cs="宋体"/>
                <w:kern w:val="0"/>
                <w:sz w:val="22"/>
                <w:szCs w:val="22"/>
              </w:rPr>
              <w:t>行次</w:t>
            </w:r>
          </w:p>
        </w:tc>
        <w:tc>
          <w:tcPr>
            <w:tcW w:w="1453" w:type="dxa"/>
            <w:tcBorders>
              <w:bottom w:val="single" w:color="000000" w:sz="4" w:space="0"/>
              <w:right w:val="single" w:color="000000" w:sz="4" w:space="0"/>
            </w:tcBorders>
            <w:noWrap w:val="0"/>
            <w:vAlign w:val="center"/>
          </w:tcPr>
          <w:p w14:paraId="1199B612">
            <w:pPr>
              <w:widowControl/>
              <w:jc w:val="center"/>
              <w:textAlignment w:val="center"/>
              <w:rPr>
                <w:rFonts w:ascii="宋体" w:hAnsi="宋体" w:cs="宋体"/>
                <w:sz w:val="22"/>
                <w:szCs w:val="22"/>
              </w:rPr>
            </w:pPr>
            <w:r>
              <w:rPr>
                <w:rFonts w:hint="eastAsia" w:ascii="宋体" w:hAnsi="宋体" w:cs="宋体"/>
                <w:kern w:val="0"/>
                <w:sz w:val="22"/>
                <w:szCs w:val="22"/>
              </w:rPr>
              <w:t>年初预算数</w:t>
            </w:r>
          </w:p>
        </w:tc>
        <w:tc>
          <w:tcPr>
            <w:tcW w:w="1545" w:type="dxa"/>
            <w:tcBorders>
              <w:bottom w:val="single" w:color="000000" w:sz="4" w:space="0"/>
              <w:right w:val="single" w:color="000000" w:sz="4" w:space="0"/>
            </w:tcBorders>
            <w:noWrap w:val="0"/>
            <w:vAlign w:val="center"/>
          </w:tcPr>
          <w:p w14:paraId="4F392B23">
            <w:pPr>
              <w:widowControl/>
              <w:jc w:val="center"/>
              <w:textAlignment w:val="center"/>
              <w:rPr>
                <w:rFonts w:ascii="宋体" w:hAnsi="宋体" w:cs="宋体"/>
                <w:sz w:val="22"/>
                <w:szCs w:val="22"/>
              </w:rPr>
            </w:pPr>
            <w:r>
              <w:rPr>
                <w:rFonts w:hint="eastAsia" w:ascii="宋体" w:hAnsi="宋体" w:cs="宋体"/>
                <w:kern w:val="0"/>
                <w:sz w:val="22"/>
                <w:szCs w:val="22"/>
              </w:rPr>
              <w:t>收入决算数</w:t>
            </w:r>
          </w:p>
        </w:tc>
        <w:tc>
          <w:tcPr>
            <w:tcW w:w="1755" w:type="dxa"/>
            <w:tcBorders>
              <w:bottom w:val="single" w:color="000000" w:sz="4" w:space="0"/>
              <w:right w:val="single" w:color="000000" w:sz="4" w:space="0"/>
            </w:tcBorders>
            <w:noWrap w:val="0"/>
            <w:vAlign w:val="center"/>
          </w:tcPr>
          <w:p w14:paraId="2860F9E5">
            <w:pPr>
              <w:widowControl/>
              <w:jc w:val="center"/>
              <w:textAlignment w:val="center"/>
              <w:rPr>
                <w:rFonts w:ascii="宋体" w:hAnsi="宋体" w:cs="宋体"/>
                <w:sz w:val="22"/>
                <w:szCs w:val="22"/>
              </w:rPr>
            </w:pPr>
            <w:r>
              <w:rPr>
                <w:rFonts w:hint="eastAsia" w:ascii="宋体" w:hAnsi="宋体" w:cs="宋体"/>
                <w:kern w:val="0"/>
                <w:sz w:val="22"/>
                <w:szCs w:val="22"/>
              </w:rPr>
              <w:t>支出决算数</w:t>
            </w:r>
          </w:p>
        </w:tc>
        <w:tc>
          <w:tcPr>
            <w:tcW w:w="1755" w:type="dxa"/>
            <w:tcBorders>
              <w:bottom w:val="single" w:color="000000" w:sz="4" w:space="0"/>
              <w:right w:val="single" w:color="000000" w:sz="4" w:space="0"/>
            </w:tcBorders>
            <w:noWrap w:val="0"/>
            <w:vAlign w:val="center"/>
          </w:tcPr>
          <w:p w14:paraId="5F72041A">
            <w:pPr>
              <w:widowControl/>
              <w:jc w:val="center"/>
              <w:textAlignment w:val="center"/>
              <w:rPr>
                <w:rFonts w:ascii="宋体" w:hAnsi="宋体" w:cs="宋体"/>
                <w:sz w:val="22"/>
                <w:szCs w:val="22"/>
              </w:rPr>
            </w:pPr>
            <w:r>
              <w:rPr>
                <w:rFonts w:hint="eastAsia" w:ascii="宋体" w:hAnsi="宋体" w:cs="宋体"/>
                <w:kern w:val="0"/>
                <w:sz w:val="22"/>
                <w:szCs w:val="22"/>
              </w:rPr>
              <w:t>变化原因</w:t>
            </w:r>
          </w:p>
        </w:tc>
      </w:tr>
      <w:tr w14:paraId="5937CF63">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noWrap w:val="0"/>
            <w:vAlign w:val="center"/>
          </w:tcPr>
          <w:p w14:paraId="6B8C7D32">
            <w:pPr>
              <w:widowControl/>
              <w:jc w:val="left"/>
              <w:textAlignment w:val="center"/>
              <w:rPr>
                <w:sz w:val="18"/>
                <w:szCs w:val="21"/>
              </w:rPr>
            </w:pPr>
            <w:r>
              <w:rPr>
                <w:rFonts w:hint="eastAsia" w:ascii="宋体" w:hAnsi="宋体" w:cs="宋体"/>
                <w:kern w:val="0"/>
                <w:szCs w:val="21"/>
              </w:rPr>
              <w:t>八、社会保障和就业支出</w:t>
            </w:r>
          </w:p>
        </w:tc>
        <w:tc>
          <w:tcPr>
            <w:tcW w:w="392" w:type="dxa"/>
            <w:tcBorders>
              <w:bottom w:val="single" w:color="000000" w:sz="4" w:space="0"/>
              <w:right w:val="single" w:color="000000" w:sz="4" w:space="0"/>
            </w:tcBorders>
            <w:noWrap w:val="0"/>
            <w:vAlign w:val="center"/>
          </w:tcPr>
          <w:p w14:paraId="4A9D9793">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453" w:type="dxa"/>
            <w:tcBorders>
              <w:bottom w:val="single" w:color="000000" w:sz="4" w:space="0"/>
              <w:right w:val="single" w:color="000000" w:sz="4" w:space="0"/>
            </w:tcBorders>
            <w:noWrap w:val="0"/>
            <w:vAlign w:val="center"/>
          </w:tcPr>
          <w:p w14:paraId="268425BC">
            <w:pPr>
              <w:widowControl/>
              <w:jc w:val="left"/>
              <w:textAlignment w:val="center"/>
              <w:rPr>
                <w:sz w:val="18"/>
                <w:szCs w:val="21"/>
              </w:rPr>
            </w:pPr>
            <w:r>
              <w:rPr>
                <w:rFonts w:hint="eastAsia" w:ascii="宋体" w:hAnsi="宋体" w:cs="宋体"/>
                <w:kern w:val="0"/>
                <w:szCs w:val="21"/>
              </w:rPr>
              <w:t>382110</w:t>
            </w:r>
          </w:p>
        </w:tc>
        <w:tc>
          <w:tcPr>
            <w:tcW w:w="1545" w:type="dxa"/>
            <w:tcBorders>
              <w:bottom w:val="single" w:color="000000" w:sz="4" w:space="0"/>
              <w:right w:val="single" w:color="000000" w:sz="4" w:space="0"/>
            </w:tcBorders>
            <w:noWrap w:val="0"/>
            <w:vAlign w:val="center"/>
          </w:tcPr>
          <w:p w14:paraId="4583DCA2">
            <w:pPr>
              <w:widowControl/>
              <w:jc w:val="left"/>
              <w:textAlignment w:val="center"/>
              <w:rPr>
                <w:sz w:val="18"/>
                <w:szCs w:val="21"/>
              </w:rPr>
            </w:pPr>
            <w:r>
              <w:rPr>
                <w:rFonts w:hint="eastAsia" w:ascii="宋体" w:hAnsi="宋体" w:cs="宋体"/>
                <w:kern w:val="0"/>
                <w:szCs w:val="21"/>
              </w:rPr>
              <w:t>659408.63</w:t>
            </w:r>
          </w:p>
        </w:tc>
        <w:tc>
          <w:tcPr>
            <w:tcW w:w="1755" w:type="dxa"/>
            <w:tcBorders>
              <w:bottom w:val="single" w:color="000000" w:sz="4" w:space="0"/>
              <w:right w:val="single" w:color="000000" w:sz="4" w:space="0"/>
            </w:tcBorders>
            <w:noWrap w:val="0"/>
            <w:vAlign w:val="center"/>
          </w:tcPr>
          <w:p w14:paraId="5C06DC11">
            <w:pPr>
              <w:widowControl/>
              <w:jc w:val="left"/>
              <w:textAlignment w:val="center"/>
              <w:rPr>
                <w:sz w:val="18"/>
                <w:szCs w:val="21"/>
              </w:rPr>
            </w:pPr>
            <w:r>
              <w:rPr>
                <w:rFonts w:hint="eastAsia" w:ascii="宋体" w:hAnsi="宋体" w:cs="宋体"/>
                <w:kern w:val="0"/>
                <w:szCs w:val="21"/>
              </w:rPr>
              <w:t>659408.63</w:t>
            </w:r>
          </w:p>
        </w:tc>
        <w:tc>
          <w:tcPr>
            <w:tcW w:w="1755" w:type="dxa"/>
            <w:tcBorders>
              <w:bottom w:val="single" w:color="000000" w:sz="4" w:space="0"/>
              <w:right w:val="single" w:color="000000" w:sz="4" w:space="0"/>
            </w:tcBorders>
            <w:noWrap w:val="0"/>
            <w:vAlign w:val="center"/>
          </w:tcPr>
          <w:p w14:paraId="081804DB">
            <w:pPr>
              <w:widowControl/>
              <w:jc w:val="right"/>
              <w:textAlignment w:val="center"/>
              <w:rPr>
                <w:rFonts w:ascii="宋体" w:hAnsi="宋体" w:cs="宋体"/>
                <w:sz w:val="20"/>
                <w:szCs w:val="20"/>
              </w:rPr>
            </w:pPr>
            <w:r>
              <w:rPr>
                <w:rFonts w:hint="eastAsia" w:ascii="宋体" w:hAnsi="宋体" w:cs="宋体"/>
                <w:sz w:val="20"/>
                <w:szCs w:val="20"/>
              </w:rPr>
              <w:t>保险增加，退休人员死亡</w:t>
            </w:r>
          </w:p>
        </w:tc>
      </w:tr>
      <w:tr w14:paraId="35F4D341">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noWrap w:val="0"/>
            <w:vAlign w:val="center"/>
          </w:tcPr>
          <w:p w14:paraId="331060DC">
            <w:pPr>
              <w:widowControl/>
              <w:jc w:val="left"/>
              <w:textAlignment w:val="center"/>
              <w:rPr>
                <w:sz w:val="18"/>
                <w:szCs w:val="21"/>
              </w:rPr>
            </w:pPr>
            <w:r>
              <w:rPr>
                <w:rFonts w:hint="eastAsia" w:ascii="宋体" w:hAnsi="宋体" w:cs="宋体"/>
                <w:kern w:val="0"/>
                <w:szCs w:val="21"/>
              </w:rPr>
              <w:t>九、卫生健康支出</w:t>
            </w:r>
          </w:p>
        </w:tc>
        <w:tc>
          <w:tcPr>
            <w:tcW w:w="392" w:type="dxa"/>
            <w:tcBorders>
              <w:bottom w:val="single" w:color="000000" w:sz="4" w:space="0"/>
              <w:right w:val="single" w:color="000000" w:sz="4" w:space="0"/>
            </w:tcBorders>
            <w:noWrap w:val="0"/>
            <w:vAlign w:val="center"/>
          </w:tcPr>
          <w:p w14:paraId="2C269F04">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1453" w:type="dxa"/>
            <w:tcBorders>
              <w:bottom w:val="single" w:color="000000" w:sz="4" w:space="0"/>
              <w:right w:val="single" w:color="000000" w:sz="4" w:space="0"/>
            </w:tcBorders>
            <w:noWrap w:val="0"/>
            <w:vAlign w:val="center"/>
          </w:tcPr>
          <w:p w14:paraId="17097457">
            <w:pPr>
              <w:widowControl/>
              <w:jc w:val="left"/>
              <w:textAlignment w:val="center"/>
              <w:rPr>
                <w:sz w:val="18"/>
                <w:szCs w:val="21"/>
              </w:rPr>
            </w:pPr>
            <w:r>
              <w:rPr>
                <w:rFonts w:hint="eastAsia" w:ascii="宋体" w:hAnsi="宋体" w:cs="宋体"/>
                <w:kern w:val="0"/>
                <w:szCs w:val="21"/>
              </w:rPr>
              <w:t>91036</w:t>
            </w:r>
          </w:p>
        </w:tc>
        <w:tc>
          <w:tcPr>
            <w:tcW w:w="1545" w:type="dxa"/>
            <w:tcBorders>
              <w:bottom w:val="single" w:color="000000" w:sz="4" w:space="0"/>
              <w:right w:val="single" w:color="000000" w:sz="4" w:space="0"/>
            </w:tcBorders>
            <w:noWrap w:val="0"/>
            <w:vAlign w:val="center"/>
          </w:tcPr>
          <w:p w14:paraId="62E8116C">
            <w:pPr>
              <w:widowControl/>
              <w:jc w:val="left"/>
              <w:textAlignment w:val="center"/>
              <w:rPr>
                <w:sz w:val="18"/>
                <w:szCs w:val="21"/>
              </w:rPr>
            </w:pPr>
            <w:r>
              <w:rPr>
                <w:rFonts w:hint="eastAsia" w:ascii="宋体" w:hAnsi="宋体" w:cs="宋体"/>
                <w:kern w:val="0"/>
                <w:szCs w:val="21"/>
              </w:rPr>
              <w:t>95412.77</w:t>
            </w:r>
          </w:p>
        </w:tc>
        <w:tc>
          <w:tcPr>
            <w:tcW w:w="1755" w:type="dxa"/>
            <w:tcBorders>
              <w:bottom w:val="single" w:color="000000" w:sz="4" w:space="0"/>
              <w:right w:val="single" w:color="000000" w:sz="4" w:space="0"/>
            </w:tcBorders>
            <w:noWrap w:val="0"/>
            <w:vAlign w:val="center"/>
          </w:tcPr>
          <w:p w14:paraId="7F93EFD7">
            <w:pPr>
              <w:widowControl/>
              <w:jc w:val="left"/>
              <w:textAlignment w:val="center"/>
              <w:rPr>
                <w:sz w:val="18"/>
                <w:szCs w:val="21"/>
              </w:rPr>
            </w:pPr>
            <w:r>
              <w:rPr>
                <w:rFonts w:hint="eastAsia" w:ascii="宋体" w:hAnsi="宋体" w:cs="宋体"/>
                <w:kern w:val="0"/>
                <w:szCs w:val="21"/>
              </w:rPr>
              <w:t>95412.77</w:t>
            </w:r>
          </w:p>
        </w:tc>
        <w:tc>
          <w:tcPr>
            <w:tcW w:w="1755" w:type="dxa"/>
            <w:tcBorders>
              <w:bottom w:val="single" w:color="000000" w:sz="4" w:space="0"/>
              <w:right w:val="single" w:color="000000" w:sz="4" w:space="0"/>
            </w:tcBorders>
            <w:noWrap w:val="0"/>
            <w:vAlign w:val="center"/>
          </w:tcPr>
          <w:p w14:paraId="2DE9F3C4">
            <w:pPr>
              <w:widowControl/>
              <w:jc w:val="right"/>
              <w:textAlignment w:val="center"/>
              <w:rPr>
                <w:rFonts w:ascii="宋体" w:hAnsi="宋体" w:cs="宋体"/>
                <w:sz w:val="20"/>
                <w:szCs w:val="20"/>
              </w:rPr>
            </w:pPr>
            <w:r>
              <w:rPr>
                <w:rFonts w:hint="eastAsia" w:ascii="宋体" w:hAnsi="宋体" w:cs="宋体"/>
                <w:kern w:val="0"/>
                <w:sz w:val="20"/>
                <w:szCs w:val="20"/>
              </w:rPr>
              <w:t>保险增加</w:t>
            </w:r>
          </w:p>
        </w:tc>
      </w:tr>
      <w:tr w14:paraId="09D51D30">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noWrap w:val="0"/>
            <w:vAlign w:val="center"/>
          </w:tcPr>
          <w:p w14:paraId="07CB4EAE">
            <w:pPr>
              <w:widowControl/>
              <w:jc w:val="left"/>
              <w:textAlignment w:val="center"/>
              <w:rPr>
                <w:sz w:val="18"/>
                <w:szCs w:val="21"/>
              </w:rPr>
            </w:pPr>
            <w:r>
              <w:rPr>
                <w:rFonts w:hint="eastAsia" w:ascii="宋体" w:hAnsi="宋体" w:cs="宋体"/>
                <w:kern w:val="0"/>
                <w:szCs w:val="21"/>
              </w:rPr>
              <w:t>十一、城乡社区支出</w:t>
            </w:r>
          </w:p>
        </w:tc>
        <w:tc>
          <w:tcPr>
            <w:tcW w:w="392" w:type="dxa"/>
            <w:tcBorders>
              <w:bottom w:val="single" w:color="000000" w:sz="4" w:space="0"/>
              <w:right w:val="single" w:color="000000" w:sz="4" w:space="0"/>
            </w:tcBorders>
            <w:noWrap w:val="0"/>
            <w:vAlign w:val="center"/>
          </w:tcPr>
          <w:p w14:paraId="08BD3156">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1453" w:type="dxa"/>
            <w:tcBorders>
              <w:bottom w:val="single" w:color="000000" w:sz="4" w:space="0"/>
              <w:right w:val="single" w:color="000000" w:sz="4" w:space="0"/>
            </w:tcBorders>
            <w:noWrap w:val="0"/>
            <w:vAlign w:val="center"/>
          </w:tcPr>
          <w:p w14:paraId="513BC7B7">
            <w:pPr>
              <w:widowControl/>
              <w:jc w:val="left"/>
              <w:textAlignment w:val="center"/>
              <w:rPr>
                <w:sz w:val="18"/>
                <w:szCs w:val="21"/>
              </w:rPr>
            </w:pPr>
            <w:r>
              <w:rPr>
                <w:rFonts w:hint="eastAsia" w:ascii="宋体" w:hAnsi="宋体" w:cs="宋体"/>
                <w:kern w:val="0"/>
                <w:szCs w:val="21"/>
              </w:rPr>
              <w:t>28192000</w:t>
            </w:r>
          </w:p>
        </w:tc>
        <w:tc>
          <w:tcPr>
            <w:tcW w:w="1545" w:type="dxa"/>
            <w:tcBorders>
              <w:bottom w:val="single" w:color="000000" w:sz="4" w:space="0"/>
              <w:right w:val="single" w:color="000000" w:sz="4" w:space="0"/>
            </w:tcBorders>
            <w:noWrap w:val="0"/>
            <w:vAlign w:val="center"/>
          </w:tcPr>
          <w:p w14:paraId="60B13BDE">
            <w:pPr>
              <w:widowControl/>
              <w:jc w:val="left"/>
              <w:textAlignment w:val="center"/>
              <w:rPr>
                <w:sz w:val="18"/>
                <w:szCs w:val="21"/>
              </w:rPr>
            </w:pPr>
            <w:r>
              <w:rPr>
                <w:rFonts w:hint="eastAsia" w:ascii="宋体" w:hAnsi="宋体" w:cs="宋体"/>
                <w:kern w:val="0"/>
                <w:szCs w:val="21"/>
              </w:rPr>
              <w:t>25813645.41</w:t>
            </w:r>
          </w:p>
        </w:tc>
        <w:tc>
          <w:tcPr>
            <w:tcW w:w="1755" w:type="dxa"/>
            <w:tcBorders>
              <w:bottom w:val="single" w:color="000000" w:sz="4" w:space="0"/>
              <w:right w:val="single" w:color="000000" w:sz="4" w:space="0"/>
            </w:tcBorders>
            <w:noWrap w:val="0"/>
            <w:vAlign w:val="center"/>
          </w:tcPr>
          <w:p w14:paraId="234F404F">
            <w:pPr>
              <w:widowControl/>
              <w:jc w:val="left"/>
              <w:textAlignment w:val="center"/>
              <w:rPr>
                <w:sz w:val="18"/>
                <w:szCs w:val="21"/>
              </w:rPr>
            </w:pPr>
            <w:r>
              <w:rPr>
                <w:rFonts w:hint="eastAsia" w:ascii="宋体" w:hAnsi="宋体" w:cs="宋体"/>
                <w:kern w:val="0"/>
                <w:szCs w:val="21"/>
              </w:rPr>
              <w:t>25813645.41</w:t>
            </w:r>
          </w:p>
        </w:tc>
        <w:tc>
          <w:tcPr>
            <w:tcW w:w="1755" w:type="dxa"/>
            <w:tcBorders>
              <w:bottom w:val="single" w:color="000000" w:sz="4" w:space="0"/>
              <w:right w:val="single" w:color="000000" w:sz="4" w:space="0"/>
            </w:tcBorders>
            <w:noWrap w:val="0"/>
            <w:vAlign w:val="center"/>
          </w:tcPr>
          <w:p w14:paraId="7FA53FF5">
            <w:pPr>
              <w:widowControl/>
              <w:jc w:val="right"/>
              <w:textAlignment w:val="center"/>
              <w:rPr>
                <w:rFonts w:ascii="宋体" w:hAnsi="宋体" w:cs="宋体"/>
                <w:sz w:val="20"/>
                <w:szCs w:val="20"/>
              </w:rPr>
            </w:pPr>
            <w:r>
              <w:rPr>
                <w:rFonts w:hint="eastAsia" w:ascii="宋体" w:hAnsi="宋体" w:cs="宋体"/>
                <w:kern w:val="0"/>
                <w:sz w:val="20"/>
                <w:szCs w:val="20"/>
              </w:rPr>
              <w:t>经济下行，项目支出减少</w:t>
            </w:r>
          </w:p>
        </w:tc>
      </w:tr>
      <w:tr w14:paraId="20F0378E">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noWrap w:val="0"/>
            <w:vAlign w:val="center"/>
          </w:tcPr>
          <w:p w14:paraId="5DD79696">
            <w:pPr>
              <w:widowControl/>
              <w:jc w:val="left"/>
              <w:textAlignment w:val="center"/>
              <w:rPr>
                <w:sz w:val="18"/>
                <w:szCs w:val="21"/>
              </w:rPr>
            </w:pPr>
            <w:r>
              <w:rPr>
                <w:rFonts w:hint="eastAsia" w:ascii="宋体" w:hAnsi="宋体" w:cs="宋体"/>
                <w:kern w:val="0"/>
                <w:szCs w:val="21"/>
              </w:rPr>
              <w:t>十二、农林水支出</w:t>
            </w:r>
          </w:p>
        </w:tc>
        <w:tc>
          <w:tcPr>
            <w:tcW w:w="392" w:type="dxa"/>
            <w:tcBorders>
              <w:bottom w:val="single" w:color="000000" w:sz="4" w:space="0"/>
              <w:right w:val="single" w:color="000000" w:sz="4" w:space="0"/>
            </w:tcBorders>
            <w:noWrap w:val="0"/>
            <w:vAlign w:val="center"/>
          </w:tcPr>
          <w:p w14:paraId="5DAFF16F">
            <w:pPr>
              <w:widowControl/>
              <w:jc w:val="center"/>
              <w:textAlignment w:val="center"/>
              <w:rPr>
                <w:rFonts w:ascii="宋体" w:hAnsi="宋体" w:cs="宋体"/>
                <w:sz w:val="20"/>
                <w:szCs w:val="20"/>
              </w:rPr>
            </w:pPr>
            <w:r>
              <w:rPr>
                <w:rFonts w:hint="eastAsia" w:ascii="宋体" w:hAnsi="宋体" w:cs="宋体"/>
                <w:kern w:val="0"/>
                <w:sz w:val="20"/>
                <w:szCs w:val="20"/>
              </w:rPr>
              <w:t>5</w:t>
            </w:r>
          </w:p>
        </w:tc>
        <w:tc>
          <w:tcPr>
            <w:tcW w:w="1453" w:type="dxa"/>
            <w:tcBorders>
              <w:bottom w:val="single" w:color="000000" w:sz="4" w:space="0"/>
              <w:right w:val="single" w:color="000000" w:sz="4" w:space="0"/>
            </w:tcBorders>
            <w:noWrap w:val="0"/>
            <w:vAlign w:val="center"/>
          </w:tcPr>
          <w:p w14:paraId="4A1A2E17">
            <w:pPr>
              <w:widowControl/>
              <w:jc w:val="left"/>
              <w:textAlignment w:val="center"/>
              <w:rPr>
                <w:sz w:val="18"/>
                <w:szCs w:val="21"/>
              </w:rPr>
            </w:pPr>
            <w:r>
              <w:rPr>
                <w:rFonts w:hint="eastAsia" w:ascii="宋体" w:hAnsi="宋体" w:cs="宋体"/>
                <w:kern w:val="0"/>
                <w:szCs w:val="21"/>
              </w:rPr>
              <w:t>0</w:t>
            </w:r>
          </w:p>
        </w:tc>
        <w:tc>
          <w:tcPr>
            <w:tcW w:w="1545" w:type="dxa"/>
            <w:tcBorders>
              <w:bottom w:val="single" w:color="000000" w:sz="4" w:space="0"/>
              <w:right w:val="single" w:color="000000" w:sz="4" w:space="0"/>
            </w:tcBorders>
            <w:noWrap w:val="0"/>
            <w:vAlign w:val="center"/>
          </w:tcPr>
          <w:p w14:paraId="37BF0F82">
            <w:pPr>
              <w:widowControl/>
              <w:jc w:val="left"/>
              <w:textAlignment w:val="center"/>
              <w:rPr>
                <w:sz w:val="18"/>
                <w:szCs w:val="21"/>
              </w:rPr>
            </w:pPr>
            <w:r>
              <w:rPr>
                <w:rFonts w:hint="eastAsia" w:ascii="宋体" w:hAnsi="宋体" w:cs="宋体"/>
                <w:kern w:val="0"/>
                <w:szCs w:val="21"/>
              </w:rPr>
              <w:t>973000</w:t>
            </w:r>
          </w:p>
        </w:tc>
        <w:tc>
          <w:tcPr>
            <w:tcW w:w="1755" w:type="dxa"/>
            <w:tcBorders>
              <w:bottom w:val="single" w:color="000000" w:sz="4" w:space="0"/>
              <w:right w:val="single" w:color="000000" w:sz="4" w:space="0"/>
            </w:tcBorders>
            <w:noWrap w:val="0"/>
            <w:vAlign w:val="center"/>
          </w:tcPr>
          <w:p w14:paraId="717133C6">
            <w:pPr>
              <w:widowControl/>
              <w:jc w:val="left"/>
              <w:textAlignment w:val="center"/>
              <w:rPr>
                <w:sz w:val="18"/>
                <w:szCs w:val="21"/>
              </w:rPr>
            </w:pPr>
            <w:r>
              <w:rPr>
                <w:rFonts w:hint="eastAsia" w:ascii="宋体" w:hAnsi="宋体" w:cs="宋体"/>
                <w:kern w:val="0"/>
                <w:szCs w:val="21"/>
              </w:rPr>
              <w:t>973000</w:t>
            </w:r>
          </w:p>
        </w:tc>
        <w:tc>
          <w:tcPr>
            <w:tcW w:w="1755" w:type="dxa"/>
            <w:tcBorders>
              <w:bottom w:val="single" w:color="000000" w:sz="4" w:space="0"/>
              <w:right w:val="single" w:color="000000" w:sz="4" w:space="0"/>
            </w:tcBorders>
            <w:noWrap w:val="0"/>
            <w:vAlign w:val="center"/>
          </w:tcPr>
          <w:p w14:paraId="379D74D2">
            <w:pPr>
              <w:widowControl/>
              <w:jc w:val="right"/>
              <w:textAlignment w:val="center"/>
              <w:rPr>
                <w:rFonts w:ascii="宋体" w:hAnsi="宋体" w:cs="宋体"/>
                <w:sz w:val="20"/>
                <w:szCs w:val="20"/>
              </w:rPr>
            </w:pPr>
            <w:r>
              <w:rPr>
                <w:rFonts w:hint="eastAsia" w:ascii="宋体" w:hAnsi="宋体" w:cs="宋体"/>
                <w:kern w:val="0"/>
                <w:sz w:val="20"/>
                <w:szCs w:val="20"/>
              </w:rPr>
              <w:t>上级补助</w:t>
            </w:r>
          </w:p>
        </w:tc>
      </w:tr>
      <w:tr w14:paraId="33298DFC">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noWrap w:val="0"/>
            <w:vAlign w:val="center"/>
          </w:tcPr>
          <w:p w14:paraId="4468FA27">
            <w:pPr>
              <w:widowControl/>
              <w:jc w:val="left"/>
              <w:textAlignment w:val="center"/>
              <w:rPr>
                <w:sz w:val="18"/>
                <w:szCs w:val="21"/>
              </w:rPr>
            </w:pPr>
            <w:r>
              <w:rPr>
                <w:rFonts w:hint="eastAsia" w:ascii="宋体" w:hAnsi="宋体" w:cs="宋体"/>
                <w:kern w:val="0"/>
                <w:szCs w:val="21"/>
              </w:rPr>
              <w:t>十三、交通运输支出</w:t>
            </w:r>
          </w:p>
        </w:tc>
        <w:tc>
          <w:tcPr>
            <w:tcW w:w="392" w:type="dxa"/>
            <w:tcBorders>
              <w:bottom w:val="single" w:color="000000" w:sz="4" w:space="0"/>
              <w:right w:val="single" w:color="000000" w:sz="4" w:space="0"/>
            </w:tcBorders>
            <w:noWrap w:val="0"/>
            <w:vAlign w:val="center"/>
          </w:tcPr>
          <w:p w14:paraId="117BDF36">
            <w:pPr>
              <w:widowControl/>
              <w:jc w:val="center"/>
              <w:textAlignment w:val="center"/>
              <w:rPr>
                <w:rFonts w:ascii="宋体" w:hAnsi="宋体" w:cs="宋体"/>
                <w:sz w:val="20"/>
                <w:szCs w:val="20"/>
              </w:rPr>
            </w:pPr>
            <w:r>
              <w:rPr>
                <w:rFonts w:hint="eastAsia" w:ascii="宋体" w:hAnsi="宋体" w:cs="宋体"/>
                <w:kern w:val="0"/>
                <w:sz w:val="20"/>
                <w:szCs w:val="20"/>
              </w:rPr>
              <w:t>6</w:t>
            </w:r>
          </w:p>
        </w:tc>
        <w:tc>
          <w:tcPr>
            <w:tcW w:w="1453" w:type="dxa"/>
            <w:tcBorders>
              <w:bottom w:val="single" w:color="000000" w:sz="4" w:space="0"/>
              <w:right w:val="single" w:color="000000" w:sz="4" w:space="0"/>
            </w:tcBorders>
            <w:noWrap w:val="0"/>
            <w:vAlign w:val="center"/>
          </w:tcPr>
          <w:p w14:paraId="282DEB01">
            <w:pPr>
              <w:widowControl/>
              <w:jc w:val="left"/>
              <w:textAlignment w:val="center"/>
              <w:rPr>
                <w:sz w:val="18"/>
                <w:szCs w:val="21"/>
              </w:rPr>
            </w:pPr>
            <w:r>
              <w:rPr>
                <w:rFonts w:hint="eastAsia" w:ascii="宋体" w:hAnsi="宋体" w:cs="宋体"/>
                <w:kern w:val="0"/>
                <w:szCs w:val="21"/>
              </w:rPr>
              <w:t>2464228</w:t>
            </w:r>
          </w:p>
        </w:tc>
        <w:tc>
          <w:tcPr>
            <w:tcW w:w="1545" w:type="dxa"/>
            <w:tcBorders>
              <w:bottom w:val="single" w:color="000000" w:sz="4" w:space="0"/>
              <w:right w:val="single" w:color="000000" w:sz="4" w:space="0"/>
            </w:tcBorders>
            <w:noWrap w:val="0"/>
            <w:vAlign w:val="center"/>
          </w:tcPr>
          <w:p w14:paraId="6999C95C">
            <w:pPr>
              <w:widowControl/>
              <w:jc w:val="left"/>
              <w:textAlignment w:val="center"/>
              <w:rPr>
                <w:sz w:val="18"/>
                <w:szCs w:val="21"/>
              </w:rPr>
            </w:pPr>
            <w:r>
              <w:rPr>
                <w:rFonts w:hint="eastAsia" w:ascii="宋体" w:hAnsi="宋体" w:cs="宋体"/>
                <w:kern w:val="0"/>
                <w:szCs w:val="21"/>
              </w:rPr>
              <w:t>90560967.05</w:t>
            </w:r>
          </w:p>
        </w:tc>
        <w:tc>
          <w:tcPr>
            <w:tcW w:w="1755" w:type="dxa"/>
            <w:tcBorders>
              <w:bottom w:val="single" w:color="000000" w:sz="4" w:space="0"/>
              <w:right w:val="single" w:color="000000" w:sz="4" w:space="0"/>
            </w:tcBorders>
            <w:noWrap w:val="0"/>
            <w:vAlign w:val="center"/>
          </w:tcPr>
          <w:p w14:paraId="238F35BD">
            <w:pPr>
              <w:widowControl/>
              <w:jc w:val="left"/>
              <w:textAlignment w:val="center"/>
              <w:rPr>
                <w:sz w:val="18"/>
                <w:szCs w:val="21"/>
              </w:rPr>
            </w:pPr>
            <w:r>
              <w:rPr>
                <w:rFonts w:hint="eastAsia" w:ascii="宋体" w:hAnsi="宋体" w:cs="宋体"/>
                <w:kern w:val="0"/>
                <w:szCs w:val="21"/>
              </w:rPr>
              <w:t>89948967.05</w:t>
            </w:r>
          </w:p>
        </w:tc>
        <w:tc>
          <w:tcPr>
            <w:tcW w:w="1755" w:type="dxa"/>
            <w:tcBorders>
              <w:bottom w:val="single" w:color="000000" w:sz="4" w:space="0"/>
              <w:right w:val="single" w:color="000000" w:sz="4" w:space="0"/>
            </w:tcBorders>
            <w:noWrap w:val="0"/>
            <w:vAlign w:val="center"/>
          </w:tcPr>
          <w:p w14:paraId="795D2FEF">
            <w:pPr>
              <w:widowControl/>
              <w:jc w:val="right"/>
              <w:textAlignment w:val="center"/>
              <w:rPr>
                <w:rFonts w:ascii="宋体" w:hAnsi="宋体" w:cs="宋体"/>
                <w:sz w:val="20"/>
                <w:szCs w:val="20"/>
              </w:rPr>
            </w:pPr>
            <w:r>
              <w:rPr>
                <w:rFonts w:hint="eastAsia" w:ascii="宋体" w:hAnsi="宋体" w:cs="宋体"/>
                <w:kern w:val="0"/>
                <w:sz w:val="20"/>
                <w:szCs w:val="20"/>
              </w:rPr>
              <w:t>省补资金增加，项目支出增加</w:t>
            </w:r>
          </w:p>
        </w:tc>
      </w:tr>
      <w:tr w14:paraId="65D6F0EB">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noWrap w:val="0"/>
            <w:vAlign w:val="center"/>
          </w:tcPr>
          <w:p w14:paraId="5A880BBA">
            <w:pPr>
              <w:widowControl/>
              <w:jc w:val="left"/>
              <w:textAlignment w:val="center"/>
              <w:rPr>
                <w:sz w:val="18"/>
                <w:szCs w:val="21"/>
              </w:rPr>
            </w:pPr>
            <w:r>
              <w:rPr>
                <w:rFonts w:hint="eastAsia" w:ascii="宋体" w:hAnsi="宋体" w:cs="宋体"/>
                <w:kern w:val="0"/>
                <w:szCs w:val="21"/>
              </w:rPr>
              <w:t>十九、住房保障支出</w:t>
            </w:r>
          </w:p>
        </w:tc>
        <w:tc>
          <w:tcPr>
            <w:tcW w:w="392" w:type="dxa"/>
            <w:tcBorders>
              <w:bottom w:val="single" w:color="000000" w:sz="4" w:space="0"/>
              <w:right w:val="single" w:color="000000" w:sz="4" w:space="0"/>
            </w:tcBorders>
            <w:noWrap w:val="0"/>
            <w:vAlign w:val="center"/>
          </w:tcPr>
          <w:p w14:paraId="7E99A76B">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1453" w:type="dxa"/>
            <w:tcBorders>
              <w:bottom w:val="single" w:color="000000" w:sz="4" w:space="0"/>
              <w:right w:val="single" w:color="000000" w:sz="4" w:space="0"/>
            </w:tcBorders>
            <w:noWrap w:val="0"/>
            <w:vAlign w:val="center"/>
          </w:tcPr>
          <w:p w14:paraId="4AAABDDC">
            <w:pPr>
              <w:widowControl/>
              <w:jc w:val="left"/>
              <w:textAlignment w:val="center"/>
              <w:rPr>
                <w:sz w:val="18"/>
                <w:szCs w:val="21"/>
              </w:rPr>
            </w:pPr>
            <w:r>
              <w:rPr>
                <w:rFonts w:hint="eastAsia" w:ascii="宋体" w:hAnsi="宋体" w:cs="宋体"/>
                <w:kern w:val="0"/>
                <w:szCs w:val="21"/>
              </w:rPr>
              <w:t>339636</w:t>
            </w:r>
          </w:p>
        </w:tc>
        <w:tc>
          <w:tcPr>
            <w:tcW w:w="1545" w:type="dxa"/>
            <w:tcBorders>
              <w:bottom w:val="single" w:color="000000" w:sz="4" w:space="0"/>
              <w:right w:val="single" w:color="000000" w:sz="4" w:space="0"/>
            </w:tcBorders>
            <w:noWrap w:val="0"/>
            <w:vAlign w:val="center"/>
          </w:tcPr>
          <w:p w14:paraId="58A3745E">
            <w:pPr>
              <w:widowControl/>
              <w:jc w:val="left"/>
              <w:textAlignment w:val="center"/>
              <w:rPr>
                <w:sz w:val="18"/>
                <w:szCs w:val="21"/>
              </w:rPr>
            </w:pPr>
            <w:r>
              <w:rPr>
                <w:rFonts w:hint="eastAsia" w:ascii="宋体" w:hAnsi="宋体" w:cs="宋体"/>
                <w:kern w:val="0"/>
                <w:szCs w:val="21"/>
              </w:rPr>
              <w:t>346970</w:t>
            </w:r>
          </w:p>
        </w:tc>
        <w:tc>
          <w:tcPr>
            <w:tcW w:w="1755" w:type="dxa"/>
            <w:tcBorders>
              <w:bottom w:val="single" w:color="000000" w:sz="4" w:space="0"/>
              <w:right w:val="single" w:color="000000" w:sz="4" w:space="0"/>
            </w:tcBorders>
            <w:noWrap w:val="0"/>
            <w:vAlign w:val="center"/>
          </w:tcPr>
          <w:p w14:paraId="73D23C83">
            <w:pPr>
              <w:widowControl/>
              <w:jc w:val="left"/>
              <w:textAlignment w:val="center"/>
              <w:rPr>
                <w:sz w:val="18"/>
                <w:szCs w:val="21"/>
              </w:rPr>
            </w:pPr>
            <w:r>
              <w:rPr>
                <w:rFonts w:hint="eastAsia" w:ascii="宋体" w:hAnsi="宋体" w:cs="宋体"/>
                <w:kern w:val="0"/>
                <w:szCs w:val="21"/>
              </w:rPr>
              <w:t>346970</w:t>
            </w:r>
          </w:p>
        </w:tc>
        <w:tc>
          <w:tcPr>
            <w:tcW w:w="1755" w:type="dxa"/>
            <w:tcBorders>
              <w:bottom w:val="single" w:color="000000" w:sz="4" w:space="0"/>
              <w:right w:val="single" w:color="000000" w:sz="4" w:space="0"/>
            </w:tcBorders>
            <w:noWrap w:val="0"/>
            <w:vAlign w:val="center"/>
          </w:tcPr>
          <w:p w14:paraId="6D8C9645">
            <w:pPr>
              <w:widowControl/>
              <w:jc w:val="right"/>
              <w:textAlignment w:val="center"/>
              <w:rPr>
                <w:rFonts w:ascii="宋体" w:hAnsi="宋体" w:cs="宋体"/>
                <w:sz w:val="20"/>
                <w:szCs w:val="20"/>
              </w:rPr>
            </w:pPr>
            <w:r>
              <w:rPr>
                <w:rFonts w:hint="eastAsia" w:ascii="宋体" w:hAnsi="宋体" w:cs="宋体"/>
                <w:kern w:val="0"/>
                <w:sz w:val="20"/>
                <w:szCs w:val="20"/>
              </w:rPr>
              <w:t>人员进出</w:t>
            </w:r>
          </w:p>
        </w:tc>
      </w:tr>
      <w:tr w14:paraId="3BBE10FF">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noWrap w:val="0"/>
            <w:vAlign w:val="center"/>
          </w:tcPr>
          <w:p w14:paraId="6ED2C494">
            <w:pPr>
              <w:widowControl/>
              <w:jc w:val="left"/>
              <w:textAlignment w:val="center"/>
              <w:rPr>
                <w:rFonts w:ascii="宋体" w:hAnsi="宋体" w:cs="宋体"/>
                <w:sz w:val="20"/>
                <w:szCs w:val="20"/>
              </w:rPr>
            </w:pPr>
            <w:r>
              <w:rPr>
                <w:rFonts w:hint="eastAsia" w:ascii="宋体" w:hAnsi="宋体" w:cs="宋体"/>
                <w:kern w:val="0"/>
                <w:szCs w:val="21"/>
              </w:rPr>
              <w:t>二十六、抗疫特别国债安排的支出</w:t>
            </w:r>
          </w:p>
        </w:tc>
        <w:tc>
          <w:tcPr>
            <w:tcW w:w="392" w:type="dxa"/>
            <w:tcBorders>
              <w:bottom w:val="single" w:color="000000" w:sz="4" w:space="0"/>
              <w:right w:val="single" w:color="000000" w:sz="4" w:space="0"/>
            </w:tcBorders>
            <w:noWrap w:val="0"/>
            <w:vAlign w:val="center"/>
          </w:tcPr>
          <w:p w14:paraId="13A11D16">
            <w:pPr>
              <w:widowControl/>
              <w:jc w:val="center"/>
              <w:textAlignment w:val="center"/>
              <w:rPr>
                <w:rFonts w:ascii="宋体" w:hAnsi="宋体" w:cs="宋体"/>
                <w:sz w:val="20"/>
                <w:szCs w:val="20"/>
              </w:rPr>
            </w:pPr>
            <w:r>
              <w:rPr>
                <w:rFonts w:hint="eastAsia" w:ascii="宋体" w:hAnsi="宋体" w:cs="宋体"/>
                <w:kern w:val="0"/>
                <w:sz w:val="20"/>
                <w:szCs w:val="20"/>
              </w:rPr>
              <w:t>9</w:t>
            </w:r>
          </w:p>
        </w:tc>
        <w:tc>
          <w:tcPr>
            <w:tcW w:w="1453" w:type="dxa"/>
            <w:tcBorders>
              <w:bottom w:val="single" w:color="000000" w:sz="4" w:space="0"/>
              <w:right w:val="single" w:color="000000" w:sz="4" w:space="0"/>
            </w:tcBorders>
            <w:noWrap w:val="0"/>
            <w:vAlign w:val="center"/>
          </w:tcPr>
          <w:p w14:paraId="7280054F">
            <w:pPr>
              <w:widowControl/>
              <w:jc w:val="left"/>
              <w:textAlignment w:val="center"/>
              <w:rPr>
                <w:sz w:val="18"/>
                <w:szCs w:val="21"/>
              </w:rPr>
            </w:pPr>
            <w:r>
              <w:rPr>
                <w:rFonts w:hint="eastAsia" w:ascii="宋体" w:hAnsi="宋体" w:cs="宋体"/>
                <w:kern w:val="0"/>
                <w:szCs w:val="21"/>
              </w:rPr>
              <w:t>0</w:t>
            </w:r>
          </w:p>
        </w:tc>
        <w:tc>
          <w:tcPr>
            <w:tcW w:w="1545" w:type="dxa"/>
            <w:tcBorders>
              <w:bottom w:val="single" w:color="000000" w:sz="4" w:space="0"/>
              <w:right w:val="single" w:color="000000" w:sz="4" w:space="0"/>
            </w:tcBorders>
            <w:noWrap w:val="0"/>
            <w:vAlign w:val="center"/>
          </w:tcPr>
          <w:p w14:paraId="0194B23D">
            <w:pPr>
              <w:widowControl/>
              <w:jc w:val="left"/>
              <w:textAlignment w:val="center"/>
              <w:rPr>
                <w:sz w:val="18"/>
                <w:szCs w:val="21"/>
              </w:rPr>
            </w:pPr>
            <w:r>
              <w:rPr>
                <w:rFonts w:hint="eastAsia" w:ascii="宋体" w:hAnsi="宋体" w:cs="宋体"/>
                <w:kern w:val="0"/>
                <w:szCs w:val="21"/>
              </w:rPr>
              <w:t>7900000</w:t>
            </w:r>
          </w:p>
        </w:tc>
        <w:tc>
          <w:tcPr>
            <w:tcW w:w="1755" w:type="dxa"/>
            <w:tcBorders>
              <w:bottom w:val="single" w:color="000000" w:sz="4" w:space="0"/>
              <w:right w:val="single" w:color="000000" w:sz="4" w:space="0"/>
            </w:tcBorders>
            <w:noWrap w:val="0"/>
            <w:vAlign w:val="center"/>
          </w:tcPr>
          <w:p w14:paraId="7832F4B1">
            <w:pPr>
              <w:widowControl/>
              <w:jc w:val="left"/>
              <w:textAlignment w:val="center"/>
              <w:rPr>
                <w:sz w:val="18"/>
                <w:szCs w:val="21"/>
              </w:rPr>
            </w:pPr>
            <w:r>
              <w:rPr>
                <w:rFonts w:hint="eastAsia" w:ascii="宋体" w:hAnsi="宋体" w:cs="宋体"/>
                <w:kern w:val="0"/>
                <w:szCs w:val="21"/>
              </w:rPr>
              <w:t>7900000</w:t>
            </w:r>
          </w:p>
        </w:tc>
        <w:tc>
          <w:tcPr>
            <w:tcW w:w="1755" w:type="dxa"/>
            <w:tcBorders>
              <w:bottom w:val="single" w:color="000000" w:sz="4" w:space="0"/>
              <w:right w:val="single" w:color="000000" w:sz="4" w:space="0"/>
            </w:tcBorders>
            <w:noWrap w:val="0"/>
            <w:vAlign w:val="center"/>
          </w:tcPr>
          <w:p w14:paraId="4DF124CC">
            <w:pPr>
              <w:widowControl/>
              <w:jc w:val="right"/>
              <w:textAlignment w:val="center"/>
              <w:rPr>
                <w:rFonts w:ascii="宋体" w:hAnsi="宋体" w:cs="宋体"/>
                <w:sz w:val="20"/>
                <w:szCs w:val="20"/>
              </w:rPr>
            </w:pPr>
            <w:r>
              <w:rPr>
                <w:rFonts w:hint="eastAsia" w:ascii="宋体" w:hAnsi="宋体" w:cs="宋体"/>
                <w:kern w:val="0"/>
                <w:sz w:val="20"/>
                <w:szCs w:val="20"/>
              </w:rPr>
              <w:t>存量资金安排</w:t>
            </w:r>
          </w:p>
        </w:tc>
      </w:tr>
    </w:tbl>
    <w:p w14:paraId="353CF1C1">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3.支出控制</w:t>
      </w:r>
    </w:p>
    <w:p w14:paraId="682AB872">
      <w:pPr>
        <w:widowControl/>
        <w:ind w:firstLine="640" w:firstLineChars="200"/>
        <w:jc w:val="left"/>
        <w:rPr>
          <w:rFonts w:ascii="仿宋_GB2312" w:hAnsi="仿宋" w:eastAsia="仿宋_GB2312"/>
          <w:color w:val="FF0000"/>
          <w:sz w:val="32"/>
          <w:szCs w:val="32"/>
        </w:rPr>
      </w:pPr>
      <w:r>
        <w:rPr>
          <w:rFonts w:hint="eastAsia" w:ascii="仿宋_GB2312" w:hAnsi="仿宋" w:eastAsia="仿宋_GB2312"/>
          <w:sz w:val="32"/>
          <w:szCs w:val="32"/>
        </w:rPr>
        <w:t>2021年本部门“办公费、印刷费、水电费、物业管理费”等支出76490.98元，较2020年64569.50元增加11921.48元，主要原因是上级交办工作增多，以及疫情工作任务加大。</w:t>
      </w:r>
      <w:r>
        <w:rPr>
          <w:rFonts w:hint="eastAsia" w:ascii="仿宋_GB2312" w:hAnsi="仿宋" w:eastAsia="仿宋_GB2312"/>
          <w:b/>
          <w:sz w:val="32"/>
          <w:szCs w:val="32"/>
        </w:rPr>
        <w:t xml:space="preserve"> “</w:t>
      </w:r>
      <w:r>
        <w:rPr>
          <w:rFonts w:hint="eastAsia" w:ascii="仿宋_GB2312" w:hAnsi="仿宋" w:eastAsia="仿宋_GB2312"/>
          <w:sz w:val="32"/>
          <w:szCs w:val="32"/>
        </w:rPr>
        <w:t>三公</w:t>
      </w:r>
      <w:r>
        <w:rPr>
          <w:rFonts w:hint="eastAsia" w:ascii="仿宋_GB2312" w:hAnsi="仿宋" w:eastAsia="仿宋_GB2312"/>
          <w:b/>
          <w:sz w:val="32"/>
          <w:szCs w:val="32"/>
        </w:rPr>
        <w:t>”</w:t>
      </w:r>
      <w:r>
        <w:rPr>
          <w:rFonts w:hint="eastAsia" w:ascii="仿宋_GB2312" w:hAnsi="仿宋" w:eastAsia="仿宋_GB2312"/>
          <w:sz w:val="32"/>
          <w:szCs w:val="32"/>
        </w:rPr>
        <w:t>经费支出情况：2021年本部门“三公”经费预算65000.00元，实际决算支出64029.00元，较2020年本部门“三公”经费 5300元增加58729元。其中公务接待费2555元，较2020年决算数5300元减少2745元；公务用车运行维护费89315.01元，较2020年决算数增加88195.01元。截止2021年末本部门公务用车保有量为</w:t>
      </w:r>
      <w:r>
        <w:rPr>
          <w:rFonts w:ascii="仿宋_GB2312" w:hAnsi="仿宋" w:eastAsia="仿宋_GB2312"/>
          <w:sz w:val="32"/>
          <w:szCs w:val="32"/>
        </w:rPr>
        <w:t>8</w:t>
      </w:r>
      <w:r>
        <w:rPr>
          <w:rFonts w:hint="eastAsia" w:ascii="仿宋_GB2312" w:hAnsi="仿宋" w:eastAsia="仿宋_GB2312"/>
          <w:sz w:val="32"/>
          <w:szCs w:val="32"/>
        </w:rPr>
        <w:t>辆。</w:t>
      </w:r>
    </w:p>
    <w:p w14:paraId="61DB522A">
      <w:pPr>
        <w:widowControl/>
        <w:jc w:val="left"/>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 xml:space="preserve">    4.</w:t>
      </w:r>
      <w:r>
        <w:rPr>
          <w:rFonts w:hint="eastAsia" w:ascii="仿宋_GB2312" w:hAnsi="宋体" w:eastAsia="仿宋_GB2312" w:cs="宋体"/>
          <w:kern w:val="0"/>
          <w:sz w:val="32"/>
          <w:szCs w:val="32"/>
        </w:rPr>
        <w:t>执行进度</w:t>
      </w:r>
    </w:p>
    <w:p w14:paraId="79FFFFE4">
      <w:pPr>
        <w:widowControl/>
        <w:jc w:val="left"/>
        <w:rPr>
          <w:rFonts w:ascii="仿宋_GB2312" w:hAnsi="宋体" w:eastAsia="仿宋_GB2312" w:cs="宋体"/>
          <w:kern w:val="0"/>
          <w:sz w:val="32"/>
          <w:szCs w:val="32"/>
        </w:rPr>
      </w:pPr>
      <w:r>
        <w:rPr>
          <w:rFonts w:hint="eastAsia" w:ascii="仿宋_GB2312" w:hAnsi="仿宋_GB2312" w:eastAsia="仿宋_GB2312" w:cs="仿宋_GB2312"/>
          <w:color w:val="000000"/>
          <w:kern w:val="0"/>
          <w:sz w:val="32"/>
          <w:szCs w:val="32"/>
          <w:shd w:val="clear" w:color="auto" w:fill="FFFFFF"/>
        </w:rPr>
        <w:t>本单位的资金使用严格遵循财经制度的规定，有严格的财政资金拨付程序，项目资金严格按照项目开展进度拨款支付，</w:t>
      </w:r>
      <w:r>
        <w:rPr>
          <w:rFonts w:hint="eastAsia" w:ascii="仿宋_GB2312" w:hAnsi="宋体" w:eastAsia="仿宋_GB2312" w:cs="宋体"/>
          <w:kern w:val="0"/>
          <w:sz w:val="32"/>
          <w:szCs w:val="32"/>
        </w:rPr>
        <w:t xml:space="preserve">部门预算执行进度开展良好。                                             </w:t>
      </w:r>
    </w:p>
    <w:p w14:paraId="29349BC9">
      <w:pPr>
        <w:widowControl/>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.预算完成</w:t>
      </w:r>
    </w:p>
    <w:p w14:paraId="486C1D6E">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2021年部门预算项目全年预算执行进度达到100%，预算执行进度情况良好。</w:t>
      </w:r>
    </w:p>
    <w:p w14:paraId="08EA0D24">
      <w:pPr>
        <w:widowControl/>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.资金结余率</w:t>
      </w:r>
    </w:p>
    <w:p w14:paraId="0B1983EA">
      <w:pPr>
        <w:widowControl/>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2021年结转资金612000元。其中①2020-2021年公路交通运输量统计调查专项经费12000.00元②2020年第三批公路水毁省补助资金（乐市财政建【2021】23号）400000.00元③2021年“7.9”暴雨洪灾交通应急水毁乐山市补助200000.00元。结转和结余规模较大的原因为财政未及时安排资金拨付，消化结转和结余的对策为加快对接财政资金拨付。</w:t>
      </w:r>
    </w:p>
    <w:p w14:paraId="108610D4">
      <w:pPr>
        <w:widowControl/>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.违规记录</w:t>
      </w:r>
    </w:p>
    <w:p w14:paraId="748A33B9">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2021年预算管理方面严格按照上级相关政策文件开展执行，市审计监督、财政部门检查结果合规。</w:t>
      </w:r>
    </w:p>
    <w:p w14:paraId="74EB3206">
      <w:pPr>
        <w:widowControl/>
        <w:ind w:firstLine="320" w:firstLineChars="10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（二）绩效结果应用情况</w:t>
      </w:r>
    </w:p>
    <w:p w14:paraId="7D5FE9D2">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1.内部应用</w:t>
      </w:r>
    </w:p>
    <w:p w14:paraId="6FA2208E">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2021年将内设机构和下属单位绩效自评纳入考核体系，建立对内设机构和下属单位预算与绩效挂钩机制。</w:t>
      </w:r>
      <w:r>
        <w:rPr>
          <w:rFonts w:hint="eastAsia" w:ascii="仿宋_GB2312" w:hAnsi="Arial" w:eastAsia="仿宋_GB2312" w:cs="Arial"/>
          <w:color w:val="333333"/>
          <w:sz w:val="32"/>
          <w:szCs w:val="32"/>
          <w:shd w:val="clear" w:color="auto" w:fill="FFFFFF"/>
        </w:rPr>
        <w:t>从年初预算完成率、年初预算调整率、结转结余控制率、“三公”经费控制率、政府采购执行率、预决算信息公开性6个方面进行考核跟踪。</w:t>
      </w:r>
    </w:p>
    <w:p w14:paraId="5E209B53">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2.自评公开</w:t>
      </w:r>
    </w:p>
    <w:p w14:paraId="53A28749">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2021年已按市财政要求将部门整体绩效自评情况及时向社会公开。</w:t>
      </w:r>
    </w:p>
    <w:p w14:paraId="24ED21C1">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3.问题整改及应用反馈</w:t>
      </w:r>
    </w:p>
    <w:p w14:paraId="6D791919">
      <w:pPr>
        <w:widowControl/>
        <w:jc w:val="left"/>
        <w:rPr>
          <w:rFonts w:ascii="仿宋_GB2312" w:hAnsi="宋体" w:eastAsia="仿宋_GB2312" w:cs="宋体"/>
          <w:kern w:val="0"/>
          <w:sz w:val="32"/>
          <w:szCs w:val="32"/>
        </w:rPr>
      </w:pPr>
      <w:r>
        <w:rPr>
          <w:rFonts w:hint="eastAsia" w:ascii="仿宋_GB2312" w:hAnsi="Arial" w:eastAsia="仿宋_GB2312" w:cs="Arial"/>
          <w:color w:val="333333"/>
          <w:sz w:val="32"/>
          <w:szCs w:val="32"/>
          <w:shd w:val="clear" w:color="auto" w:fill="FFFFFF"/>
        </w:rPr>
        <w:t>针对效自评中存在的问题，及时调整和优化本部门后续项目和预算支出的方向和结构，合理配置资源，加强财务管理，强化评价结果在项目申报和预算编制中的有效应用，提高预算资金的使用效率。</w:t>
      </w:r>
    </w:p>
    <w:p w14:paraId="19798E06">
      <w:pPr>
        <w:widowControl/>
        <w:adjustRightInd w:val="0"/>
        <w:snapToGrid w:val="0"/>
        <w:spacing w:line="540" w:lineRule="exact"/>
        <w:ind w:firstLine="720"/>
        <w:jc w:val="left"/>
        <w:rPr>
          <w:rFonts w:ascii="黑体" w:hAnsi="黑体" w:eastAsia="黑体" w:cs="宋体"/>
          <w:b/>
          <w:color w:val="000000"/>
          <w:kern w:val="0"/>
          <w:sz w:val="32"/>
          <w:szCs w:val="32"/>
          <w:shd w:val="clear" w:color="auto" w:fill="FFFFFF"/>
        </w:rPr>
      </w:pPr>
      <w:r>
        <w:rPr>
          <w:rFonts w:hint="eastAsia" w:ascii="黑体" w:hAnsi="黑体" w:eastAsia="黑体" w:cs="宋体"/>
          <w:b/>
          <w:color w:val="000000"/>
          <w:kern w:val="0"/>
          <w:sz w:val="32"/>
          <w:szCs w:val="32"/>
          <w:shd w:val="clear" w:color="auto" w:fill="FFFFFF"/>
        </w:rPr>
        <w:t>四、评价结论及建议</w:t>
      </w:r>
    </w:p>
    <w:p w14:paraId="200ECC6B">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（一）评价结论</w:t>
      </w:r>
    </w:p>
    <w:p w14:paraId="3554D0C3">
      <w:pPr>
        <w:widowControl/>
        <w:spacing w:line="520" w:lineRule="exact"/>
        <w:ind w:firstLine="640" w:firstLineChars="200"/>
        <w:rPr>
          <w:rFonts w:ascii="仿宋_GB2312" w:hAnsi="Calibri" w:eastAsia="仿宋_GB2312" w:cs="Calibri"/>
          <w:color w:val="333333"/>
          <w:kern w:val="0"/>
          <w:sz w:val="32"/>
          <w:szCs w:val="32"/>
        </w:rPr>
      </w:pPr>
      <w:r>
        <w:rPr>
          <w:rFonts w:hint="eastAsia" w:ascii="仿宋_GB2312" w:hAnsi="Arial" w:eastAsia="仿宋_GB2312" w:cs="Arial"/>
          <w:color w:val="333333"/>
          <w:sz w:val="32"/>
          <w:szCs w:val="32"/>
          <w:shd w:val="clear" w:color="auto" w:fill="FFFFFF"/>
        </w:rPr>
        <w:t>按照部门整体支出绩效评价评分表的评分标准，我局对年初设定的绩效目标完成情况进行了自检自查。绩效目标立项合理、指标明确。对经费的管理和使用合理规范，相关管理制度健全，项目效益明显，项目实施达到了预期效果，各项工作均已圆满完成。</w:t>
      </w:r>
    </w:p>
    <w:p w14:paraId="063DC8B4">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（二）存在问题</w:t>
      </w:r>
    </w:p>
    <w:p w14:paraId="23E15B70">
      <w:pPr>
        <w:pStyle w:val="13"/>
        <w:shd w:val="clear" w:color="auto" w:fill="FFFFFF"/>
        <w:spacing w:line="450" w:lineRule="atLeast"/>
        <w:ind w:firstLine="640" w:firstLineChars="200"/>
        <w:rPr>
          <w:rFonts w:ascii="仿宋_GB2312" w:hAnsi="Arial" w:cs="Arial"/>
          <w:color w:val="333333"/>
          <w:sz w:val="32"/>
          <w:szCs w:val="32"/>
        </w:rPr>
      </w:pPr>
      <w:r>
        <w:rPr>
          <w:rFonts w:hint="eastAsia" w:ascii="仿宋_GB2312" w:hAnsi="Arial" w:cs="Arial"/>
          <w:color w:val="333333"/>
          <w:sz w:val="32"/>
          <w:szCs w:val="32"/>
        </w:rPr>
        <w:t>1.绩效管理意识不强，还需进一步提高绩效管理水平。</w:t>
      </w:r>
    </w:p>
    <w:p w14:paraId="632629FD">
      <w:pPr>
        <w:pStyle w:val="13"/>
        <w:shd w:val="clear" w:color="auto" w:fill="FFFFFF"/>
        <w:spacing w:line="450" w:lineRule="atLeast"/>
        <w:rPr>
          <w:rFonts w:ascii="仿宋_GB2312" w:hAnsi="Arial" w:cs="Arial"/>
          <w:color w:val="333333"/>
          <w:sz w:val="32"/>
          <w:szCs w:val="32"/>
        </w:rPr>
      </w:pPr>
      <w:r>
        <w:rPr>
          <w:rFonts w:hint="eastAsia" w:ascii="仿宋_GB2312" w:hAnsi="Arial" w:cs="Arial"/>
          <w:color w:val="333333"/>
          <w:sz w:val="32"/>
          <w:szCs w:val="32"/>
        </w:rPr>
        <w:t>　　2.绩效自评目标不够规范。在绩效目标指标设定上普遍存在着与部门整体目标的关联度不够。</w:t>
      </w:r>
    </w:p>
    <w:p w14:paraId="34E7C72A">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（三）改进建设</w:t>
      </w:r>
    </w:p>
    <w:p w14:paraId="33C285D7">
      <w:pPr>
        <w:pStyle w:val="13"/>
        <w:shd w:val="clear" w:color="auto" w:fill="FFFFFF"/>
        <w:spacing w:line="450" w:lineRule="atLeast"/>
        <w:rPr>
          <w:rFonts w:ascii="仿宋_GB2312" w:hAnsi="Arial" w:cs="Arial"/>
          <w:color w:val="333333"/>
          <w:sz w:val="32"/>
          <w:szCs w:val="32"/>
        </w:rPr>
      </w:pPr>
      <w:r>
        <w:rPr>
          <w:rFonts w:hint="eastAsia" w:ascii="仿宋_GB2312" w:hAnsi="Arial" w:cs="Arial"/>
          <w:color w:val="333333"/>
          <w:sz w:val="32"/>
          <w:szCs w:val="32"/>
        </w:rPr>
        <w:t>1.深入开展部门整体支出绩效评价工作，对下属单位实施绩效自评和部门核查。</w:t>
      </w:r>
    </w:p>
    <w:p w14:paraId="62D586E8">
      <w:pPr>
        <w:pStyle w:val="13"/>
        <w:shd w:val="clear" w:color="auto" w:fill="FFFFFF"/>
        <w:spacing w:line="450" w:lineRule="atLeast"/>
        <w:rPr>
          <w:rFonts w:ascii="仿宋_GB2312" w:hAnsi="Arial" w:cs="Arial"/>
          <w:color w:val="333333"/>
          <w:sz w:val="32"/>
          <w:szCs w:val="32"/>
        </w:rPr>
      </w:pPr>
      <w:r>
        <w:rPr>
          <w:rFonts w:hint="eastAsia" w:ascii="仿宋_GB2312" w:hAnsi="Arial" w:cs="Arial"/>
          <w:color w:val="333333"/>
          <w:sz w:val="32"/>
          <w:szCs w:val="32"/>
        </w:rPr>
        <w:t>　　2.强化评价结果应用，组织绩效自评，对发现的问题及时改进。</w:t>
      </w:r>
    </w:p>
    <w:p w14:paraId="26D3C527">
      <w:pPr>
        <w:pStyle w:val="13"/>
        <w:shd w:val="clear" w:color="auto" w:fill="FFFFFF"/>
        <w:spacing w:line="450" w:lineRule="atLeast"/>
        <w:rPr>
          <w:rFonts w:ascii="仿宋_GB2312" w:hAnsi="Arial" w:cs="Arial"/>
          <w:color w:val="333333"/>
          <w:sz w:val="32"/>
          <w:szCs w:val="32"/>
        </w:rPr>
      </w:pPr>
      <w:r>
        <w:rPr>
          <w:rFonts w:hint="eastAsia" w:ascii="仿宋_GB2312" w:hAnsi="Arial" w:cs="Arial"/>
          <w:color w:val="333333"/>
          <w:sz w:val="32"/>
          <w:szCs w:val="32"/>
        </w:rPr>
        <w:t>　　3.健全绩效管理工作机制，明确职责分工，努力提高绩效管理工作水平。</w:t>
      </w:r>
    </w:p>
    <w:p w14:paraId="54F9BACC">
      <w:pPr>
        <w:pStyle w:val="2"/>
        <w:spacing w:before="93"/>
      </w:pPr>
    </w:p>
    <w:p w14:paraId="6A019A79">
      <w:pPr>
        <w:spacing w:line="600" w:lineRule="exact"/>
        <w:jc w:val="center"/>
        <w:outlineLvl w:val="0"/>
      </w:pPr>
      <w:bookmarkStart w:id="51" w:name="_Toc15377226"/>
      <w:r>
        <w:rPr>
          <w:rFonts w:ascii="宋体"/>
          <w:b/>
          <w:sz w:val="44"/>
          <w:szCs w:val="44"/>
        </w:rPr>
        <w:br w:type="page"/>
      </w:r>
    </w:p>
    <w:p w14:paraId="6B3430C7">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-1</w:t>
      </w:r>
    </w:p>
    <w:p w14:paraId="75A2FC68">
      <w:pPr>
        <w:pStyle w:val="13"/>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2021年峨眉山市城市公交燃气补助资金项目支出绩效自评报告</w:t>
      </w:r>
    </w:p>
    <w:p w14:paraId="0FC79070">
      <w:pPr>
        <w:pStyle w:val="13"/>
        <w:shd w:val="clear" w:color="auto" w:fill="FFFFFF"/>
        <w:spacing w:before="93" w:line="450" w:lineRule="atLeast"/>
        <w:ind w:firstLine="480"/>
        <w:jc w:val="center"/>
        <w:rPr>
          <w:rFonts w:ascii="Arial" w:hAnsi="Arial" w:cs="Arial"/>
          <w:color w:val="333333"/>
        </w:rPr>
      </w:pPr>
    </w:p>
    <w:p w14:paraId="1A4F2BB9">
      <w:pPr>
        <w:pStyle w:val="13"/>
        <w:shd w:val="clear" w:color="auto" w:fill="FFFFFF"/>
        <w:spacing w:before="93" w:line="450" w:lineRule="atLeast"/>
        <w:ind w:firstLine="480"/>
        <w:rPr>
          <w:rFonts w:ascii="仿宋_GB2312" w:hAnsi="宋体" w:cs="Arial"/>
          <w:color w:val="333333"/>
          <w:sz w:val="32"/>
          <w:szCs w:val="32"/>
        </w:rPr>
      </w:pPr>
      <w:r>
        <w:rPr>
          <w:rFonts w:hint="eastAsia" w:ascii="黑体" w:hAnsi="黑体" w:eastAsia="黑体" w:cs="Arial"/>
          <w:color w:val="333333"/>
          <w:sz w:val="32"/>
          <w:szCs w:val="32"/>
        </w:rPr>
        <w:t>一、项目概况</w:t>
      </w:r>
    </w:p>
    <w:p w14:paraId="059ABDE4">
      <w:pPr>
        <w:pStyle w:val="13"/>
        <w:shd w:val="clear" w:color="auto" w:fill="FFFFFF"/>
        <w:spacing w:before="93" w:line="450" w:lineRule="atLeast"/>
        <w:ind w:firstLine="480"/>
        <w:rPr>
          <w:rFonts w:ascii="仿宋_GB2312" w:hAnsi="宋体" w:cs="Arial"/>
          <w:color w:val="333333"/>
          <w:sz w:val="32"/>
          <w:szCs w:val="32"/>
        </w:rPr>
      </w:pPr>
      <w:r>
        <w:rPr>
          <w:rFonts w:hint="eastAsia" w:ascii="仿宋_GB2312" w:hAnsi="宋体" w:cs="Arial"/>
          <w:color w:val="333333"/>
          <w:sz w:val="32"/>
          <w:szCs w:val="32"/>
        </w:rPr>
        <w:t>（一）项目基本情况</w:t>
      </w:r>
    </w:p>
    <w:p w14:paraId="2D38989E">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2021年峨眉山市财政局共下达城市公交燃气补助资金44.70万元。我市城市公交由峨眉山市公共汽车有限责任公司经营，车辆运营正常，根据企业申报，经我局统计汇总，我们将此资金全额拨付给峨眉山市公共汽车有限责任公司。城市公交燃气补助资金使用44.70万元，预算执行率100%。</w:t>
      </w:r>
    </w:p>
    <w:p w14:paraId="6F8CD3A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（二）项目绩效目标</w:t>
      </w:r>
    </w:p>
    <w:p w14:paraId="021844D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1.项目绩效总目标</w:t>
      </w:r>
    </w:p>
    <w:p w14:paraId="33E96A61">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项目的预期总目标是缓解峨眉山市公交企业运营压力，保障群众便捷畅通出行。</w:t>
      </w:r>
    </w:p>
    <w:p w14:paraId="0B905E2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2.项目绩效阶段性目标</w:t>
      </w:r>
    </w:p>
    <w:p w14:paraId="47641E51">
      <w:pPr>
        <w:pStyle w:val="13"/>
        <w:shd w:val="clear" w:color="auto" w:fill="FFFFFF"/>
        <w:spacing w:before="93" w:line="450" w:lineRule="atLeast"/>
        <w:ind w:firstLine="660"/>
        <w:rPr>
          <w:rFonts w:ascii="仿宋_GB2312" w:hAnsi="宋体" w:cs="Arial"/>
          <w:color w:val="333333"/>
          <w:sz w:val="32"/>
          <w:szCs w:val="32"/>
        </w:rPr>
      </w:pPr>
      <w:r>
        <w:rPr>
          <w:rFonts w:hint="eastAsia" w:ascii="仿宋_GB2312" w:hAnsi="宋体" w:cs="Arial"/>
          <w:color w:val="333333"/>
          <w:sz w:val="32"/>
          <w:szCs w:val="32"/>
        </w:rPr>
        <w:t>对城市公交的燃气补助在一定程度上缓解了公交企业营运资金缺乏的压力，保证了车辆的正常运营。广大群众基本上都能就近坐到公交车，极大方便了市民的出行，收到了良好的社会效益。</w:t>
      </w:r>
    </w:p>
    <w:p w14:paraId="1DA21C7F">
      <w:pPr>
        <w:pStyle w:val="13"/>
        <w:shd w:val="clear" w:color="auto" w:fill="FFFFFF"/>
        <w:spacing w:before="93" w:line="450" w:lineRule="atLeast"/>
        <w:ind w:firstLine="660"/>
        <w:rPr>
          <w:rFonts w:ascii="仿宋_GB2312" w:hAnsi="宋体" w:cs="Arial"/>
          <w:color w:val="333333"/>
          <w:sz w:val="32"/>
          <w:szCs w:val="32"/>
        </w:rPr>
      </w:pPr>
      <w:r>
        <w:rPr>
          <w:rFonts w:ascii="仿宋_GB2312" w:hAnsi="宋体" w:cs="Arial"/>
          <w:color w:val="333333"/>
          <w:sz w:val="32"/>
          <w:szCs w:val="32"/>
        </w:rPr>
        <w:t>（三）项目自评步骤及方法</w:t>
      </w:r>
    </w:p>
    <w:p w14:paraId="4135E535">
      <w:pPr>
        <w:widowControl/>
        <w:shd w:val="clear" w:color="auto" w:fill="FFFFFF"/>
        <w:spacing w:line="600" w:lineRule="atLeast"/>
        <w:ind w:firstLine="640" w:firstLineChars="200"/>
        <w:jc w:val="left"/>
        <w:rPr>
          <w:rFonts w:ascii="仿宋_GB2312" w:hAnsi="微软雅黑"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7746A606">
      <w:pPr>
        <w:pStyle w:val="13"/>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53BA9D6D">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（一）项目资金申报及批复情况</w:t>
      </w:r>
    </w:p>
    <w:p w14:paraId="4505392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1.项目资金到位情况分析</w:t>
      </w:r>
    </w:p>
    <w:p w14:paraId="61FC2A73">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2021年我局共收到市财政局共下达城市公交燃气补助资金44.70万元。　　</w:t>
      </w:r>
    </w:p>
    <w:p w14:paraId="521BF626">
      <w:pPr>
        <w:pStyle w:val="13"/>
        <w:shd w:val="clear" w:color="auto" w:fill="FFFFFF"/>
        <w:spacing w:before="93" w:line="450" w:lineRule="atLeast"/>
        <w:ind w:left="420" w:leftChars="200" w:firstLine="320" w:firstLineChars="100"/>
        <w:rPr>
          <w:rFonts w:ascii="仿宋_GB2312" w:hAnsi="宋体" w:cs="Arial"/>
          <w:color w:val="333333"/>
          <w:sz w:val="32"/>
          <w:szCs w:val="32"/>
        </w:rPr>
      </w:pPr>
      <w:r>
        <w:rPr>
          <w:rFonts w:hint="eastAsia" w:ascii="仿宋_GB2312" w:hAnsi="宋体" w:cs="Arial"/>
          <w:color w:val="333333"/>
          <w:sz w:val="32"/>
          <w:szCs w:val="32"/>
        </w:rPr>
        <w:t>2.项目资金使用情况分析</w:t>
      </w:r>
    </w:p>
    <w:p w14:paraId="081ED8D7">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为了确保城市公交燃气补助资金申报补贴工作的严肃、严谨和数据的真实、客观以及填报工作的及时，准确，组织有关人员进行公交企业相关车辆信息的填报、审核工作。该项目共下达资金44.70万元，已发放44.70万元，使用率100%。</w:t>
      </w:r>
    </w:p>
    <w:p w14:paraId="0918A60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3.项目资金管理情况分析</w:t>
      </w:r>
    </w:p>
    <w:p w14:paraId="39C434C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2C4C0BF1">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（二）项目管理情况分析</w:t>
      </w:r>
    </w:p>
    <w:p w14:paraId="439E5F8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相关规定对项目进行组织管理，如实上报相关资料，按时申请燃气补助资金，保证资金合理使用，自觉接受上级部门监督。严格按照《政府会计制度》的规定，建立健全内部财务管理制度和会计核算等相关制度，专账专项核算，强化建设资金管理，确保公交燃气补助资金专款专用。</w:t>
      </w:r>
    </w:p>
    <w:p w14:paraId="20B4FD07">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三、项目实施及管理情况</w:t>
      </w:r>
    </w:p>
    <w:p w14:paraId="376E4DDD">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1.项目组织架构及实施流程</w:t>
      </w:r>
    </w:p>
    <w:p w14:paraId="3B751E03">
      <w:pPr>
        <w:pStyle w:val="13"/>
        <w:shd w:val="clear" w:color="auto" w:fill="FFFFFF"/>
        <w:spacing w:before="93" w:line="450" w:lineRule="atLeast"/>
        <w:ind w:firstLine="660"/>
        <w:rPr>
          <w:rFonts w:ascii="仿宋_GB2312" w:hAnsi="宋体" w:cs="Arial"/>
          <w:color w:val="333333"/>
          <w:sz w:val="32"/>
          <w:szCs w:val="32"/>
        </w:rPr>
      </w:pPr>
      <w:r>
        <w:rPr>
          <w:rFonts w:hint="eastAsia" w:ascii="仿宋_GB2312" w:hAnsi="仿宋"/>
          <w:bCs/>
          <w:sz w:val="32"/>
          <w:szCs w:val="32"/>
        </w:rPr>
        <w:t>该项目为以前年度连续实施项目，被评价单位根据峨眉山市人民政府《研究天然气调价有关问题的会议纪要》（峨府议〔2010〕40号）以及乐山市发展和改革委员会《关于恢复车用压缩天然气（CNG）价格的通知》（乐发改价格〔2020〕531号）文件，按月或按季度对峨眉山市公共汽车有限责任公司上报公交车天然气使用方量进行审核，按0.5元/每立方米测算补贴金额并进行支付。</w:t>
      </w:r>
    </w:p>
    <w:p w14:paraId="38392ED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2.项目管理情况</w:t>
      </w:r>
    </w:p>
    <w:p w14:paraId="2645D65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我局2021年该项目预算执行完毕后，通知并组织了各相关科室开始着手组织绩效自评工作。同时，开始收集数据，开展2021年项目支出绩效自评。</w:t>
      </w:r>
    </w:p>
    <w:p w14:paraId="3531846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3.项目监管情况</w:t>
      </w:r>
    </w:p>
    <w:p w14:paraId="07ED7A8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62C6A10D">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四、项目绩效情况</w:t>
      </w:r>
    </w:p>
    <w:p w14:paraId="1A18142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1.项目完成情况。</w:t>
      </w:r>
    </w:p>
    <w:p w14:paraId="2647C494">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截至2021年底，峨眉山市公交公司共计新能源公交车106辆，在用油气混动社区小巴车16辆，新能源车占比达到84.9%，全年存量新能源公交车运营里程均达到669万公里，基本实现全年目标值。</w:t>
      </w:r>
    </w:p>
    <w:p w14:paraId="6D8B3421">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2.项目效益情况。</w:t>
      </w:r>
    </w:p>
    <w:p w14:paraId="4F001BC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我市新能源公交车规模化推广应用总体符合工信部“新能源汽车推广应用工程推荐车型目录”要求，质量符合规定。注重强化项目资金使用管理，严格规范公交燃气补助资金申请与发放程序，完善资金分配方案，切实加强资金管理，及时足额兑付补助资金，提高财政资金使用效益。</w:t>
      </w:r>
    </w:p>
    <w:p w14:paraId="699CAB4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3.项目的效益性分析。</w:t>
      </w:r>
    </w:p>
    <w:p w14:paraId="05B743F6">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（1）项目实施的经济效益分析</w:t>
      </w:r>
    </w:p>
    <w:p w14:paraId="11751D4D">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公交企业属于公益性行业，实行低票价，公交企业普遍处于亏损状态，公交企业运营压力较大，专项资金政策实施后，减轻了公交企业经营压力。</w:t>
      </w:r>
    </w:p>
    <w:p w14:paraId="09C4CD54">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（2）项目实施的社会效益分析</w:t>
      </w:r>
    </w:p>
    <w:p w14:paraId="66DA9ACE">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公交燃气补助资金助推我市公交企业的发展，极大地提高道路运输的通行效率，降低了人流运输成本。我市城区交通通行条件得到显著提高，方便城乡居民出行，提升城乡居民幸福感，缓解和改善日常的交通压力。</w:t>
      </w:r>
    </w:p>
    <w:p w14:paraId="0CA95376">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（3）项目实施的生态效益分析</w:t>
      </w:r>
    </w:p>
    <w:p w14:paraId="6950DAE6">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截止到2021年底，峨眉山市共有公交车106辆，其中新能源公交车90辆，油气混动社区小巴车16辆，绿色公交车比重达到84.9%。大大提高了环保型公交车的比例，减少了车辆尾气对环境的污染。</w:t>
      </w:r>
    </w:p>
    <w:p w14:paraId="3702D6E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（4）项目实施的可持续影响分析</w:t>
      </w:r>
    </w:p>
    <w:p w14:paraId="3825F08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公交燃气补助资金的发放极大减轻了公交企业的运营压力，调动了公交企业的积极性，有利于车辆和设施装备的更新、有利于企业职工队伍的稳定、有利于城市公交公益性得到有效实现。有助于企业持续提升服务质量，改善乘车环境，为市民提供优质的公交服务。</w:t>
      </w:r>
    </w:p>
    <w:p w14:paraId="5705C0E6">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（5）满意度指标完成情况分析</w:t>
      </w:r>
    </w:p>
    <w:p w14:paraId="105EC18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通过对沿线群众随机问卷调查、电话访问、现场走访等形式，对社会公众、受益对象满意度进行调查，结果显示，社会公众满意度达到92%。</w:t>
      </w:r>
    </w:p>
    <w:p w14:paraId="2EE25334">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五、评价结论及建议</w:t>
      </w:r>
    </w:p>
    <w:p w14:paraId="783E5B22">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377D6FE3">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1E3F788D">
      <w:pPr>
        <w:numPr>
          <w:ilvl w:val="0"/>
          <w:numId w:val="2"/>
        </w:num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68F16AF6">
      <w:pPr>
        <w:pStyle w:val="13"/>
        <w:shd w:val="clear" w:color="auto" w:fill="FFFFFF"/>
        <w:spacing w:before="93" w:line="450" w:lineRule="atLeast"/>
        <w:ind w:firstLine="640" w:firstLineChars="200"/>
        <w:rPr>
          <w:rFonts w:ascii="仿宋_GB2312" w:hAnsi="宋体" w:cs="Arial"/>
          <w:color w:val="333333"/>
          <w:sz w:val="32"/>
          <w:szCs w:val="32"/>
        </w:rPr>
      </w:pPr>
      <w:r>
        <w:rPr>
          <w:rFonts w:hint="eastAsia" w:ascii="仿宋_GB2312" w:hAnsi="宋体" w:cs="Arial"/>
          <w:color w:val="333333"/>
          <w:sz w:val="32"/>
          <w:szCs w:val="32"/>
        </w:rPr>
        <w:t>建议进一步对公交事业发展加大扶持力度，支持地方各级政府开展公交全面提升工程，让优质公交服务能力和水平普惠城乡大众。</w:t>
      </w:r>
    </w:p>
    <w:p w14:paraId="2C0B4117">
      <w:pPr>
        <w:pStyle w:val="2"/>
        <w:spacing w:before="93"/>
      </w:pPr>
    </w:p>
    <w:p w14:paraId="7F580A0C">
      <w:pPr>
        <w:pStyle w:val="2"/>
        <w:spacing w:before="93"/>
      </w:pPr>
    </w:p>
    <w:p w14:paraId="2999D318">
      <w:pPr>
        <w:pStyle w:val="2"/>
        <w:spacing w:before="93"/>
      </w:pPr>
    </w:p>
    <w:p w14:paraId="730B888D">
      <w:pPr>
        <w:pStyle w:val="2"/>
        <w:spacing w:before="93"/>
      </w:pPr>
    </w:p>
    <w:p w14:paraId="7A14A5ED">
      <w:pPr>
        <w:pStyle w:val="2"/>
        <w:spacing w:before="93"/>
      </w:pPr>
    </w:p>
    <w:p w14:paraId="31620978">
      <w:pPr>
        <w:pStyle w:val="2"/>
        <w:spacing w:before="93"/>
      </w:pPr>
    </w:p>
    <w:p w14:paraId="4EFC60B6">
      <w:pPr>
        <w:pStyle w:val="2"/>
        <w:spacing w:before="93"/>
      </w:pPr>
    </w:p>
    <w:p w14:paraId="3AC33806">
      <w:pPr>
        <w:pStyle w:val="2"/>
        <w:spacing w:before="93"/>
      </w:pPr>
    </w:p>
    <w:p w14:paraId="35292849">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-2</w:t>
      </w:r>
    </w:p>
    <w:p w14:paraId="7F84DD47">
      <w:pPr>
        <w:pStyle w:val="2"/>
        <w:spacing w:before="93"/>
      </w:pPr>
    </w:p>
    <w:p w14:paraId="78D08334">
      <w:pPr>
        <w:spacing w:line="600" w:lineRule="exact"/>
        <w:jc w:val="center"/>
        <w:outlineLvl w:val="0"/>
        <w:rPr>
          <w:rFonts w:ascii="方正小标宋简体" w:eastAsia="方正小标宋简体"/>
        </w:rPr>
      </w:pPr>
      <w:bookmarkStart w:id="52" w:name="_Toc15396618"/>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021年峨眉山市城市公交燃气补助资金项目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5FDB803E">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6D5754F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49B309EF">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177D8E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90B5FEF">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35527701">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58181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FD900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712B79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4.7</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098DCE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F2FD38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4.7</w:t>
            </w:r>
          </w:p>
        </w:tc>
      </w:tr>
      <w:tr w14:paraId="2B7FF00E">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6D0B89">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CFFBDE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402FA25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94ED56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4.7</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C2CCB1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668E86E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606113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4.7</w:t>
            </w:r>
          </w:p>
        </w:tc>
      </w:tr>
      <w:tr w14:paraId="6FB139CD">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2D2339">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3382B9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8D4298D">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A55705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E022918">
            <w:pPr>
              <w:widowControl/>
              <w:spacing w:line="320" w:lineRule="exact"/>
              <w:jc w:val="center"/>
              <w:textAlignment w:val="center"/>
              <w:rPr>
                <w:rFonts w:ascii="仿宋_GB2312" w:hAnsi="仿宋_GB2312" w:eastAsia="仿宋_GB2312" w:cs="仿宋_GB2312"/>
                <w:sz w:val="28"/>
                <w:szCs w:val="28"/>
              </w:rPr>
            </w:pPr>
          </w:p>
        </w:tc>
      </w:tr>
      <w:tr w14:paraId="59A48755">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AAED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7015164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35EBDB8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7B681EF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062DC5E8">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C7958">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77D05813">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Arial"/>
                <w:color w:val="333333"/>
                <w:szCs w:val="21"/>
              </w:rPr>
              <w:t>公交燃气补助资金的发放极大减轻了公交企业的运营压力，有利于车辆和设施装备的更新、有利于企业职工队伍的稳定、有利于城市公交公益性得到有效实现。</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7ABB3EDF">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Arial"/>
                <w:color w:val="333333"/>
                <w:szCs w:val="21"/>
              </w:rPr>
              <w:t>减轻了公交企业的运营压力，车辆和设施装备得到更新，城市公交公益性得到有效实现。</w:t>
            </w:r>
          </w:p>
        </w:tc>
      </w:tr>
      <w:tr w14:paraId="4992B2A4">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2F53257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39F41E25">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09E8285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11520B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509A13C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81C10D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49B3205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047307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561BB5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3DB19F9E">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797F00A2">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A2757">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0AE69B3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F35127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1650BF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行驶里程</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5A8999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00公里</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6A70FDC">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69公里</w:t>
            </w:r>
          </w:p>
        </w:tc>
      </w:tr>
      <w:tr w14:paraId="5EAB8FE8">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2B2AFCE5">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BFE65">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BFD7C2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2071A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E647209">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5AD3A39">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r>
      <w:tr w14:paraId="53A8D53F">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381BF124">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ECD4C">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4BF301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92117B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6232506">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C55FC5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1B51692D">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283FECE0">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CF165">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560EAE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9A9215F">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4.7万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A77B7C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4.7万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3F528C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4.7万</w:t>
            </w:r>
          </w:p>
        </w:tc>
      </w:tr>
      <w:tr w14:paraId="11C74E57">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2A8C478C">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9056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DA8DE8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738F38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5748D6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2A22E98">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25061956">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31E61546">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80A5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07E286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4A77026">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方便旅客乘车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FCCEAE6">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CAEFA2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16E4FE8">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37037E1F">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53D6E">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DFB6FFD">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3B430E7">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C9A585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113CF7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06D8F57B">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7A39772C">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BFA2F">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0C2F9D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981919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94D2E0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F64FF4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1D3BE54">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21CE880D">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58B52B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6992AB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6DDB7E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33ACDBE">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6A55E2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3F1E0B86">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14:paraId="0792BAD4">
      <w:pPr>
        <w:spacing w:line="600" w:lineRule="exact"/>
        <w:jc w:val="center"/>
        <w:outlineLvl w:val="0"/>
        <w:rPr>
          <w:rFonts w:ascii="黑体" w:hAnsi="黑体" w:eastAsia="黑体"/>
          <w:sz w:val="44"/>
          <w:szCs w:val="44"/>
        </w:rPr>
      </w:pPr>
    </w:p>
    <w:p w14:paraId="373884EE">
      <w:pPr>
        <w:pStyle w:val="2"/>
        <w:spacing w:before="93"/>
      </w:pPr>
    </w:p>
    <w:p w14:paraId="396F415C">
      <w:pPr>
        <w:pStyle w:val="2"/>
        <w:spacing w:before="93"/>
      </w:pPr>
    </w:p>
    <w:p w14:paraId="05E55A35">
      <w:pPr>
        <w:pStyle w:val="2"/>
        <w:spacing w:before="93"/>
      </w:pPr>
    </w:p>
    <w:p w14:paraId="7A6AEB32">
      <w:pPr>
        <w:pStyle w:val="2"/>
        <w:spacing w:before="93"/>
      </w:pPr>
    </w:p>
    <w:p w14:paraId="38F5A2CE">
      <w:pPr>
        <w:pStyle w:val="2"/>
        <w:spacing w:before="93"/>
      </w:pPr>
    </w:p>
    <w:p w14:paraId="2CA056A7">
      <w:pPr>
        <w:pStyle w:val="2"/>
        <w:spacing w:before="93"/>
      </w:pPr>
    </w:p>
    <w:p w14:paraId="57F4AB97">
      <w:pPr>
        <w:pStyle w:val="2"/>
        <w:spacing w:before="93"/>
      </w:pPr>
    </w:p>
    <w:p w14:paraId="54722E13">
      <w:pPr>
        <w:pStyle w:val="2"/>
        <w:spacing w:before="93"/>
      </w:pPr>
    </w:p>
    <w:p w14:paraId="51F823A0">
      <w:pPr>
        <w:pStyle w:val="2"/>
        <w:spacing w:before="93"/>
      </w:pPr>
    </w:p>
    <w:p w14:paraId="72E67B80">
      <w:pPr>
        <w:pStyle w:val="2"/>
        <w:spacing w:before="93"/>
      </w:pPr>
    </w:p>
    <w:p w14:paraId="4DDE75A8">
      <w:pPr>
        <w:pStyle w:val="2"/>
        <w:spacing w:before="93"/>
      </w:pPr>
    </w:p>
    <w:p w14:paraId="151C3330">
      <w:pPr>
        <w:pStyle w:val="2"/>
        <w:spacing w:before="93"/>
      </w:pPr>
    </w:p>
    <w:p w14:paraId="639BBDF0">
      <w:pPr>
        <w:pStyle w:val="2"/>
        <w:spacing w:before="93"/>
      </w:pPr>
    </w:p>
    <w:p w14:paraId="60522CBB">
      <w:pPr>
        <w:pStyle w:val="2"/>
        <w:spacing w:before="93"/>
      </w:pPr>
    </w:p>
    <w:p w14:paraId="3CABDE2A">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附件2</w:t>
      </w:r>
      <w:r>
        <w:rPr>
          <w:rFonts w:ascii="黑体" w:hAnsi="黑体" w:eastAsia="黑体" w:cs="黑体"/>
          <w:sz w:val="32"/>
          <w:szCs w:val="32"/>
        </w:rPr>
        <w:t>-1</w:t>
      </w:r>
    </w:p>
    <w:p w14:paraId="29B76CE8">
      <w:pPr>
        <w:pStyle w:val="13"/>
        <w:shd w:val="clear" w:color="auto" w:fill="FFFFFF"/>
        <w:spacing w:before="93" w:line="450" w:lineRule="atLeast"/>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w:t>
      </w:r>
      <w:r>
        <w:rPr>
          <w:rFonts w:hint="eastAsia" w:ascii="方正小标宋简体" w:hAnsi="Arial" w:eastAsia="方正小标宋简体" w:cs="Arial"/>
          <w:b/>
          <w:sz w:val="44"/>
          <w:szCs w:val="44"/>
        </w:rPr>
        <w:t>峨眉山市省道S308西环线车购税补助</w:t>
      </w:r>
    </w:p>
    <w:p w14:paraId="07318369">
      <w:pPr>
        <w:pStyle w:val="13"/>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项目支出绩效自评报告</w:t>
      </w:r>
    </w:p>
    <w:p w14:paraId="29CDC230">
      <w:pPr>
        <w:pStyle w:val="13"/>
        <w:shd w:val="clear" w:color="auto" w:fill="FFFFFF"/>
        <w:spacing w:before="93" w:line="450" w:lineRule="atLeast"/>
        <w:ind w:firstLine="480"/>
        <w:jc w:val="center"/>
        <w:rPr>
          <w:rFonts w:ascii="Arial" w:hAnsi="Arial" w:cs="Arial"/>
          <w:color w:val="333333"/>
        </w:rPr>
      </w:pPr>
    </w:p>
    <w:p w14:paraId="39C5C02E">
      <w:pPr>
        <w:pStyle w:val="13"/>
        <w:shd w:val="clear" w:color="auto" w:fill="FFFFFF"/>
        <w:spacing w:before="93" w:line="450" w:lineRule="atLeast"/>
        <w:ind w:firstLine="480"/>
        <w:rPr>
          <w:rFonts w:ascii="仿宋_GB2312" w:hAnsi="宋体" w:cs="Arial"/>
          <w:color w:val="333333"/>
          <w:sz w:val="32"/>
          <w:szCs w:val="32"/>
        </w:rPr>
      </w:pPr>
      <w:r>
        <w:rPr>
          <w:rFonts w:hint="eastAsia" w:ascii="黑体" w:hAnsi="黑体" w:eastAsia="黑体" w:cs="Arial"/>
          <w:color w:val="333333"/>
          <w:sz w:val="32"/>
          <w:szCs w:val="32"/>
        </w:rPr>
        <w:t>一、项目概况</w:t>
      </w:r>
    </w:p>
    <w:p w14:paraId="0F5BBFF5">
      <w:pPr>
        <w:pStyle w:val="13"/>
        <w:shd w:val="clear" w:color="auto" w:fill="FFFFFF"/>
        <w:spacing w:before="93" w:line="450" w:lineRule="atLeast"/>
        <w:ind w:firstLine="480"/>
        <w:rPr>
          <w:rFonts w:ascii="仿宋_GB2312" w:hAnsi="宋体" w:cs="Arial"/>
          <w:color w:val="333333"/>
          <w:sz w:val="32"/>
          <w:szCs w:val="32"/>
        </w:rPr>
      </w:pPr>
      <w:r>
        <w:rPr>
          <w:rFonts w:hint="eastAsia" w:ascii="仿宋_GB2312" w:hAnsi="宋体" w:cs="Arial"/>
          <w:color w:val="333333"/>
          <w:sz w:val="32"/>
          <w:szCs w:val="32"/>
        </w:rPr>
        <w:t>（一）项目基本情况</w:t>
      </w:r>
    </w:p>
    <w:p w14:paraId="2A1FB6B1">
      <w:pPr>
        <w:tabs>
          <w:tab w:val="left" w:pos="7080"/>
        </w:tabs>
        <w:ind w:firstLine="640" w:firstLineChars="200"/>
        <w:outlineLvl w:val="0"/>
        <w:rPr>
          <w:rFonts w:ascii="仿宋" w:hAnsi="仿宋" w:eastAsia="仿宋" w:cs="仿宋"/>
          <w:sz w:val="32"/>
          <w:szCs w:val="32"/>
        </w:rPr>
      </w:pPr>
      <w:r>
        <w:rPr>
          <w:rFonts w:hint="eastAsia" w:ascii="仿宋" w:hAnsi="仿宋" w:eastAsia="仿宋" w:cs="仿宋"/>
          <w:sz w:val="32"/>
          <w:szCs w:val="32"/>
        </w:rPr>
        <w:t>根据《峨眉山市财政局关于转下达2021年车辆购置税收入补助地方资金（普通省道部分）的通知》峨财建【2021】42号，2021年10月18日，峨眉山市财政局对我局下达2021年</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资金3870</w:t>
      </w:r>
      <w:r>
        <w:rPr>
          <w:rFonts w:ascii="仿宋" w:hAnsi="仿宋" w:eastAsia="仿宋" w:cs="仿宋"/>
          <w:sz w:val="32"/>
          <w:szCs w:val="32"/>
        </w:rPr>
        <w:t>.00</w:t>
      </w:r>
      <w:r>
        <w:rPr>
          <w:rFonts w:hint="eastAsia" w:ascii="仿宋" w:hAnsi="仿宋" w:eastAsia="仿宋" w:cs="仿宋"/>
          <w:sz w:val="32"/>
          <w:szCs w:val="32"/>
        </w:rPr>
        <w:t>万元。</w:t>
      </w:r>
    </w:p>
    <w:p w14:paraId="2691ABA7">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（二）项目绩效目标</w:t>
      </w:r>
    </w:p>
    <w:p w14:paraId="0EA0CD3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1.项目绩效总目标</w:t>
      </w:r>
    </w:p>
    <w:p w14:paraId="1A0F6E87">
      <w:pPr>
        <w:ind w:firstLine="640" w:firstLineChars="200"/>
        <w:rPr>
          <w:rFonts w:ascii="仿宋_GB2312" w:eastAsia="仿宋_GB2312"/>
          <w:sz w:val="32"/>
          <w:szCs w:val="32"/>
        </w:rPr>
      </w:pPr>
      <w:r>
        <w:rPr>
          <w:rFonts w:hint="eastAsia" w:ascii="仿宋_GB2312" w:eastAsia="仿宋_GB2312"/>
          <w:sz w:val="32"/>
          <w:szCs w:val="32"/>
        </w:rPr>
        <w:t>通过</w:t>
      </w:r>
      <w:r>
        <w:rPr>
          <w:rFonts w:hint="eastAsia" w:ascii="仿宋" w:hAnsi="仿宋" w:eastAsia="仿宋" w:cs="仿宋"/>
          <w:sz w:val="32"/>
          <w:szCs w:val="32"/>
        </w:rPr>
        <w:t>车辆购置税收入补助地方资金的发放，促进</w:t>
      </w:r>
      <w:r>
        <w:rPr>
          <w:rFonts w:hint="eastAsia" w:ascii="仿宋_GB2312" w:hAnsi="仿宋" w:eastAsia="仿宋_GB2312" w:cs="仿宋"/>
          <w:bCs/>
          <w:sz w:val="32"/>
          <w:szCs w:val="32"/>
        </w:rPr>
        <w:t>省道S308西环线</w:t>
      </w:r>
      <w:r>
        <w:rPr>
          <w:rFonts w:hint="eastAsia" w:ascii="仿宋_GB2312" w:eastAsia="仿宋_GB2312"/>
          <w:sz w:val="32"/>
          <w:szCs w:val="32"/>
        </w:rPr>
        <w:t>公路的建设，为城市西部地区开发建设创造条件，带动沿线地区产业进一步发展。</w:t>
      </w:r>
    </w:p>
    <w:p w14:paraId="2F4D9B6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2.项目绩效阶段性目标</w:t>
      </w:r>
    </w:p>
    <w:p w14:paraId="4210EE8C">
      <w:pPr>
        <w:ind w:firstLine="640" w:firstLineChars="200"/>
        <w:rPr>
          <w:rFonts w:ascii="仿宋_GB2312" w:eastAsia="仿宋_GB2312"/>
          <w:sz w:val="32"/>
          <w:szCs w:val="32"/>
        </w:rPr>
      </w:pPr>
      <w:r>
        <w:rPr>
          <w:rFonts w:hint="eastAsia" w:ascii="仿宋_GB2312" w:eastAsia="仿宋_GB2312"/>
          <w:sz w:val="32"/>
          <w:szCs w:val="32"/>
        </w:rPr>
        <w:t>新改建的</w:t>
      </w:r>
      <w:r>
        <w:rPr>
          <w:rFonts w:hint="eastAsia" w:ascii="仿宋_GB2312" w:hAnsi="仿宋" w:eastAsia="仿宋_GB2312" w:cs="仿宋"/>
          <w:bCs/>
          <w:sz w:val="32"/>
          <w:szCs w:val="32"/>
        </w:rPr>
        <w:t>省道S308西环线为双向六车道，超前的规划设计，使道路能适应未来城市建设发展一定时期内的交通需求。</w:t>
      </w:r>
    </w:p>
    <w:p w14:paraId="065E3465">
      <w:pPr>
        <w:pStyle w:val="13"/>
        <w:shd w:val="clear" w:color="auto" w:fill="FFFFFF"/>
        <w:spacing w:before="93" w:line="450" w:lineRule="atLeast"/>
        <w:ind w:firstLine="660"/>
        <w:rPr>
          <w:rFonts w:ascii="仿宋_GB2312" w:hAnsi="宋体" w:cs="Arial"/>
          <w:color w:val="333333"/>
          <w:sz w:val="32"/>
          <w:szCs w:val="32"/>
        </w:rPr>
      </w:pPr>
      <w:r>
        <w:rPr>
          <w:rFonts w:ascii="仿宋_GB2312" w:hAnsi="宋体" w:cs="Arial"/>
          <w:color w:val="333333"/>
          <w:sz w:val="32"/>
          <w:szCs w:val="32"/>
        </w:rPr>
        <w:t>（三）项目自评步骤及方法</w:t>
      </w:r>
    </w:p>
    <w:p w14:paraId="57C11F6F">
      <w:pPr>
        <w:widowControl/>
        <w:shd w:val="clear" w:color="auto" w:fill="FFFFFF"/>
        <w:spacing w:line="600" w:lineRule="atLeast"/>
        <w:ind w:firstLine="640" w:firstLineChars="200"/>
        <w:jc w:val="left"/>
        <w:rPr>
          <w:rFonts w:ascii="仿宋_GB2312" w:hAnsi="微软雅黑"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732C261B">
      <w:pPr>
        <w:pStyle w:val="13"/>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0EAFEF1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（一）项目资金申报及批复情况</w:t>
      </w:r>
    </w:p>
    <w:p w14:paraId="3E08CFB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1.项目资金到位情况分析</w:t>
      </w:r>
    </w:p>
    <w:p w14:paraId="5FE24CB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2021年我局共收到市财政局共转下达</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cs="Arial"/>
          <w:color w:val="333333"/>
          <w:sz w:val="32"/>
          <w:szCs w:val="32"/>
        </w:rPr>
        <w:t>。　　</w:t>
      </w:r>
    </w:p>
    <w:p w14:paraId="0C57A6F0">
      <w:pPr>
        <w:pStyle w:val="13"/>
        <w:shd w:val="clear" w:color="auto" w:fill="FFFFFF"/>
        <w:spacing w:before="93" w:line="450" w:lineRule="atLeast"/>
        <w:ind w:left="420" w:leftChars="200" w:firstLine="320" w:firstLineChars="100"/>
        <w:rPr>
          <w:rFonts w:ascii="仿宋_GB2312" w:hAnsi="宋体" w:cs="Arial"/>
          <w:color w:val="333333"/>
          <w:sz w:val="32"/>
          <w:szCs w:val="32"/>
        </w:rPr>
      </w:pPr>
      <w:r>
        <w:rPr>
          <w:rFonts w:hint="eastAsia" w:ascii="仿宋_GB2312" w:hAnsi="宋体" w:cs="Arial"/>
          <w:color w:val="333333"/>
          <w:sz w:val="32"/>
          <w:szCs w:val="32"/>
        </w:rPr>
        <w:t>2.项目资金使用情况分析</w:t>
      </w:r>
    </w:p>
    <w:p w14:paraId="104DA65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为了确保</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cs="Arial"/>
          <w:color w:val="333333"/>
          <w:sz w:val="32"/>
          <w:szCs w:val="32"/>
        </w:rPr>
        <w:t>申报补贴工作的严肃、严谨和数据的真实、客观以及填报工作的及时，准确，组织有关人员对工程施工进度进行审核工作。该项目共下达资金</w:t>
      </w:r>
      <w:r>
        <w:rPr>
          <w:rFonts w:hint="eastAsia" w:ascii="仿宋" w:hAnsi="仿宋" w:eastAsia="仿宋" w:cs="仿宋"/>
          <w:sz w:val="32"/>
          <w:szCs w:val="32"/>
        </w:rPr>
        <w:t>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cs="Arial"/>
          <w:color w:val="333333"/>
          <w:sz w:val="32"/>
          <w:szCs w:val="32"/>
        </w:rPr>
        <w:t>，已发放</w:t>
      </w:r>
      <w:r>
        <w:rPr>
          <w:rFonts w:hint="eastAsia" w:ascii="仿宋" w:hAnsi="仿宋" w:eastAsia="仿宋" w:cs="仿宋"/>
          <w:sz w:val="32"/>
          <w:szCs w:val="32"/>
        </w:rPr>
        <w:t>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cs="Arial"/>
          <w:color w:val="333333"/>
          <w:sz w:val="32"/>
          <w:szCs w:val="32"/>
        </w:rPr>
        <w:t>，预算执行率100%。</w:t>
      </w:r>
    </w:p>
    <w:p w14:paraId="149AD84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3.项目资金管理情况分析</w:t>
      </w:r>
    </w:p>
    <w:p w14:paraId="43711E9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77627C7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（二）项目管理情况分析</w:t>
      </w:r>
    </w:p>
    <w:p w14:paraId="70B8E02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根据上级相关规定对项目进行组织管理，如实上报相关资料，按时申请</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cs="Arial"/>
          <w:color w:val="333333"/>
          <w:sz w:val="32"/>
          <w:szCs w:val="32"/>
        </w:rPr>
        <w:t>，保证资金合理使用，自觉接受上级部门监督。严格按照《政府会计制度》的规定，建立健全内部财务管理制度和会计核算等相关制度，专账专项核算，强化建设资金管理，确保</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cs="Arial"/>
          <w:color w:val="333333"/>
          <w:sz w:val="32"/>
          <w:szCs w:val="32"/>
        </w:rPr>
        <w:t>专款专用。</w:t>
      </w:r>
    </w:p>
    <w:p w14:paraId="5CE833D1">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三、项目实施及管理情况</w:t>
      </w:r>
    </w:p>
    <w:p w14:paraId="09BB513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1.项目组织架构及实施流程</w:t>
      </w:r>
    </w:p>
    <w:p w14:paraId="24983BE1">
      <w:pPr>
        <w:snapToGrid w:val="0"/>
        <w:spacing w:line="560" w:lineRule="exact"/>
        <w:ind w:firstLine="660"/>
        <w:rPr>
          <w:rFonts w:ascii="仿宋_GB2312" w:hAnsi="宋体" w:eastAsia="仿宋_GB2312" w:cs="Arial"/>
          <w:color w:val="333333"/>
          <w:sz w:val="32"/>
          <w:szCs w:val="32"/>
        </w:rPr>
      </w:pP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eastAsia="仿宋_GB2312" w:cs="宋体"/>
          <w:sz w:val="32"/>
          <w:szCs w:val="32"/>
        </w:rPr>
        <w:t>由市交通运输局按工程进度向市财政申请，严格按照局领导批示执行，出纳人员根据审核签字后的金额后拨付至施工方，资金拨付依据合规合法，资金支付与上级文件相符，账务处理及时、会计核算规范，会计出纳各司其职，互相配合，如实反映经济活动。</w:t>
      </w:r>
    </w:p>
    <w:p w14:paraId="3C035FE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2.项目管理情况</w:t>
      </w:r>
    </w:p>
    <w:p w14:paraId="52CFC44E">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我局2021年该项目预算执行完毕后，通知并组织了各相关科室开始着手组织绩效自评工作。同时，开始收集数据，开展2021年项目支出绩效自评。</w:t>
      </w:r>
    </w:p>
    <w:p w14:paraId="65D8D76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3.项目监管情况</w:t>
      </w:r>
    </w:p>
    <w:p w14:paraId="30B687C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4DF9351A">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四、项目绩效情况</w:t>
      </w:r>
    </w:p>
    <w:p w14:paraId="3A5FCEA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1.项目完成情况。</w:t>
      </w:r>
    </w:p>
    <w:p w14:paraId="3948D7CE">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截至2021年底，该项目共下达资金</w:t>
      </w:r>
      <w:r>
        <w:rPr>
          <w:rFonts w:hint="eastAsia" w:ascii="仿宋" w:hAnsi="仿宋" w:eastAsia="仿宋" w:cs="仿宋"/>
          <w:sz w:val="32"/>
          <w:szCs w:val="32"/>
        </w:rPr>
        <w:t>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cs="Arial"/>
          <w:color w:val="333333"/>
          <w:sz w:val="32"/>
          <w:szCs w:val="32"/>
        </w:rPr>
        <w:t>，已发放</w:t>
      </w:r>
      <w:r>
        <w:rPr>
          <w:rFonts w:hint="eastAsia" w:ascii="仿宋" w:hAnsi="仿宋" w:eastAsia="仿宋" w:cs="仿宋"/>
          <w:sz w:val="32"/>
          <w:szCs w:val="32"/>
        </w:rPr>
        <w:t>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cs="Arial"/>
          <w:color w:val="333333"/>
          <w:sz w:val="32"/>
          <w:szCs w:val="32"/>
        </w:rPr>
        <w:t>，预算执行率100%。</w:t>
      </w:r>
    </w:p>
    <w:p w14:paraId="0A7D5E4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2.项目效益情况。</w:t>
      </w:r>
    </w:p>
    <w:p w14:paraId="12217E41">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注重强化项目资金使用管理，严格规范</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cs="Arial"/>
          <w:color w:val="333333"/>
          <w:sz w:val="32"/>
          <w:szCs w:val="32"/>
        </w:rPr>
        <w:t>申请与发放程序，完善资金分配方案，切实加强资金管理，及时足额兑付补助资金，提高财政资金使用效益。</w:t>
      </w:r>
    </w:p>
    <w:p w14:paraId="082F898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3.项目的效益性分析。</w:t>
      </w:r>
    </w:p>
    <w:p w14:paraId="492FF097">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（1）项目实施的经济效益分析</w:t>
      </w:r>
    </w:p>
    <w:p w14:paraId="426D28B9">
      <w:pPr>
        <w:ind w:firstLine="640" w:firstLineChars="200"/>
        <w:rPr>
          <w:rFonts w:ascii="仿宋_GB2312" w:eastAsia="仿宋_GB2312"/>
          <w:sz w:val="32"/>
          <w:szCs w:val="32"/>
        </w:rPr>
      </w:pPr>
      <w:r>
        <w:rPr>
          <w:rFonts w:hint="eastAsia" w:ascii="仿宋_GB2312" w:eastAsia="仿宋_GB2312"/>
          <w:sz w:val="32"/>
          <w:szCs w:val="32"/>
        </w:rPr>
        <w:t>通过</w:t>
      </w:r>
      <w:r>
        <w:rPr>
          <w:rFonts w:hint="eastAsia" w:ascii="仿宋_GB2312" w:hAnsi="仿宋" w:eastAsia="仿宋_GB2312" w:cs="仿宋"/>
          <w:bCs/>
          <w:sz w:val="32"/>
          <w:szCs w:val="32"/>
        </w:rPr>
        <w:t>省道S308西环线</w:t>
      </w:r>
      <w:r>
        <w:rPr>
          <w:rFonts w:hint="eastAsia" w:ascii="仿宋_GB2312" w:eastAsia="仿宋_GB2312"/>
          <w:sz w:val="32"/>
          <w:szCs w:val="32"/>
        </w:rPr>
        <w:t>公路的建设，为城市西部地区开发建设创造条件，带动沿线地区产业进一步发展。</w:t>
      </w:r>
    </w:p>
    <w:p w14:paraId="47A6FB65">
      <w:pPr>
        <w:pStyle w:val="13"/>
        <w:shd w:val="clear" w:color="auto" w:fill="FFFFFF"/>
        <w:spacing w:before="93" w:line="450" w:lineRule="atLeast"/>
        <w:rPr>
          <w:rFonts w:ascii="仿宋_GB2312" w:hAnsi="宋体" w:cs="Arial"/>
          <w:color w:val="333333"/>
          <w:sz w:val="32"/>
          <w:szCs w:val="32"/>
        </w:rPr>
      </w:pPr>
    </w:p>
    <w:p w14:paraId="72860D3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（2）项目实施的社会效益分析</w:t>
      </w:r>
    </w:p>
    <w:p w14:paraId="732D90AE">
      <w:pPr>
        <w:ind w:firstLine="640" w:firstLineChars="200"/>
        <w:rPr>
          <w:rFonts w:ascii="仿宋_GB2312" w:eastAsia="仿宋_GB2312"/>
          <w:sz w:val="32"/>
          <w:szCs w:val="32"/>
        </w:rPr>
      </w:pPr>
      <w:r>
        <w:rPr>
          <w:rFonts w:hint="eastAsia" w:ascii="仿宋_GB2312" w:eastAsia="仿宋_GB2312"/>
          <w:sz w:val="32"/>
          <w:szCs w:val="32"/>
        </w:rPr>
        <w:t>促进城市建设全方位发展，路网布局更加合理，公路通行安全进一步提高，缓解了城区至景区的交通拥挤情况。</w:t>
      </w:r>
    </w:p>
    <w:p w14:paraId="676833C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（3）项目实施的生态效益分析</w:t>
      </w:r>
    </w:p>
    <w:p w14:paraId="1CA6C304">
      <w:pPr>
        <w:ind w:firstLine="640" w:firstLineChars="200"/>
        <w:rPr>
          <w:rFonts w:ascii="仿宋_GB2312" w:hAnsi="宋体" w:eastAsia="仿宋_GB2312" w:cs="Arial"/>
          <w:color w:val="333333"/>
          <w:sz w:val="32"/>
          <w:szCs w:val="32"/>
        </w:rPr>
      </w:pPr>
      <w:r>
        <w:rPr>
          <w:rFonts w:hint="eastAsia" w:ascii="仿宋_GB2312" w:hAnsi="仿宋" w:eastAsia="仿宋_GB2312" w:cs="仿宋"/>
          <w:bCs/>
          <w:sz w:val="32"/>
          <w:szCs w:val="32"/>
        </w:rPr>
        <w:t>省道S308西环线</w:t>
      </w:r>
      <w:r>
        <w:rPr>
          <w:rFonts w:hint="eastAsia" w:ascii="仿宋_GB2312" w:eastAsia="仿宋_GB2312"/>
          <w:sz w:val="32"/>
          <w:szCs w:val="32"/>
        </w:rPr>
        <w:t>公路的建设符合环评审批要求，打通了城区至景区的又一链接，缓解了交通拥挤，有效控制了汽车尾气的排放。</w:t>
      </w:r>
    </w:p>
    <w:p w14:paraId="4EDDD5DE">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（4）项目实施的可持续影响分析</w:t>
      </w:r>
    </w:p>
    <w:p w14:paraId="423D26B6">
      <w:pPr>
        <w:ind w:firstLine="640" w:firstLineChars="200"/>
        <w:rPr>
          <w:rFonts w:ascii="仿宋_GB2312" w:eastAsia="仿宋_GB2312"/>
          <w:sz w:val="32"/>
          <w:szCs w:val="32"/>
        </w:rPr>
      </w:pPr>
      <w:r>
        <w:rPr>
          <w:rFonts w:hint="eastAsia" w:ascii="仿宋_GB2312" w:eastAsia="仿宋_GB2312"/>
          <w:sz w:val="32"/>
          <w:szCs w:val="32"/>
        </w:rPr>
        <w:t>新改建的</w:t>
      </w:r>
      <w:r>
        <w:rPr>
          <w:rFonts w:hint="eastAsia" w:ascii="仿宋_GB2312" w:hAnsi="仿宋" w:eastAsia="仿宋_GB2312" w:cs="仿宋"/>
          <w:bCs/>
          <w:sz w:val="32"/>
          <w:szCs w:val="32"/>
        </w:rPr>
        <w:t>省道S308西环线为双向六车道，超前的规划设计，使道路能适应未来城市建设发展一定时期内的交通需求。</w:t>
      </w:r>
    </w:p>
    <w:p w14:paraId="3572397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（5）满意度指标完成情况分析</w:t>
      </w:r>
    </w:p>
    <w:p w14:paraId="32449BC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通过对沿线群众随机问卷调查、电话访问、现场走访等形式，对社会公众、受益对象满意度进行调查，结果显示，社会公众满意度达到9</w:t>
      </w:r>
      <w:r>
        <w:rPr>
          <w:rFonts w:ascii="仿宋_GB2312" w:hAnsi="宋体" w:cs="Arial"/>
          <w:color w:val="333333"/>
          <w:sz w:val="32"/>
          <w:szCs w:val="32"/>
        </w:rPr>
        <w:t>8</w:t>
      </w:r>
      <w:r>
        <w:rPr>
          <w:rFonts w:hint="eastAsia" w:ascii="仿宋_GB2312" w:hAnsi="宋体" w:cs="Arial"/>
          <w:color w:val="333333"/>
          <w:sz w:val="32"/>
          <w:szCs w:val="32"/>
        </w:rPr>
        <w:t>%。</w:t>
      </w:r>
    </w:p>
    <w:p w14:paraId="4F4FB6AF">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五、评价结论及建议</w:t>
      </w:r>
    </w:p>
    <w:p w14:paraId="04406ED4">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21927C4B">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766B3379">
      <w:pPr>
        <w:numPr>
          <w:ilvl w:val="0"/>
          <w:numId w:val="2"/>
        </w:num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0D2650E1">
      <w:pPr>
        <w:pStyle w:val="13"/>
        <w:shd w:val="clear" w:color="auto" w:fill="FFFFFF"/>
        <w:spacing w:before="93" w:line="450" w:lineRule="atLeast"/>
        <w:rPr>
          <w:rFonts w:ascii="仿宋_GB2312" w:hAnsi="宋体" w:cs="Arial"/>
          <w:color w:val="333333"/>
          <w:sz w:val="32"/>
          <w:szCs w:val="32"/>
        </w:rPr>
      </w:pPr>
    </w:p>
    <w:p w14:paraId="1552A373">
      <w:pPr>
        <w:pStyle w:val="13"/>
        <w:shd w:val="clear" w:color="auto" w:fill="FFFFFF"/>
        <w:spacing w:before="93" w:line="450" w:lineRule="atLeast"/>
        <w:ind w:firstLine="640" w:firstLineChars="200"/>
        <w:rPr>
          <w:rFonts w:ascii="仿宋_GB2312" w:hAnsi="宋体" w:cs="Arial"/>
          <w:color w:val="333333"/>
          <w:sz w:val="32"/>
          <w:szCs w:val="32"/>
        </w:rPr>
      </w:pPr>
      <w:r>
        <w:rPr>
          <w:rFonts w:hint="eastAsia" w:ascii="仿宋_GB2312" w:hAnsi="宋体" w:cs="Arial"/>
          <w:color w:val="333333"/>
          <w:sz w:val="32"/>
          <w:szCs w:val="32"/>
        </w:rPr>
        <w:t>建议进一步对公路建设事业发展加大扶持力度，支持地方各级政府开展全面提升交通建设工程，建设人民群众满意交通出行环境。</w:t>
      </w:r>
    </w:p>
    <w:p w14:paraId="6CA5FFA4">
      <w:pPr>
        <w:pStyle w:val="2"/>
        <w:spacing w:before="93"/>
      </w:pPr>
    </w:p>
    <w:p w14:paraId="248AA501">
      <w:pPr>
        <w:pStyle w:val="2"/>
        <w:spacing w:before="93"/>
      </w:pPr>
    </w:p>
    <w:p w14:paraId="526E971D">
      <w:pPr>
        <w:pStyle w:val="2"/>
        <w:spacing w:before="93"/>
      </w:pPr>
    </w:p>
    <w:p w14:paraId="31E4B943">
      <w:pPr>
        <w:pStyle w:val="2"/>
        <w:spacing w:before="93"/>
      </w:pPr>
    </w:p>
    <w:p w14:paraId="652FEEA5">
      <w:pPr>
        <w:pStyle w:val="2"/>
        <w:spacing w:before="93"/>
      </w:pPr>
    </w:p>
    <w:p w14:paraId="0F417188">
      <w:pPr>
        <w:pStyle w:val="2"/>
        <w:spacing w:before="93"/>
      </w:pPr>
    </w:p>
    <w:p w14:paraId="045A491B">
      <w:pPr>
        <w:pStyle w:val="2"/>
        <w:spacing w:before="93"/>
      </w:pPr>
    </w:p>
    <w:p w14:paraId="50B498B1">
      <w:pPr>
        <w:pStyle w:val="2"/>
        <w:spacing w:before="93"/>
      </w:pPr>
    </w:p>
    <w:p w14:paraId="18B312E1">
      <w:pPr>
        <w:pStyle w:val="2"/>
        <w:spacing w:before="93"/>
      </w:pPr>
    </w:p>
    <w:p w14:paraId="46A832CB">
      <w:pPr>
        <w:pStyle w:val="2"/>
        <w:spacing w:before="93"/>
      </w:pPr>
    </w:p>
    <w:p w14:paraId="3E92807B">
      <w:pPr>
        <w:pStyle w:val="2"/>
        <w:spacing w:before="93"/>
      </w:pPr>
    </w:p>
    <w:p w14:paraId="095B2911">
      <w:pPr>
        <w:pStyle w:val="2"/>
        <w:spacing w:before="93"/>
      </w:pPr>
    </w:p>
    <w:p w14:paraId="25F8FBA0">
      <w:pPr>
        <w:pStyle w:val="2"/>
        <w:spacing w:before="93"/>
      </w:pPr>
    </w:p>
    <w:p w14:paraId="522363C7">
      <w:pPr>
        <w:pStyle w:val="2"/>
        <w:spacing w:before="93"/>
      </w:pPr>
    </w:p>
    <w:p w14:paraId="6089366D">
      <w:pPr>
        <w:pStyle w:val="2"/>
        <w:spacing w:before="93"/>
      </w:pPr>
    </w:p>
    <w:p w14:paraId="62E9D42C">
      <w:pPr>
        <w:pStyle w:val="2"/>
        <w:spacing w:before="93"/>
      </w:pPr>
    </w:p>
    <w:p w14:paraId="7D8557FE">
      <w:pPr>
        <w:pStyle w:val="2"/>
        <w:spacing w:before="93"/>
      </w:pPr>
    </w:p>
    <w:p w14:paraId="5B6741E2">
      <w:pPr>
        <w:pStyle w:val="2"/>
        <w:spacing w:before="93"/>
      </w:pPr>
    </w:p>
    <w:p w14:paraId="5850024E">
      <w:pPr>
        <w:pStyle w:val="2"/>
        <w:spacing w:before="93"/>
      </w:pPr>
    </w:p>
    <w:p w14:paraId="46E3E330">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附件2</w:t>
      </w:r>
      <w:r>
        <w:rPr>
          <w:rFonts w:ascii="黑体" w:hAnsi="黑体" w:eastAsia="黑体" w:cs="黑体"/>
          <w:sz w:val="32"/>
          <w:szCs w:val="32"/>
        </w:rPr>
        <w:t>-2</w:t>
      </w:r>
    </w:p>
    <w:p w14:paraId="1E981E32">
      <w:pPr>
        <w:pStyle w:val="2"/>
        <w:spacing w:before="93"/>
      </w:pPr>
    </w:p>
    <w:p w14:paraId="4CCF86A7">
      <w:pPr>
        <w:spacing w:line="600" w:lineRule="exact"/>
        <w:jc w:val="center"/>
        <w:outlineLvl w:val="0"/>
        <w:rPr>
          <w:rFonts w:ascii="方正小标宋简体" w:hAnsi="Arial" w:eastAsia="方正小标宋简体" w:cs="Arial"/>
          <w:b/>
          <w:color w:val="333333"/>
          <w:sz w:val="44"/>
          <w:szCs w:val="44"/>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w:t>
      </w:r>
      <w:r>
        <w:rPr>
          <w:rFonts w:hint="eastAsia" w:ascii="方正小标宋简体" w:hAnsi="Arial" w:eastAsia="方正小标宋简体" w:cs="Arial"/>
          <w:b/>
          <w:sz w:val="44"/>
          <w:szCs w:val="44"/>
        </w:rPr>
        <w:t>省道S308西环线车购税补助</w:t>
      </w:r>
    </w:p>
    <w:p w14:paraId="1F5AA663">
      <w:pPr>
        <w:spacing w:line="600" w:lineRule="exact"/>
        <w:jc w:val="center"/>
        <w:outlineLvl w:val="0"/>
        <w:rPr>
          <w:rFonts w:ascii="方正小标宋简体" w:eastAsia="方正小标宋简体"/>
        </w:rPr>
      </w:pPr>
      <w:r>
        <w:rPr>
          <w:rFonts w:hint="eastAsia" w:ascii="方正小标宋简体" w:hAnsi="Arial" w:eastAsia="方正小标宋简体" w:cs="Arial"/>
          <w:b/>
          <w:color w:val="333333"/>
          <w:sz w:val="44"/>
          <w:szCs w:val="44"/>
        </w:rPr>
        <w:t>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47E35F3D">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0A1CE6A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574F618E">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2031BB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D287F36">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0B655200">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21BB3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7DB104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BF9018">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3870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99441B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D566394">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3870</w:t>
            </w:r>
          </w:p>
        </w:tc>
      </w:tr>
      <w:tr w14:paraId="7FE70975">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A2A03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9FDF31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637383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4405275">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3870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5DD886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60B3561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7BDA009">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3870</w:t>
            </w:r>
          </w:p>
        </w:tc>
      </w:tr>
      <w:tr w14:paraId="668C524E">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C4025D">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BD98CE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F212BD0">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553D96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5BC9032">
            <w:pPr>
              <w:widowControl/>
              <w:spacing w:line="320" w:lineRule="exact"/>
              <w:jc w:val="center"/>
              <w:textAlignment w:val="center"/>
              <w:rPr>
                <w:rFonts w:ascii="仿宋_GB2312" w:hAnsi="仿宋_GB2312" w:eastAsia="仿宋_GB2312" w:cs="仿宋_GB2312"/>
                <w:sz w:val="28"/>
                <w:szCs w:val="28"/>
              </w:rPr>
            </w:pPr>
          </w:p>
        </w:tc>
      </w:tr>
      <w:tr w14:paraId="7F502884">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458F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4CEC67A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14268E8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5BC37D2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2D810EA2">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7D281">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17325871">
            <w:pPr>
              <w:widowControl/>
              <w:spacing w:line="320" w:lineRule="exact"/>
              <w:jc w:val="center"/>
              <w:textAlignment w:val="top"/>
              <w:rPr>
                <w:rFonts w:ascii="仿宋_GB2312" w:hAnsi="仿宋_GB2312" w:eastAsia="仿宋_GB2312" w:cs="仿宋_GB2312"/>
                <w:szCs w:val="21"/>
              </w:rPr>
            </w:pPr>
            <w:r>
              <w:rPr>
                <w:rFonts w:hint="eastAsia" w:ascii="仿宋_GB2312" w:eastAsia="仿宋_GB2312"/>
                <w:szCs w:val="21"/>
              </w:rPr>
              <w:t>促进城市建设全方位发展，路网布局更加合理，公路通行安全进一步提高，缓解城区至景区的交通拥挤情况</w:t>
            </w:r>
            <w:r>
              <w:rPr>
                <w:rFonts w:hint="eastAsia" w:ascii="仿宋_GB2312" w:hAnsi="宋体" w:eastAsia="仿宋_GB2312" w:cs="Arial"/>
                <w:color w:val="333333"/>
                <w:szCs w:val="21"/>
              </w:rPr>
              <w:t>。</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5A9BC88E">
            <w:pPr>
              <w:widowControl/>
              <w:spacing w:line="320" w:lineRule="exact"/>
              <w:jc w:val="center"/>
              <w:textAlignment w:val="top"/>
              <w:rPr>
                <w:rFonts w:ascii="仿宋_GB2312" w:hAnsi="仿宋_GB2312" w:eastAsia="仿宋_GB2312" w:cs="仿宋_GB2312"/>
                <w:szCs w:val="21"/>
              </w:rPr>
            </w:pPr>
            <w:r>
              <w:rPr>
                <w:rFonts w:hint="eastAsia" w:ascii="仿宋_GB2312" w:eastAsia="仿宋_GB2312"/>
                <w:szCs w:val="21"/>
              </w:rPr>
              <w:t>促进城市建设全方位发展，路网布局更加合理，缓解城区至景区的交通拥挤情况</w:t>
            </w:r>
            <w:r>
              <w:rPr>
                <w:rFonts w:hint="eastAsia" w:ascii="仿宋_GB2312" w:hAnsi="宋体" w:eastAsia="仿宋_GB2312" w:cs="Arial"/>
                <w:color w:val="333333"/>
                <w:szCs w:val="21"/>
              </w:rPr>
              <w:t>。</w:t>
            </w:r>
          </w:p>
        </w:tc>
      </w:tr>
      <w:tr w14:paraId="0A958684">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4993914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3EEA7D15">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571E2B5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8311D1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7CA6B45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D439DB8">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258C8D5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19F8B5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5E1C48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63EE5415">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5C824A61">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D84316">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3A41544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B782AC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F5C9C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建设公里数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27F75B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4公里</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7E3F40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4.3公里</w:t>
            </w:r>
          </w:p>
        </w:tc>
      </w:tr>
      <w:tr w14:paraId="6C5AFFE2">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1ECD6019">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414F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664D3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212B906">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962E4AF">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31279E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r>
      <w:tr w14:paraId="79B89569">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79C41D08">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9727D">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2CA78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CA4F9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5DC276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966B28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7EA3B356">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3F0B2A1A">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B88E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FD6D33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A80256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成本控制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B13EDA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3870万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662075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3870万</w:t>
            </w:r>
          </w:p>
        </w:tc>
      </w:tr>
      <w:tr w14:paraId="706B4873">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3B096891">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CED5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26B7AC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58105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515A70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96F91E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28963823">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07B80577">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2EF7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91E527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93070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方便群众出行</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A5C0C56">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420420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22CB7FAC">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024B2CF6">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08EA4">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BC61797">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BB0F69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E57184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AA908F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07E1E706">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379ED60F">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1A33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A88884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4D7DB1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E880D4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D42AD2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6B67BF37">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216D0364">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4A8A7F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DD36C8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1BEC7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F01027B">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D7E315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4538FF9C">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14:paraId="121E03A5">
      <w:pPr>
        <w:pStyle w:val="2"/>
        <w:spacing w:before="93"/>
      </w:pPr>
    </w:p>
    <w:p w14:paraId="590CAD3B">
      <w:pPr>
        <w:pStyle w:val="2"/>
        <w:spacing w:before="93"/>
      </w:pPr>
    </w:p>
    <w:p w14:paraId="55D05E9A">
      <w:pPr>
        <w:pStyle w:val="2"/>
        <w:spacing w:before="93"/>
      </w:pPr>
    </w:p>
    <w:p w14:paraId="1D3FAFF0">
      <w:pPr>
        <w:pStyle w:val="2"/>
        <w:spacing w:before="93"/>
      </w:pPr>
    </w:p>
    <w:p w14:paraId="4964E0D5">
      <w:pPr>
        <w:pStyle w:val="2"/>
        <w:spacing w:before="93"/>
      </w:pPr>
    </w:p>
    <w:p w14:paraId="1EE39F57">
      <w:pPr>
        <w:pStyle w:val="2"/>
        <w:spacing w:before="93"/>
      </w:pPr>
    </w:p>
    <w:p w14:paraId="2DB64210">
      <w:pPr>
        <w:pStyle w:val="2"/>
        <w:spacing w:before="93"/>
      </w:pPr>
    </w:p>
    <w:p w14:paraId="2AEA2E06">
      <w:pPr>
        <w:pStyle w:val="2"/>
        <w:spacing w:before="93"/>
      </w:pPr>
    </w:p>
    <w:p w14:paraId="3F019563">
      <w:pPr>
        <w:pStyle w:val="2"/>
        <w:spacing w:before="93"/>
      </w:pPr>
    </w:p>
    <w:p w14:paraId="46FD76AB">
      <w:pPr>
        <w:pStyle w:val="2"/>
        <w:spacing w:before="93"/>
      </w:pPr>
    </w:p>
    <w:p w14:paraId="0654D246">
      <w:pPr>
        <w:pStyle w:val="2"/>
        <w:spacing w:before="93"/>
      </w:pPr>
    </w:p>
    <w:p w14:paraId="6817E3B7">
      <w:pPr>
        <w:pStyle w:val="2"/>
        <w:spacing w:before="93"/>
      </w:pPr>
    </w:p>
    <w:p w14:paraId="7BEDAA93">
      <w:pPr>
        <w:pStyle w:val="2"/>
        <w:spacing w:before="93"/>
      </w:pPr>
    </w:p>
    <w:p w14:paraId="5C97111B">
      <w:pPr>
        <w:pStyle w:val="2"/>
        <w:spacing w:before="93"/>
      </w:pPr>
    </w:p>
    <w:p w14:paraId="58760BD5">
      <w:pPr>
        <w:pStyle w:val="2"/>
        <w:spacing w:before="93"/>
      </w:pPr>
    </w:p>
    <w:p w14:paraId="2E805A49">
      <w:pPr>
        <w:pStyle w:val="2"/>
        <w:spacing w:before="93"/>
      </w:pPr>
    </w:p>
    <w:p w14:paraId="0AAE8345">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-1</w:t>
      </w:r>
    </w:p>
    <w:p w14:paraId="7B844F17">
      <w:pPr>
        <w:pStyle w:val="13"/>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2021年峨眉山市公汽司I</w:t>
      </w:r>
      <w:r>
        <w:rPr>
          <w:rFonts w:ascii="方正小标宋简体" w:hAnsi="Arial" w:eastAsia="方正小标宋简体" w:cs="Arial"/>
          <w:b/>
          <w:color w:val="333333"/>
          <w:sz w:val="44"/>
          <w:szCs w:val="44"/>
        </w:rPr>
        <w:t>C卡优惠政策补贴</w:t>
      </w:r>
    </w:p>
    <w:p w14:paraId="2F5C62B3">
      <w:pPr>
        <w:pStyle w:val="13"/>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ascii="方正小标宋简体" w:hAnsi="Arial" w:eastAsia="方正小标宋简体" w:cs="Arial"/>
          <w:b/>
          <w:color w:val="333333"/>
          <w:sz w:val="44"/>
          <w:szCs w:val="44"/>
        </w:rPr>
        <w:t>项目支出绩效</w:t>
      </w:r>
      <w:r>
        <w:rPr>
          <w:rFonts w:hint="eastAsia" w:ascii="方正小标宋简体" w:hAnsi="Arial" w:eastAsia="方正小标宋简体" w:cs="Arial"/>
          <w:b/>
          <w:color w:val="333333"/>
          <w:sz w:val="44"/>
          <w:szCs w:val="44"/>
        </w:rPr>
        <w:t>自评报告</w:t>
      </w:r>
    </w:p>
    <w:p w14:paraId="07164ECD">
      <w:pPr>
        <w:pStyle w:val="13"/>
        <w:shd w:val="clear" w:color="auto" w:fill="FFFFFF"/>
        <w:spacing w:before="93" w:line="450" w:lineRule="atLeast"/>
        <w:ind w:firstLine="480"/>
        <w:jc w:val="center"/>
        <w:rPr>
          <w:rFonts w:ascii="Arial" w:hAnsi="Arial" w:cs="Arial"/>
          <w:color w:val="333333"/>
        </w:rPr>
      </w:pPr>
    </w:p>
    <w:p w14:paraId="5C70B15C">
      <w:pPr>
        <w:pStyle w:val="13"/>
        <w:shd w:val="clear" w:color="auto" w:fill="FFFFFF"/>
        <w:spacing w:before="93" w:line="450" w:lineRule="atLeast"/>
        <w:ind w:firstLine="480"/>
        <w:rPr>
          <w:rFonts w:ascii="仿宋_GB2312" w:hAnsi="宋体" w:cs="Arial"/>
          <w:color w:val="333333"/>
          <w:sz w:val="32"/>
          <w:szCs w:val="32"/>
        </w:rPr>
      </w:pPr>
      <w:r>
        <w:rPr>
          <w:rFonts w:hint="eastAsia" w:ascii="黑体" w:hAnsi="黑体" w:eastAsia="黑体" w:cs="Arial"/>
          <w:color w:val="333333"/>
          <w:sz w:val="32"/>
          <w:szCs w:val="32"/>
        </w:rPr>
        <w:t>一、项目概况</w:t>
      </w:r>
    </w:p>
    <w:p w14:paraId="0461AFD9">
      <w:pPr>
        <w:pStyle w:val="13"/>
        <w:shd w:val="clear" w:color="auto" w:fill="FFFFFF"/>
        <w:spacing w:before="93" w:line="450" w:lineRule="atLeast"/>
        <w:ind w:firstLine="480"/>
        <w:rPr>
          <w:rFonts w:ascii="仿宋_GB2312" w:hAnsi="宋体" w:cs="Arial"/>
          <w:color w:val="333333"/>
          <w:sz w:val="32"/>
          <w:szCs w:val="32"/>
        </w:rPr>
      </w:pPr>
      <w:r>
        <w:rPr>
          <w:rFonts w:hint="eastAsia" w:ascii="仿宋_GB2312" w:hAnsi="宋体" w:cs="Arial"/>
          <w:color w:val="333333"/>
          <w:sz w:val="32"/>
          <w:szCs w:val="32"/>
        </w:rPr>
        <w:t>（一）项目基本情况</w:t>
      </w:r>
    </w:p>
    <w:p w14:paraId="09D9034A">
      <w:pPr>
        <w:snapToGrid w:val="0"/>
        <w:spacing w:line="560" w:lineRule="exact"/>
        <w:ind w:firstLine="640" w:firstLineChars="200"/>
        <w:rPr>
          <w:rFonts w:ascii="仿宋_GB2312" w:hAnsi="宋体" w:eastAsia="仿宋_GB2312" w:cs="Arial"/>
          <w:color w:val="333333"/>
          <w:sz w:val="32"/>
          <w:szCs w:val="32"/>
        </w:rPr>
      </w:pPr>
      <w:r>
        <w:rPr>
          <w:rFonts w:hint="eastAsia" w:ascii="仿宋_GB2312" w:hAnsi="宋体" w:eastAsia="仿宋_GB2312" w:cs="Arial"/>
          <w:color w:val="333333"/>
          <w:sz w:val="32"/>
          <w:szCs w:val="32"/>
        </w:rPr>
        <w:t>峨眉山市公共汽车有限责任公司</w:t>
      </w:r>
      <w:r>
        <w:rPr>
          <w:rFonts w:hint="eastAsia" w:ascii="仿宋_GB2312" w:hAnsi="宋体" w:eastAsia="仿宋_GB2312" w:cs="宋体"/>
          <w:sz w:val="32"/>
          <w:szCs w:val="32"/>
        </w:rPr>
        <w:t>的公交IC卡刷卡实行学生卡2折、市民卡8折、老年卡免费的优惠政策、公交线路一元通票价政策、社区小巴便民等惠民政策。项目经市财政局审核，市人大预算批复确定。</w:t>
      </w:r>
      <w:r>
        <w:rPr>
          <w:rFonts w:hint="eastAsia" w:ascii="仿宋_GB2312" w:hAnsi="宋体" w:eastAsia="仿宋_GB2312" w:cs="Arial"/>
          <w:color w:val="333333"/>
          <w:sz w:val="32"/>
          <w:szCs w:val="32"/>
        </w:rPr>
        <w:t>2021年峨眉山市财政局共下达公汽司IC卡优惠政策补贴资金191.00万元。我市城市公交由峨眉山市公共汽车有限责任公司经营，车辆运营正常，根据企业申报，经我局统计汇总，我们将此资金全额拨付给峨眉山市公共汽车有限责任公司。公汽司IC卡优惠政策补贴资金使用191.00万元，预算执行率100%。</w:t>
      </w:r>
    </w:p>
    <w:p w14:paraId="7D2AF6C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（二）项目绩效目标</w:t>
      </w:r>
    </w:p>
    <w:p w14:paraId="3AF4D55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1.项目绩效总目标</w:t>
      </w:r>
    </w:p>
    <w:p w14:paraId="7F9B68C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项目的预期总目标是缓解峨眉山市公交企业运营压力，保障群众便捷畅通出行。</w:t>
      </w:r>
    </w:p>
    <w:p w14:paraId="0BB57126">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2.项目绩效阶段性目标</w:t>
      </w:r>
    </w:p>
    <w:p w14:paraId="2196F804">
      <w:pPr>
        <w:pStyle w:val="13"/>
        <w:shd w:val="clear" w:color="auto" w:fill="FFFFFF"/>
        <w:spacing w:before="93" w:line="450" w:lineRule="atLeast"/>
        <w:ind w:firstLine="660"/>
        <w:rPr>
          <w:rFonts w:ascii="仿宋_GB2312" w:hAnsi="宋体" w:cs="Arial"/>
          <w:color w:val="333333"/>
          <w:sz w:val="32"/>
          <w:szCs w:val="32"/>
        </w:rPr>
      </w:pPr>
      <w:r>
        <w:rPr>
          <w:rFonts w:hint="eastAsia" w:ascii="仿宋_GB2312" w:hAnsi="宋体" w:cs="Arial"/>
          <w:color w:val="333333"/>
          <w:sz w:val="32"/>
          <w:szCs w:val="32"/>
        </w:rPr>
        <w:t>对公汽司IC卡优惠政策补贴在一定程度上缓解了公交企业营运资金缺乏的压力，保证了车辆的正常运营。广大群众基本上都能就近坐到公交车，极大方便了市民的出行，收到了良好的社会效益。</w:t>
      </w:r>
    </w:p>
    <w:p w14:paraId="581A0F7A">
      <w:pPr>
        <w:pStyle w:val="13"/>
        <w:shd w:val="clear" w:color="auto" w:fill="FFFFFF"/>
        <w:spacing w:before="93" w:line="450" w:lineRule="atLeast"/>
        <w:ind w:firstLine="660"/>
        <w:rPr>
          <w:rFonts w:ascii="仿宋_GB2312" w:hAnsi="宋体" w:cs="Arial"/>
          <w:color w:val="333333"/>
          <w:sz w:val="32"/>
          <w:szCs w:val="32"/>
        </w:rPr>
      </w:pPr>
      <w:r>
        <w:rPr>
          <w:rFonts w:ascii="仿宋_GB2312" w:hAnsi="宋体" w:cs="Arial"/>
          <w:color w:val="333333"/>
          <w:sz w:val="32"/>
          <w:szCs w:val="32"/>
        </w:rPr>
        <w:t>（三）项目自评步骤及方法</w:t>
      </w:r>
    </w:p>
    <w:p w14:paraId="185BBC45">
      <w:pPr>
        <w:widowControl/>
        <w:shd w:val="clear" w:color="auto" w:fill="FFFFFF"/>
        <w:spacing w:line="600" w:lineRule="atLeast"/>
        <w:ind w:firstLine="640" w:firstLineChars="200"/>
        <w:jc w:val="left"/>
        <w:rPr>
          <w:rFonts w:ascii="仿宋_GB2312" w:hAnsi="微软雅黑"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461A13A5">
      <w:pPr>
        <w:pStyle w:val="13"/>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194C4C3E">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（一）项目资金申报及批复情况</w:t>
      </w:r>
    </w:p>
    <w:p w14:paraId="3F70407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1.项目资金到位情况分析</w:t>
      </w:r>
    </w:p>
    <w:p w14:paraId="73374A2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2021年我局共收到市财政局共下达公汽司IC卡优惠政策补贴资金</w:t>
      </w:r>
      <w:r>
        <w:rPr>
          <w:rFonts w:ascii="仿宋_GB2312" w:hAnsi="宋体" w:cs="Arial"/>
          <w:color w:val="333333"/>
          <w:sz w:val="32"/>
          <w:szCs w:val="32"/>
        </w:rPr>
        <w:t>191.00</w:t>
      </w:r>
      <w:r>
        <w:rPr>
          <w:rFonts w:hint="eastAsia" w:ascii="仿宋_GB2312" w:hAnsi="宋体" w:cs="Arial"/>
          <w:color w:val="333333"/>
          <w:sz w:val="32"/>
          <w:szCs w:val="32"/>
        </w:rPr>
        <w:t>万元。　　</w:t>
      </w:r>
    </w:p>
    <w:p w14:paraId="1980FE7B">
      <w:pPr>
        <w:pStyle w:val="13"/>
        <w:shd w:val="clear" w:color="auto" w:fill="FFFFFF"/>
        <w:spacing w:before="93" w:line="450" w:lineRule="atLeast"/>
        <w:ind w:left="420" w:leftChars="200" w:firstLine="320" w:firstLineChars="100"/>
        <w:rPr>
          <w:rFonts w:ascii="仿宋_GB2312" w:hAnsi="宋体" w:cs="Arial"/>
          <w:color w:val="333333"/>
          <w:sz w:val="32"/>
          <w:szCs w:val="32"/>
        </w:rPr>
      </w:pPr>
      <w:r>
        <w:rPr>
          <w:rFonts w:hint="eastAsia" w:ascii="仿宋_GB2312" w:hAnsi="宋体" w:cs="Arial"/>
          <w:color w:val="333333"/>
          <w:sz w:val="32"/>
          <w:szCs w:val="32"/>
        </w:rPr>
        <w:t>2.项目资金使用情况分析</w:t>
      </w:r>
    </w:p>
    <w:p w14:paraId="06FC9073">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为了确保公汽司IC卡优惠政策补贴资金申报补贴工作的严肃、严谨和数据的真实、客观以及填报工作的及时，准确，组织有关人员进行公交企业相关车辆信息的填报、审核工作。该项目共下达资金</w:t>
      </w:r>
      <w:r>
        <w:rPr>
          <w:rFonts w:ascii="仿宋_GB2312" w:hAnsi="宋体" w:cs="Arial"/>
          <w:color w:val="333333"/>
          <w:sz w:val="32"/>
          <w:szCs w:val="32"/>
        </w:rPr>
        <w:t>191.00</w:t>
      </w:r>
      <w:r>
        <w:rPr>
          <w:rFonts w:hint="eastAsia" w:ascii="仿宋_GB2312" w:hAnsi="宋体" w:cs="Arial"/>
          <w:color w:val="333333"/>
          <w:sz w:val="32"/>
          <w:szCs w:val="32"/>
        </w:rPr>
        <w:t>万元，已发放</w:t>
      </w:r>
      <w:r>
        <w:rPr>
          <w:rFonts w:ascii="仿宋_GB2312" w:hAnsi="宋体" w:cs="Arial"/>
          <w:color w:val="333333"/>
          <w:sz w:val="32"/>
          <w:szCs w:val="32"/>
        </w:rPr>
        <w:t>191.00</w:t>
      </w:r>
      <w:r>
        <w:rPr>
          <w:rFonts w:hint="eastAsia" w:ascii="仿宋_GB2312" w:hAnsi="宋体" w:cs="Arial"/>
          <w:color w:val="333333"/>
          <w:sz w:val="32"/>
          <w:szCs w:val="32"/>
        </w:rPr>
        <w:t>万元，预算执行率100%。</w:t>
      </w:r>
    </w:p>
    <w:p w14:paraId="130B9054">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3.项目资金管理情况分析</w:t>
      </w:r>
    </w:p>
    <w:p w14:paraId="2F619A8D">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1274CC8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（二）项目管理情况分析</w:t>
      </w:r>
    </w:p>
    <w:p w14:paraId="76DCF35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相关规定对项目进行组织管理，如实上报相关资料，按时申请燃气补助资金，保证资金合理使用，自觉接受上级部门监督。严格按照《政府会计制度》的规定，建立健全内部财务管理制度和会计核算等相关制度，专账专项核算，强化建设资金管理，确保公汽司IC卡优惠政策补贴资金专款专用。</w:t>
      </w:r>
    </w:p>
    <w:p w14:paraId="05C656A3">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三、项目实施及管理情况</w:t>
      </w:r>
    </w:p>
    <w:p w14:paraId="4BF0A29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1.项目组织架构及实施流程</w:t>
      </w:r>
    </w:p>
    <w:p w14:paraId="6F47A95A">
      <w:pPr>
        <w:snapToGrid w:val="0"/>
        <w:spacing w:line="560" w:lineRule="exact"/>
        <w:ind w:firstLine="660"/>
        <w:rPr>
          <w:rFonts w:ascii="仿宋_GB2312" w:hAnsi="宋体" w:eastAsia="仿宋_GB2312" w:cs="Arial"/>
          <w:color w:val="333333"/>
          <w:sz w:val="32"/>
          <w:szCs w:val="32"/>
        </w:rPr>
      </w:pPr>
      <w:r>
        <w:rPr>
          <w:rFonts w:hint="eastAsia" w:ascii="仿宋_GB2312" w:hAnsi="宋体" w:eastAsia="仿宋_GB2312" w:cs="Arial"/>
          <w:color w:val="333333"/>
          <w:sz w:val="32"/>
          <w:szCs w:val="32"/>
        </w:rPr>
        <w:t>公汽司IC卡优惠政策补贴资金</w:t>
      </w:r>
      <w:r>
        <w:rPr>
          <w:rFonts w:hint="eastAsia" w:ascii="仿宋_GB2312" w:hAnsi="宋体" w:eastAsia="仿宋_GB2312" w:cs="宋体"/>
          <w:sz w:val="32"/>
          <w:szCs w:val="32"/>
        </w:rPr>
        <w:t>由市交通运输局按时间进度申请后拨付。资金拨付依据合规合法，资金支付与预算相符。公汽公司运营补贴项目严格按照领导批示执行，局出纳人员根据审核签字后的金额将项目资金直接支付到市公汽公司，账务处理及时、会计核算规范，会计出纳各司其职，互相配合，如实反映经济活动。</w:t>
      </w:r>
    </w:p>
    <w:p w14:paraId="6BFAEDC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2.项目管理情况</w:t>
      </w:r>
    </w:p>
    <w:p w14:paraId="7F92C29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我局2021年该项目预算执行完毕后，通知并组织了各相关科室开始着手组织绩效自评工作。同时，开始收集数据，开展2021年项目支出绩效自评。</w:t>
      </w:r>
    </w:p>
    <w:p w14:paraId="1D2BFC9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3.项目监管情况</w:t>
      </w:r>
    </w:p>
    <w:p w14:paraId="526A7BB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3379000F">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四、项目绩效情况</w:t>
      </w:r>
    </w:p>
    <w:p w14:paraId="3882DBD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1.项目完成情况。</w:t>
      </w:r>
    </w:p>
    <w:p w14:paraId="106EDC7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截至2021年底，该项目共下达资金</w:t>
      </w:r>
      <w:r>
        <w:rPr>
          <w:rFonts w:ascii="仿宋_GB2312" w:hAnsi="宋体" w:cs="Arial"/>
          <w:color w:val="333333"/>
          <w:sz w:val="32"/>
          <w:szCs w:val="32"/>
        </w:rPr>
        <w:t>191.00</w:t>
      </w:r>
      <w:r>
        <w:rPr>
          <w:rFonts w:hint="eastAsia" w:ascii="仿宋_GB2312" w:hAnsi="宋体" w:cs="Arial"/>
          <w:color w:val="333333"/>
          <w:sz w:val="32"/>
          <w:szCs w:val="32"/>
        </w:rPr>
        <w:t>万元，已发放</w:t>
      </w:r>
      <w:r>
        <w:rPr>
          <w:rFonts w:ascii="仿宋_GB2312" w:hAnsi="宋体" w:cs="Arial"/>
          <w:color w:val="333333"/>
          <w:sz w:val="32"/>
          <w:szCs w:val="32"/>
        </w:rPr>
        <w:t>191.00</w:t>
      </w:r>
      <w:r>
        <w:rPr>
          <w:rFonts w:hint="eastAsia" w:ascii="仿宋_GB2312" w:hAnsi="宋体" w:cs="Arial"/>
          <w:color w:val="333333"/>
          <w:sz w:val="32"/>
          <w:szCs w:val="32"/>
        </w:rPr>
        <w:t>万元，预算执行率100%。</w:t>
      </w:r>
    </w:p>
    <w:p w14:paraId="637CDAE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2.项目效益情况。</w:t>
      </w:r>
    </w:p>
    <w:p w14:paraId="3D53A2D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注重强化项目资金使用管理，严格规范公汽司IC卡优惠政策补贴资金申请与发放程序，完善资金分配方案，切实加强资金管理，及时足额兑付补助资金，提高财政资金使用效益。</w:t>
      </w:r>
    </w:p>
    <w:p w14:paraId="1CE6E79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3.项目的效益性分析。</w:t>
      </w:r>
    </w:p>
    <w:p w14:paraId="6049D9A4">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（1）项目实施的经济效益分析</w:t>
      </w:r>
    </w:p>
    <w:p w14:paraId="0407BB6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公交企业属于公益性行业，</w:t>
      </w:r>
      <w:r>
        <w:rPr>
          <w:rFonts w:hint="eastAsia" w:ascii="仿宋_GB2312" w:hAnsi="宋体" w:cs="宋体"/>
          <w:sz w:val="32"/>
          <w:szCs w:val="32"/>
        </w:rPr>
        <w:t>公交IC卡刷卡实行学生卡2折、市民卡8折、老年卡免费的优惠政策、公交线路一元通票价政策。</w:t>
      </w:r>
      <w:r>
        <w:rPr>
          <w:rFonts w:hint="eastAsia" w:ascii="仿宋_GB2312" w:hAnsi="宋体" w:cs="Arial"/>
          <w:color w:val="333333"/>
          <w:sz w:val="32"/>
          <w:szCs w:val="32"/>
        </w:rPr>
        <w:t>公交企业普遍处于亏损状态，公交企业运营压力较大，专项资金政策实施后，减轻了公交企业经营压力。</w:t>
      </w:r>
    </w:p>
    <w:p w14:paraId="193A64F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（2）项目实施的社会效益分析</w:t>
      </w:r>
    </w:p>
    <w:p w14:paraId="5A6D9C8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公汽司IC卡优惠政策补贴资金助推我市公交企业的发展，极大地提高道路运输的通行效率，降低了人流运输成本。我市城区交通通行条件得到显著提高，方便城乡居民出行，提升城乡居民幸福感，缓解和改善日常的交通压力。</w:t>
      </w:r>
    </w:p>
    <w:p w14:paraId="3791900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（3）项目实施的生态效益分析</w:t>
      </w:r>
    </w:p>
    <w:p w14:paraId="63A234A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截止到2021年底，峨眉山市共有公交车106辆，其中新能源公交车90辆，油气混动社区小巴车16辆，绿色公交车比重达到84.9%。大大提高了环保型公交车的比例，减少了车辆尾气对环境的污染。</w:t>
      </w:r>
    </w:p>
    <w:p w14:paraId="61E2F727">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（4）项目实施的可持续影响分析</w:t>
      </w:r>
    </w:p>
    <w:p w14:paraId="3DE2763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公汽司IC卡优惠政策补贴资金的发放极大减轻了公交企业的运营压力，调动了公交企业的积极性，有利于车辆和设施装备的更新、有利于企业职工队伍的稳定、有利于城市公交公益性得到有效实现。有助于企业持续提升服务质量，改善乘车环境，为市民提供优质的公交服务。</w:t>
      </w:r>
    </w:p>
    <w:p w14:paraId="0970087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（5）满意度指标完成情况分析</w:t>
      </w:r>
    </w:p>
    <w:p w14:paraId="55CC4427">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通过对沿线群众随机问卷调查、电话访问、现场走访等形式，对社会公众、受益对象满意度进行调查，结果显示，社会公众满意度达到9</w:t>
      </w:r>
      <w:r>
        <w:rPr>
          <w:rFonts w:ascii="仿宋_GB2312" w:hAnsi="宋体" w:cs="Arial"/>
          <w:color w:val="333333"/>
          <w:sz w:val="32"/>
          <w:szCs w:val="32"/>
        </w:rPr>
        <w:t>8</w:t>
      </w:r>
      <w:r>
        <w:rPr>
          <w:rFonts w:hint="eastAsia" w:ascii="仿宋_GB2312" w:hAnsi="宋体" w:cs="Arial"/>
          <w:color w:val="333333"/>
          <w:sz w:val="32"/>
          <w:szCs w:val="32"/>
        </w:rPr>
        <w:t>%。</w:t>
      </w:r>
    </w:p>
    <w:p w14:paraId="304E640C">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五、评价结论及建议</w:t>
      </w:r>
    </w:p>
    <w:p w14:paraId="536C09E8">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24722D38">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716D5EDF">
      <w:pPr>
        <w:numPr>
          <w:ilvl w:val="0"/>
          <w:numId w:val="2"/>
        </w:num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69923153">
      <w:pPr>
        <w:pStyle w:val="13"/>
        <w:shd w:val="clear" w:color="auto" w:fill="FFFFFF"/>
        <w:spacing w:before="93" w:line="450" w:lineRule="atLeast"/>
        <w:ind w:firstLine="640" w:firstLineChars="200"/>
        <w:rPr>
          <w:rFonts w:ascii="仿宋_GB2312" w:hAnsi="宋体" w:cs="Arial"/>
          <w:color w:val="333333"/>
          <w:sz w:val="32"/>
          <w:szCs w:val="32"/>
        </w:rPr>
      </w:pPr>
      <w:r>
        <w:rPr>
          <w:rFonts w:ascii="仿宋_GB2312" w:hAnsi="宋体" w:cs="Arial"/>
          <w:color w:val="333333"/>
          <w:sz w:val="32"/>
          <w:szCs w:val="32"/>
        </w:rPr>
        <w:t>该项目优惠政策补贴资金拨付力度还不够大，</w:t>
      </w:r>
      <w:r>
        <w:rPr>
          <w:rFonts w:hint="eastAsia" w:ascii="仿宋_GB2312" w:hAnsi="宋体" w:cs="Arial"/>
          <w:color w:val="333333"/>
          <w:sz w:val="32"/>
          <w:szCs w:val="32"/>
        </w:rPr>
        <w:t>建议进一步对公交事业发展加大扶持力度，支持地方各级政府开展公交全面提升工程，让优质公交服务能力和水平普惠城乡大众。</w:t>
      </w:r>
    </w:p>
    <w:p w14:paraId="7F27C75D">
      <w:pPr>
        <w:pStyle w:val="2"/>
        <w:spacing w:before="93"/>
      </w:pPr>
    </w:p>
    <w:p w14:paraId="02ED0494">
      <w:pPr>
        <w:pStyle w:val="2"/>
        <w:spacing w:before="93"/>
      </w:pPr>
    </w:p>
    <w:p w14:paraId="536D889E">
      <w:pPr>
        <w:pStyle w:val="2"/>
        <w:spacing w:before="93"/>
      </w:pPr>
    </w:p>
    <w:p w14:paraId="09CDD2F4">
      <w:pPr>
        <w:pStyle w:val="2"/>
        <w:spacing w:before="93"/>
      </w:pPr>
    </w:p>
    <w:p w14:paraId="3FC0A901">
      <w:pPr>
        <w:pStyle w:val="2"/>
        <w:spacing w:before="93"/>
      </w:pPr>
    </w:p>
    <w:p w14:paraId="054F427B">
      <w:pPr>
        <w:pStyle w:val="2"/>
        <w:spacing w:before="93"/>
      </w:pPr>
    </w:p>
    <w:p w14:paraId="4894C37C">
      <w:pPr>
        <w:pStyle w:val="2"/>
        <w:spacing w:before="93"/>
      </w:pPr>
    </w:p>
    <w:p w14:paraId="2CBBEA13">
      <w:pPr>
        <w:pStyle w:val="2"/>
        <w:spacing w:before="93"/>
      </w:pPr>
    </w:p>
    <w:p w14:paraId="29853580">
      <w:pPr>
        <w:pStyle w:val="2"/>
        <w:spacing w:before="93"/>
      </w:pPr>
    </w:p>
    <w:p w14:paraId="267BFC4F">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-2</w:t>
      </w:r>
    </w:p>
    <w:p w14:paraId="0593C3CE">
      <w:pPr>
        <w:pStyle w:val="2"/>
        <w:spacing w:before="93"/>
      </w:pPr>
    </w:p>
    <w:p w14:paraId="1090EF5A">
      <w:pPr>
        <w:spacing w:line="600" w:lineRule="exact"/>
        <w:jc w:val="center"/>
        <w:outlineLvl w:val="0"/>
        <w:rPr>
          <w:rFonts w:ascii="方正小标宋简体" w:hAnsi="Arial" w:eastAsia="方正小标宋简体" w:cs="Arial"/>
          <w:b/>
          <w:color w:val="333333"/>
          <w:sz w:val="44"/>
          <w:szCs w:val="44"/>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021年峨眉山市公汽司I</w:t>
      </w:r>
      <w:r>
        <w:rPr>
          <w:rFonts w:ascii="方正小标宋简体" w:hAnsi="Arial" w:eastAsia="方正小标宋简体" w:cs="Arial"/>
          <w:b/>
          <w:color w:val="333333"/>
          <w:sz w:val="44"/>
          <w:szCs w:val="44"/>
        </w:rPr>
        <w:t>C卡优惠政策补贴</w:t>
      </w:r>
    </w:p>
    <w:p w14:paraId="685FF097">
      <w:pPr>
        <w:spacing w:line="600" w:lineRule="exact"/>
        <w:jc w:val="center"/>
        <w:outlineLvl w:val="0"/>
        <w:rPr>
          <w:rFonts w:ascii="方正小标宋简体" w:eastAsia="方正小标宋简体"/>
        </w:rPr>
      </w:pPr>
      <w:r>
        <w:rPr>
          <w:rFonts w:hint="eastAsia" w:ascii="方正小标宋简体" w:hAnsi="Arial" w:eastAsia="方正小标宋简体" w:cs="Arial"/>
          <w:b/>
          <w:color w:val="333333"/>
          <w:sz w:val="44"/>
          <w:szCs w:val="44"/>
        </w:rPr>
        <w:t>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1623FA2F">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6AC199C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1205CB1E">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46A999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F0838F9">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1E8447DD">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C7667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E3348D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81C1BB">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C44518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B46B117">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191</w:t>
            </w:r>
          </w:p>
        </w:tc>
      </w:tr>
      <w:tr w14:paraId="6C6D2C79">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36EAE9">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6EA6A5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7C4EF1A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2DACAB8">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35A06F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503274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61A8326">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191</w:t>
            </w:r>
          </w:p>
        </w:tc>
      </w:tr>
      <w:tr w14:paraId="748E097C">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F3B33F">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9C28D6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B7389F9">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FABFCD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B6CFF73">
            <w:pPr>
              <w:widowControl/>
              <w:spacing w:line="320" w:lineRule="exact"/>
              <w:jc w:val="center"/>
              <w:textAlignment w:val="center"/>
              <w:rPr>
                <w:rFonts w:ascii="仿宋_GB2312" w:hAnsi="仿宋_GB2312" w:eastAsia="仿宋_GB2312" w:cs="仿宋_GB2312"/>
                <w:sz w:val="28"/>
                <w:szCs w:val="28"/>
              </w:rPr>
            </w:pPr>
          </w:p>
        </w:tc>
      </w:tr>
      <w:tr w14:paraId="3081DEF7">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FEDDFD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20225F6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18A185F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1BFB500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21018947">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3C4E3">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70D0A20F">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Arial"/>
                <w:color w:val="333333"/>
                <w:szCs w:val="21"/>
              </w:rPr>
              <w:t>公汽司IC卡优惠政策补贴资金的发放极大减轻公交企业的运营压力，有利于车辆和设施装备的更新，有利于城市公交公益性得到有效实现。</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086B026D">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Arial"/>
                <w:color w:val="333333"/>
                <w:szCs w:val="21"/>
              </w:rPr>
              <w:t>减轻公交企业的运营压力，车辆和设施装备得到更新，城市公交公益性得到有效实现。</w:t>
            </w:r>
          </w:p>
        </w:tc>
      </w:tr>
      <w:tr w14:paraId="27A5FEF8">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621F540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612F4BB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29AC9CA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C4B299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25CFE6F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CD332C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10D22D6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41B490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B8A97B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3521F1DD">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3C0BFC75">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B5C38">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51966F2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12A269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2069C4E">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行驶里程</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2E35534">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00公里</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02C6B9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69公里</w:t>
            </w:r>
          </w:p>
        </w:tc>
      </w:tr>
      <w:tr w14:paraId="0BACE370">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687BE497">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FC97C">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51BDA3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356ED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7A662D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DA6812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r>
      <w:tr w14:paraId="0F3F07C9">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06617E7A">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F7B28">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1B6F62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37C88C">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65AD65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B82420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266EB52A">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1E1FF6E9">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BC3DA">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A46587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D7DAF5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191万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98A818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191万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871D6D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191万</w:t>
            </w:r>
          </w:p>
        </w:tc>
      </w:tr>
      <w:tr w14:paraId="5A6F8DD4">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47AA6293">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743A4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9F1486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1BA803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FF76F6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37A5757">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73BD80FE">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49E6A96E">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3814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22D1F9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A09E6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方便旅客乘车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31B026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54DAFF8">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71847AB4">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4C540253">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E7FB4">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F601274">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6F12EF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1028EF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F3E89A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09FD9A4">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59691B92">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7CAC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37A3FE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CC5598">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505AC9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3C3171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1421D9E3">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4892AFFC">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AF7999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251E84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A1396F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3BE6E1B">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D2099B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05CDE639">
      <w:pPr>
        <w:pStyle w:val="2"/>
        <w:spacing w:before="93"/>
      </w:pPr>
    </w:p>
    <w:p w14:paraId="20588DCA">
      <w:pPr>
        <w:pStyle w:val="2"/>
        <w:spacing w:before="93"/>
      </w:pPr>
    </w:p>
    <w:p w14:paraId="1A312EA6">
      <w:pPr>
        <w:pStyle w:val="2"/>
        <w:spacing w:before="93"/>
      </w:pPr>
    </w:p>
    <w:p w14:paraId="559EAD1C">
      <w:pPr>
        <w:pStyle w:val="2"/>
        <w:spacing w:before="93"/>
      </w:pPr>
    </w:p>
    <w:p w14:paraId="0B79575C">
      <w:pPr>
        <w:pStyle w:val="2"/>
        <w:spacing w:before="93"/>
      </w:pPr>
    </w:p>
    <w:p w14:paraId="7E4394F6">
      <w:pPr>
        <w:pStyle w:val="2"/>
        <w:spacing w:before="93"/>
      </w:pPr>
    </w:p>
    <w:p w14:paraId="0C8C691F">
      <w:pPr>
        <w:pStyle w:val="2"/>
        <w:spacing w:before="93"/>
      </w:pPr>
    </w:p>
    <w:p w14:paraId="488B2CC6">
      <w:pPr>
        <w:pStyle w:val="2"/>
        <w:spacing w:before="93"/>
      </w:pPr>
    </w:p>
    <w:p w14:paraId="59E21417">
      <w:pPr>
        <w:pStyle w:val="2"/>
        <w:spacing w:before="93"/>
      </w:pPr>
    </w:p>
    <w:p w14:paraId="62103B3B">
      <w:pPr>
        <w:pStyle w:val="2"/>
        <w:spacing w:before="93"/>
      </w:pPr>
    </w:p>
    <w:p w14:paraId="4FD06A07">
      <w:pPr>
        <w:pStyle w:val="2"/>
        <w:spacing w:before="93"/>
      </w:pPr>
    </w:p>
    <w:p w14:paraId="12964F28">
      <w:pPr>
        <w:pStyle w:val="2"/>
        <w:spacing w:before="93"/>
      </w:pPr>
    </w:p>
    <w:p w14:paraId="42A3311A">
      <w:pPr>
        <w:pStyle w:val="2"/>
        <w:spacing w:before="93"/>
      </w:pPr>
    </w:p>
    <w:p w14:paraId="041BFECE">
      <w:pPr>
        <w:pStyle w:val="2"/>
        <w:spacing w:before="93"/>
      </w:pPr>
    </w:p>
    <w:p w14:paraId="01173C63">
      <w:pPr>
        <w:pStyle w:val="2"/>
        <w:spacing w:before="93"/>
      </w:pPr>
    </w:p>
    <w:p w14:paraId="1A161B41">
      <w:pPr>
        <w:pStyle w:val="2"/>
        <w:spacing w:before="93"/>
      </w:pPr>
    </w:p>
    <w:p w14:paraId="2E9BBCAA">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4-1</w:t>
      </w:r>
    </w:p>
    <w:p w14:paraId="179AE58A">
      <w:pPr>
        <w:pStyle w:val="13"/>
        <w:shd w:val="clear" w:color="auto" w:fill="FFFFFF"/>
        <w:spacing w:before="93" w:line="450" w:lineRule="atLeast"/>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w:t>
      </w:r>
      <w:r>
        <w:rPr>
          <w:rFonts w:hint="eastAsia" w:ascii="方正小标宋简体" w:hAnsi="Arial" w:eastAsia="方正小标宋简体" w:cs="Arial"/>
          <w:b/>
          <w:sz w:val="44"/>
          <w:szCs w:val="44"/>
        </w:rPr>
        <w:t>峨眉山市撤并建制村车购税补助</w:t>
      </w:r>
    </w:p>
    <w:p w14:paraId="005A4C9B">
      <w:pPr>
        <w:pStyle w:val="13"/>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项目支出绩效自评报告</w:t>
      </w:r>
    </w:p>
    <w:p w14:paraId="19175B89">
      <w:pPr>
        <w:pStyle w:val="13"/>
        <w:shd w:val="clear" w:color="auto" w:fill="FFFFFF"/>
        <w:spacing w:before="93" w:line="450" w:lineRule="atLeast"/>
        <w:ind w:firstLine="480"/>
        <w:jc w:val="center"/>
        <w:rPr>
          <w:rFonts w:ascii="Arial" w:hAnsi="Arial" w:cs="Arial"/>
          <w:color w:val="333333"/>
        </w:rPr>
      </w:pPr>
    </w:p>
    <w:p w14:paraId="16E4CF7A">
      <w:pPr>
        <w:pStyle w:val="13"/>
        <w:shd w:val="clear" w:color="auto" w:fill="FFFFFF"/>
        <w:spacing w:before="93" w:line="450" w:lineRule="atLeast"/>
        <w:ind w:firstLine="480"/>
        <w:rPr>
          <w:rFonts w:ascii="仿宋_GB2312" w:hAnsi="宋体" w:cs="Arial"/>
          <w:color w:val="333333"/>
          <w:sz w:val="32"/>
          <w:szCs w:val="32"/>
        </w:rPr>
      </w:pPr>
      <w:r>
        <w:rPr>
          <w:rFonts w:hint="eastAsia" w:ascii="黑体" w:hAnsi="黑体" w:eastAsia="黑体" w:cs="Arial"/>
          <w:color w:val="333333"/>
          <w:sz w:val="32"/>
          <w:szCs w:val="32"/>
        </w:rPr>
        <w:t>一、项目概况</w:t>
      </w:r>
    </w:p>
    <w:p w14:paraId="28727695">
      <w:pPr>
        <w:pStyle w:val="13"/>
        <w:shd w:val="clear" w:color="auto" w:fill="FFFFFF"/>
        <w:spacing w:before="93" w:line="450" w:lineRule="atLeast"/>
        <w:ind w:firstLine="480"/>
        <w:rPr>
          <w:rFonts w:ascii="仿宋_GB2312" w:hAnsi="宋体" w:cs="Arial"/>
          <w:color w:val="333333"/>
          <w:sz w:val="32"/>
          <w:szCs w:val="32"/>
        </w:rPr>
      </w:pPr>
      <w:r>
        <w:rPr>
          <w:rFonts w:hint="eastAsia" w:ascii="仿宋_GB2312" w:hAnsi="宋体" w:cs="Arial"/>
          <w:color w:val="333333"/>
          <w:sz w:val="32"/>
          <w:szCs w:val="32"/>
        </w:rPr>
        <w:t>（一）项目基本情况</w:t>
      </w:r>
    </w:p>
    <w:p w14:paraId="027B592C">
      <w:pPr>
        <w:pStyle w:val="13"/>
        <w:shd w:val="clear" w:color="auto" w:fill="FFFFFF"/>
        <w:spacing w:before="93" w:line="450" w:lineRule="atLeast"/>
        <w:ind w:firstLine="640" w:firstLineChars="200"/>
        <w:rPr>
          <w:rFonts w:ascii="仿宋" w:hAnsi="仿宋" w:eastAsia="仿宋" w:cs="仿宋"/>
          <w:sz w:val="32"/>
          <w:szCs w:val="32"/>
        </w:rPr>
      </w:pPr>
      <w:r>
        <w:rPr>
          <w:rFonts w:hint="eastAsia" w:ascii="仿宋" w:hAnsi="仿宋" w:eastAsia="仿宋" w:cs="仿宋"/>
          <w:sz w:val="32"/>
          <w:szCs w:val="32"/>
        </w:rPr>
        <w:t>根据《峨眉山市财政局关于转下达2021年车辆购置税收入补助地方资金（农村公路部分）的通知》峨财建【2021】41号，2021年10月13日，峨眉山市财政局对我局下达2021年</w:t>
      </w:r>
      <w:r>
        <w:rPr>
          <w:rFonts w:hint="eastAsia" w:ascii="仿宋" w:hAnsi="仿宋" w:eastAsia="仿宋" w:cs="仿宋"/>
          <w:bCs/>
          <w:sz w:val="32"/>
          <w:szCs w:val="32"/>
        </w:rPr>
        <w:t>撤并建制村车购税补助</w:t>
      </w:r>
      <w:r>
        <w:rPr>
          <w:rFonts w:hint="eastAsia" w:ascii="仿宋" w:hAnsi="仿宋" w:eastAsia="仿宋" w:cs="仿宋"/>
          <w:sz w:val="32"/>
          <w:szCs w:val="32"/>
        </w:rPr>
        <w:t>资金378.3万元。</w:t>
      </w:r>
    </w:p>
    <w:p w14:paraId="57505F5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（二）项目绩效目标</w:t>
      </w:r>
    </w:p>
    <w:p w14:paraId="1820590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1.项目绩效总目标</w:t>
      </w:r>
    </w:p>
    <w:p w14:paraId="3D9E8C46">
      <w:pPr>
        <w:ind w:firstLine="640" w:firstLineChars="200"/>
        <w:rPr>
          <w:rFonts w:ascii="仿宋_GB2312" w:eastAsia="仿宋_GB2312"/>
          <w:sz w:val="32"/>
          <w:szCs w:val="32"/>
        </w:rPr>
      </w:pPr>
      <w:r>
        <w:rPr>
          <w:rFonts w:hint="eastAsia" w:ascii="仿宋_GB2312" w:eastAsia="仿宋_GB2312"/>
          <w:sz w:val="32"/>
          <w:szCs w:val="32"/>
        </w:rPr>
        <w:t>通过</w:t>
      </w:r>
      <w:r>
        <w:rPr>
          <w:rFonts w:hint="eastAsia" w:ascii="仿宋" w:hAnsi="仿宋" w:eastAsia="仿宋" w:cs="仿宋"/>
          <w:bCs/>
          <w:sz w:val="32"/>
          <w:szCs w:val="32"/>
        </w:rPr>
        <w:t>撤并建制村车购税补助</w:t>
      </w:r>
      <w:r>
        <w:rPr>
          <w:rFonts w:hint="eastAsia" w:ascii="仿宋" w:hAnsi="仿宋" w:eastAsia="仿宋" w:cs="仿宋"/>
          <w:sz w:val="32"/>
          <w:szCs w:val="32"/>
        </w:rPr>
        <w:t>资金的发放，促进</w:t>
      </w:r>
      <w:r>
        <w:rPr>
          <w:rFonts w:hint="eastAsia" w:ascii="仿宋_GB2312" w:hAnsi="仿宋" w:eastAsia="仿宋_GB2312" w:cs="仿宋"/>
          <w:bCs/>
          <w:sz w:val="32"/>
          <w:szCs w:val="32"/>
        </w:rPr>
        <w:t>我市</w:t>
      </w:r>
      <w:r>
        <w:rPr>
          <w:rFonts w:hint="eastAsia" w:ascii="仿宋" w:hAnsi="仿宋" w:eastAsia="仿宋" w:cs="仿宋"/>
          <w:bCs/>
          <w:sz w:val="32"/>
          <w:szCs w:val="32"/>
        </w:rPr>
        <w:t>撤并建制村</w:t>
      </w:r>
      <w:r>
        <w:rPr>
          <w:rFonts w:hint="eastAsia" w:ascii="仿宋_GB2312" w:eastAsia="仿宋_GB2312"/>
          <w:sz w:val="32"/>
          <w:szCs w:val="32"/>
        </w:rPr>
        <w:t>道路的建设，为乡村振兴工作创造条件，带动农村地区经济进一步发展。</w:t>
      </w:r>
    </w:p>
    <w:p w14:paraId="6F1ADB0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2.项目绩效阶段性目标</w:t>
      </w:r>
    </w:p>
    <w:p w14:paraId="70DF4FE0">
      <w:pPr>
        <w:ind w:firstLine="640" w:firstLineChars="200"/>
        <w:rPr>
          <w:rFonts w:ascii="仿宋_GB2312" w:eastAsia="仿宋_GB2312"/>
          <w:sz w:val="32"/>
          <w:szCs w:val="32"/>
        </w:rPr>
      </w:pPr>
      <w:r>
        <w:rPr>
          <w:rFonts w:hint="eastAsia" w:ascii="仿宋_GB2312" w:hAnsi="仿宋" w:eastAsia="仿宋_GB2312" w:cs="仿宋"/>
          <w:bCs/>
          <w:sz w:val="32"/>
          <w:szCs w:val="32"/>
        </w:rPr>
        <w:t>撤并建制村畅通工程</w:t>
      </w:r>
      <w:r>
        <w:rPr>
          <w:rFonts w:hint="eastAsia" w:ascii="仿宋_GB2312" w:eastAsia="仿宋_GB2312"/>
          <w:sz w:val="32"/>
          <w:szCs w:val="32"/>
        </w:rPr>
        <w:t>项目按规定规划合理，具有前瞻性，新改建的</w:t>
      </w:r>
      <w:r>
        <w:rPr>
          <w:rFonts w:hint="eastAsia" w:ascii="仿宋_GB2312" w:hAnsi="仿宋" w:eastAsia="仿宋_GB2312" w:cs="仿宋"/>
          <w:bCs/>
          <w:sz w:val="32"/>
          <w:szCs w:val="32"/>
        </w:rPr>
        <w:t>道路能适应建制村撤并后未来一定时期内的交通需求。</w:t>
      </w:r>
    </w:p>
    <w:p w14:paraId="30EF3BF0">
      <w:pPr>
        <w:pStyle w:val="13"/>
        <w:shd w:val="clear" w:color="auto" w:fill="FFFFFF"/>
        <w:spacing w:before="93" w:line="450" w:lineRule="atLeast"/>
        <w:ind w:firstLine="660"/>
        <w:rPr>
          <w:rFonts w:ascii="仿宋_GB2312" w:hAnsi="宋体" w:cs="Arial"/>
          <w:color w:val="333333"/>
          <w:sz w:val="32"/>
          <w:szCs w:val="32"/>
        </w:rPr>
      </w:pPr>
      <w:r>
        <w:rPr>
          <w:rFonts w:ascii="仿宋_GB2312" w:hAnsi="宋体" w:cs="Arial"/>
          <w:color w:val="333333"/>
          <w:sz w:val="32"/>
          <w:szCs w:val="32"/>
        </w:rPr>
        <w:t>（三）项目自评步骤及方法</w:t>
      </w:r>
    </w:p>
    <w:p w14:paraId="5D75AA73">
      <w:pPr>
        <w:widowControl/>
        <w:shd w:val="clear" w:color="auto" w:fill="FFFFFF"/>
        <w:spacing w:line="600" w:lineRule="atLeast"/>
        <w:ind w:firstLine="640" w:firstLineChars="200"/>
        <w:jc w:val="left"/>
        <w:rPr>
          <w:rFonts w:ascii="仿宋_GB2312" w:hAnsi="微软雅黑"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7A2B7F99">
      <w:pPr>
        <w:pStyle w:val="13"/>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5E9F01D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（一）项目资金申报及批复情况</w:t>
      </w:r>
    </w:p>
    <w:p w14:paraId="3C46E91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1.项目资金到位情况分析</w:t>
      </w:r>
    </w:p>
    <w:p w14:paraId="637805E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2021年我局共收到市财政局共转下达</w:t>
      </w:r>
      <w:r>
        <w:rPr>
          <w:rFonts w:hint="eastAsia" w:ascii="仿宋" w:hAnsi="仿宋" w:eastAsia="仿宋" w:cs="仿宋"/>
          <w:bCs/>
          <w:sz w:val="32"/>
          <w:szCs w:val="32"/>
        </w:rPr>
        <w:t>撤并建制村车购税补助</w:t>
      </w:r>
      <w:r>
        <w:rPr>
          <w:rFonts w:hint="eastAsia" w:ascii="仿宋" w:hAnsi="仿宋" w:eastAsia="仿宋" w:cs="仿宋"/>
          <w:sz w:val="32"/>
          <w:szCs w:val="32"/>
        </w:rPr>
        <w:t>资金378.3万元</w:t>
      </w:r>
      <w:r>
        <w:rPr>
          <w:rFonts w:hint="eastAsia" w:ascii="仿宋_GB2312" w:hAnsi="宋体" w:cs="Arial"/>
          <w:color w:val="333333"/>
          <w:sz w:val="32"/>
          <w:szCs w:val="32"/>
        </w:rPr>
        <w:t>。　　</w:t>
      </w:r>
    </w:p>
    <w:p w14:paraId="5B0384AE">
      <w:pPr>
        <w:pStyle w:val="13"/>
        <w:shd w:val="clear" w:color="auto" w:fill="FFFFFF"/>
        <w:spacing w:before="93" w:line="450" w:lineRule="atLeast"/>
        <w:ind w:left="420" w:leftChars="200" w:firstLine="320" w:firstLineChars="100"/>
        <w:rPr>
          <w:rFonts w:ascii="仿宋_GB2312" w:hAnsi="宋体" w:cs="Arial"/>
          <w:color w:val="333333"/>
          <w:sz w:val="32"/>
          <w:szCs w:val="32"/>
        </w:rPr>
      </w:pPr>
      <w:r>
        <w:rPr>
          <w:rFonts w:hint="eastAsia" w:ascii="仿宋_GB2312" w:hAnsi="宋体" w:cs="Arial"/>
          <w:color w:val="333333"/>
          <w:sz w:val="32"/>
          <w:szCs w:val="32"/>
        </w:rPr>
        <w:t>2.项目资金使用情况分析</w:t>
      </w:r>
    </w:p>
    <w:p w14:paraId="5D78BA2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为了确保</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cs="Arial"/>
          <w:color w:val="333333"/>
          <w:sz w:val="32"/>
          <w:szCs w:val="32"/>
        </w:rPr>
        <w:t>申报补贴工作的严肃、严谨和数据的真实、客观以及填报工作的及时，准确，组织有关人员对工程施工进度进行审核工作。该项目共下达资金</w:t>
      </w:r>
      <w:r>
        <w:rPr>
          <w:rFonts w:ascii="仿宋" w:hAnsi="仿宋" w:eastAsia="仿宋" w:cs="仿宋"/>
          <w:sz w:val="32"/>
          <w:szCs w:val="32"/>
        </w:rPr>
        <w:t>378.3</w:t>
      </w:r>
      <w:r>
        <w:rPr>
          <w:rFonts w:hint="eastAsia" w:ascii="仿宋" w:hAnsi="仿宋" w:eastAsia="仿宋" w:cs="仿宋"/>
          <w:sz w:val="32"/>
          <w:szCs w:val="32"/>
        </w:rPr>
        <w:t>万元</w:t>
      </w:r>
      <w:r>
        <w:rPr>
          <w:rFonts w:hint="eastAsia" w:ascii="仿宋_GB2312" w:hAnsi="宋体" w:cs="Arial"/>
          <w:color w:val="333333"/>
          <w:sz w:val="32"/>
          <w:szCs w:val="32"/>
        </w:rPr>
        <w:t>，已发放</w:t>
      </w:r>
      <w:r>
        <w:rPr>
          <w:rFonts w:ascii="仿宋" w:hAnsi="仿宋" w:eastAsia="仿宋" w:cs="仿宋"/>
          <w:sz w:val="32"/>
          <w:szCs w:val="32"/>
        </w:rPr>
        <w:t>378.3</w:t>
      </w:r>
      <w:r>
        <w:rPr>
          <w:rFonts w:hint="eastAsia" w:ascii="仿宋" w:hAnsi="仿宋" w:eastAsia="仿宋" w:cs="仿宋"/>
          <w:sz w:val="32"/>
          <w:szCs w:val="32"/>
        </w:rPr>
        <w:t>万元</w:t>
      </w:r>
      <w:r>
        <w:rPr>
          <w:rFonts w:hint="eastAsia" w:ascii="仿宋_GB2312" w:hAnsi="宋体" w:cs="Arial"/>
          <w:color w:val="333333"/>
          <w:sz w:val="32"/>
          <w:szCs w:val="32"/>
        </w:rPr>
        <w:t>，预算执行率100%。</w:t>
      </w:r>
    </w:p>
    <w:p w14:paraId="2CE9F7F6">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3.项目资金管理情况分析</w:t>
      </w:r>
    </w:p>
    <w:p w14:paraId="42441E3E">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0D3E957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（二）项目管理情况分析</w:t>
      </w:r>
    </w:p>
    <w:p w14:paraId="2511E22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根据上级相关规定对项目进行组织管理，如实上报相关资料，按时申请</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cs="Arial"/>
          <w:color w:val="333333"/>
          <w:sz w:val="32"/>
          <w:szCs w:val="32"/>
        </w:rPr>
        <w:t>，保证资金合理使用，自觉接受上级部门监督。严格按照《政府会计制度》的规定，建立健全内部财务管理制度和会计核算等相关制度，专账专项核算，强化建设资金管理，确保</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cs="Arial"/>
          <w:color w:val="333333"/>
          <w:sz w:val="32"/>
          <w:szCs w:val="32"/>
        </w:rPr>
        <w:t>专款专用。</w:t>
      </w:r>
    </w:p>
    <w:p w14:paraId="6CA0AE27">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三、项目实施及管理情况</w:t>
      </w:r>
    </w:p>
    <w:p w14:paraId="1C3D9E2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1.项目组织架构及实施流程</w:t>
      </w:r>
    </w:p>
    <w:p w14:paraId="51FD255E">
      <w:pPr>
        <w:snapToGrid w:val="0"/>
        <w:spacing w:line="560" w:lineRule="exact"/>
        <w:ind w:firstLine="660"/>
        <w:rPr>
          <w:rFonts w:ascii="仿宋_GB2312" w:hAnsi="宋体" w:eastAsia="仿宋_GB2312" w:cs="Arial"/>
          <w:color w:val="333333"/>
          <w:sz w:val="32"/>
          <w:szCs w:val="32"/>
        </w:rPr>
      </w:pPr>
      <w:r>
        <w:rPr>
          <w:rFonts w:hint="eastAsia" w:ascii="仿宋" w:hAnsi="仿宋" w:eastAsia="仿宋" w:cs="仿宋"/>
          <w:sz w:val="32"/>
          <w:szCs w:val="32"/>
        </w:rPr>
        <w:t>20</w:t>
      </w:r>
      <w:r>
        <w:rPr>
          <w:rFonts w:ascii="仿宋" w:hAnsi="仿宋" w:eastAsia="仿宋" w:cs="仿宋"/>
          <w:sz w:val="32"/>
          <w:szCs w:val="32"/>
        </w:rPr>
        <w:t>21</w:t>
      </w:r>
      <w:r>
        <w:rPr>
          <w:rFonts w:hint="eastAsia" w:ascii="仿宋" w:hAnsi="仿宋" w:eastAsia="仿宋" w:cs="仿宋"/>
          <w:sz w:val="32"/>
          <w:szCs w:val="32"/>
        </w:rPr>
        <w:t>年</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eastAsia="仿宋_GB2312" w:cs="宋体"/>
          <w:sz w:val="32"/>
          <w:szCs w:val="32"/>
        </w:rPr>
        <w:t>由市交通运输局按工程进度向市财政申请，严格按照局领导批示执行，出纳人员根据审核签字后的金额后拨付至施工方，资金拨付依据合规合法，资金支付与上级文件相符，账务处理及时、会计核算规范，会计出纳各司其职，互相配合，如实反映经济活动。</w:t>
      </w:r>
    </w:p>
    <w:p w14:paraId="150D06E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2.项目管理情况</w:t>
      </w:r>
    </w:p>
    <w:p w14:paraId="31F00B93">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我局2021年该项目预算执行完毕后，通知并组织了各相关科室开始着手组织绩效自评工作。同时，开始收集数据，开展2021年项目支出绩效自评。</w:t>
      </w:r>
    </w:p>
    <w:p w14:paraId="7B81A7A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3.项目监管情况</w:t>
      </w:r>
    </w:p>
    <w:p w14:paraId="6C6B837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11E72B10">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四、项目绩效情况</w:t>
      </w:r>
    </w:p>
    <w:p w14:paraId="018A55E1">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1.项目完成情况。</w:t>
      </w:r>
    </w:p>
    <w:p w14:paraId="3B80FEB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截至2021年底，该项目共下达资金</w:t>
      </w:r>
      <w:r>
        <w:rPr>
          <w:rFonts w:ascii="仿宋" w:hAnsi="仿宋" w:eastAsia="仿宋" w:cs="仿宋"/>
          <w:sz w:val="32"/>
          <w:szCs w:val="32"/>
        </w:rPr>
        <w:t>378.3</w:t>
      </w:r>
      <w:r>
        <w:rPr>
          <w:rFonts w:hint="eastAsia" w:ascii="仿宋" w:hAnsi="仿宋" w:eastAsia="仿宋" w:cs="仿宋"/>
          <w:sz w:val="32"/>
          <w:szCs w:val="32"/>
        </w:rPr>
        <w:t>万元</w:t>
      </w:r>
      <w:r>
        <w:rPr>
          <w:rFonts w:hint="eastAsia" w:ascii="仿宋_GB2312" w:hAnsi="宋体" w:cs="Arial"/>
          <w:color w:val="333333"/>
          <w:sz w:val="32"/>
          <w:szCs w:val="32"/>
        </w:rPr>
        <w:t>，已发放</w:t>
      </w:r>
      <w:r>
        <w:rPr>
          <w:rFonts w:ascii="仿宋" w:hAnsi="仿宋" w:eastAsia="仿宋" w:cs="仿宋"/>
          <w:sz w:val="32"/>
          <w:szCs w:val="32"/>
        </w:rPr>
        <w:t>378.3</w:t>
      </w:r>
      <w:r>
        <w:rPr>
          <w:rFonts w:hint="eastAsia" w:ascii="仿宋" w:hAnsi="仿宋" w:eastAsia="仿宋" w:cs="仿宋"/>
          <w:sz w:val="32"/>
          <w:szCs w:val="32"/>
        </w:rPr>
        <w:t>万元</w:t>
      </w:r>
      <w:r>
        <w:rPr>
          <w:rFonts w:hint="eastAsia" w:ascii="仿宋_GB2312" w:hAnsi="宋体" w:cs="Arial"/>
          <w:color w:val="333333"/>
          <w:sz w:val="32"/>
          <w:szCs w:val="32"/>
        </w:rPr>
        <w:t>，预算执行率100%。</w:t>
      </w:r>
    </w:p>
    <w:p w14:paraId="4A61BB1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2.项目效益情况。</w:t>
      </w:r>
    </w:p>
    <w:p w14:paraId="14E3B8B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注重强化项目资金使用管理，严格规范</w:t>
      </w:r>
      <w:r>
        <w:rPr>
          <w:rFonts w:hint="eastAsia" w:ascii="仿宋" w:hAnsi="仿宋" w:eastAsia="仿宋" w:cs="仿宋"/>
          <w:sz w:val="32"/>
          <w:szCs w:val="32"/>
        </w:rPr>
        <w:t>20</w:t>
      </w:r>
      <w:r>
        <w:rPr>
          <w:rFonts w:ascii="仿宋" w:hAnsi="仿宋" w:eastAsia="仿宋" w:cs="仿宋"/>
          <w:sz w:val="32"/>
          <w:szCs w:val="32"/>
        </w:rPr>
        <w:t>21</w:t>
      </w:r>
      <w:r>
        <w:rPr>
          <w:rFonts w:hint="eastAsia" w:ascii="仿宋" w:hAnsi="仿宋" w:eastAsia="仿宋" w:cs="仿宋"/>
          <w:sz w:val="32"/>
          <w:szCs w:val="32"/>
        </w:rPr>
        <w:t>年</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cs="Arial"/>
          <w:color w:val="333333"/>
          <w:sz w:val="32"/>
          <w:szCs w:val="32"/>
        </w:rPr>
        <w:t>申请与发放程序，完善资金分配方案，切实加强资金管理，及时足额兑付补助资金，提高财政资金使用效益。</w:t>
      </w:r>
    </w:p>
    <w:p w14:paraId="78F2E3E6">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3.项目的效益性分析。</w:t>
      </w:r>
    </w:p>
    <w:p w14:paraId="769D05D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（1）项目实施的经济效益分析</w:t>
      </w:r>
    </w:p>
    <w:p w14:paraId="0E4AD54B">
      <w:pPr>
        <w:ind w:firstLine="640" w:firstLineChars="200"/>
        <w:rPr>
          <w:rFonts w:ascii="仿宋_GB2312" w:eastAsia="仿宋_GB2312"/>
          <w:sz w:val="32"/>
          <w:szCs w:val="32"/>
        </w:rPr>
      </w:pPr>
      <w:r>
        <w:rPr>
          <w:rFonts w:hint="eastAsia" w:ascii="仿宋_GB2312" w:eastAsia="仿宋_GB2312"/>
          <w:sz w:val="32"/>
          <w:szCs w:val="32"/>
        </w:rPr>
        <w:t>通过3个</w:t>
      </w:r>
      <w:r>
        <w:rPr>
          <w:rFonts w:hint="eastAsia" w:ascii="仿宋_GB2312" w:hAnsi="仿宋" w:eastAsia="仿宋_GB2312" w:cs="仿宋"/>
          <w:bCs/>
          <w:sz w:val="32"/>
          <w:szCs w:val="32"/>
        </w:rPr>
        <w:t>撤并建制村畅通工程</w:t>
      </w:r>
      <w:r>
        <w:rPr>
          <w:rFonts w:hint="eastAsia" w:ascii="仿宋_GB2312" w:eastAsia="仿宋_GB2312"/>
          <w:sz w:val="32"/>
          <w:szCs w:val="32"/>
        </w:rPr>
        <w:t>的建设，为周边农户的农产品及乡村旅游创造了有力条件，推动了沿线地区产业进一步发展。</w:t>
      </w:r>
    </w:p>
    <w:p w14:paraId="3CAF28A3">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（2）项目实施的社会效益分析</w:t>
      </w:r>
    </w:p>
    <w:p w14:paraId="1F383C5B">
      <w:pPr>
        <w:ind w:firstLine="640" w:firstLineChars="200"/>
        <w:rPr>
          <w:rFonts w:ascii="仿宋_GB2312" w:eastAsia="仿宋_GB2312"/>
          <w:sz w:val="32"/>
          <w:szCs w:val="32"/>
        </w:rPr>
      </w:pPr>
      <w:r>
        <w:rPr>
          <w:rFonts w:hint="eastAsia" w:ascii="仿宋_GB2312" w:eastAsia="仿宋_GB2312"/>
          <w:sz w:val="32"/>
          <w:szCs w:val="32"/>
        </w:rPr>
        <w:t>农村道路基本公共服务水平得到提升，公路通行安全水平进一步提高。</w:t>
      </w:r>
    </w:p>
    <w:p w14:paraId="76C43B1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（3）项目实施的生态效益分析</w:t>
      </w:r>
    </w:p>
    <w:p w14:paraId="24BFA695">
      <w:pPr>
        <w:ind w:firstLine="640" w:firstLineChars="200"/>
        <w:rPr>
          <w:rFonts w:ascii="仿宋_GB2312" w:eastAsia="仿宋_GB2312"/>
          <w:sz w:val="32"/>
          <w:szCs w:val="32"/>
        </w:rPr>
      </w:pPr>
      <w:r>
        <w:rPr>
          <w:rFonts w:hint="eastAsia" w:ascii="仿宋_GB2312" w:hAnsi="仿宋" w:eastAsia="仿宋_GB2312" w:cs="仿宋"/>
          <w:bCs/>
          <w:sz w:val="32"/>
          <w:szCs w:val="32"/>
        </w:rPr>
        <w:t>撤并建制村畅通工程</w:t>
      </w:r>
      <w:r>
        <w:rPr>
          <w:rFonts w:hint="eastAsia" w:ascii="仿宋_GB2312" w:eastAsia="仿宋_GB2312"/>
          <w:sz w:val="32"/>
          <w:szCs w:val="32"/>
        </w:rPr>
        <w:t>项目缓解了农村道路通而不畅的情况，项目符合环评要求，有力的维持了周边生态平衡。</w:t>
      </w:r>
    </w:p>
    <w:p w14:paraId="583BA003">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（4）项目实施的可持续影响分析</w:t>
      </w:r>
    </w:p>
    <w:p w14:paraId="0F58867C">
      <w:pPr>
        <w:ind w:firstLine="640" w:firstLineChars="200"/>
        <w:rPr>
          <w:rFonts w:ascii="仿宋_GB2312" w:eastAsia="仿宋_GB2312"/>
          <w:sz w:val="32"/>
          <w:szCs w:val="32"/>
        </w:rPr>
      </w:pPr>
      <w:r>
        <w:rPr>
          <w:rFonts w:hint="eastAsia" w:ascii="仿宋_GB2312" w:hAnsi="仿宋" w:eastAsia="仿宋_GB2312" w:cs="仿宋"/>
          <w:bCs/>
          <w:sz w:val="32"/>
          <w:szCs w:val="32"/>
        </w:rPr>
        <w:t>撤并建制村畅通工程</w:t>
      </w:r>
      <w:r>
        <w:rPr>
          <w:rFonts w:hint="eastAsia" w:ascii="仿宋_GB2312" w:eastAsia="仿宋_GB2312"/>
          <w:sz w:val="32"/>
          <w:szCs w:val="32"/>
        </w:rPr>
        <w:t>项目按规定规划合理，具有前瞻性，新改建的</w:t>
      </w:r>
      <w:r>
        <w:rPr>
          <w:rFonts w:hint="eastAsia" w:ascii="仿宋_GB2312" w:hAnsi="仿宋" w:eastAsia="仿宋_GB2312" w:cs="仿宋"/>
          <w:bCs/>
          <w:sz w:val="32"/>
          <w:szCs w:val="32"/>
        </w:rPr>
        <w:t>道路能适应建制村撤并后未来一定时期内的交通需求。</w:t>
      </w:r>
    </w:p>
    <w:p w14:paraId="287F653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（5）满意度指标完成情况分析</w:t>
      </w:r>
    </w:p>
    <w:p w14:paraId="3D6509E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通过对沿线群众随机问卷调查、电话访问、现场走访等形式，对社会公众、受益对象满意度进行调查，结果显示，社会公众满意度达到9</w:t>
      </w:r>
      <w:r>
        <w:rPr>
          <w:rFonts w:ascii="仿宋_GB2312" w:hAnsi="宋体" w:cs="Arial"/>
          <w:color w:val="333333"/>
          <w:sz w:val="32"/>
          <w:szCs w:val="32"/>
        </w:rPr>
        <w:t>5</w:t>
      </w:r>
      <w:r>
        <w:rPr>
          <w:rFonts w:hint="eastAsia" w:ascii="仿宋_GB2312" w:hAnsi="宋体" w:cs="Arial"/>
          <w:color w:val="333333"/>
          <w:sz w:val="32"/>
          <w:szCs w:val="32"/>
        </w:rPr>
        <w:t>%。</w:t>
      </w:r>
    </w:p>
    <w:p w14:paraId="0AA6B817">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五、评价结论及建议</w:t>
      </w:r>
    </w:p>
    <w:p w14:paraId="771F8A5D">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748FC6E5">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7F6CBAFD">
      <w:pPr>
        <w:numPr>
          <w:ilvl w:val="0"/>
          <w:numId w:val="2"/>
        </w:num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07858CD0">
      <w:pPr>
        <w:pStyle w:val="13"/>
        <w:shd w:val="clear" w:color="auto" w:fill="FFFFFF"/>
        <w:spacing w:before="93" w:line="450" w:lineRule="atLeast"/>
        <w:ind w:firstLine="640" w:firstLineChars="200"/>
        <w:rPr>
          <w:rFonts w:ascii="仿宋_GB2312" w:hAnsi="宋体" w:cs="Arial"/>
          <w:color w:val="333333"/>
          <w:sz w:val="32"/>
          <w:szCs w:val="32"/>
        </w:rPr>
      </w:pPr>
      <w:r>
        <w:rPr>
          <w:rFonts w:hint="eastAsia" w:ascii="仿宋_GB2312" w:hAnsi="仿宋" w:cs="仿宋"/>
          <w:bCs/>
          <w:sz w:val="32"/>
          <w:szCs w:val="32"/>
        </w:rPr>
        <w:t>撤并建制村畅通工程</w:t>
      </w:r>
      <w:r>
        <w:rPr>
          <w:rFonts w:hint="eastAsia" w:ascii="仿宋_GB2312"/>
          <w:sz w:val="32"/>
          <w:szCs w:val="32"/>
        </w:rPr>
        <w:t>资金的拨付还不够大，影响农村公路建设公里数，建议加大该资金拨付力度，促进我市</w:t>
      </w:r>
      <w:r>
        <w:rPr>
          <w:rFonts w:hint="eastAsia" w:ascii="仿宋_GB2312" w:hAnsi="宋体" w:cs="Arial"/>
          <w:color w:val="333333"/>
          <w:sz w:val="32"/>
          <w:szCs w:val="32"/>
        </w:rPr>
        <w:t>乡村振兴工作的深入发展。</w:t>
      </w:r>
    </w:p>
    <w:p w14:paraId="45B50D42">
      <w:pPr>
        <w:pStyle w:val="2"/>
        <w:spacing w:before="93"/>
      </w:pPr>
    </w:p>
    <w:p w14:paraId="4CDAF66A">
      <w:pPr>
        <w:pStyle w:val="2"/>
        <w:spacing w:before="93"/>
      </w:pPr>
    </w:p>
    <w:p w14:paraId="13E9055B">
      <w:pPr>
        <w:pStyle w:val="2"/>
        <w:spacing w:before="93"/>
      </w:pPr>
    </w:p>
    <w:p w14:paraId="523AE36D">
      <w:pPr>
        <w:pStyle w:val="2"/>
        <w:spacing w:before="93"/>
      </w:pPr>
    </w:p>
    <w:p w14:paraId="56E808F7">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附件4</w:t>
      </w:r>
      <w:r>
        <w:rPr>
          <w:rFonts w:ascii="黑体" w:hAnsi="黑体" w:eastAsia="黑体" w:cs="黑体"/>
          <w:sz w:val="32"/>
          <w:szCs w:val="32"/>
        </w:rPr>
        <w:t>-2</w:t>
      </w:r>
    </w:p>
    <w:p w14:paraId="3954C9B8">
      <w:pPr>
        <w:pStyle w:val="2"/>
        <w:spacing w:before="93"/>
      </w:pPr>
    </w:p>
    <w:p w14:paraId="56C70561">
      <w:pPr>
        <w:spacing w:line="600" w:lineRule="exact"/>
        <w:jc w:val="center"/>
        <w:outlineLvl w:val="0"/>
        <w:rPr>
          <w:rFonts w:ascii="方正小标宋简体" w:hAnsi="Arial" w:eastAsia="方正小标宋简体" w:cs="Arial"/>
          <w:b/>
          <w:color w:val="333333"/>
          <w:sz w:val="44"/>
          <w:szCs w:val="44"/>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021年峨眉山市</w:t>
      </w:r>
      <w:r>
        <w:rPr>
          <w:rFonts w:hint="eastAsia" w:ascii="方正小标宋简体" w:hAnsi="Arial" w:eastAsia="方正小标宋简体" w:cs="Arial"/>
          <w:b/>
          <w:sz w:val="44"/>
          <w:szCs w:val="44"/>
        </w:rPr>
        <w:t>撤并建制村车购税补助</w:t>
      </w:r>
    </w:p>
    <w:p w14:paraId="2A3531E6">
      <w:pPr>
        <w:spacing w:line="600" w:lineRule="exact"/>
        <w:jc w:val="center"/>
        <w:outlineLvl w:val="0"/>
        <w:rPr>
          <w:rFonts w:ascii="方正小标宋简体" w:eastAsia="方正小标宋简体"/>
        </w:rPr>
      </w:pPr>
      <w:r>
        <w:rPr>
          <w:rFonts w:hint="eastAsia" w:ascii="方正小标宋简体" w:hAnsi="Arial" w:eastAsia="方正小标宋简体" w:cs="Arial"/>
          <w:b/>
          <w:color w:val="333333"/>
          <w:sz w:val="44"/>
          <w:szCs w:val="44"/>
        </w:rPr>
        <w:t>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38D70585">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366819D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3540CD66">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24F00B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A49C3AD">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0706D7B1">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C208F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325939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B863923">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378.3</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422348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A66392C">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378.3</w:t>
            </w:r>
          </w:p>
        </w:tc>
      </w:tr>
      <w:tr w14:paraId="6C63A651">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06CF4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551040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1FBF005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A784167">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378.3</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41BCBE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2D86EEE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1FB5D6C">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378.3</w:t>
            </w:r>
          </w:p>
        </w:tc>
      </w:tr>
      <w:tr w14:paraId="1A42AFBE">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BDA589">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DA0A66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E52004E">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14998F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7CC10EB">
            <w:pPr>
              <w:widowControl/>
              <w:spacing w:line="320" w:lineRule="exact"/>
              <w:jc w:val="center"/>
              <w:textAlignment w:val="center"/>
              <w:rPr>
                <w:rFonts w:ascii="仿宋_GB2312" w:hAnsi="仿宋_GB2312" w:eastAsia="仿宋_GB2312" w:cs="仿宋_GB2312"/>
                <w:sz w:val="28"/>
                <w:szCs w:val="28"/>
              </w:rPr>
            </w:pPr>
          </w:p>
        </w:tc>
      </w:tr>
      <w:tr w14:paraId="5B7259DF">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4A355A">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35150C6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79C1E3A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46E4ECE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4FF50CB5">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BEA20">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22009F07">
            <w:pPr>
              <w:rPr>
                <w:rFonts w:ascii="仿宋_GB2312" w:eastAsia="仿宋_GB2312"/>
                <w:szCs w:val="21"/>
              </w:rPr>
            </w:pPr>
            <w:r>
              <w:rPr>
                <w:rFonts w:hint="eastAsia" w:ascii="仿宋_GB2312" w:eastAsia="仿宋_GB2312"/>
                <w:szCs w:val="21"/>
              </w:rPr>
              <w:t>合理规划</w:t>
            </w:r>
            <w:r>
              <w:rPr>
                <w:rFonts w:hint="eastAsia" w:ascii="仿宋_GB2312" w:hAnsi="仿宋" w:eastAsia="仿宋_GB2312" w:cs="仿宋"/>
                <w:bCs/>
                <w:szCs w:val="21"/>
              </w:rPr>
              <w:t>撤并建制村畅通工程</w:t>
            </w:r>
            <w:r>
              <w:rPr>
                <w:rFonts w:hint="eastAsia" w:ascii="仿宋_GB2312" w:eastAsia="仿宋_GB2312"/>
                <w:szCs w:val="21"/>
              </w:rPr>
              <w:t>，新改建的</w:t>
            </w:r>
            <w:r>
              <w:rPr>
                <w:rFonts w:hint="eastAsia" w:ascii="仿宋_GB2312" w:hAnsi="仿宋" w:eastAsia="仿宋_GB2312" w:cs="仿宋"/>
                <w:bCs/>
                <w:szCs w:val="21"/>
              </w:rPr>
              <w:t>道路能适应未来一定时期内的交通需求，促进乡村振兴建设。</w:t>
            </w:r>
          </w:p>
          <w:p w14:paraId="12DD4FC6">
            <w:pPr>
              <w:widowControl/>
              <w:spacing w:line="320" w:lineRule="exact"/>
              <w:jc w:val="center"/>
              <w:textAlignment w:val="top"/>
              <w:rPr>
                <w:rFonts w:ascii="仿宋_GB2312" w:hAnsi="仿宋_GB2312" w:eastAsia="仿宋_GB2312" w:cs="仿宋_GB2312"/>
                <w:szCs w:val="21"/>
              </w:rPr>
            </w:pP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20E44041">
            <w:pPr>
              <w:rPr>
                <w:rFonts w:ascii="仿宋_GB2312" w:eastAsia="仿宋_GB2312"/>
                <w:szCs w:val="21"/>
              </w:rPr>
            </w:pPr>
            <w:r>
              <w:rPr>
                <w:rFonts w:hint="eastAsia" w:ascii="仿宋_GB2312" w:eastAsia="仿宋_GB2312"/>
                <w:szCs w:val="21"/>
              </w:rPr>
              <w:t>合理规划</w:t>
            </w:r>
            <w:r>
              <w:rPr>
                <w:rFonts w:hint="eastAsia" w:ascii="仿宋_GB2312" w:hAnsi="仿宋" w:eastAsia="仿宋_GB2312" w:cs="仿宋"/>
                <w:bCs/>
                <w:szCs w:val="21"/>
              </w:rPr>
              <w:t>撤并建制村畅通工程</w:t>
            </w:r>
            <w:r>
              <w:rPr>
                <w:rFonts w:hint="eastAsia" w:ascii="仿宋_GB2312" w:eastAsia="仿宋_GB2312"/>
                <w:szCs w:val="21"/>
              </w:rPr>
              <w:t>，新改建的</w:t>
            </w:r>
            <w:r>
              <w:rPr>
                <w:rFonts w:hint="eastAsia" w:ascii="仿宋_GB2312" w:hAnsi="仿宋" w:eastAsia="仿宋_GB2312" w:cs="仿宋"/>
                <w:bCs/>
                <w:szCs w:val="21"/>
              </w:rPr>
              <w:t>道路能适应未来一定时期内的交通需求，促进乡村振兴建设。</w:t>
            </w:r>
          </w:p>
          <w:p w14:paraId="7946447C">
            <w:pPr>
              <w:widowControl/>
              <w:spacing w:line="320" w:lineRule="exact"/>
              <w:jc w:val="center"/>
              <w:textAlignment w:val="top"/>
              <w:rPr>
                <w:rFonts w:ascii="仿宋_GB2312" w:hAnsi="仿宋_GB2312" w:eastAsia="仿宋_GB2312" w:cs="仿宋_GB2312"/>
                <w:szCs w:val="21"/>
              </w:rPr>
            </w:pPr>
          </w:p>
        </w:tc>
      </w:tr>
      <w:tr w14:paraId="125EABF0">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3CD7B68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7C6F68F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2B51D16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7AE2B8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0150328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B2C12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2C025EA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82C59C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1F1AA5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420A0574">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756889FF">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0619F">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26DE4B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11E6CA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3D81FD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建设公里数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5ABD4E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8公里</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5164D88">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8.1公里</w:t>
            </w:r>
          </w:p>
        </w:tc>
      </w:tr>
      <w:tr w14:paraId="03B55635">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20C27762">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15304">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C2E907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680005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CEE606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6AD305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r>
      <w:tr w14:paraId="405B4EC2">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13C04D5B">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BBD10">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BF147F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0B355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1A796D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70F910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1753EEB1">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03636BAA">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11B5D">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787CDB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5D23F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成本控制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168262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378.3万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F7603F4">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378.3万</w:t>
            </w:r>
          </w:p>
        </w:tc>
      </w:tr>
      <w:tr w14:paraId="07FC4A0A">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5BDDCC9C">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EFC1B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0F80BA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512C4E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671354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3D0F77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0CB600CC">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01023282">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6DB8F">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8513A2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1C98B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方便群众出行</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E77A6C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0B12D1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7399F3AA">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1E4ADB68">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A683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04FE82E">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8F6389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D36903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343282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46FB4DE">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1467840D">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6F29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5547D3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62DDD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8228EE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AC939C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6DE8BAD9">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4BFDEF0C">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275372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0A3C38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780544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D6EFBCC">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667C683">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32B0F1CE">
      <w:pPr>
        <w:pStyle w:val="2"/>
        <w:spacing w:before="93"/>
      </w:pPr>
    </w:p>
    <w:p w14:paraId="161A9B42">
      <w:pPr>
        <w:pStyle w:val="2"/>
        <w:spacing w:before="93"/>
      </w:pPr>
    </w:p>
    <w:p w14:paraId="76BC0631">
      <w:pPr>
        <w:pStyle w:val="2"/>
        <w:spacing w:before="93"/>
      </w:pPr>
    </w:p>
    <w:p w14:paraId="1658B9BF">
      <w:pPr>
        <w:pStyle w:val="2"/>
        <w:spacing w:before="93"/>
      </w:pPr>
    </w:p>
    <w:p w14:paraId="18743F84">
      <w:pPr>
        <w:pStyle w:val="2"/>
        <w:spacing w:before="93"/>
      </w:pPr>
    </w:p>
    <w:p w14:paraId="527AF464">
      <w:pPr>
        <w:pStyle w:val="2"/>
        <w:spacing w:before="93"/>
      </w:pPr>
    </w:p>
    <w:p w14:paraId="6036D381">
      <w:pPr>
        <w:pStyle w:val="2"/>
        <w:spacing w:before="93"/>
      </w:pPr>
    </w:p>
    <w:p w14:paraId="7620D28D">
      <w:pPr>
        <w:pStyle w:val="2"/>
        <w:spacing w:before="93"/>
      </w:pPr>
    </w:p>
    <w:p w14:paraId="3C7934AF">
      <w:pPr>
        <w:pStyle w:val="2"/>
        <w:spacing w:before="93"/>
      </w:pPr>
    </w:p>
    <w:p w14:paraId="0ECAEB47">
      <w:pPr>
        <w:pStyle w:val="2"/>
        <w:spacing w:before="93"/>
      </w:pPr>
    </w:p>
    <w:p w14:paraId="62C8D7BC">
      <w:pPr>
        <w:pStyle w:val="2"/>
        <w:spacing w:before="93"/>
      </w:pPr>
    </w:p>
    <w:p w14:paraId="4CF583C0">
      <w:pPr>
        <w:pStyle w:val="2"/>
        <w:spacing w:before="93"/>
      </w:pPr>
    </w:p>
    <w:p w14:paraId="53FEB23B">
      <w:pPr>
        <w:pStyle w:val="2"/>
        <w:spacing w:before="93"/>
      </w:pPr>
    </w:p>
    <w:p w14:paraId="0E648995">
      <w:pPr>
        <w:pStyle w:val="2"/>
        <w:spacing w:before="93"/>
      </w:pPr>
    </w:p>
    <w:p w14:paraId="35CB251E">
      <w:pPr>
        <w:pStyle w:val="2"/>
        <w:spacing w:before="93"/>
      </w:pPr>
    </w:p>
    <w:p w14:paraId="43739EB3">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5-1</w:t>
      </w:r>
    </w:p>
    <w:p w14:paraId="575BA9C8">
      <w:pPr>
        <w:pStyle w:val="13"/>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2021年峨眉山市九珠客运中心站搬迁租金及税费项目支出绩效自评报告</w:t>
      </w:r>
    </w:p>
    <w:p w14:paraId="63A8CBB4">
      <w:pPr>
        <w:pStyle w:val="13"/>
        <w:shd w:val="clear" w:color="auto" w:fill="FFFFFF"/>
        <w:spacing w:before="93" w:line="450" w:lineRule="atLeast"/>
        <w:ind w:firstLine="480"/>
        <w:jc w:val="center"/>
        <w:rPr>
          <w:rFonts w:ascii="Arial" w:hAnsi="Arial" w:cs="Arial"/>
          <w:color w:val="333333"/>
        </w:rPr>
      </w:pPr>
    </w:p>
    <w:p w14:paraId="23639D90">
      <w:pPr>
        <w:pStyle w:val="13"/>
        <w:shd w:val="clear" w:color="auto" w:fill="FFFFFF"/>
        <w:spacing w:before="93" w:line="450" w:lineRule="atLeast"/>
        <w:ind w:firstLine="480"/>
        <w:rPr>
          <w:rFonts w:ascii="仿宋_GB2312" w:hAnsi="宋体" w:cs="Arial"/>
          <w:color w:val="333333"/>
          <w:sz w:val="32"/>
          <w:szCs w:val="32"/>
        </w:rPr>
      </w:pPr>
      <w:r>
        <w:rPr>
          <w:rFonts w:hint="eastAsia" w:ascii="黑体" w:hAnsi="黑体" w:eastAsia="黑体" w:cs="Arial"/>
          <w:color w:val="333333"/>
          <w:sz w:val="32"/>
          <w:szCs w:val="32"/>
        </w:rPr>
        <w:t>一、项目概况</w:t>
      </w:r>
    </w:p>
    <w:p w14:paraId="7AD8F632">
      <w:pPr>
        <w:pStyle w:val="13"/>
        <w:shd w:val="clear" w:color="auto" w:fill="FFFFFF"/>
        <w:spacing w:before="93" w:line="450" w:lineRule="atLeast"/>
        <w:ind w:firstLine="480"/>
        <w:rPr>
          <w:rFonts w:ascii="仿宋_GB2312" w:hAnsi="宋体" w:cs="Arial"/>
          <w:color w:val="333333"/>
          <w:sz w:val="32"/>
          <w:szCs w:val="32"/>
        </w:rPr>
      </w:pPr>
      <w:r>
        <w:rPr>
          <w:rFonts w:hint="eastAsia" w:ascii="仿宋_GB2312" w:hAnsi="宋体" w:cs="Arial"/>
          <w:color w:val="333333"/>
          <w:sz w:val="32"/>
          <w:szCs w:val="32"/>
        </w:rPr>
        <w:t>（一）项目基本情况</w:t>
      </w:r>
    </w:p>
    <w:p w14:paraId="0E706C43">
      <w:pPr>
        <w:snapToGrid w:val="0"/>
        <w:spacing w:line="560" w:lineRule="exact"/>
        <w:ind w:firstLine="640" w:firstLineChars="200"/>
        <w:rPr>
          <w:rFonts w:ascii="仿宋_GB2312" w:hAnsi="宋体" w:eastAsia="仿宋_GB2312" w:cs="Arial"/>
          <w:color w:val="333333"/>
          <w:sz w:val="32"/>
          <w:szCs w:val="32"/>
        </w:rPr>
      </w:pPr>
      <w:r>
        <w:rPr>
          <w:rFonts w:hint="eastAsia" w:ascii="仿宋_GB2312" w:hAnsi="宋体" w:eastAsia="仿宋_GB2312" w:cs="宋体"/>
          <w:sz w:val="32"/>
          <w:szCs w:val="32"/>
        </w:rPr>
        <w:t>2020年九珠客运中心临时搬迁租金及税费项目资金预算125万元，用于峨眉山九珠客运中心租用峨眉山市第二汽车公司城北客运站租金及税费补贴。因2014年我市举办旅博会需要，九珠客运中心元经营场地被市政府永久占用。经市政府协调，九珠客运中心临时搬迁至市二汽司城北客运站，其租金税费由市财政支付。</w:t>
      </w:r>
      <w:r>
        <w:rPr>
          <w:rFonts w:hint="eastAsia" w:ascii="仿宋_GB2312" w:hAnsi="宋体" w:eastAsia="仿宋_GB2312" w:cs="Arial"/>
          <w:color w:val="333333"/>
          <w:sz w:val="32"/>
          <w:szCs w:val="32"/>
        </w:rPr>
        <w:t>2021年市财政局共下达九珠客运中心站搬迁租金125万元额度。</w:t>
      </w:r>
    </w:p>
    <w:p w14:paraId="1BB9D36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（二）项目绩效目标</w:t>
      </w:r>
    </w:p>
    <w:p w14:paraId="222D7AE2">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1.项目绩效总目标</w:t>
      </w:r>
    </w:p>
    <w:p w14:paraId="05A5788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项目的预期总目标是</w:t>
      </w:r>
      <w:r>
        <w:rPr>
          <w:rFonts w:hint="eastAsia" w:ascii="仿宋_GB2312" w:hAnsi="宋体" w:cs="宋体"/>
          <w:sz w:val="32"/>
          <w:szCs w:val="32"/>
        </w:rPr>
        <w:t>保障我市旅博会长期举办，</w:t>
      </w:r>
      <w:r>
        <w:rPr>
          <w:rFonts w:hint="eastAsia" w:ascii="仿宋_GB2312" w:hAnsi="宋体" w:cs="Arial"/>
          <w:color w:val="333333"/>
          <w:sz w:val="32"/>
          <w:szCs w:val="32"/>
        </w:rPr>
        <w:t>缓解峨眉山市客运企业运营压力，保障群众便捷畅通出行。</w:t>
      </w:r>
    </w:p>
    <w:p w14:paraId="1598FE4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2.项目绩效阶段性目标</w:t>
      </w:r>
    </w:p>
    <w:p w14:paraId="04D83FFF">
      <w:pPr>
        <w:pStyle w:val="13"/>
        <w:shd w:val="clear" w:color="auto" w:fill="FFFFFF"/>
        <w:spacing w:before="93" w:line="450" w:lineRule="atLeast"/>
        <w:ind w:firstLine="660"/>
        <w:rPr>
          <w:rFonts w:ascii="仿宋_GB2312" w:hAnsi="宋体" w:cs="Arial"/>
          <w:color w:val="333333"/>
          <w:sz w:val="32"/>
          <w:szCs w:val="32"/>
        </w:rPr>
      </w:pPr>
      <w:r>
        <w:rPr>
          <w:rFonts w:hint="eastAsia" w:ascii="仿宋_GB2312" w:hAnsi="宋体" w:cs="宋体"/>
          <w:sz w:val="32"/>
          <w:szCs w:val="32"/>
        </w:rPr>
        <w:t>九珠客运中心临时搬迁租金及税费项目的实施，保障我市旅博会长期举办，促进我市旅游经济向好发展。同时</w:t>
      </w:r>
      <w:r>
        <w:rPr>
          <w:rFonts w:hint="eastAsia" w:ascii="仿宋_GB2312" w:hAnsi="宋体" w:cs="Arial"/>
          <w:color w:val="333333"/>
          <w:sz w:val="32"/>
          <w:szCs w:val="32"/>
        </w:rPr>
        <w:t>保证客运市场的正常运营，方便市民的出行。</w:t>
      </w:r>
    </w:p>
    <w:p w14:paraId="65957E3F">
      <w:pPr>
        <w:pStyle w:val="13"/>
        <w:shd w:val="clear" w:color="auto" w:fill="FFFFFF"/>
        <w:spacing w:before="93" w:line="450" w:lineRule="atLeast"/>
        <w:ind w:firstLine="660"/>
        <w:rPr>
          <w:rFonts w:ascii="仿宋_GB2312" w:hAnsi="宋体" w:cs="Arial"/>
          <w:color w:val="333333"/>
          <w:sz w:val="32"/>
          <w:szCs w:val="32"/>
        </w:rPr>
      </w:pPr>
      <w:r>
        <w:rPr>
          <w:rFonts w:ascii="仿宋_GB2312" w:hAnsi="宋体" w:cs="Arial"/>
          <w:color w:val="333333"/>
          <w:sz w:val="32"/>
          <w:szCs w:val="32"/>
        </w:rPr>
        <w:t>（三）项目自评步骤及方法</w:t>
      </w:r>
    </w:p>
    <w:p w14:paraId="3CF66A71">
      <w:pPr>
        <w:widowControl/>
        <w:shd w:val="clear" w:color="auto" w:fill="FFFFFF"/>
        <w:spacing w:line="600" w:lineRule="atLeas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54196D4B">
      <w:pPr>
        <w:pStyle w:val="13"/>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31F64B0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（一）项目资金申报及批复情况</w:t>
      </w:r>
    </w:p>
    <w:p w14:paraId="784F01C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1.项目资金到位情况分析</w:t>
      </w:r>
    </w:p>
    <w:p w14:paraId="212239D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2021年我局共收到市财政局共下达九珠客运中心站搬迁租金</w:t>
      </w:r>
      <w:r>
        <w:rPr>
          <w:rFonts w:ascii="仿宋_GB2312" w:hAnsi="宋体" w:cs="Arial"/>
          <w:color w:val="333333"/>
          <w:sz w:val="32"/>
          <w:szCs w:val="32"/>
        </w:rPr>
        <w:t>93.48</w:t>
      </w:r>
      <w:r>
        <w:rPr>
          <w:rFonts w:hint="eastAsia" w:ascii="仿宋_GB2312" w:hAnsi="宋体" w:cs="Arial"/>
          <w:color w:val="333333"/>
          <w:sz w:val="32"/>
          <w:szCs w:val="32"/>
        </w:rPr>
        <w:t>万元。　　</w:t>
      </w:r>
    </w:p>
    <w:p w14:paraId="267ABE5C">
      <w:pPr>
        <w:pStyle w:val="13"/>
        <w:shd w:val="clear" w:color="auto" w:fill="FFFFFF"/>
        <w:spacing w:before="93" w:line="450" w:lineRule="atLeast"/>
        <w:ind w:left="420" w:leftChars="200" w:firstLine="320" w:firstLineChars="100"/>
        <w:rPr>
          <w:rFonts w:ascii="仿宋_GB2312" w:hAnsi="宋体" w:cs="Arial"/>
          <w:color w:val="333333"/>
          <w:sz w:val="32"/>
          <w:szCs w:val="32"/>
        </w:rPr>
      </w:pPr>
      <w:r>
        <w:rPr>
          <w:rFonts w:hint="eastAsia" w:ascii="仿宋_GB2312" w:hAnsi="宋体" w:cs="Arial"/>
          <w:color w:val="333333"/>
          <w:sz w:val="32"/>
          <w:szCs w:val="32"/>
        </w:rPr>
        <w:t>2.项目资金使用情况分析</w:t>
      </w:r>
    </w:p>
    <w:p w14:paraId="26D4374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为了确保九珠客运中心站搬迁租金申报补贴工作的严肃、严谨和数据的真实、客观以及填报工作的及时，准确，组织有关人员进行公交企业相关车辆信息的填报、审核工作。该项目共下达预算资金</w:t>
      </w:r>
      <w:r>
        <w:rPr>
          <w:rFonts w:ascii="仿宋_GB2312" w:hAnsi="宋体" w:cs="Arial"/>
          <w:color w:val="333333"/>
          <w:sz w:val="32"/>
          <w:szCs w:val="32"/>
        </w:rPr>
        <w:t>125</w:t>
      </w:r>
      <w:r>
        <w:rPr>
          <w:rFonts w:hint="eastAsia" w:ascii="仿宋_GB2312" w:hAnsi="宋体" w:cs="Arial"/>
          <w:color w:val="333333"/>
          <w:sz w:val="32"/>
          <w:szCs w:val="32"/>
        </w:rPr>
        <w:t>万元，已发放</w:t>
      </w:r>
      <w:r>
        <w:rPr>
          <w:rFonts w:ascii="仿宋_GB2312" w:hAnsi="宋体" w:cs="Arial"/>
          <w:color w:val="333333"/>
          <w:sz w:val="32"/>
          <w:szCs w:val="32"/>
        </w:rPr>
        <w:t>93.48</w:t>
      </w:r>
      <w:r>
        <w:rPr>
          <w:rFonts w:hint="eastAsia" w:ascii="仿宋_GB2312" w:hAnsi="宋体" w:cs="Arial"/>
          <w:color w:val="333333"/>
          <w:sz w:val="32"/>
          <w:szCs w:val="32"/>
        </w:rPr>
        <w:t>万元，使用率100%。</w:t>
      </w:r>
    </w:p>
    <w:p w14:paraId="5729E994">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3.项目资金管理情况分析</w:t>
      </w:r>
    </w:p>
    <w:p w14:paraId="0C8C28D1">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7480F35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（二）项目管理情况分析</w:t>
      </w:r>
    </w:p>
    <w:p w14:paraId="72A6A66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相关规定对项目进行组织管理，如实上报相关资料，按时申请九珠客运中心站搬迁租金，保证资金合理使用，自觉接受上级部门监督。严格按照《政府会计制度》的规定，建立健全内部财务管理制度和会计核算等相关制度，专账专项核算，强化建设资金管理，确保公交燃气补助资金专款专用。</w:t>
      </w:r>
    </w:p>
    <w:p w14:paraId="2971E740">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三、项目实施及管理情况</w:t>
      </w:r>
    </w:p>
    <w:p w14:paraId="3CE0A877">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1.项目组织架构及实施流程</w:t>
      </w:r>
    </w:p>
    <w:p w14:paraId="1E45FF54">
      <w:pPr>
        <w:pStyle w:val="2"/>
        <w:spacing w:before="93"/>
        <w:ind w:firstLine="640" w:firstLineChars="200"/>
        <w:rPr>
          <w:rFonts w:hAnsi="宋体" w:cs="Arial"/>
          <w:color w:val="333333"/>
          <w:sz w:val="32"/>
          <w:szCs w:val="32"/>
        </w:rPr>
      </w:pPr>
      <w:r>
        <w:rPr>
          <w:rFonts w:hint="eastAsia" w:hAnsi="仿宋"/>
          <w:bCs/>
          <w:sz w:val="32"/>
          <w:szCs w:val="32"/>
        </w:rPr>
        <w:t>该项目</w:t>
      </w:r>
      <w:r>
        <w:rPr>
          <w:rFonts w:hint="eastAsia" w:hAnsi="宋体" w:cs="宋体"/>
          <w:sz w:val="32"/>
          <w:szCs w:val="32"/>
        </w:rPr>
        <w:t>经市财政局审核，市人大预算批复确定。该项目合理可行，与申报目标与具体实施内容相符</w:t>
      </w:r>
      <w:r>
        <w:rPr>
          <w:rFonts w:hint="eastAsia"/>
          <w:sz w:val="32"/>
          <w:szCs w:val="32"/>
        </w:rPr>
        <w:t>。</w:t>
      </w:r>
      <w:r>
        <w:rPr>
          <w:rFonts w:hint="eastAsia" w:hAnsi="仿宋"/>
          <w:bCs/>
          <w:sz w:val="32"/>
          <w:szCs w:val="32"/>
        </w:rPr>
        <w:t>按月或按季度对</w:t>
      </w:r>
      <w:r>
        <w:rPr>
          <w:rFonts w:hint="eastAsia" w:hAnsi="宋体" w:cs="Arial"/>
          <w:color w:val="333333"/>
          <w:sz w:val="32"/>
          <w:szCs w:val="32"/>
        </w:rPr>
        <w:t>九珠客运中心站搬迁租金</w:t>
      </w:r>
      <w:r>
        <w:rPr>
          <w:rFonts w:hint="eastAsia" w:hAnsi="仿宋"/>
          <w:bCs/>
          <w:sz w:val="32"/>
          <w:szCs w:val="32"/>
        </w:rPr>
        <w:t>进行申请，经市财政审核后进行支付。</w:t>
      </w:r>
    </w:p>
    <w:p w14:paraId="5F1A54DD">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2.项目管理情况</w:t>
      </w:r>
    </w:p>
    <w:p w14:paraId="3803D46F">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我局2021年该项目预算执行完毕后，通知并组织了各相关科室开始着手组织绩效自评工作。同时，开始收集数据，开展2021年项目支出绩效自评。</w:t>
      </w:r>
    </w:p>
    <w:p w14:paraId="4803DD7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3.项目监管情况</w:t>
      </w:r>
    </w:p>
    <w:p w14:paraId="49FBC620">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4F8082BF">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四、项目绩效情况</w:t>
      </w:r>
    </w:p>
    <w:p w14:paraId="2ED0A4B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1.项目完成情况。</w:t>
      </w:r>
    </w:p>
    <w:p w14:paraId="76BEF895">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截至2021年底，九珠客运中心站搬迁租金项目共下达预算资金</w:t>
      </w:r>
      <w:r>
        <w:rPr>
          <w:rFonts w:ascii="仿宋_GB2312" w:hAnsi="宋体" w:cs="Arial"/>
          <w:color w:val="333333"/>
          <w:sz w:val="32"/>
          <w:szCs w:val="32"/>
        </w:rPr>
        <w:t>125</w:t>
      </w:r>
      <w:r>
        <w:rPr>
          <w:rFonts w:hint="eastAsia" w:ascii="仿宋_GB2312" w:hAnsi="宋体" w:cs="Arial"/>
          <w:color w:val="333333"/>
          <w:sz w:val="32"/>
          <w:szCs w:val="32"/>
        </w:rPr>
        <w:t>万元，已发放</w:t>
      </w:r>
      <w:r>
        <w:rPr>
          <w:rFonts w:ascii="仿宋_GB2312" w:hAnsi="宋体" w:cs="Arial"/>
          <w:color w:val="333333"/>
          <w:sz w:val="32"/>
          <w:szCs w:val="32"/>
        </w:rPr>
        <w:t>93.48</w:t>
      </w:r>
      <w:r>
        <w:rPr>
          <w:rFonts w:hint="eastAsia" w:ascii="仿宋_GB2312" w:hAnsi="宋体" w:cs="Arial"/>
          <w:color w:val="333333"/>
          <w:sz w:val="32"/>
          <w:szCs w:val="32"/>
        </w:rPr>
        <w:t>万元，使用率100%。</w:t>
      </w:r>
    </w:p>
    <w:p w14:paraId="513AE79E">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2.项目效益情况。</w:t>
      </w:r>
    </w:p>
    <w:p w14:paraId="54C144C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注重强化项目资金使用管理，严格规范九珠客运中心站搬迁租金申请与发放程序，完善资金分配方案，切实加强资金管理，及时足额兑付补助资金，提高财政资金使用效益。</w:t>
      </w:r>
    </w:p>
    <w:p w14:paraId="533E9109">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3.项目的效益性分析。</w:t>
      </w:r>
    </w:p>
    <w:p w14:paraId="2BDAACB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（1）项目实施的经济效益分析</w:t>
      </w:r>
    </w:p>
    <w:p w14:paraId="7339C5B5">
      <w:pPr>
        <w:pStyle w:val="13"/>
        <w:shd w:val="clear" w:color="auto" w:fill="FFFFFF"/>
        <w:spacing w:before="93" w:line="450" w:lineRule="atLeast"/>
        <w:ind w:firstLine="630"/>
        <w:rPr>
          <w:rFonts w:ascii="仿宋_GB2312" w:hAnsi="宋体" w:cs="宋体"/>
          <w:sz w:val="32"/>
          <w:szCs w:val="32"/>
        </w:rPr>
      </w:pPr>
      <w:r>
        <w:rPr>
          <w:rFonts w:hint="eastAsia" w:ascii="仿宋_GB2312" w:hAnsi="宋体" w:cs="Arial"/>
          <w:color w:val="333333"/>
          <w:sz w:val="32"/>
          <w:szCs w:val="32"/>
        </w:rPr>
        <w:t>九珠客运中心站搬迁租金政策实施后，减轻了客运企业经营压力，</w:t>
      </w:r>
      <w:r>
        <w:rPr>
          <w:rFonts w:hint="eastAsia" w:ascii="仿宋_GB2312" w:hAnsi="宋体" w:cs="宋体"/>
          <w:sz w:val="32"/>
          <w:szCs w:val="32"/>
        </w:rPr>
        <w:t>保障我市旅博会长期举办，促进我市旅游经济向好发展。</w:t>
      </w:r>
    </w:p>
    <w:p w14:paraId="3C7C4982">
      <w:pPr>
        <w:pStyle w:val="13"/>
        <w:shd w:val="clear" w:color="auto" w:fill="FFFFFF"/>
        <w:spacing w:before="93" w:line="450" w:lineRule="atLeast"/>
        <w:ind w:firstLine="630"/>
        <w:rPr>
          <w:rFonts w:ascii="仿宋_GB2312" w:hAnsi="宋体" w:cs="Arial"/>
          <w:color w:val="333333"/>
          <w:sz w:val="32"/>
          <w:szCs w:val="32"/>
        </w:rPr>
      </w:pPr>
      <w:r>
        <w:rPr>
          <w:rFonts w:hint="eastAsia" w:ascii="仿宋_GB2312" w:hAnsi="宋体" w:cs="Arial"/>
          <w:color w:val="333333"/>
          <w:sz w:val="32"/>
          <w:szCs w:val="32"/>
        </w:rPr>
        <w:t>（2）项目实施的社会效益分析</w:t>
      </w:r>
    </w:p>
    <w:p w14:paraId="33FFAC08">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九珠客运中心站搬迁租金项目实施助推我市客运市场的发展，极大地提高客运运输的通行效率，降低了人流运输成本。我市城区交通通行条件得到显著提高，方便城乡居民出行，提升城乡居民幸福感，缓解和改善日常的交通压力。</w:t>
      </w:r>
    </w:p>
    <w:p w14:paraId="18FA6EFC">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（3）项目实施的生态效益分析</w:t>
      </w:r>
    </w:p>
    <w:p w14:paraId="0C425CBB">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九珠客运中心站搬迁租金项目实施，大大提高了道路客运市场外部环境，减少了车辆尾气对城市环境的污染。</w:t>
      </w:r>
    </w:p>
    <w:p w14:paraId="5AB2A91A">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（4）项目实施的可持续影响分析</w:t>
      </w:r>
    </w:p>
    <w:p w14:paraId="521C0788">
      <w:pPr>
        <w:pStyle w:val="13"/>
        <w:shd w:val="clear" w:color="auto" w:fill="FFFFFF"/>
        <w:spacing w:before="93" w:line="450" w:lineRule="atLeast"/>
        <w:ind w:firstLine="660"/>
        <w:rPr>
          <w:rFonts w:ascii="仿宋_GB2312" w:hAnsi="宋体" w:cs="Arial"/>
          <w:color w:val="333333"/>
          <w:sz w:val="32"/>
          <w:szCs w:val="32"/>
        </w:rPr>
      </w:pPr>
      <w:r>
        <w:rPr>
          <w:rFonts w:hint="eastAsia" w:ascii="仿宋_GB2312" w:hAnsi="宋体" w:cs="宋体"/>
          <w:sz w:val="32"/>
          <w:szCs w:val="32"/>
        </w:rPr>
        <w:t>九珠客运中心临时搬迁租金及税费项目的实施，保障我市旅博会长期举办，促进我市旅游经济向好发展。同时</w:t>
      </w:r>
      <w:r>
        <w:rPr>
          <w:rFonts w:hint="eastAsia" w:ascii="仿宋_GB2312" w:hAnsi="宋体" w:cs="Arial"/>
          <w:color w:val="333333"/>
          <w:sz w:val="32"/>
          <w:szCs w:val="32"/>
        </w:rPr>
        <w:t>保证客运市场的正常运营，方便了市民出行。有助于企业持续提升服务质量，改善乘车环境，为市民提供优质的公交服务。</w:t>
      </w:r>
    </w:p>
    <w:p w14:paraId="211FD3D1">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（5）满意度指标完成情况分析</w:t>
      </w:r>
    </w:p>
    <w:p w14:paraId="21949E86">
      <w:pPr>
        <w:pStyle w:val="13"/>
        <w:shd w:val="clear" w:color="auto" w:fill="FFFFFF"/>
        <w:spacing w:before="93" w:line="450" w:lineRule="atLeast"/>
        <w:rPr>
          <w:rFonts w:ascii="仿宋_GB2312" w:hAnsi="宋体" w:cs="Arial"/>
          <w:color w:val="333333"/>
          <w:sz w:val="32"/>
          <w:szCs w:val="32"/>
        </w:rPr>
      </w:pPr>
      <w:r>
        <w:rPr>
          <w:rFonts w:hint="eastAsia" w:ascii="仿宋_GB2312" w:hAnsi="宋体" w:cs="Arial"/>
          <w:color w:val="333333"/>
          <w:sz w:val="32"/>
          <w:szCs w:val="32"/>
        </w:rPr>
        <w:t>　　通过对沿线群众随机问卷调查、电话访问、现场走访等形式，对社会公众、受益对象满意度进行调查，结果显示，社会公众满意度达到9</w:t>
      </w:r>
      <w:r>
        <w:rPr>
          <w:rFonts w:ascii="仿宋_GB2312" w:hAnsi="宋体" w:cs="Arial"/>
          <w:color w:val="333333"/>
          <w:sz w:val="32"/>
          <w:szCs w:val="32"/>
        </w:rPr>
        <w:t>3</w:t>
      </w:r>
      <w:r>
        <w:rPr>
          <w:rFonts w:hint="eastAsia" w:ascii="仿宋_GB2312" w:hAnsi="宋体" w:cs="Arial"/>
          <w:color w:val="333333"/>
          <w:sz w:val="32"/>
          <w:szCs w:val="32"/>
        </w:rPr>
        <w:t>%。</w:t>
      </w:r>
    </w:p>
    <w:p w14:paraId="58FA9179">
      <w:pPr>
        <w:pStyle w:val="13"/>
        <w:shd w:val="clear" w:color="auto" w:fill="FFFFFF"/>
        <w:spacing w:before="93" w:line="450" w:lineRule="atLeast"/>
        <w:rPr>
          <w:rFonts w:ascii="黑体" w:hAnsi="黑体" w:eastAsia="黑体" w:cs="Arial"/>
          <w:color w:val="333333"/>
          <w:sz w:val="32"/>
          <w:szCs w:val="32"/>
        </w:rPr>
      </w:pPr>
      <w:r>
        <w:rPr>
          <w:rFonts w:hint="eastAsia" w:ascii="仿宋_GB2312" w:hAnsi="宋体" w:cs="Arial"/>
          <w:color w:val="333333"/>
          <w:sz w:val="32"/>
          <w:szCs w:val="32"/>
        </w:rPr>
        <w:t>　　</w:t>
      </w:r>
      <w:r>
        <w:rPr>
          <w:rFonts w:hint="eastAsia" w:ascii="黑体" w:hAnsi="黑体" w:eastAsia="黑体" w:cs="Arial"/>
          <w:color w:val="333333"/>
          <w:sz w:val="32"/>
          <w:szCs w:val="32"/>
        </w:rPr>
        <w:t>五、评价结论及建议</w:t>
      </w:r>
    </w:p>
    <w:p w14:paraId="473A1880">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0D6FB5F4">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11BBC3CC">
      <w:pPr>
        <w:numPr>
          <w:ilvl w:val="0"/>
          <w:numId w:val="2"/>
        </w:num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796CF8DA">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本项目从2014年实施至今已有8年，原计划为峨眉山市客运站重建后项目即可结束，但目前客运站场建设遥遥无期，建议由市政府重新规划，加快建设新的客运站场。</w:t>
      </w:r>
    </w:p>
    <w:p w14:paraId="10440001">
      <w:pPr>
        <w:pStyle w:val="2"/>
        <w:spacing w:before="93"/>
      </w:pPr>
    </w:p>
    <w:p w14:paraId="3FC2914B">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5-2</w:t>
      </w:r>
    </w:p>
    <w:p w14:paraId="6EC0E07E">
      <w:pPr>
        <w:pStyle w:val="2"/>
        <w:spacing w:before="93"/>
      </w:pPr>
    </w:p>
    <w:p w14:paraId="25B18226">
      <w:pPr>
        <w:spacing w:line="600" w:lineRule="exact"/>
        <w:jc w:val="center"/>
        <w:outlineLvl w:val="0"/>
        <w:rPr>
          <w:rFonts w:ascii="方正小标宋简体" w:eastAsia="方正小标宋简体"/>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021年峨眉山市九珠客运中心站搬迁租金及税费项目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0AF15F62">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304595B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066E21F7">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3867E6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997F5BF">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1697A90A">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E2A50A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428B85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8B15766">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125</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754DE7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3416775">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93.48</w:t>
            </w:r>
          </w:p>
        </w:tc>
      </w:tr>
      <w:tr w14:paraId="77179B7D">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2361F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CAFE43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8DE6A5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6BA110A">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125</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A9380A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45E7755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CD60D44">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93.48</w:t>
            </w:r>
          </w:p>
        </w:tc>
      </w:tr>
      <w:tr w14:paraId="6CBE64FD">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91CE7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DC5FC5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E2B8EE5">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44BF42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1A0D4E0">
            <w:pPr>
              <w:widowControl/>
              <w:spacing w:line="320" w:lineRule="exact"/>
              <w:jc w:val="center"/>
              <w:textAlignment w:val="center"/>
              <w:rPr>
                <w:rFonts w:ascii="仿宋_GB2312" w:hAnsi="仿宋_GB2312" w:eastAsia="仿宋_GB2312" w:cs="仿宋_GB2312"/>
                <w:sz w:val="28"/>
                <w:szCs w:val="28"/>
              </w:rPr>
            </w:pPr>
          </w:p>
        </w:tc>
      </w:tr>
      <w:tr w14:paraId="3F142CE7">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A828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1816C34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3CE0372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73D1A12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6FDBDC52">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C57EE">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5D65080D">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宋体"/>
                <w:szCs w:val="21"/>
              </w:rPr>
              <w:t>保障我市旅博会长期举办，促进我市旅游经济向好发展。同时</w:t>
            </w:r>
            <w:r>
              <w:rPr>
                <w:rFonts w:hint="eastAsia" w:ascii="仿宋_GB2312" w:hAnsi="宋体" w:eastAsia="仿宋_GB2312" w:cs="Arial"/>
                <w:color w:val="333333"/>
                <w:szCs w:val="21"/>
              </w:rPr>
              <w:t>保证客运市场的正常运营，方便了市民出行。</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1AFE11E5">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宋体"/>
                <w:szCs w:val="21"/>
              </w:rPr>
              <w:t>保障我市旅博会长期举办，促进我市旅游经济向好发展。同时</w:t>
            </w:r>
            <w:r>
              <w:rPr>
                <w:rFonts w:hint="eastAsia" w:ascii="仿宋_GB2312" w:hAnsi="宋体" w:eastAsia="仿宋_GB2312" w:cs="Arial"/>
                <w:color w:val="333333"/>
                <w:szCs w:val="21"/>
              </w:rPr>
              <w:t>保证客运市场的正常运营，方便了市民出行。</w:t>
            </w:r>
          </w:p>
        </w:tc>
      </w:tr>
      <w:tr w14:paraId="642C1665">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75171B5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48CE906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1EBED5B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615FB2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50EAC96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BBEB9C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36E836D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5647AE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533870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19D137A5">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52DB2071">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8B32E9">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6920874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115E9C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5DCAC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拨付次数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E03152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2</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7C9E5F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5次</w:t>
            </w:r>
          </w:p>
        </w:tc>
      </w:tr>
      <w:tr w14:paraId="1C4EA4E7">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2E36B3FF">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8C05C">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47200D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3A5D9B8">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FE520C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337B39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74.8%</w:t>
            </w:r>
          </w:p>
        </w:tc>
      </w:tr>
      <w:tr w14:paraId="083B5DB7">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519423F0">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93599">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9C81ED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D34421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2DA937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3553B67">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589DC921">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10715E9B">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F7EBF">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E38E51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F80A7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成本控制在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D3A666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125万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0CDC97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93.48万</w:t>
            </w:r>
          </w:p>
        </w:tc>
      </w:tr>
      <w:tr w14:paraId="614D2A6F">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33E5E1DD">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75B5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14D387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42472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509B1F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E7BFD7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1D6D07E9">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595BE6FC">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072F0">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82281D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9DA61F6">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方便旅客乘车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1714E9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7AC3B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2273A40E">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771A1ECE">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C2A2F">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0FC2180">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62C78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44A653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5CC979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5BE89C6">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62A139AA">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BB0BC">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F286A5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4BE7C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B8B9FB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41ABF8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3AFC7BD">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35CAB1FD">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323192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B37F5F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42E81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DC7700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6CF6E2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5E2080A9">
      <w:pPr>
        <w:pStyle w:val="2"/>
        <w:spacing w:before="93"/>
      </w:pPr>
    </w:p>
    <w:p w14:paraId="01198317">
      <w:pPr>
        <w:pStyle w:val="2"/>
        <w:spacing w:before="93"/>
      </w:pPr>
    </w:p>
    <w:p w14:paraId="7127BF75">
      <w:pPr>
        <w:pStyle w:val="2"/>
        <w:spacing w:before="93"/>
      </w:pPr>
    </w:p>
    <w:p w14:paraId="1CEC4DA7">
      <w:pPr>
        <w:pStyle w:val="2"/>
        <w:spacing w:before="93"/>
      </w:pPr>
    </w:p>
    <w:p w14:paraId="17432147">
      <w:pPr>
        <w:pStyle w:val="2"/>
        <w:spacing w:before="93"/>
      </w:pPr>
    </w:p>
    <w:p w14:paraId="592FFB53">
      <w:pPr>
        <w:pStyle w:val="2"/>
        <w:spacing w:before="93"/>
      </w:pPr>
    </w:p>
    <w:p w14:paraId="567589AB">
      <w:pPr>
        <w:pStyle w:val="2"/>
        <w:spacing w:before="93"/>
      </w:pPr>
    </w:p>
    <w:p w14:paraId="70D8CFF6">
      <w:pPr>
        <w:pStyle w:val="2"/>
        <w:spacing w:before="93"/>
      </w:pPr>
    </w:p>
    <w:p w14:paraId="69F7CFA2">
      <w:pPr>
        <w:pStyle w:val="2"/>
        <w:spacing w:before="93"/>
      </w:pPr>
    </w:p>
    <w:p w14:paraId="5C0295A1">
      <w:pPr>
        <w:pStyle w:val="2"/>
        <w:spacing w:before="93"/>
      </w:pPr>
    </w:p>
    <w:p w14:paraId="329EAA81">
      <w:pPr>
        <w:pStyle w:val="2"/>
        <w:spacing w:before="93"/>
      </w:pPr>
    </w:p>
    <w:p w14:paraId="2298DF3D">
      <w:pPr>
        <w:pStyle w:val="2"/>
        <w:spacing w:before="93"/>
      </w:pPr>
    </w:p>
    <w:p w14:paraId="4C67DA30">
      <w:pPr>
        <w:pStyle w:val="2"/>
        <w:spacing w:before="93"/>
      </w:pPr>
    </w:p>
    <w:p w14:paraId="1214FCC8">
      <w:pPr>
        <w:pStyle w:val="2"/>
        <w:spacing w:before="93"/>
      </w:pPr>
    </w:p>
    <w:p w14:paraId="672666F5">
      <w:pPr>
        <w:pStyle w:val="2"/>
        <w:spacing w:before="93"/>
      </w:pPr>
    </w:p>
    <w:p w14:paraId="2F0FE0FE">
      <w:pPr>
        <w:pStyle w:val="2"/>
        <w:spacing w:before="93"/>
      </w:pPr>
    </w:p>
    <w:p w14:paraId="672A9CBB">
      <w:pPr>
        <w:numPr>
          <w:ilvl w:val="0"/>
          <w:numId w:val="3"/>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附表</w:t>
      </w:r>
      <w:bookmarkEnd w:id="51"/>
      <w:bookmarkEnd w:id="52"/>
      <w:bookmarkStart w:id="53" w:name="_Toc15396619"/>
    </w:p>
    <w:p w14:paraId="42475AB1">
      <w:pPr>
        <w:pStyle w:val="2"/>
        <w:spacing w:before="93"/>
      </w:pPr>
    </w:p>
    <w:p w14:paraId="2683FB8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3"/>
    </w:p>
    <w:p w14:paraId="0C7538FB">
      <w:pPr>
        <w:spacing w:line="600" w:lineRule="exact"/>
        <w:ind w:firstLine="640" w:firstLineChars="200"/>
        <w:rPr>
          <w:rFonts w:ascii="仿宋_GB2312" w:hAnsi="仿宋_GB2312" w:eastAsia="仿宋_GB2312" w:cs="仿宋_GB2312"/>
          <w:sz w:val="32"/>
          <w:szCs w:val="32"/>
        </w:rPr>
      </w:pPr>
      <w:bookmarkStart w:id="54" w:name="_Toc15396620"/>
      <w:r>
        <w:rPr>
          <w:rFonts w:hint="eastAsia" w:ascii="仿宋_GB2312" w:hAnsi="仿宋_GB2312" w:eastAsia="仿宋_GB2312" w:cs="仿宋_GB2312"/>
          <w:sz w:val="32"/>
          <w:szCs w:val="32"/>
        </w:rPr>
        <w:t>二、收入决算表</w:t>
      </w:r>
      <w:bookmarkEnd w:id="54"/>
    </w:p>
    <w:p w14:paraId="09F65690">
      <w:pPr>
        <w:spacing w:line="600" w:lineRule="exact"/>
        <w:ind w:firstLine="640" w:firstLineChars="200"/>
        <w:rPr>
          <w:rFonts w:ascii="仿宋_GB2312" w:hAnsi="仿宋_GB2312" w:eastAsia="仿宋_GB2312" w:cs="仿宋_GB2312"/>
          <w:sz w:val="32"/>
          <w:szCs w:val="32"/>
        </w:rPr>
      </w:pPr>
      <w:bookmarkStart w:id="55" w:name="_Toc15396621"/>
      <w:r>
        <w:rPr>
          <w:rFonts w:hint="eastAsia" w:ascii="仿宋_GB2312" w:hAnsi="仿宋_GB2312" w:eastAsia="仿宋_GB2312" w:cs="仿宋_GB2312"/>
          <w:sz w:val="32"/>
          <w:szCs w:val="32"/>
        </w:rPr>
        <w:t>三、支出决算表</w:t>
      </w:r>
      <w:bookmarkEnd w:id="55"/>
    </w:p>
    <w:p w14:paraId="14ACA60B">
      <w:pPr>
        <w:spacing w:line="600" w:lineRule="exact"/>
        <w:ind w:firstLine="640" w:firstLineChars="200"/>
        <w:rPr>
          <w:rFonts w:ascii="仿宋_GB2312" w:hAnsi="仿宋_GB2312" w:eastAsia="仿宋_GB2312" w:cs="仿宋_GB2312"/>
          <w:sz w:val="32"/>
          <w:szCs w:val="32"/>
        </w:rPr>
      </w:pPr>
      <w:bookmarkStart w:id="56" w:name="_Toc15396622"/>
      <w:r>
        <w:rPr>
          <w:rFonts w:hint="eastAsia" w:ascii="仿宋_GB2312" w:hAnsi="仿宋_GB2312" w:eastAsia="仿宋_GB2312" w:cs="仿宋_GB2312"/>
          <w:sz w:val="32"/>
          <w:szCs w:val="32"/>
        </w:rPr>
        <w:t>四、财政拨款收入支出决算总表</w:t>
      </w:r>
      <w:bookmarkEnd w:id="56"/>
    </w:p>
    <w:p w14:paraId="6FE701EC">
      <w:pPr>
        <w:spacing w:line="600" w:lineRule="exact"/>
        <w:ind w:firstLine="640" w:firstLineChars="200"/>
        <w:rPr>
          <w:rFonts w:ascii="仿宋_GB2312" w:hAnsi="仿宋_GB2312" w:eastAsia="仿宋_GB2312" w:cs="仿宋_GB2312"/>
          <w:sz w:val="32"/>
          <w:szCs w:val="32"/>
        </w:rPr>
      </w:pPr>
      <w:bookmarkStart w:id="57" w:name="_Toc15396623"/>
      <w:r>
        <w:rPr>
          <w:rFonts w:hint="eastAsia" w:ascii="仿宋_GB2312" w:hAnsi="仿宋_GB2312" w:eastAsia="仿宋_GB2312" w:cs="仿宋_GB2312"/>
          <w:sz w:val="32"/>
          <w:szCs w:val="32"/>
        </w:rPr>
        <w:t>五、财政拨款支出决算明细表</w:t>
      </w:r>
      <w:bookmarkEnd w:id="57"/>
      <w:bookmarkStart w:id="58" w:name="_Toc15396624"/>
    </w:p>
    <w:p w14:paraId="7359B2B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8"/>
    </w:p>
    <w:p w14:paraId="0A872127">
      <w:pPr>
        <w:spacing w:line="600" w:lineRule="exact"/>
        <w:ind w:firstLine="640" w:firstLineChars="200"/>
        <w:rPr>
          <w:rFonts w:ascii="仿宋_GB2312" w:hAnsi="仿宋_GB2312" w:eastAsia="仿宋_GB2312" w:cs="仿宋_GB2312"/>
          <w:sz w:val="32"/>
          <w:szCs w:val="32"/>
        </w:rPr>
      </w:pPr>
      <w:bookmarkStart w:id="59" w:name="_Toc15396625"/>
      <w:r>
        <w:rPr>
          <w:rFonts w:hint="eastAsia" w:ascii="仿宋_GB2312" w:hAnsi="仿宋_GB2312" w:eastAsia="仿宋_GB2312" w:cs="仿宋_GB2312"/>
          <w:sz w:val="32"/>
          <w:szCs w:val="32"/>
        </w:rPr>
        <w:t>七、一般公共预算财政拨款支出决算明细表</w:t>
      </w:r>
      <w:bookmarkEnd w:id="59"/>
    </w:p>
    <w:p w14:paraId="6C482C63">
      <w:pPr>
        <w:spacing w:line="600" w:lineRule="exact"/>
        <w:ind w:firstLine="640" w:firstLineChars="200"/>
        <w:rPr>
          <w:rFonts w:ascii="仿宋_GB2312" w:hAnsi="仿宋_GB2312" w:eastAsia="仿宋_GB2312" w:cs="仿宋_GB2312"/>
          <w:sz w:val="32"/>
          <w:szCs w:val="32"/>
        </w:rPr>
      </w:pPr>
      <w:bookmarkStart w:id="60" w:name="_Toc15396626"/>
      <w:r>
        <w:rPr>
          <w:rFonts w:hint="eastAsia" w:ascii="仿宋_GB2312" w:hAnsi="仿宋_GB2312" w:eastAsia="仿宋_GB2312" w:cs="仿宋_GB2312"/>
          <w:sz w:val="32"/>
          <w:szCs w:val="32"/>
        </w:rPr>
        <w:t>八、一般公共预算财政拨款基本支出决算表</w:t>
      </w:r>
      <w:bookmarkEnd w:id="60"/>
    </w:p>
    <w:p w14:paraId="3F24751B">
      <w:pPr>
        <w:spacing w:line="600" w:lineRule="exact"/>
        <w:ind w:firstLine="640" w:firstLineChars="200"/>
        <w:rPr>
          <w:rFonts w:ascii="仿宋_GB2312" w:hAnsi="仿宋_GB2312" w:eastAsia="仿宋_GB2312" w:cs="仿宋_GB2312"/>
          <w:sz w:val="32"/>
          <w:szCs w:val="32"/>
        </w:rPr>
      </w:pPr>
      <w:bookmarkStart w:id="61" w:name="_Toc15396627"/>
      <w:r>
        <w:rPr>
          <w:rFonts w:hint="eastAsia" w:ascii="仿宋_GB2312" w:hAnsi="仿宋_GB2312" w:eastAsia="仿宋_GB2312" w:cs="仿宋_GB2312"/>
          <w:sz w:val="32"/>
          <w:szCs w:val="32"/>
        </w:rPr>
        <w:t>九、一般公共预算财政拨款项目支出决算表</w:t>
      </w:r>
      <w:bookmarkEnd w:id="61"/>
    </w:p>
    <w:p w14:paraId="3F8722CC">
      <w:pPr>
        <w:spacing w:line="600" w:lineRule="exact"/>
        <w:ind w:firstLine="640" w:firstLineChars="200"/>
        <w:rPr>
          <w:rFonts w:ascii="仿宋_GB2312" w:hAnsi="仿宋_GB2312" w:eastAsia="仿宋_GB2312" w:cs="仿宋_GB2312"/>
          <w:sz w:val="32"/>
          <w:szCs w:val="32"/>
        </w:rPr>
      </w:pPr>
      <w:bookmarkStart w:id="62" w:name="_Toc15396628"/>
      <w:r>
        <w:rPr>
          <w:rFonts w:hint="eastAsia" w:ascii="仿宋_GB2312" w:hAnsi="仿宋_GB2312" w:eastAsia="仿宋_GB2312" w:cs="仿宋_GB2312"/>
          <w:sz w:val="32"/>
          <w:szCs w:val="32"/>
        </w:rPr>
        <w:t>十、一般公共预算财政拨款“三公”经费支出决算表</w:t>
      </w:r>
      <w:bookmarkEnd w:id="62"/>
    </w:p>
    <w:p w14:paraId="5E0167DC">
      <w:pPr>
        <w:spacing w:line="600" w:lineRule="exact"/>
        <w:ind w:firstLine="640" w:firstLineChars="200"/>
        <w:rPr>
          <w:rFonts w:ascii="仿宋_GB2312" w:hAnsi="仿宋_GB2312" w:eastAsia="仿宋_GB2312" w:cs="仿宋_GB2312"/>
          <w:sz w:val="32"/>
          <w:szCs w:val="32"/>
        </w:rPr>
      </w:pPr>
      <w:bookmarkStart w:id="63" w:name="_Toc15396629"/>
      <w:r>
        <w:rPr>
          <w:rFonts w:hint="eastAsia" w:ascii="仿宋_GB2312" w:hAnsi="仿宋_GB2312" w:eastAsia="仿宋_GB2312" w:cs="仿宋_GB2312"/>
          <w:sz w:val="32"/>
          <w:szCs w:val="32"/>
        </w:rPr>
        <w:t>十一、政府性基金预算财政拨款收入支出决算表</w:t>
      </w:r>
      <w:bookmarkEnd w:id="63"/>
    </w:p>
    <w:p w14:paraId="23F6D6AA">
      <w:pPr>
        <w:spacing w:line="600" w:lineRule="exact"/>
        <w:ind w:firstLine="640" w:firstLineChars="200"/>
        <w:rPr>
          <w:rFonts w:ascii="仿宋_GB2312" w:hAnsi="仿宋_GB2312" w:eastAsia="仿宋_GB2312" w:cs="仿宋_GB2312"/>
          <w:sz w:val="32"/>
          <w:szCs w:val="32"/>
        </w:rPr>
      </w:pPr>
      <w:bookmarkStart w:id="64" w:name="_Toc15396630"/>
      <w:r>
        <w:rPr>
          <w:rFonts w:hint="eastAsia" w:ascii="仿宋_GB2312" w:hAnsi="仿宋_GB2312" w:eastAsia="仿宋_GB2312" w:cs="仿宋_GB2312"/>
          <w:sz w:val="32"/>
          <w:szCs w:val="32"/>
        </w:rPr>
        <w:t>十二、政府性基金预算财政拨款“三公”经费支出决算表</w:t>
      </w:r>
      <w:bookmarkEnd w:id="64"/>
    </w:p>
    <w:p w14:paraId="7C9C618D">
      <w:pPr>
        <w:spacing w:line="600" w:lineRule="exact"/>
        <w:ind w:firstLine="640" w:firstLineChars="200"/>
        <w:rPr>
          <w:rFonts w:ascii="仿宋_GB2312" w:hAnsi="仿宋_GB2312" w:eastAsia="仿宋_GB2312" w:cs="仿宋_GB2312"/>
          <w:sz w:val="32"/>
          <w:szCs w:val="32"/>
        </w:rPr>
      </w:pPr>
      <w:bookmarkStart w:id="65" w:name="_Toc15396631"/>
      <w:r>
        <w:rPr>
          <w:rFonts w:hint="eastAsia" w:ascii="仿宋_GB2312" w:hAnsi="仿宋_GB2312" w:eastAsia="仿宋_GB2312" w:cs="仿宋_GB2312"/>
          <w:sz w:val="32"/>
          <w:szCs w:val="32"/>
        </w:rPr>
        <w:t>十三、国有资本经营预算财政拨款收入支出决算表</w:t>
      </w:r>
      <w:bookmarkEnd w:id="65"/>
    </w:p>
    <w:p w14:paraId="2189BD6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2452">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txbx>
                      <w:txbxContent>
                        <w:p w14:paraId="57807BBB">
                          <w:pPr>
                            <w:pStyle w:val="8"/>
                            <w:ind w:firstLine="280" w:firstLineChars="10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square" lIns="0" tIns="0" rIns="0" bIns="0" upright="1"/>
                  </wps:wsp>
                </a:graphicData>
              </a:graphic>
            </wp:anchor>
          </w:drawing>
        </mc:Choice>
        <mc:Fallback>
          <w:pict>
            <v:shape id="文本框 1" o:spid="_x0000_s1026" o:spt="202" type="#_x0000_t202" style="position:absolute;left:0pt;margin-top:-7.5pt;height:19pt;width:74.05pt;mso-position-horizontal:outside;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">
              <v:fill on="f" focussize="0,0"/>
              <v:stroke on="f" weight="0.5pt"/>
              <v:imagedata o:title=""/>
              <o:lock v:ext="edit" aspectratio="f"/>
              <v:textbox inset="0mm,0mm,0mm,0mm">
                <w:txbxContent>
                  <w:p w14:paraId="57807BBB">
                    <w:pPr>
                      <w:pStyle w:val="8"/>
                      <w:ind w:firstLine="280" w:firstLineChars="10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11A1">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9"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txbx>
                      <w:txbxContent>
                        <w:p w14:paraId="4897DFC8">
                          <w:pPr>
                            <w:pStyle w:val="8"/>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square" lIns="0" tIns="0" rIns="0" bIns="0" upright="1"/>
                  </wps:wsp>
                </a:graphicData>
              </a:graphic>
            </wp:anchor>
          </w:drawing>
        </mc:Choice>
        <mc:Fallback>
          <w:pict>
            <v:shape id="文本框 2" o:spid="_x0000_s1026" o:spt="202" type="#_x0000_t202" style="position:absolute;left:0pt;margin-top:-7.5pt;height:18.2pt;width:69.6pt;mso-position-horizontal:outside;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">
              <v:fill on="f" focussize="0,0"/>
              <v:stroke on="f" weight="0.5pt"/>
              <v:imagedata o:title=""/>
              <o:lock v:ext="edit" aspectratio="f"/>
              <v:textbox inset="0mm,0mm,0mm,0mm">
                <w:txbxContent>
                  <w:p w14:paraId="4897DFC8">
                    <w:pPr>
                      <w:pStyle w:val="8"/>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12B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74C29652"/>
    <w:multiLevelType w:val="singleLevel"/>
    <w:tmpl w:val="74C2965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WVjOTE4Mzc3ZTgyNTYzZjlmYzFhY2NlODI1YjIifQ=="/>
  </w:docVars>
  <w:rsids>
    <w:rsidRoot w:val="00F1361C"/>
    <w:rsid w:val="00002816"/>
    <w:rsid w:val="00006716"/>
    <w:rsid w:val="00013838"/>
    <w:rsid w:val="00014BED"/>
    <w:rsid w:val="00021B4E"/>
    <w:rsid w:val="000222C6"/>
    <w:rsid w:val="0002549F"/>
    <w:rsid w:val="000468DB"/>
    <w:rsid w:val="00055CE5"/>
    <w:rsid w:val="0006487A"/>
    <w:rsid w:val="0006591F"/>
    <w:rsid w:val="00065F8F"/>
    <w:rsid w:val="00070A43"/>
    <w:rsid w:val="0007354E"/>
    <w:rsid w:val="000768F2"/>
    <w:rsid w:val="0007790F"/>
    <w:rsid w:val="00084006"/>
    <w:rsid w:val="0009184B"/>
    <w:rsid w:val="000931AC"/>
    <w:rsid w:val="00094236"/>
    <w:rsid w:val="0009593C"/>
    <w:rsid w:val="00097322"/>
    <w:rsid w:val="000A6A92"/>
    <w:rsid w:val="000B047F"/>
    <w:rsid w:val="000B5923"/>
    <w:rsid w:val="000B5A48"/>
    <w:rsid w:val="000B6FF3"/>
    <w:rsid w:val="000C3467"/>
    <w:rsid w:val="000C3CA6"/>
    <w:rsid w:val="000C5835"/>
    <w:rsid w:val="000D1267"/>
    <w:rsid w:val="000D1D50"/>
    <w:rsid w:val="000D3383"/>
    <w:rsid w:val="000D5782"/>
    <w:rsid w:val="000D6F4D"/>
    <w:rsid w:val="000E0FE6"/>
    <w:rsid w:val="000E62D7"/>
    <w:rsid w:val="000E6613"/>
    <w:rsid w:val="000E7119"/>
    <w:rsid w:val="000F1954"/>
    <w:rsid w:val="000F28D8"/>
    <w:rsid w:val="0010059A"/>
    <w:rsid w:val="00106301"/>
    <w:rsid w:val="00107A66"/>
    <w:rsid w:val="00114E9B"/>
    <w:rsid w:val="001160B5"/>
    <w:rsid w:val="001170B1"/>
    <w:rsid w:val="00133B32"/>
    <w:rsid w:val="00133E54"/>
    <w:rsid w:val="00142216"/>
    <w:rsid w:val="00144D6A"/>
    <w:rsid w:val="0014729F"/>
    <w:rsid w:val="00154D96"/>
    <w:rsid w:val="001559B0"/>
    <w:rsid w:val="00157B09"/>
    <w:rsid w:val="00157BAB"/>
    <w:rsid w:val="001654D1"/>
    <w:rsid w:val="00174518"/>
    <w:rsid w:val="0018106D"/>
    <w:rsid w:val="001877A7"/>
    <w:rsid w:val="00191536"/>
    <w:rsid w:val="00196687"/>
    <w:rsid w:val="001967C7"/>
    <w:rsid w:val="001A78E4"/>
    <w:rsid w:val="001B416C"/>
    <w:rsid w:val="001B557B"/>
    <w:rsid w:val="001B6882"/>
    <w:rsid w:val="001C0962"/>
    <w:rsid w:val="001C309C"/>
    <w:rsid w:val="001C6123"/>
    <w:rsid w:val="001D5156"/>
    <w:rsid w:val="001D7531"/>
    <w:rsid w:val="001E4397"/>
    <w:rsid w:val="001E737D"/>
    <w:rsid w:val="001E78F0"/>
    <w:rsid w:val="001F0592"/>
    <w:rsid w:val="001F494A"/>
    <w:rsid w:val="001F7506"/>
    <w:rsid w:val="002006CD"/>
    <w:rsid w:val="00200735"/>
    <w:rsid w:val="00202B36"/>
    <w:rsid w:val="00204B7A"/>
    <w:rsid w:val="00204CDE"/>
    <w:rsid w:val="0021101A"/>
    <w:rsid w:val="00220536"/>
    <w:rsid w:val="00226007"/>
    <w:rsid w:val="00235629"/>
    <w:rsid w:val="002407E3"/>
    <w:rsid w:val="00240FFF"/>
    <w:rsid w:val="00243034"/>
    <w:rsid w:val="00251EBF"/>
    <w:rsid w:val="002559D9"/>
    <w:rsid w:val="00260C38"/>
    <w:rsid w:val="002616C0"/>
    <w:rsid w:val="00263A12"/>
    <w:rsid w:val="00265372"/>
    <w:rsid w:val="002662AA"/>
    <w:rsid w:val="00280496"/>
    <w:rsid w:val="00294DC9"/>
    <w:rsid w:val="00295495"/>
    <w:rsid w:val="002A31DE"/>
    <w:rsid w:val="002A6F8F"/>
    <w:rsid w:val="002B2613"/>
    <w:rsid w:val="002D6D05"/>
    <w:rsid w:val="002F1818"/>
    <w:rsid w:val="002F567B"/>
    <w:rsid w:val="003045A6"/>
    <w:rsid w:val="003216A9"/>
    <w:rsid w:val="00335620"/>
    <w:rsid w:val="00335A74"/>
    <w:rsid w:val="00341178"/>
    <w:rsid w:val="0036561B"/>
    <w:rsid w:val="0037013F"/>
    <w:rsid w:val="00375031"/>
    <w:rsid w:val="00380C92"/>
    <w:rsid w:val="003A484F"/>
    <w:rsid w:val="003A4883"/>
    <w:rsid w:val="003B0BE0"/>
    <w:rsid w:val="003B0C1B"/>
    <w:rsid w:val="003B688C"/>
    <w:rsid w:val="003C0291"/>
    <w:rsid w:val="003C39AE"/>
    <w:rsid w:val="003C7B60"/>
    <w:rsid w:val="003D0C0F"/>
    <w:rsid w:val="003D1A8D"/>
    <w:rsid w:val="003D1FB2"/>
    <w:rsid w:val="003D6598"/>
    <w:rsid w:val="003D66DA"/>
    <w:rsid w:val="003E1310"/>
    <w:rsid w:val="003E1B3C"/>
    <w:rsid w:val="003E6F55"/>
    <w:rsid w:val="00406254"/>
    <w:rsid w:val="00416346"/>
    <w:rsid w:val="004223DE"/>
    <w:rsid w:val="00425CC1"/>
    <w:rsid w:val="004303DD"/>
    <w:rsid w:val="00432C7A"/>
    <w:rsid w:val="00434489"/>
    <w:rsid w:val="00437085"/>
    <w:rsid w:val="00437AF9"/>
    <w:rsid w:val="00443880"/>
    <w:rsid w:val="004464F4"/>
    <w:rsid w:val="004472FC"/>
    <w:rsid w:val="00471401"/>
    <w:rsid w:val="00473F31"/>
    <w:rsid w:val="00477083"/>
    <w:rsid w:val="0048263A"/>
    <w:rsid w:val="00487E5D"/>
    <w:rsid w:val="00495982"/>
    <w:rsid w:val="004A4AC2"/>
    <w:rsid w:val="004A711F"/>
    <w:rsid w:val="004A7878"/>
    <w:rsid w:val="004B199D"/>
    <w:rsid w:val="004B4690"/>
    <w:rsid w:val="004E0A2D"/>
    <w:rsid w:val="004E206B"/>
    <w:rsid w:val="004E6DF7"/>
    <w:rsid w:val="004E74EA"/>
    <w:rsid w:val="004F0FBD"/>
    <w:rsid w:val="00505A47"/>
    <w:rsid w:val="00512FDA"/>
    <w:rsid w:val="00520DA0"/>
    <w:rsid w:val="00545410"/>
    <w:rsid w:val="00554EE1"/>
    <w:rsid w:val="00555085"/>
    <w:rsid w:val="00555741"/>
    <w:rsid w:val="005664BB"/>
    <w:rsid w:val="00566FFA"/>
    <w:rsid w:val="005705E6"/>
    <w:rsid w:val="00573E16"/>
    <w:rsid w:val="0057481D"/>
    <w:rsid w:val="0058486E"/>
    <w:rsid w:val="00585B33"/>
    <w:rsid w:val="005864F8"/>
    <w:rsid w:val="0059014D"/>
    <w:rsid w:val="00590297"/>
    <w:rsid w:val="00590EFB"/>
    <w:rsid w:val="005A51AE"/>
    <w:rsid w:val="005B5C64"/>
    <w:rsid w:val="005C4834"/>
    <w:rsid w:val="005C5337"/>
    <w:rsid w:val="005C6896"/>
    <w:rsid w:val="005C6BD0"/>
    <w:rsid w:val="005D1C8B"/>
    <w:rsid w:val="005D468D"/>
    <w:rsid w:val="005D5CED"/>
    <w:rsid w:val="005D7F85"/>
    <w:rsid w:val="005F040F"/>
    <w:rsid w:val="005F1126"/>
    <w:rsid w:val="005F1A4C"/>
    <w:rsid w:val="00602674"/>
    <w:rsid w:val="00605688"/>
    <w:rsid w:val="006070AF"/>
    <w:rsid w:val="00607E6C"/>
    <w:rsid w:val="006101B1"/>
    <w:rsid w:val="00614E44"/>
    <w:rsid w:val="00622130"/>
    <w:rsid w:val="0062270A"/>
    <w:rsid w:val="00622830"/>
    <w:rsid w:val="00623DA0"/>
    <w:rsid w:val="00630AEF"/>
    <w:rsid w:val="006325F8"/>
    <w:rsid w:val="00633463"/>
    <w:rsid w:val="00634C9A"/>
    <w:rsid w:val="006440E4"/>
    <w:rsid w:val="00645495"/>
    <w:rsid w:val="00657045"/>
    <w:rsid w:val="00657D81"/>
    <w:rsid w:val="0066343B"/>
    <w:rsid w:val="00664777"/>
    <w:rsid w:val="006748A4"/>
    <w:rsid w:val="006768F0"/>
    <w:rsid w:val="0068032B"/>
    <w:rsid w:val="00681A31"/>
    <w:rsid w:val="00683E73"/>
    <w:rsid w:val="0069040A"/>
    <w:rsid w:val="00693AC2"/>
    <w:rsid w:val="006A24E4"/>
    <w:rsid w:val="006A3141"/>
    <w:rsid w:val="006A5E34"/>
    <w:rsid w:val="006B2422"/>
    <w:rsid w:val="006B2B9A"/>
    <w:rsid w:val="006C1937"/>
    <w:rsid w:val="006F020C"/>
    <w:rsid w:val="007127B7"/>
    <w:rsid w:val="0071798E"/>
    <w:rsid w:val="007416B6"/>
    <w:rsid w:val="00746F48"/>
    <w:rsid w:val="0075404D"/>
    <w:rsid w:val="0076182A"/>
    <w:rsid w:val="00762369"/>
    <w:rsid w:val="007655CB"/>
    <w:rsid w:val="00767B7E"/>
    <w:rsid w:val="007770C3"/>
    <w:rsid w:val="00784D24"/>
    <w:rsid w:val="00785FBA"/>
    <w:rsid w:val="00786E4A"/>
    <w:rsid w:val="007875EB"/>
    <w:rsid w:val="0079426B"/>
    <w:rsid w:val="007A6CDA"/>
    <w:rsid w:val="007B31B1"/>
    <w:rsid w:val="007C093E"/>
    <w:rsid w:val="007D1682"/>
    <w:rsid w:val="007D312A"/>
    <w:rsid w:val="007D34B9"/>
    <w:rsid w:val="007D3F19"/>
    <w:rsid w:val="007E1AD2"/>
    <w:rsid w:val="007E23B0"/>
    <w:rsid w:val="007E23E5"/>
    <w:rsid w:val="007F16A0"/>
    <w:rsid w:val="007F1991"/>
    <w:rsid w:val="007F2C2F"/>
    <w:rsid w:val="007F55FC"/>
    <w:rsid w:val="007F5665"/>
    <w:rsid w:val="00800112"/>
    <w:rsid w:val="0080280A"/>
    <w:rsid w:val="00803EE1"/>
    <w:rsid w:val="00810229"/>
    <w:rsid w:val="00811969"/>
    <w:rsid w:val="00813348"/>
    <w:rsid w:val="008253BB"/>
    <w:rsid w:val="0083706E"/>
    <w:rsid w:val="008408F6"/>
    <w:rsid w:val="00841711"/>
    <w:rsid w:val="008423A5"/>
    <w:rsid w:val="00844C43"/>
    <w:rsid w:val="00847B49"/>
    <w:rsid w:val="00850625"/>
    <w:rsid w:val="0085162B"/>
    <w:rsid w:val="00853718"/>
    <w:rsid w:val="00855221"/>
    <w:rsid w:val="00860645"/>
    <w:rsid w:val="008635CE"/>
    <w:rsid w:val="0086435B"/>
    <w:rsid w:val="00870C6F"/>
    <w:rsid w:val="00871F71"/>
    <w:rsid w:val="00872FD8"/>
    <w:rsid w:val="00881730"/>
    <w:rsid w:val="00885AF4"/>
    <w:rsid w:val="008939CD"/>
    <w:rsid w:val="00894A9E"/>
    <w:rsid w:val="008B768C"/>
    <w:rsid w:val="008C0600"/>
    <w:rsid w:val="008C3B9E"/>
    <w:rsid w:val="008C41CD"/>
    <w:rsid w:val="008C4DB1"/>
    <w:rsid w:val="008C4EAF"/>
    <w:rsid w:val="008C5176"/>
    <w:rsid w:val="008C7FD0"/>
    <w:rsid w:val="008E1DE7"/>
    <w:rsid w:val="008E707C"/>
    <w:rsid w:val="008F4BA2"/>
    <w:rsid w:val="00900B08"/>
    <w:rsid w:val="00902155"/>
    <w:rsid w:val="00902FA3"/>
    <w:rsid w:val="009160DE"/>
    <w:rsid w:val="00917EBC"/>
    <w:rsid w:val="00923564"/>
    <w:rsid w:val="00923744"/>
    <w:rsid w:val="0092392E"/>
    <w:rsid w:val="00924A63"/>
    <w:rsid w:val="009315F9"/>
    <w:rsid w:val="00932662"/>
    <w:rsid w:val="00933499"/>
    <w:rsid w:val="00935C98"/>
    <w:rsid w:val="00946945"/>
    <w:rsid w:val="00951248"/>
    <w:rsid w:val="0095152F"/>
    <w:rsid w:val="00954C49"/>
    <w:rsid w:val="0095510A"/>
    <w:rsid w:val="00955E37"/>
    <w:rsid w:val="0097099F"/>
    <w:rsid w:val="00971997"/>
    <w:rsid w:val="00971FFC"/>
    <w:rsid w:val="00974C2A"/>
    <w:rsid w:val="0098660A"/>
    <w:rsid w:val="00990099"/>
    <w:rsid w:val="009902A3"/>
    <w:rsid w:val="009931C3"/>
    <w:rsid w:val="009B2C43"/>
    <w:rsid w:val="009B4EAE"/>
    <w:rsid w:val="009B7573"/>
    <w:rsid w:val="009C22F4"/>
    <w:rsid w:val="009C2A4B"/>
    <w:rsid w:val="009C2E98"/>
    <w:rsid w:val="009D3447"/>
    <w:rsid w:val="009D4711"/>
    <w:rsid w:val="009F1185"/>
    <w:rsid w:val="009F18CD"/>
    <w:rsid w:val="009F2A13"/>
    <w:rsid w:val="009F6601"/>
    <w:rsid w:val="009F7527"/>
    <w:rsid w:val="00A04EB0"/>
    <w:rsid w:val="00A10091"/>
    <w:rsid w:val="00A13CC1"/>
    <w:rsid w:val="00A16847"/>
    <w:rsid w:val="00A17712"/>
    <w:rsid w:val="00A237D8"/>
    <w:rsid w:val="00A268C4"/>
    <w:rsid w:val="00A307CD"/>
    <w:rsid w:val="00A331C8"/>
    <w:rsid w:val="00A37894"/>
    <w:rsid w:val="00A40A00"/>
    <w:rsid w:val="00A4142F"/>
    <w:rsid w:val="00A422EB"/>
    <w:rsid w:val="00A45BB7"/>
    <w:rsid w:val="00A56DF2"/>
    <w:rsid w:val="00A56E6E"/>
    <w:rsid w:val="00A65634"/>
    <w:rsid w:val="00A65725"/>
    <w:rsid w:val="00A67AB5"/>
    <w:rsid w:val="00A733B2"/>
    <w:rsid w:val="00A741C2"/>
    <w:rsid w:val="00A91760"/>
    <w:rsid w:val="00A93B00"/>
    <w:rsid w:val="00A93C21"/>
    <w:rsid w:val="00AB64C9"/>
    <w:rsid w:val="00AC1DB9"/>
    <w:rsid w:val="00AC3C6A"/>
    <w:rsid w:val="00AC7041"/>
    <w:rsid w:val="00AD0724"/>
    <w:rsid w:val="00AD300D"/>
    <w:rsid w:val="00AD5620"/>
    <w:rsid w:val="00AD656B"/>
    <w:rsid w:val="00AD7C1B"/>
    <w:rsid w:val="00AD7C6F"/>
    <w:rsid w:val="00AE16BA"/>
    <w:rsid w:val="00AE1EBE"/>
    <w:rsid w:val="00B03C9D"/>
    <w:rsid w:val="00B060AE"/>
    <w:rsid w:val="00B10517"/>
    <w:rsid w:val="00B14E76"/>
    <w:rsid w:val="00B161B8"/>
    <w:rsid w:val="00B2048C"/>
    <w:rsid w:val="00B264EA"/>
    <w:rsid w:val="00B310B9"/>
    <w:rsid w:val="00B324A1"/>
    <w:rsid w:val="00B35F3F"/>
    <w:rsid w:val="00B36CBB"/>
    <w:rsid w:val="00B42064"/>
    <w:rsid w:val="00B425E0"/>
    <w:rsid w:val="00B440AA"/>
    <w:rsid w:val="00B44B70"/>
    <w:rsid w:val="00B44FAA"/>
    <w:rsid w:val="00B46069"/>
    <w:rsid w:val="00B53C56"/>
    <w:rsid w:val="00B57DAF"/>
    <w:rsid w:val="00B77EA6"/>
    <w:rsid w:val="00B81598"/>
    <w:rsid w:val="00B841F1"/>
    <w:rsid w:val="00B9419C"/>
    <w:rsid w:val="00B944D6"/>
    <w:rsid w:val="00BA6580"/>
    <w:rsid w:val="00BA7A73"/>
    <w:rsid w:val="00BB4DF0"/>
    <w:rsid w:val="00BC289F"/>
    <w:rsid w:val="00BC2D50"/>
    <w:rsid w:val="00BC5361"/>
    <w:rsid w:val="00BC5460"/>
    <w:rsid w:val="00BC6B50"/>
    <w:rsid w:val="00BD0E25"/>
    <w:rsid w:val="00BE5D4C"/>
    <w:rsid w:val="00BE70AE"/>
    <w:rsid w:val="00BF2CD2"/>
    <w:rsid w:val="00BF5BD6"/>
    <w:rsid w:val="00C00AD3"/>
    <w:rsid w:val="00C03E31"/>
    <w:rsid w:val="00C254CE"/>
    <w:rsid w:val="00C26A53"/>
    <w:rsid w:val="00C33E72"/>
    <w:rsid w:val="00C354B2"/>
    <w:rsid w:val="00C35554"/>
    <w:rsid w:val="00C42709"/>
    <w:rsid w:val="00C502E4"/>
    <w:rsid w:val="00C51072"/>
    <w:rsid w:val="00C533CC"/>
    <w:rsid w:val="00C5751C"/>
    <w:rsid w:val="00C61BFC"/>
    <w:rsid w:val="00C62B85"/>
    <w:rsid w:val="00C65438"/>
    <w:rsid w:val="00C67316"/>
    <w:rsid w:val="00C744D7"/>
    <w:rsid w:val="00C76CEB"/>
    <w:rsid w:val="00C87FD8"/>
    <w:rsid w:val="00C91381"/>
    <w:rsid w:val="00C91CBB"/>
    <w:rsid w:val="00CA10C2"/>
    <w:rsid w:val="00CA4094"/>
    <w:rsid w:val="00CB4B16"/>
    <w:rsid w:val="00CB4E70"/>
    <w:rsid w:val="00CC09B6"/>
    <w:rsid w:val="00CC666F"/>
    <w:rsid w:val="00CD18B7"/>
    <w:rsid w:val="00CD1E3F"/>
    <w:rsid w:val="00CD36BE"/>
    <w:rsid w:val="00CE14A8"/>
    <w:rsid w:val="00CE44F6"/>
    <w:rsid w:val="00CE49DA"/>
    <w:rsid w:val="00CE7B61"/>
    <w:rsid w:val="00CF741F"/>
    <w:rsid w:val="00D00095"/>
    <w:rsid w:val="00D02B16"/>
    <w:rsid w:val="00D114F0"/>
    <w:rsid w:val="00D20620"/>
    <w:rsid w:val="00D21E05"/>
    <w:rsid w:val="00D254F7"/>
    <w:rsid w:val="00D26091"/>
    <w:rsid w:val="00D2685C"/>
    <w:rsid w:val="00D34E7C"/>
    <w:rsid w:val="00D35489"/>
    <w:rsid w:val="00D36AFE"/>
    <w:rsid w:val="00D51276"/>
    <w:rsid w:val="00D52169"/>
    <w:rsid w:val="00D52B73"/>
    <w:rsid w:val="00D63E87"/>
    <w:rsid w:val="00D7035F"/>
    <w:rsid w:val="00D74291"/>
    <w:rsid w:val="00D745BD"/>
    <w:rsid w:val="00D8092B"/>
    <w:rsid w:val="00D916E5"/>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2A0E"/>
    <w:rsid w:val="00E568DF"/>
    <w:rsid w:val="00E64269"/>
    <w:rsid w:val="00E72786"/>
    <w:rsid w:val="00E811FC"/>
    <w:rsid w:val="00E82267"/>
    <w:rsid w:val="00E8348E"/>
    <w:rsid w:val="00E8518F"/>
    <w:rsid w:val="00E853CE"/>
    <w:rsid w:val="00E867B6"/>
    <w:rsid w:val="00EA010F"/>
    <w:rsid w:val="00ED1B63"/>
    <w:rsid w:val="00ED3C1F"/>
    <w:rsid w:val="00ED4085"/>
    <w:rsid w:val="00ED420E"/>
    <w:rsid w:val="00ED6FBE"/>
    <w:rsid w:val="00EE2F57"/>
    <w:rsid w:val="00EF4C34"/>
    <w:rsid w:val="00EF6F2B"/>
    <w:rsid w:val="00EF77C6"/>
    <w:rsid w:val="00F05438"/>
    <w:rsid w:val="00F1361C"/>
    <w:rsid w:val="00F156F0"/>
    <w:rsid w:val="00F160C7"/>
    <w:rsid w:val="00F2408F"/>
    <w:rsid w:val="00F240E9"/>
    <w:rsid w:val="00F36D8F"/>
    <w:rsid w:val="00F40BDB"/>
    <w:rsid w:val="00F417B1"/>
    <w:rsid w:val="00F43067"/>
    <w:rsid w:val="00F45853"/>
    <w:rsid w:val="00F602DF"/>
    <w:rsid w:val="00F61F29"/>
    <w:rsid w:val="00F754A1"/>
    <w:rsid w:val="00F81FD9"/>
    <w:rsid w:val="00F82109"/>
    <w:rsid w:val="00F841AA"/>
    <w:rsid w:val="00F84A94"/>
    <w:rsid w:val="00F87E96"/>
    <w:rsid w:val="00FA23E8"/>
    <w:rsid w:val="00FD2B8D"/>
    <w:rsid w:val="00FD3CC1"/>
    <w:rsid w:val="00FF1E02"/>
    <w:rsid w:val="00FF30B4"/>
    <w:rsid w:val="00FF5F1C"/>
    <w:rsid w:val="03D348AC"/>
    <w:rsid w:val="0A2032A3"/>
    <w:rsid w:val="0B8A37D8"/>
    <w:rsid w:val="10702130"/>
    <w:rsid w:val="10C055FF"/>
    <w:rsid w:val="118107EC"/>
    <w:rsid w:val="11DD6519"/>
    <w:rsid w:val="13CB5B5C"/>
    <w:rsid w:val="16BB723D"/>
    <w:rsid w:val="18015F3F"/>
    <w:rsid w:val="1B9236E8"/>
    <w:rsid w:val="1BE8440E"/>
    <w:rsid w:val="1D155CEE"/>
    <w:rsid w:val="20F57F95"/>
    <w:rsid w:val="240371BF"/>
    <w:rsid w:val="24567558"/>
    <w:rsid w:val="2586754D"/>
    <w:rsid w:val="25C741E6"/>
    <w:rsid w:val="27842671"/>
    <w:rsid w:val="29FD04D3"/>
    <w:rsid w:val="2ABE7A3E"/>
    <w:rsid w:val="2EFA178C"/>
    <w:rsid w:val="30B46D73"/>
    <w:rsid w:val="319F7F4E"/>
    <w:rsid w:val="378C2EA1"/>
    <w:rsid w:val="39002936"/>
    <w:rsid w:val="39AE70AB"/>
    <w:rsid w:val="3C0C0783"/>
    <w:rsid w:val="3EB77B93"/>
    <w:rsid w:val="3F9F3A96"/>
    <w:rsid w:val="4628740B"/>
    <w:rsid w:val="493C27E9"/>
    <w:rsid w:val="496F39ED"/>
    <w:rsid w:val="49FF41D3"/>
    <w:rsid w:val="4BE068DB"/>
    <w:rsid w:val="4BF6002B"/>
    <w:rsid w:val="4ECE2238"/>
    <w:rsid w:val="50312A77"/>
    <w:rsid w:val="51AB2023"/>
    <w:rsid w:val="51DB4B86"/>
    <w:rsid w:val="53B536AF"/>
    <w:rsid w:val="55333C3E"/>
    <w:rsid w:val="55573536"/>
    <w:rsid w:val="59FF7BE2"/>
    <w:rsid w:val="64CA39A1"/>
    <w:rsid w:val="65197815"/>
    <w:rsid w:val="663D7019"/>
    <w:rsid w:val="6C4A05C8"/>
    <w:rsid w:val="72734D90"/>
    <w:rsid w:val="79E7B28D"/>
    <w:rsid w:val="7F9F20EE"/>
    <w:rsid w:val="7FB4040F"/>
    <w:rsid w:val="9E3A10E2"/>
    <w:rsid w:val="F2E1F9D4"/>
    <w:rsid w:val="F78808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15">
    <w:name w:val="Normal Table"/>
    <w:unhideWhenUsed/>
    <w:qFormat/>
    <w:uiPriority w:val="99"/>
    <w:tblPr>
      <w:tblStyle w:val="15"/>
      <w:tblCellMar>
        <w:top w:w="0" w:type="dxa"/>
        <w:left w:w="108" w:type="dxa"/>
        <w:bottom w:w="0" w:type="dxa"/>
        <w:right w:w="108" w:type="dxa"/>
      </w:tblCellMar>
    </w:tblPr>
  </w:style>
  <w:style w:type="paragraph" w:styleId="2">
    <w:name w:val="Body Text"/>
    <w:basedOn w:val="1"/>
    <w:link w:val="19"/>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3"/>
    <w:unhideWhenUsed/>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uiPriority w:val="99"/>
    <w:pPr>
      <w:ind w:left="200" w:leftChars="200" w:hanging="200" w:hangingChars="200"/>
    </w:p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line="560" w:lineRule="exact"/>
    </w:pPr>
    <w:rPr>
      <w:rFonts w:ascii="Calibri" w:hAnsi="Calibri" w:eastAsia="仿宋_GB2312"/>
      <w:sz w:val="24"/>
    </w:rPr>
  </w:style>
  <w:style w:type="paragraph" w:styleId="14">
    <w:name w:val="Title"/>
    <w:basedOn w:val="1"/>
    <w:next w:val="1"/>
    <w:link w:val="26"/>
    <w:qFormat/>
    <w:uiPriority w:val="0"/>
    <w:pPr>
      <w:spacing w:before="240" w:after="60"/>
      <w:jc w:val="center"/>
      <w:outlineLvl w:val="0"/>
    </w:pPr>
    <w:rPr>
      <w:rFonts w:ascii="Cambria" w:hAnsi="Cambria"/>
      <w:b/>
      <w:bCs/>
      <w:sz w:val="32"/>
      <w:szCs w:val="32"/>
    </w:r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character" w:customStyle="1" w:styleId="19">
    <w:name w:val="正文文本 Char"/>
    <w:link w:val="2"/>
    <w:qFormat/>
    <w:locked/>
    <w:uiPriority w:val="99"/>
    <w:rPr>
      <w:rFonts w:ascii="仿宋_GB2312" w:hAnsi="Times New Roman" w:eastAsia="仿宋_GB2312"/>
      <w:sz w:val="24"/>
    </w:rPr>
  </w:style>
  <w:style w:type="character" w:customStyle="1" w:styleId="20">
    <w:name w:val="标题 1 Char"/>
    <w:basedOn w:val="16"/>
    <w:link w:val="3"/>
    <w:qFormat/>
    <w:uiPriority w:val="9"/>
    <w:rPr>
      <w:rFonts w:ascii="Times New Roman" w:hAnsi="Times New Roman"/>
      <w:b/>
      <w:bCs/>
      <w:kern w:val="44"/>
      <w:sz w:val="44"/>
      <w:szCs w:val="44"/>
    </w:rPr>
  </w:style>
  <w:style w:type="character" w:customStyle="1" w:styleId="21">
    <w:name w:val="标题 2 Char"/>
    <w:basedOn w:val="16"/>
    <w:link w:val="4"/>
    <w:qFormat/>
    <w:uiPriority w:val="9"/>
    <w:rPr>
      <w:rFonts w:ascii="Cambria" w:hAnsi="Cambria" w:eastAsia="宋体" w:cs="Times New Roman"/>
      <w:b/>
      <w:bCs/>
      <w:kern w:val="2"/>
      <w:sz w:val="32"/>
      <w:szCs w:val="32"/>
    </w:rPr>
  </w:style>
  <w:style w:type="character" w:customStyle="1" w:styleId="22">
    <w:name w:val="标题 3 Char"/>
    <w:basedOn w:val="16"/>
    <w:link w:val="5"/>
    <w:qFormat/>
    <w:uiPriority w:val="9"/>
    <w:rPr>
      <w:rFonts w:ascii="Times New Roman" w:hAnsi="Times New Roman"/>
      <w:b/>
      <w:bCs/>
      <w:kern w:val="2"/>
      <w:sz w:val="32"/>
      <w:szCs w:val="32"/>
    </w:rPr>
  </w:style>
  <w:style w:type="character" w:customStyle="1" w:styleId="23">
    <w:name w:val="批注框文本 Char"/>
    <w:basedOn w:val="16"/>
    <w:link w:val="7"/>
    <w:semiHidden/>
    <w:qFormat/>
    <w:uiPriority w:val="99"/>
    <w:rPr>
      <w:rFonts w:ascii="Times New Roman" w:hAnsi="Times New Roman"/>
      <w:kern w:val="2"/>
      <w:sz w:val="18"/>
      <w:szCs w:val="18"/>
    </w:rPr>
  </w:style>
  <w:style w:type="character" w:customStyle="1" w:styleId="24">
    <w:name w:val="页脚 Char"/>
    <w:link w:val="8"/>
    <w:qFormat/>
    <w:locked/>
    <w:uiPriority w:val="99"/>
    <w:rPr>
      <w:sz w:val="18"/>
    </w:rPr>
  </w:style>
  <w:style w:type="character" w:customStyle="1" w:styleId="25">
    <w:name w:val="页眉 Char"/>
    <w:link w:val="9"/>
    <w:semiHidden/>
    <w:qFormat/>
    <w:locked/>
    <w:uiPriority w:val="99"/>
    <w:rPr>
      <w:sz w:val="18"/>
    </w:rPr>
  </w:style>
  <w:style w:type="character" w:customStyle="1" w:styleId="26">
    <w:name w:val="标题 Char"/>
    <w:basedOn w:val="16"/>
    <w:link w:val="14"/>
    <w:qFormat/>
    <w:uiPriority w:val="0"/>
    <w:rPr>
      <w:rFonts w:ascii="Cambria" w:hAnsi="Cambria" w:eastAsia="宋体" w:cs="Times New Roman"/>
      <w:b/>
      <w:bCs/>
      <w:kern w:val="2"/>
      <w:sz w:val="32"/>
      <w:szCs w:val="32"/>
    </w:rPr>
  </w:style>
  <w:style w:type="character" w:customStyle="1" w:styleId="27">
    <w:name w:val="Header Char"/>
    <w:basedOn w:val="16"/>
    <w:semiHidden/>
    <w:qFormat/>
    <w:uiPriority w:val="99"/>
    <w:rPr>
      <w:rFonts w:ascii="Times New Roman" w:hAnsi="Times New Roman"/>
      <w:sz w:val="18"/>
      <w:szCs w:val="18"/>
    </w:rPr>
  </w:style>
  <w:style w:type="character" w:customStyle="1" w:styleId="28">
    <w:name w:val="Footer Char"/>
    <w:basedOn w:val="16"/>
    <w:semiHidden/>
    <w:qFormat/>
    <w:uiPriority w:val="99"/>
    <w:rPr>
      <w:rFonts w:ascii="Times New Roman" w:hAnsi="Times New Roman"/>
      <w:sz w:val="18"/>
      <w:szCs w:val="18"/>
    </w:rPr>
  </w:style>
  <w:style w:type="character" w:customStyle="1" w:styleId="29">
    <w:name w:val="Body Text Char"/>
    <w:basedOn w:val="16"/>
    <w:semiHidden/>
    <w:qFormat/>
    <w:uiPriority w:val="99"/>
    <w:rPr>
      <w:rFonts w:ascii="Times New Roman" w:hAnsi="Times New Roman"/>
      <w:szCs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1"/>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3">
    <w:name w:val="TOC 标题2"/>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4">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81</Pages>
  <Words>10389</Words>
  <Characters>11569</Characters>
  <Lines>230</Lines>
  <Paragraphs>64</Paragraphs>
  <TotalTime>0</TotalTime>
  <ScaleCrop>false</ScaleCrop>
  <LinksUpToDate>false</LinksUpToDate>
  <CharactersWithSpaces>11637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大树</cp:lastModifiedBy>
  <cp:lastPrinted>2022-10-28T03:16:00Z</cp:lastPrinted>
  <dcterms:modified xsi:type="dcterms:W3CDTF">2024-12-25T03:46:15Z</dcterms:modified>
  <dc:title>四川省***</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4477121A191A4B6598A6BF7493421C87_13</vt:lpwstr>
  </property>
</Properties>
</file>