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8441"/>
      <w:bookmarkStart w:id="3" w:name="_Toc15377193"/>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olor w:val="000000"/>
          <w:sz w:val="72"/>
          <w:szCs w:val="72"/>
          <w:lang w:eastAsia="zh-CN"/>
        </w:rPr>
        <w:t>峨眉山市大为镇人民政府</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1"/>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 xml:space="preserve">                            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 xml:space="preserve">                                      8</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 2021年度部门决算情况说明</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9</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 xml:space="preserve">                      9</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 xml:space="preserve">                             10</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 xml:space="preserve">                             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 xml:space="preserve">             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 xml:space="preserve">         12</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 xml:space="preserve">     16</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 xml:space="preserve">          17</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 xml:space="preserve">               19</w:t>
      </w:r>
    </w:p>
    <w:p>
      <w:pPr>
        <w:pStyle w:val="12"/>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 xml:space="preserve">             19</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19</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22</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26</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46</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p>
    <w:bookmarkEnd w:id="16"/>
    <w:bookmarkEnd w:id="17"/>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bookmarkStart w:id="18" w:name="_Toc15378446"/>
      <w:bookmarkStart w:id="19" w:name="_Toc15377199"/>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lang w:val="en-US" w:eastAsia="zh-CN"/>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8"/>
      <w:bookmarkEnd w:id="19"/>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auto"/>
          <w:lang w:eastAsia="zh-CN"/>
        </w:rPr>
      </w:pPr>
      <w:r>
        <w:rPr>
          <w:rFonts w:hint="eastAsia" w:ascii="黑体" w:hAnsi="黑体" w:eastAsia="黑体" w:cs="黑体"/>
          <w:i w:val="0"/>
          <w:iCs w:val="0"/>
          <w:caps w:val="0"/>
          <w:color w:val="000000"/>
          <w:spacing w:val="0"/>
          <w:sz w:val="32"/>
          <w:szCs w:val="32"/>
          <w:shd w:val="clear" w:color="auto" w:fill="auto"/>
          <w:lang w:eastAsia="zh-CN"/>
        </w:rPr>
        <w:t>一、标本兼治补短板，全力完善硬件设施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实施乡村振兴项目</w:t>
      </w:r>
      <w:r>
        <w:rPr>
          <w:rFonts w:hint="eastAsia" w:ascii="仿宋_GB2312" w:hAnsi="仿宋_GB2312" w:eastAsia="仿宋_GB2312" w:cs="仿宋_GB2312"/>
          <w:color w:val="auto"/>
          <w:sz w:val="32"/>
          <w:szCs w:val="32"/>
          <w:lang w:val="en-US" w:eastAsia="zh-CN"/>
        </w:rPr>
        <w:t>6个，</w:t>
      </w:r>
      <w:r>
        <w:rPr>
          <w:rFonts w:hint="eastAsia" w:ascii="仿宋_GB2312" w:hAnsi="仿宋_GB2312" w:eastAsia="仿宋_GB2312" w:cs="仿宋_GB2312"/>
          <w:color w:val="auto"/>
          <w:sz w:val="32"/>
          <w:szCs w:val="32"/>
          <w:lang w:eastAsia="zh-CN"/>
        </w:rPr>
        <w:t>新硬化道路</w:t>
      </w:r>
      <w:r>
        <w:rPr>
          <w:rFonts w:hint="eastAsia" w:ascii="仿宋_GB2312" w:hAnsi="仿宋_GB2312" w:eastAsia="仿宋_GB2312" w:cs="仿宋_GB2312"/>
          <w:color w:val="auto"/>
          <w:sz w:val="32"/>
          <w:szCs w:val="32"/>
          <w:lang w:val="en-US" w:eastAsia="zh-CN"/>
        </w:rPr>
        <w:t>8公里，道路加宽5.9</w:t>
      </w:r>
      <w:r>
        <w:rPr>
          <w:rFonts w:hint="eastAsia" w:ascii="仿宋_GB2312" w:hAnsi="仿宋_GB2312" w:eastAsia="仿宋_GB2312" w:cs="仿宋_GB2312"/>
          <w:color w:val="auto"/>
          <w:sz w:val="32"/>
          <w:szCs w:val="32"/>
        </w:rPr>
        <w:t>公里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规划建设高标准农田4100亩，产业园区便道10公里，蓄水池11个。实施汛期塌方治理6处，砌筑堡坎8处，道路维修排险7处，解决出行问题和安全隐患。全力推进峨汉高速建设，攻坚历史遗留问题，保障高速顺利通车，打通致富路。</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auto"/>
          <w:lang w:eastAsia="zh-CN"/>
        </w:rPr>
      </w:pPr>
      <w:r>
        <w:rPr>
          <w:rFonts w:hint="eastAsia" w:ascii="黑体" w:hAnsi="黑体" w:eastAsia="黑体" w:cs="黑体"/>
          <w:i w:val="0"/>
          <w:iCs w:val="0"/>
          <w:caps w:val="0"/>
          <w:color w:val="000000"/>
          <w:spacing w:val="0"/>
          <w:sz w:val="32"/>
          <w:szCs w:val="32"/>
          <w:shd w:val="clear" w:color="auto" w:fill="auto"/>
          <w:lang w:eastAsia="zh-CN"/>
        </w:rPr>
        <w:t>二、凝心聚力抓发展，深入推进乡村振兴</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脱贫成果有效巩固。开展好防止返贫动态监测和帮扶工作，</w:t>
      </w:r>
      <w:r>
        <w:rPr>
          <w:rFonts w:hint="eastAsia" w:ascii="仿宋_GB2312" w:hAnsi="仿宋_GB2312" w:eastAsia="仿宋_GB2312" w:cs="仿宋_GB2312"/>
          <w:i w:val="0"/>
          <w:caps w:val="0"/>
          <w:color w:val="auto"/>
          <w:spacing w:val="0"/>
          <w:sz w:val="32"/>
          <w:szCs w:val="32"/>
          <w:shd w:val="clear" w:fill="FFFFFF"/>
          <w:lang w:val="en-US" w:eastAsia="zh-CN"/>
        </w:rPr>
        <w:t>排查纳入监测户7户。</w:t>
      </w:r>
      <w:r>
        <w:rPr>
          <w:rFonts w:hint="eastAsia" w:ascii="仿宋_GB2312" w:hAnsi="仿宋_GB2312" w:eastAsia="仿宋_GB2312" w:cs="仿宋_GB2312"/>
          <w:b w:val="0"/>
          <w:bCs w:val="0"/>
          <w:i w:val="0"/>
          <w:caps w:val="0"/>
          <w:color w:val="auto"/>
          <w:spacing w:val="0"/>
          <w:sz w:val="32"/>
          <w:szCs w:val="32"/>
          <w:shd w:val="clear" w:fill="FFFFFF"/>
        </w:rPr>
        <w:t>每月</w:t>
      </w:r>
      <w:r>
        <w:rPr>
          <w:rFonts w:hint="eastAsia" w:ascii="仿宋_GB2312" w:hAnsi="仿宋_GB2312" w:eastAsia="仿宋_GB2312" w:cs="仿宋_GB2312"/>
          <w:b w:val="0"/>
          <w:bCs w:val="0"/>
          <w:i w:val="0"/>
          <w:caps w:val="0"/>
          <w:color w:val="auto"/>
          <w:spacing w:val="0"/>
          <w:sz w:val="32"/>
          <w:szCs w:val="32"/>
          <w:shd w:val="clear" w:fill="FFFFFF"/>
          <w:lang w:val="en-US" w:eastAsia="zh-CN"/>
        </w:rPr>
        <w:t>定期排查与重大返贫致贫风险及时排查相结合，</w:t>
      </w:r>
      <w:r>
        <w:rPr>
          <w:rFonts w:hint="eastAsia" w:ascii="仿宋_GB2312" w:hAnsi="仿宋_GB2312" w:eastAsia="仿宋_GB2312" w:cs="仿宋_GB2312"/>
          <w:b w:val="0"/>
          <w:bCs w:val="0"/>
          <w:i w:val="0"/>
          <w:caps w:val="0"/>
          <w:color w:val="auto"/>
          <w:spacing w:val="0"/>
          <w:sz w:val="32"/>
          <w:szCs w:val="32"/>
          <w:shd w:val="clear" w:fill="FFFFFF"/>
        </w:rPr>
        <w:t>以规范的工作运行机制杜绝返贫隐患</w:t>
      </w:r>
      <w:r>
        <w:rPr>
          <w:rFonts w:hint="eastAsia" w:ascii="仿宋_GB2312" w:hAnsi="仿宋_GB2312" w:eastAsia="仿宋_GB2312" w:cs="仿宋_GB2312"/>
          <w:b w:val="0"/>
          <w:bCs w:val="0"/>
          <w:i w:val="0"/>
          <w:caps w:val="0"/>
          <w:color w:val="auto"/>
          <w:spacing w:val="0"/>
          <w:sz w:val="32"/>
          <w:szCs w:val="32"/>
          <w:shd w:val="clear" w:fill="FFFFFF"/>
          <w:lang w:val="zh-CN" w:eastAsia="zh-CN"/>
        </w:rPr>
        <w:t>“漏</w:t>
      </w:r>
      <w:r>
        <w:rPr>
          <w:rFonts w:hint="eastAsia" w:ascii="仿宋_GB2312" w:hAnsi="仿宋_GB2312" w:eastAsia="仿宋_GB2312" w:cs="仿宋_GB2312"/>
          <w:b w:val="0"/>
          <w:bCs w:val="0"/>
          <w:i w:val="0"/>
          <w:caps w:val="0"/>
          <w:color w:val="auto"/>
          <w:spacing w:val="0"/>
          <w:sz w:val="32"/>
          <w:szCs w:val="32"/>
          <w:shd w:val="clear" w:fill="FFFFFF"/>
        </w:rPr>
        <w:t>帮失管</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现象</w:t>
      </w:r>
      <w:r>
        <w:rPr>
          <w:rFonts w:hint="eastAsia" w:ascii="仿宋_GB2312" w:hAnsi="仿宋_GB2312" w:eastAsia="仿宋_GB2312" w:cs="仿宋_GB2312"/>
          <w:b w:val="0"/>
          <w:bCs w:val="0"/>
          <w:i w:val="0"/>
          <w:caps w:val="0"/>
          <w:color w:val="auto"/>
          <w:spacing w:val="0"/>
          <w:sz w:val="32"/>
          <w:szCs w:val="32"/>
          <w:shd w:val="clear" w:fill="FFFFFF"/>
          <w:lang w:eastAsia="zh-CN"/>
        </w:rPr>
        <w:t>，消除返贫隐患</w:t>
      </w:r>
      <w:r>
        <w:rPr>
          <w:rFonts w:hint="eastAsia" w:ascii="仿宋_GB2312" w:hAnsi="仿宋_GB2312" w:eastAsia="仿宋_GB2312" w:cs="仿宋_GB2312"/>
          <w:b w:val="0"/>
          <w:bCs w:val="0"/>
          <w:i w:val="0"/>
          <w:caps w:val="0"/>
          <w:color w:val="auto"/>
          <w:spacing w:val="0"/>
          <w:sz w:val="32"/>
          <w:szCs w:val="32"/>
          <w:shd w:val="clear" w:fill="FFFFFF"/>
          <w:lang w:val="en-US" w:eastAsia="zh-CN"/>
        </w:rPr>
        <w:t>30个</w:t>
      </w:r>
      <w:r>
        <w:rPr>
          <w:rFonts w:hint="eastAsia" w:ascii="仿宋_GB2312" w:hAnsi="仿宋_GB2312" w:eastAsia="仿宋_GB2312" w:cs="仿宋_GB2312"/>
          <w:b w:val="0"/>
          <w:bCs w:val="0"/>
          <w:i w:val="0"/>
          <w:caps w:val="0"/>
          <w:color w:val="auto"/>
          <w:spacing w:val="0"/>
          <w:sz w:val="32"/>
          <w:szCs w:val="32"/>
          <w:shd w:val="clear" w:fill="FFFFFF"/>
          <w:lang w:eastAsia="zh-CN"/>
        </w:rPr>
        <w:t>。集体经济有新起色。</w:t>
      </w:r>
      <w:r>
        <w:rPr>
          <w:rFonts w:hint="eastAsia" w:ascii="仿宋_GB2312" w:hAnsi="仿宋_GB2312" w:eastAsia="仿宋_GB2312" w:cs="仿宋_GB2312"/>
          <w:b w:val="0"/>
          <w:bCs w:val="0"/>
          <w:color w:val="auto"/>
          <w:kern w:val="0"/>
          <w:sz w:val="32"/>
          <w:szCs w:val="32"/>
          <w:lang w:val="en-US" w:eastAsia="zh-CN"/>
        </w:rPr>
        <w:t>全面清查辖区内集体闲置资产、土地、旅游资源、种植类型等，</w:t>
      </w:r>
      <w:r>
        <w:rPr>
          <w:rFonts w:hint="eastAsia" w:ascii="仿宋_GB2312" w:hAnsi="仿宋_GB2312" w:eastAsia="仿宋_GB2312" w:cs="仿宋_GB2312"/>
          <w:color w:val="000000"/>
          <w:sz w:val="32"/>
          <w:szCs w:val="32"/>
          <w:shd w:val="clear" w:color="auto" w:fill="FFFFFF"/>
          <w:lang w:val="en-US" w:eastAsia="zh-CN"/>
        </w:rPr>
        <w:t>实施“走出去+引进来”，培育茶叶、优质农产品、冷水鱼、冻库等集体经济项目，2021年各村集体经济收入共计21.9万元，较上年度增长146%。生态环境保护有效加强。</w:t>
      </w:r>
      <w:r>
        <w:rPr>
          <w:rFonts w:hint="eastAsia" w:ascii="仿宋_GB2312" w:hAnsi="仿宋_GB2312" w:eastAsia="仿宋_GB2312" w:cs="仿宋_GB2312"/>
          <w:color w:val="000000"/>
          <w:sz w:val="32"/>
          <w:szCs w:val="32"/>
          <w:shd w:val="clear" w:color="auto" w:fill="FFFFFF"/>
          <w:lang w:eastAsia="zh-CN"/>
        </w:rPr>
        <w:t>积极开展水污染防治、河道巡查、秸秆禁烧治理专项整治，</w:t>
      </w:r>
      <w:r>
        <w:rPr>
          <w:rFonts w:hint="eastAsia" w:ascii="仿宋_GB2312" w:hAnsi="仿宋_GB2312" w:eastAsia="仿宋_GB2312" w:cs="仿宋_GB2312"/>
          <w:sz w:val="32"/>
          <w:szCs w:val="32"/>
          <w:lang w:val="en-US" w:eastAsia="zh-CN"/>
        </w:rPr>
        <w:t>对辖区内河流进行了巡查400余次</w:t>
      </w:r>
      <w:r>
        <w:rPr>
          <w:rFonts w:hint="eastAsia" w:ascii="仿宋_GB2312" w:hAnsi="仿宋_GB2312" w:eastAsia="仿宋_GB2312" w:cs="仿宋_GB2312"/>
          <w:color w:val="000000"/>
          <w:sz w:val="32"/>
          <w:szCs w:val="32"/>
          <w:shd w:val="clear" w:color="auto" w:fill="FFFFFF"/>
          <w:lang w:val="en-US" w:eastAsia="zh-CN"/>
        </w:rPr>
        <w:t>、发现问题60余个并全部完成整改；</w:t>
      </w:r>
      <w:r>
        <w:rPr>
          <w:rFonts w:hint="eastAsia" w:ascii="仿宋_GB2312" w:hAnsi="仿宋_GB2312" w:eastAsia="仿宋_GB2312" w:cs="仿宋_GB2312"/>
          <w:b w:val="0"/>
          <w:bCs w:val="0"/>
          <w:color w:val="auto"/>
          <w:kern w:val="0"/>
          <w:sz w:val="32"/>
          <w:szCs w:val="32"/>
          <w:lang w:val="en-US" w:eastAsia="zh-CN"/>
        </w:rPr>
        <w:t>全面推进“五清”行动，</w:t>
      </w:r>
      <w:r>
        <w:rPr>
          <w:rFonts w:hint="eastAsia" w:ascii="仿宋_GB2312" w:hAnsi="仿宋_GB2312" w:eastAsia="仿宋_GB2312" w:cs="仿宋_GB2312"/>
          <w:color w:val="auto"/>
          <w:sz w:val="32"/>
          <w:szCs w:val="32"/>
          <w:lang w:eastAsia="zh-CN"/>
        </w:rPr>
        <w:t>清理河道</w:t>
      </w:r>
      <w:r>
        <w:rPr>
          <w:rFonts w:hint="eastAsia" w:ascii="仿宋_GB2312" w:hAnsi="仿宋_GB2312" w:eastAsia="仿宋_GB2312" w:cs="仿宋_GB2312"/>
          <w:color w:val="auto"/>
          <w:sz w:val="32"/>
          <w:szCs w:val="32"/>
          <w:lang w:val="en-US" w:eastAsia="zh-CN"/>
        </w:rPr>
        <w:t>、沟渠、道路500余公里，</w:t>
      </w:r>
      <w:r>
        <w:rPr>
          <w:rFonts w:hint="eastAsia" w:ascii="仿宋_GB2312" w:hAnsi="仿宋_GB2312" w:eastAsia="仿宋_GB2312" w:cs="仿宋_GB2312"/>
          <w:color w:val="auto"/>
          <w:sz w:val="32"/>
          <w:szCs w:val="32"/>
          <w:lang w:eastAsia="zh-CN"/>
        </w:rPr>
        <w:t>清院</w:t>
      </w:r>
      <w:r>
        <w:rPr>
          <w:rFonts w:hint="eastAsia" w:ascii="仿宋_GB2312" w:hAnsi="仿宋_GB2312" w:eastAsia="仿宋_GB2312" w:cs="仿宋_GB2312"/>
          <w:color w:val="auto"/>
          <w:sz w:val="32"/>
          <w:szCs w:val="32"/>
          <w:lang w:val="en-US" w:eastAsia="zh-CN"/>
        </w:rPr>
        <w:t>5267户。</w:t>
      </w:r>
      <w:r>
        <w:rPr>
          <w:rFonts w:hint="eastAsia" w:ascii="仿宋_GB2312" w:hAnsi="仿宋_GB2312" w:eastAsia="仿宋_GB2312" w:cs="仿宋_GB2312"/>
          <w:sz w:val="32"/>
          <w:szCs w:val="32"/>
          <w:lang w:eastAsia="zh-CN"/>
        </w:rPr>
        <w:t>在场镇入口设立“南山</w:t>
      </w:r>
      <w:r>
        <w:rPr>
          <w:rFonts w:hint="eastAsia" w:ascii="仿宋_GB2312" w:hAnsi="仿宋_GB2312" w:eastAsia="仿宋_GB2312" w:cs="仿宋_GB2312"/>
          <w:sz w:val="32"/>
          <w:szCs w:val="32"/>
          <w:lang w:val="en-US" w:eastAsia="zh-CN"/>
        </w:rPr>
        <w:t>·大为镇</w:t>
      </w:r>
      <w:r>
        <w:rPr>
          <w:rFonts w:hint="eastAsia" w:ascii="仿宋_GB2312" w:hAnsi="仿宋_GB2312" w:eastAsia="仿宋_GB2312" w:cs="仿宋_GB2312"/>
          <w:sz w:val="32"/>
          <w:szCs w:val="32"/>
          <w:lang w:eastAsia="zh-CN"/>
        </w:rPr>
        <w:t>”“林家村”地标牌，擦亮镇村新名片；</w:t>
      </w:r>
      <w:r>
        <w:rPr>
          <w:rFonts w:hint="eastAsia" w:ascii="仿宋_GB2312" w:hAnsi="仿宋_GB2312" w:eastAsia="仿宋_GB2312" w:cs="仿宋_GB2312"/>
          <w:sz w:val="32"/>
          <w:szCs w:val="32"/>
        </w:rPr>
        <w:t>新建花台500米、</w:t>
      </w:r>
      <w:r>
        <w:rPr>
          <w:rFonts w:hint="eastAsia" w:ascii="仿宋_GB2312" w:hAnsi="仿宋_GB2312" w:eastAsia="仿宋_GB2312" w:cs="仿宋_GB2312"/>
          <w:sz w:val="32"/>
          <w:szCs w:val="32"/>
          <w:lang w:eastAsia="zh-CN"/>
        </w:rPr>
        <w:t>新增绿化</w:t>
      </w:r>
      <w:r>
        <w:rPr>
          <w:rFonts w:hint="eastAsia" w:ascii="仿宋_GB2312" w:hAnsi="仿宋_GB2312" w:eastAsia="仿宋_GB2312" w:cs="仿宋_GB2312"/>
          <w:sz w:val="32"/>
          <w:szCs w:val="32"/>
          <w:lang w:val="en-US" w:eastAsia="zh-CN"/>
        </w:rPr>
        <w:t>2000平方米、</w:t>
      </w:r>
      <w:r>
        <w:rPr>
          <w:rFonts w:hint="eastAsia" w:ascii="仿宋_GB2312" w:hAnsi="仿宋_GB2312" w:eastAsia="仿宋_GB2312" w:cs="仿宋_GB2312"/>
          <w:sz w:val="32"/>
          <w:szCs w:val="32"/>
        </w:rPr>
        <w:t>栽种花苗20000株，进一步美化乡村环境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城乡治理卓有成效，</w:t>
      </w:r>
      <w:r>
        <w:rPr>
          <w:rFonts w:hint="eastAsia" w:ascii="仿宋_GB2312" w:hAnsi="仿宋_GB2312" w:eastAsia="仿宋_GB2312" w:cs="仿宋_GB2312"/>
          <w:color w:val="000000"/>
          <w:sz w:val="32"/>
          <w:szCs w:val="32"/>
          <w:shd w:val="clear" w:color="auto" w:fill="FFFFFF"/>
        </w:rPr>
        <w:t>楠香村获评“全国民主法治示范村”“四川省第二批乡村治理示范村”</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auto"/>
          <w:lang w:eastAsia="zh-CN"/>
        </w:rPr>
      </w:pPr>
      <w:r>
        <w:rPr>
          <w:rFonts w:hint="eastAsia" w:ascii="黑体" w:hAnsi="黑体" w:eastAsia="黑体" w:cs="黑体"/>
          <w:i w:val="0"/>
          <w:iCs w:val="0"/>
          <w:caps w:val="0"/>
          <w:color w:val="000000"/>
          <w:spacing w:val="0"/>
          <w:sz w:val="32"/>
          <w:szCs w:val="32"/>
          <w:shd w:val="clear" w:color="auto" w:fill="auto"/>
          <w:lang w:eastAsia="zh-CN"/>
        </w:rPr>
        <w:t>三、持之以恒守底线，全面筑牢安全防线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color w:val="auto"/>
          <w:sz w:val="32"/>
          <w:szCs w:val="32"/>
          <w:lang w:val="en-US" w:eastAsia="zh-CN"/>
        </w:rPr>
        <w:t>疫情防控毫不放松。认真落实习近平总书记关于疫情防控重要指示精神，</w:t>
      </w:r>
      <w:r>
        <w:rPr>
          <w:rFonts w:hint="eastAsia" w:ascii="仿宋_GB2312" w:hAnsi="仿宋_GB2312" w:eastAsia="仿宋_GB2312" w:cs="仿宋_GB2312"/>
          <w:b w:val="0"/>
          <w:bCs/>
          <w:color w:val="auto"/>
          <w:sz w:val="32"/>
          <w:szCs w:val="32"/>
          <w:lang w:eastAsia="zh-CN"/>
        </w:rPr>
        <w:t>坚决落实</w:t>
      </w:r>
      <w:r>
        <w:rPr>
          <w:rFonts w:hint="eastAsia" w:ascii="仿宋_GB2312" w:hAnsi="仿宋_GB2312" w:eastAsia="仿宋_GB2312" w:cs="仿宋_GB2312"/>
          <w:b w:val="0"/>
          <w:bCs/>
          <w:color w:val="auto"/>
          <w:sz w:val="32"/>
          <w:szCs w:val="32"/>
          <w:lang w:eastAsia="zh-CN"/>
        </w:rPr>
        <w:fldChar w:fldCharType="begin"/>
      </w:r>
      <w:r>
        <w:rPr>
          <w:rFonts w:hint="eastAsia" w:ascii="仿宋_GB2312" w:hAnsi="仿宋_GB2312" w:eastAsia="仿宋_GB2312" w:cs="仿宋_GB2312"/>
          <w:b w:val="0"/>
          <w:bCs/>
          <w:color w:val="auto"/>
          <w:sz w:val="32"/>
          <w:szCs w:val="32"/>
          <w:lang w:eastAsia="zh-CN"/>
        </w:rPr>
        <w:instrText xml:space="preserve"> HYPERLINK "http://www.wm114.cn/0v/21/index.html" </w:instrText>
      </w:r>
      <w:r>
        <w:rPr>
          <w:rFonts w:hint="eastAsia" w:ascii="仿宋_GB2312" w:hAnsi="仿宋_GB2312" w:eastAsia="仿宋_GB2312" w:cs="仿宋_GB2312"/>
          <w:b w:val="0"/>
          <w:bCs/>
          <w:color w:val="auto"/>
          <w:sz w:val="32"/>
          <w:szCs w:val="32"/>
          <w:lang w:eastAsia="zh-CN"/>
        </w:rPr>
        <w:fldChar w:fldCharType="separate"/>
      </w:r>
      <w:r>
        <w:rPr>
          <w:rFonts w:hint="eastAsia" w:ascii="仿宋_GB2312" w:hAnsi="仿宋_GB2312" w:eastAsia="仿宋_GB2312" w:cs="仿宋_GB2312"/>
          <w:b w:val="0"/>
          <w:bCs/>
          <w:color w:val="auto"/>
          <w:sz w:val="32"/>
          <w:szCs w:val="32"/>
          <w:lang w:eastAsia="zh-CN"/>
        </w:rPr>
        <w:t>疫情</w:t>
      </w:r>
      <w:r>
        <w:rPr>
          <w:rFonts w:hint="eastAsia" w:ascii="仿宋_GB2312" w:hAnsi="仿宋_GB2312" w:eastAsia="仿宋_GB2312" w:cs="仿宋_GB2312"/>
          <w:b w:val="0"/>
          <w:bCs/>
          <w:color w:val="auto"/>
          <w:sz w:val="32"/>
          <w:szCs w:val="32"/>
          <w:lang w:eastAsia="zh-CN"/>
        </w:rPr>
        <w:fldChar w:fldCharType="end"/>
      </w:r>
      <w:r>
        <w:rPr>
          <w:rFonts w:hint="eastAsia" w:ascii="仿宋_GB2312" w:hAnsi="仿宋_GB2312" w:eastAsia="仿宋_GB2312" w:cs="仿宋_GB2312"/>
          <w:b w:val="0"/>
          <w:bCs/>
          <w:color w:val="auto"/>
          <w:sz w:val="32"/>
          <w:szCs w:val="32"/>
          <w:lang w:eastAsia="zh-CN"/>
        </w:rPr>
        <w:t>防控各项措施。</w:t>
      </w:r>
      <w:r>
        <w:rPr>
          <w:rFonts w:hint="eastAsia" w:ascii="仿宋_GB2312" w:hAnsi="仿宋_GB2312" w:eastAsia="仿宋_GB2312" w:cs="仿宋_GB2312"/>
          <w:b w:val="0"/>
          <w:bCs/>
          <w:color w:val="auto"/>
          <w:sz w:val="32"/>
          <w:szCs w:val="32"/>
          <w:lang w:val="en-US" w:eastAsia="zh-CN"/>
        </w:rPr>
        <w:t>完善防控工作方案，做好联防联控，</w:t>
      </w:r>
      <w:r>
        <w:rPr>
          <w:rFonts w:hint="eastAsia" w:ascii="仿宋_GB2312" w:hAnsi="仿宋_GB2312" w:eastAsia="仿宋_GB2312" w:cs="仿宋_GB2312"/>
          <w:b w:val="0"/>
          <w:color w:val="auto"/>
          <w:kern w:val="2"/>
          <w:sz w:val="32"/>
          <w:szCs w:val="32"/>
          <w:lang w:val="en-US" w:eastAsia="zh-CN" w:bidi="ar-SA"/>
        </w:rPr>
        <w:t>出动镇村宣传车30余台，配合村级小广播全天候全覆盖开展疫情防控宣传，累计播放音频信息3000余次，着力</w:t>
      </w:r>
      <w:r>
        <w:rPr>
          <w:rFonts w:hint="eastAsia" w:ascii="仿宋_GB2312" w:hAnsi="仿宋_GB2312" w:eastAsia="仿宋_GB2312" w:cs="仿宋_GB2312"/>
          <w:b w:val="0"/>
          <w:bCs/>
          <w:color w:val="auto"/>
          <w:sz w:val="32"/>
          <w:szCs w:val="32"/>
          <w:lang w:val="en-US" w:eastAsia="zh-CN"/>
        </w:rPr>
        <w:t>提高全民防控意识。</w:t>
      </w:r>
      <w:r>
        <w:rPr>
          <w:rFonts w:hint="eastAsia" w:ascii="仿宋_GB2312" w:hAnsi="仿宋_GB2312" w:eastAsia="仿宋_GB2312" w:cs="仿宋_GB2312"/>
          <w:b w:val="0"/>
          <w:bCs w:val="0"/>
          <w:color w:val="auto"/>
          <w:sz w:val="32"/>
          <w:szCs w:val="32"/>
          <w:lang w:eastAsia="zh-CN"/>
        </w:rPr>
        <w:t>加快构筑全民免疫屏障，疫苗接种任务完成</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color w:val="auto"/>
          <w:kern w:val="2"/>
          <w:sz w:val="32"/>
          <w:szCs w:val="32"/>
          <w:lang w:val="en-US" w:eastAsia="zh-CN" w:bidi="ar-SA"/>
        </w:rPr>
        <w:t>。防灾减灾有力有效。</w:t>
      </w:r>
      <w:r>
        <w:rPr>
          <w:rFonts w:hint="eastAsia" w:ascii="仿宋_GB2312" w:hAnsi="仿宋_GB2312" w:eastAsia="仿宋_GB2312" w:cs="仿宋_GB2312"/>
          <w:color w:val="auto"/>
          <w:sz w:val="32"/>
          <w:szCs w:val="32"/>
        </w:rPr>
        <w:t>坚持把宣传教育作为森林防火工作的第一道防线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向群众宣传</w:t>
      </w:r>
      <w:r>
        <w:rPr>
          <w:rFonts w:hint="eastAsia" w:ascii="仿宋_GB2312" w:hAnsi="仿宋_GB2312" w:eastAsia="仿宋_GB2312" w:cs="仿宋_GB2312"/>
          <w:color w:val="auto"/>
          <w:sz w:val="32"/>
          <w:szCs w:val="32"/>
          <w:lang w:eastAsia="zh-CN"/>
        </w:rPr>
        <w:t>和发放</w:t>
      </w:r>
      <w:r>
        <w:rPr>
          <w:rFonts w:hint="eastAsia" w:ascii="仿宋_GB2312" w:hAnsi="仿宋_GB2312" w:eastAsia="仿宋_GB2312" w:cs="仿宋_GB2312"/>
          <w:color w:val="auto"/>
          <w:sz w:val="32"/>
          <w:szCs w:val="32"/>
        </w:rPr>
        <w:t>森林防</w:t>
      </w:r>
      <w:r>
        <w:rPr>
          <w:rFonts w:hint="eastAsia" w:ascii="仿宋_GB2312" w:hAnsi="仿宋_GB2312" w:eastAsia="仿宋_GB2312" w:cs="仿宋_GB2312"/>
          <w:color w:val="auto"/>
          <w:sz w:val="32"/>
          <w:szCs w:val="32"/>
          <w:lang w:eastAsia="zh-CN"/>
        </w:rPr>
        <w:t>灭</w:t>
      </w:r>
      <w:r>
        <w:rPr>
          <w:rFonts w:hint="eastAsia" w:ascii="仿宋_GB2312" w:hAnsi="仿宋_GB2312" w:eastAsia="仿宋_GB2312" w:cs="仿宋_GB2312"/>
          <w:color w:val="auto"/>
          <w:sz w:val="32"/>
          <w:szCs w:val="32"/>
        </w:rPr>
        <w:t>火</w:t>
      </w:r>
      <w:r>
        <w:rPr>
          <w:rFonts w:hint="eastAsia" w:ascii="仿宋_GB2312" w:hAnsi="仿宋_GB2312" w:eastAsia="仿宋_GB2312" w:cs="仿宋_GB2312"/>
          <w:color w:val="auto"/>
          <w:sz w:val="32"/>
          <w:szCs w:val="32"/>
          <w:lang w:eastAsia="zh-CN"/>
        </w:rPr>
        <w:t>资料</w:t>
      </w:r>
      <w:r>
        <w:rPr>
          <w:rFonts w:hint="eastAsia" w:ascii="仿宋_GB2312" w:hAnsi="仿宋_GB2312" w:eastAsia="仿宋_GB2312" w:cs="仿宋_GB2312"/>
          <w:color w:val="auto"/>
          <w:sz w:val="32"/>
          <w:szCs w:val="32"/>
          <w:lang w:val="en-US" w:eastAsia="zh-CN"/>
        </w:rPr>
        <w:t>5000余份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w:t>
      </w:r>
      <w:r>
        <w:rPr>
          <w:rFonts w:hint="eastAsia" w:ascii="仿宋_GB2312" w:hAnsi="仿宋_GB2312" w:eastAsia="仿宋_GB2312" w:cs="仿宋_GB2312"/>
          <w:color w:val="auto"/>
          <w:sz w:val="32"/>
          <w:szCs w:val="32"/>
          <w:lang w:eastAsia="zh-CN"/>
        </w:rPr>
        <w:t>作安装</w:t>
      </w:r>
      <w:r>
        <w:rPr>
          <w:rFonts w:hint="eastAsia" w:ascii="仿宋_GB2312" w:hAnsi="仿宋_GB2312" w:eastAsia="仿宋_GB2312" w:cs="仿宋_GB2312"/>
          <w:color w:val="auto"/>
          <w:sz w:val="32"/>
          <w:szCs w:val="32"/>
        </w:rPr>
        <w:t>森林防火警示标志标牌</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；专题研究森林防灭火工作</w:t>
      </w:r>
      <w:r>
        <w:rPr>
          <w:rFonts w:hint="eastAsia" w:ascii="仿宋_GB2312" w:hAnsi="仿宋_GB2312" w:eastAsia="仿宋_GB2312" w:cs="仿宋_GB2312"/>
          <w:color w:val="auto"/>
          <w:sz w:val="32"/>
          <w:szCs w:val="32"/>
          <w:lang w:val="en-US" w:eastAsia="zh-CN"/>
        </w:rPr>
        <w:t>7次，</w:t>
      </w:r>
      <w:r>
        <w:rPr>
          <w:rFonts w:hint="eastAsia" w:ascii="仿宋_GB2312" w:hAnsi="仿宋_GB2312" w:eastAsia="仿宋_GB2312" w:cs="仿宋_GB2312"/>
          <w:color w:val="auto"/>
          <w:sz w:val="32"/>
          <w:szCs w:val="32"/>
        </w:rPr>
        <w:t>森林防火期内实行24小时值班制度</w:t>
      </w:r>
      <w:r>
        <w:rPr>
          <w:rFonts w:hint="eastAsia" w:ascii="仿宋_GB2312" w:hAnsi="仿宋_GB2312" w:eastAsia="仿宋_GB2312" w:cs="仿宋_GB2312"/>
          <w:color w:val="auto"/>
          <w:sz w:val="32"/>
          <w:szCs w:val="32"/>
          <w:lang w:eastAsia="zh-CN"/>
        </w:rPr>
        <w:t>，巡山管护率</w:t>
      </w:r>
      <w:r>
        <w:rPr>
          <w:rFonts w:hint="eastAsia" w:ascii="仿宋_GB2312" w:hAnsi="仿宋_GB2312" w:eastAsia="仿宋_GB2312" w:cs="仿宋_GB2312"/>
          <w:color w:val="auto"/>
          <w:sz w:val="32"/>
          <w:szCs w:val="32"/>
          <w:lang w:val="en-US" w:eastAsia="zh-CN"/>
        </w:rPr>
        <w:t>100%。修订防汛预案，组织应急演练，</w:t>
      </w:r>
      <w:r>
        <w:rPr>
          <w:rFonts w:hint="eastAsia" w:ascii="仿宋_GB2312" w:hAnsi="仿宋_GB2312" w:eastAsia="仿宋_GB2312" w:cs="仿宋_GB2312"/>
          <w:b w:val="0"/>
          <w:bCs/>
          <w:color w:val="auto"/>
          <w:sz w:val="32"/>
          <w:szCs w:val="32"/>
          <w:lang w:val="en-US" w:eastAsia="zh-CN"/>
        </w:rPr>
        <w:t>落实防汛“12个100%”；及时发布预警信息，做好转移群众过程中的安全工作和被转移群众安置安抚工作，累计临时转移群众300人次，长期避让5户20人，确保安全度汛。安全生产狠抓不懈。</w:t>
      </w:r>
      <w:r>
        <w:rPr>
          <w:rFonts w:hint="eastAsia" w:ascii="仿宋_GB2312" w:hAnsi="仿宋_GB2312" w:eastAsia="仿宋_GB2312" w:cs="仿宋_GB2312"/>
          <w:color w:val="auto"/>
          <w:sz w:val="32"/>
          <w:szCs w:val="32"/>
          <w:lang w:eastAsia="zh-CN"/>
        </w:rPr>
        <w:t>学习宣传贯彻新《安全生产法》，</w:t>
      </w:r>
      <w:r>
        <w:rPr>
          <w:rFonts w:hint="eastAsia" w:ascii="仿宋_GB2312" w:hAnsi="仿宋_GB2312" w:eastAsia="仿宋_GB2312" w:cs="仿宋_GB2312"/>
          <w:color w:val="auto"/>
          <w:sz w:val="32"/>
          <w:szCs w:val="32"/>
        </w:rPr>
        <w:t>对非煤矿山企业进行经常性检查</w:t>
      </w:r>
      <w:r>
        <w:rPr>
          <w:rFonts w:hint="eastAsia" w:ascii="仿宋_GB2312" w:hAnsi="仿宋_GB2312" w:eastAsia="仿宋_GB2312" w:cs="仿宋_GB2312"/>
          <w:color w:val="auto"/>
          <w:sz w:val="32"/>
          <w:szCs w:val="32"/>
          <w:lang w:val="en-US" w:eastAsia="zh-CN"/>
        </w:rPr>
        <w:t>200余次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并把矿山的安全检查与非煤矿山的依法整治、环保、“双超治理”有机结合，现场</w:t>
      </w:r>
      <w:r>
        <w:rPr>
          <w:rFonts w:hint="eastAsia" w:ascii="仿宋_GB2312" w:hAnsi="仿宋_GB2312" w:eastAsia="仿宋_GB2312" w:cs="仿宋_GB2312"/>
          <w:color w:val="auto"/>
          <w:sz w:val="32"/>
          <w:szCs w:val="32"/>
        </w:rPr>
        <w:t>发出整改指令</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整改。</w:t>
      </w:r>
      <w:r>
        <w:rPr>
          <w:rFonts w:hint="eastAsia" w:ascii="仿宋_GB2312" w:hAnsi="仿宋_GB2312" w:eastAsia="仿宋_GB2312" w:cs="仿宋_GB2312"/>
          <w:color w:val="auto"/>
          <w:sz w:val="32"/>
          <w:szCs w:val="32"/>
          <w:lang w:eastAsia="zh-CN"/>
        </w:rPr>
        <w:t>综合安全巡查</w:t>
      </w:r>
      <w:r>
        <w:rPr>
          <w:rFonts w:hint="eastAsia" w:ascii="仿宋_GB2312" w:hAnsi="仿宋_GB2312" w:eastAsia="仿宋_GB2312" w:cs="仿宋_GB2312"/>
          <w:color w:val="auto"/>
          <w:sz w:val="32"/>
          <w:szCs w:val="32"/>
          <w:lang w:val="en-US" w:eastAsia="zh-CN"/>
        </w:rPr>
        <w:t>50余次，开展“安全生产</w:t>
      </w:r>
      <w:r>
        <w:rPr>
          <w:rFonts w:hint="eastAsia" w:ascii="仿宋_GB2312" w:hAnsi="仿宋_GB2312" w:eastAsia="仿宋_GB2312" w:cs="仿宋_GB2312"/>
          <w:color w:val="auto"/>
          <w:sz w:val="32"/>
          <w:szCs w:val="32"/>
          <w:lang w:eastAsia="zh-CN"/>
        </w:rPr>
        <w:t>有奖竞答”活动</w:t>
      </w:r>
      <w:r>
        <w:rPr>
          <w:rFonts w:hint="eastAsia" w:ascii="仿宋_GB2312" w:hAnsi="仿宋_GB2312" w:eastAsia="仿宋_GB2312" w:cs="仿宋_GB2312"/>
          <w:color w:val="auto"/>
          <w:sz w:val="32"/>
          <w:szCs w:val="32"/>
          <w:lang w:val="en-US" w:eastAsia="zh-CN"/>
        </w:rPr>
        <w:t>4次，发放宣传资料5000余份，提高全民安全意识。</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社会治理有新局面。</w:t>
      </w:r>
      <w:r>
        <w:rPr>
          <w:rFonts w:hint="eastAsia" w:ascii="仿宋_GB2312" w:hAnsi="仿宋_GB2312" w:eastAsia="仿宋_GB2312" w:cs="仿宋_GB2312"/>
          <w:color w:val="000000"/>
          <w:sz w:val="32"/>
          <w:szCs w:val="32"/>
          <w:shd w:val="clear" w:color="auto" w:fill="FFFFFF"/>
          <w:lang w:val="en-US" w:eastAsia="zh-CN"/>
        </w:rPr>
        <w:t>强力推进禁毒防艾，协助公安机关侦破一起大麻种植案。</w:t>
      </w:r>
      <w:r>
        <w:rPr>
          <w:rFonts w:hint="eastAsia" w:ascii="仿宋_GB2312" w:hAnsi="仿宋_GB2312" w:eastAsia="仿宋_GB2312" w:cs="仿宋_GB2312"/>
          <w:color w:val="000000"/>
          <w:sz w:val="32"/>
          <w:szCs w:val="32"/>
          <w:shd w:val="clear" w:color="auto" w:fill="FFFFFF"/>
          <w:lang w:eastAsia="zh-CN"/>
        </w:rPr>
        <w:t>依法妥善处置医疗纠纷</w:t>
      </w:r>
      <w:r>
        <w:rPr>
          <w:rFonts w:hint="eastAsia" w:ascii="仿宋_GB2312" w:hAnsi="仿宋_GB2312" w:eastAsia="仿宋_GB2312" w:cs="仿宋_GB2312"/>
          <w:color w:val="000000"/>
          <w:sz w:val="32"/>
          <w:szCs w:val="32"/>
          <w:shd w:val="clear" w:color="auto" w:fill="FFFFFF"/>
          <w:lang w:val="en-US" w:eastAsia="zh-CN"/>
        </w:rPr>
        <w:t>2起，校园打人事件1起，</w:t>
      </w:r>
      <w:r>
        <w:rPr>
          <w:rFonts w:hint="eastAsia" w:ascii="仿宋_GB2312" w:hAnsi="仿宋_GB2312" w:eastAsia="仿宋_GB2312" w:cs="仿宋_GB2312"/>
          <w:color w:val="000000"/>
          <w:sz w:val="32"/>
          <w:szCs w:val="32"/>
          <w:shd w:val="clear" w:color="auto" w:fill="FFFFFF"/>
        </w:rPr>
        <w:t>加强矛盾纠纷多元化解协调</w:t>
      </w:r>
      <w:r>
        <w:rPr>
          <w:rFonts w:hint="eastAsia" w:ascii="仿宋_GB2312" w:hAnsi="仿宋_GB2312" w:eastAsia="仿宋_GB2312" w:cs="仿宋_GB2312"/>
          <w:color w:val="000000"/>
          <w:sz w:val="32"/>
          <w:szCs w:val="32"/>
          <w:shd w:val="clear" w:color="auto" w:fill="FFFFFF"/>
          <w:lang w:eastAsia="zh-CN"/>
        </w:rPr>
        <w:t>机制</w:t>
      </w:r>
      <w:r>
        <w:rPr>
          <w:rFonts w:hint="eastAsia" w:ascii="仿宋_GB2312" w:hAnsi="仿宋_GB2312" w:eastAsia="仿宋_GB2312" w:cs="仿宋_GB2312"/>
          <w:color w:val="000000"/>
          <w:sz w:val="32"/>
          <w:szCs w:val="32"/>
          <w:shd w:val="clear" w:color="auto" w:fill="FFFFFF"/>
        </w:rPr>
        <w:t>建设</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强化反诈宣传，通过引导群众安装“国家反诈中心”APP及熊猫反诈等，定期推送防诈知识、案例，让群众从思想上引起高度警觉，全镇未发生一起涉诈案件。</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auto"/>
          <w:lang w:eastAsia="zh-CN"/>
        </w:rPr>
      </w:pPr>
      <w:r>
        <w:rPr>
          <w:rFonts w:hint="eastAsia" w:ascii="黑体" w:hAnsi="黑体" w:eastAsia="黑体" w:cs="黑体"/>
          <w:i w:val="0"/>
          <w:iCs w:val="0"/>
          <w:caps w:val="0"/>
          <w:color w:val="000000"/>
          <w:spacing w:val="0"/>
          <w:sz w:val="32"/>
          <w:szCs w:val="32"/>
          <w:shd w:val="clear" w:color="auto" w:fill="auto"/>
          <w:lang w:eastAsia="zh-CN"/>
        </w:rPr>
        <w:t>四、坚定不移保民生，有效增进人民福祉</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auto"/>
          <w:lang w:eastAsia="zh-CN"/>
        </w:rPr>
        <w:t>社会民生保障有力。</w:t>
      </w:r>
      <w:r>
        <w:rPr>
          <w:rFonts w:hint="eastAsia" w:ascii="仿宋_GB2312" w:hAnsi="仿宋_GB2312" w:eastAsia="仿宋_GB2312" w:cs="仿宋_GB2312"/>
          <w:color w:val="auto"/>
          <w:spacing w:val="0"/>
          <w:w w:val="100"/>
          <w:kern w:val="2"/>
          <w:sz w:val="32"/>
          <w:szCs w:val="32"/>
          <w:u w:val="none"/>
          <w:shd w:val="clear" w:color="auto" w:fill="auto"/>
          <w:lang w:val="en-US" w:eastAsia="zh-CN" w:bidi="zh-CN"/>
        </w:rPr>
        <w:t>落实利企便民举措，及时发布就业信息，为15名群众申领失业补助金。</w:t>
      </w:r>
      <w:r>
        <w:rPr>
          <w:rFonts w:hint="eastAsia" w:ascii="仿宋_GB2312" w:hAnsi="仿宋_GB2312" w:eastAsia="仿宋_GB2312" w:cs="仿宋_GB2312"/>
          <w:color w:val="auto"/>
          <w:kern w:val="0"/>
          <w:sz w:val="32"/>
          <w:szCs w:val="32"/>
          <w:u w:val="none"/>
          <w:shd w:val="clear" w:color="auto" w:fill="auto"/>
          <w:lang w:eastAsia="zh-CN"/>
        </w:rPr>
        <w:t>新增农村低保</w:t>
      </w:r>
      <w:r>
        <w:rPr>
          <w:rFonts w:hint="eastAsia" w:ascii="仿宋_GB2312" w:hAnsi="仿宋_GB2312" w:eastAsia="仿宋_GB2312" w:cs="仿宋_GB2312"/>
          <w:color w:val="auto"/>
          <w:kern w:val="0"/>
          <w:sz w:val="32"/>
          <w:szCs w:val="32"/>
          <w:u w:val="none"/>
          <w:shd w:val="clear" w:color="auto" w:fill="auto"/>
          <w:lang w:val="en-US" w:eastAsia="zh-CN"/>
        </w:rPr>
        <w:t>21户37人</w:t>
      </w:r>
      <w:r>
        <w:rPr>
          <w:rFonts w:hint="eastAsia" w:ascii="仿宋_GB2312" w:hAnsi="仿宋_GB2312" w:eastAsia="仿宋_GB2312" w:cs="仿宋_GB2312"/>
          <w:color w:val="auto"/>
          <w:kern w:val="0"/>
          <w:sz w:val="32"/>
          <w:szCs w:val="32"/>
          <w:u w:val="none"/>
          <w:shd w:val="clear" w:color="auto" w:fill="auto"/>
        </w:rPr>
        <w:t>，</w:t>
      </w:r>
      <w:r>
        <w:rPr>
          <w:rFonts w:hint="eastAsia" w:ascii="仿宋_GB2312" w:hAnsi="仿宋_GB2312" w:eastAsia="仿宋_GB2312" w:cs="仿宋_GB2312"/>
          <w:color w:val="auto"/>
          <w:kern w:val="0"/>
          <w:sz w:val="32"/>
          <w:szCs w:val="32"/>
          <w:u w:val="none"/>
          <w:shd w:val="clear" w:color="auto" w:fill="auto"/>
          <w:lang w:eastAsia="zh-CN"/>
        </w:rPr>
        <w:t>医疗救助金</w:t>
      </w:r>
      <w:r>
        <w:rPr>
          <w:rFonts w:hint="eastAsia" w:ascii="仿宋_GB2312" w:hAnsi="仿宋_GB2312" w:eastAsia="仿宋_GB2312" w:cs="仿宋_GB2312"/>
          <w:color w:val="auto"/>
          <w:kern w:val="0"/>
          <w:sz w:val="32"/>
          <w:szCs w:val="32"/>
          <w:u w:val="none"/>
          <w:shd w:val="clear" w:color="auto" w:fill="auto"/>
        </w:rPr>
        <w:t>额共计</w:t>
      </w:r>
      <w:r>
        <w:rPr>
          <w:rFonts w:hint="eastAsia" w:ascii="仿宋_GB2312" w:hAnsi="仿宋_GB2312" w:eastAsia="仿宋_GB2312" w:cs="仿宋_GB2312"/>
          <w:color w:val="auto"/>
          <w:kern w:val="0"/>
          <w:sz w:val="32"/>
          <w:szCs w:val="32"/>
          <w:u w:val="none"/>
          <w:shd w:val="clear" w:color="auto" w:fill="auto"/>
          <w:lang w:val="en-US" w:eastAsia="zh-CN"/>
        </w:rPr>
        <w:t>3.5</w:t>
      </w:r>
      <w:r>
        <w:rPr>
          <w:rFonts w:hint="eastAsia" w:ascii="仿宋_GB2312" w:hAnsi="仿宋_GB2312" w:eastAsia="仿宋_GB2312" w:cs="仿宋_GB2312"/>
          <w:color w:val="auto"/>
          <w:kern w:val="0"/>
          <w:sz w:val="32"/>
          <w:szCs w:val="32"/>
          <w:u w:val="none"/>
          <w:shd w:val="clear" w:color="auto" w:fill="auto"/>
        </w:rPr>
        <w:t>万元</w:t>
      </w:r>
      <w:r>
        <w:rPr>
          <w:rFonts w:hint="eastAsia" w:ascii="仿宋_GB2312" w:hAnsi="仿宋_GB2312" w:eastAsia="仿宋_GB2312" w:cs="仿宋_GB2312"/>
          <w:color w:val="auto"/>
          <w:kern w:val="0"/>
          <w:sz w:val="32"/>
          <w:szCs w:val="32"/>
          <w:u w:val="none"/>
          <w:shd w:val="clear" w:color="auto" w:fill="auto"/>
          <w:lang w:eastAsia="zh-CN"/>
        </w:rPr>
        <w:t>，</w:t>
      </w:r>
      <w:r>
        <w:rPr>
          <w:rFonts w:hint="eastAsia" w:ascii="仿宋_GB2312" w:hAnsi="仿宋_GB2312" w:eastAsia="仿宋_GB2312" w:cs="仿宋_GB2312"/>
          <w:color w:val="auto"/>
          <w:kern w:val="0"/>
          <w:sz w:val="32"/>
          <w:szCs w:val="32"/>
          <w:u w:val="none"/>
          <w:shd w:val="clear" w:color="auto" w:fill="auto"/>
          <w:lang w:val="en-US" w:eastAsia="zh-CN"/>
        </w:rPr>
        <w:t>为</w:t>
      </w:r>
      <w:r>
        <w:rPr>
          <w:rFonts w:hint="eastAsia" w:ascii="仿宋_GB2312" w:hAnsi="仿宋_GB2312" w:eastAsia="仿宋_GB2312" w:cs="仿宋_GB2312"/>
          <w:color w:val="auto"/>
          <w:kern w:val="0"/>
          <w:sz w:val="32"/>
          <w:szCs w:val="32"/>
          <w:u w:val="none"/>
          <w:shd w:val="clear" w:color="auto" w:fill="auto"/>
        </w:rPr>
        <w:t xml:space="preserve">困难群众实施临时困难救助共计 </w:t>
      </w:r>
      <w:r>
        <w:rPr>
          <w:rFonts w:hint="eastAsia" w:ascii="仿宋_GB2312" w:hAnsi="仿宋_GB2312" w:eastAsia="仿宋_GB2312" w:cs="仿宋_GB2312"/>
          <w:color w:val="auto"/>
          <w:kern w:val="0"/>
          <w:sz w:val="32"/>
          <w:szCs w:val="32"/>
          <w:u w:val="none"/>
          <w:shd w:val="clear" w:color="auto" w:fill="auto"/>
          <w:lang w:val="en-US" w:eastAsia="zh-CN"/>
        </w:rPr>
        <w:t>1.98</w:t>
      </w:r>
      <w:r>
        <w:rPr>
          <w:rFonts w:hint="eastAsia" w:ascii="仿宋_GB2312" w:hAnsi="仿宋_GB2312" w:eastAsia="仿宋_GB2312" w:cs="仿宋_GB2312"/>
          <w:color w:val="auto"/>
          <w:kern w:val="0"/>
          <w:sz w:val="32"/>
          <w:szCs w:val="32"/>
          <w:u w:val="none"/>
          <w:shd w:val="clear" w:color="auto" w:fill="auto"/>
        </w:rPr>
        <w:t xml:space="preserve"> 万元</w:t>
      </w:r>
      <w:r>
        <w:rPr>
          <w:rFonts w:hint="eastAsia" w:ascii="仿宋_GB2312" w:hAnsi="仿宋_GB2312" w:eastAsia="仿宋_GB2312" w:cs="仿宋_GB2312"/>
          <w:color w:val="auto"/>
          <w:kern w:val="0"/>
          <w:sz w:val="32"/>
          <w:szCs w:val="32"/>
          <w:u w:val="none"/>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做好</w:t>
      </w:r>
      <w:r>
        <w:rPr>
          <w:rFonts w:hint="eastAsia" w:ascii="仿宋_GB2312" w:hAnsi="仿宋_GB2312" w:eastAsia="仿宋_GB2312" w:cs="仿宋_GB2312"/>
          <w:color w:val="auto"/>
          <w:kern w:val="0"/>
          <w:sz w:val="32"/>
          <w:szCs w:val="32"/>
          <w:shd w:val="clear" w:color="auto" w:fill="auto"/>
          <w:lang w:val="en-US" w:eastAsia="zh-CN"/>
        </w:rPr>
        <w:t>居民基本医疗保险参保</w:t>
      </w:r>
      <w:r>
        <w:rPr>
          <w:rFonts w:hint="eastAsia" w:ascii="仿宋_GB2312" w:hAnsi="仿宋_GB2312" w:eastAsia="仿宋_GB2312" w:cs="仿宋_GB2312"/>
          <w:color w:val="000000"/>
          <w:sz w:val="32"/>
          <w:szCs w:val="32"/>
          <w:shd w:val="clear" w:color="auto" w:fill="auto"/>
          <w:lang w:val="en-US" w:eastAsia="zh-CN"/>
        </w:rPr>
        <w:t>宣传引</w:t>
      </w:r>
      <w:r>
        <w:rPr>
          <w:rFonts w:hint="eastAsia" w:ascii="仿宋_GB2312" w:hAnsi="仿宋_GB2312" w:eastAsia="仿宋_GB2312" w:cs="仿宋_GB2312"/>
          <w:color w:val="000000"/>
          <w:sz w:val="32"/>
          <w:szCs w:val="32"/>
          <w:u w:val="none"/>
          <w:shd w:val="clear" w:color="auto" w:fill="auto"/>
          <w:lang w:val="en-US" w:eastAsia="zh-CN"/>
        </w:rPr>
        <w:t>导，应保尽保，居民基本医疗保险人数8193人，参保率98.9%。</w:t>
      </w:r>
      <w:r>
        <w:rPr>
          <w:rFonts w:hint="eastAsia" w:ascii="仿宋_GB2312" w:hAnsi="仿宋_GB2312" w:eastAsia="仿宋_GB2312" w:cs="仿宋_GB2312"/>
          <w:i w:val="0"/>
          <w:iCs w:val="0"/>
          <w:caps w:val="0"/>
          <w:color w:val="000000"/>
          <w:spacing w:val="0"/>
          <w:sz w:val="32"/>
          <w:szCs w:val="32"/>
          <w:shd w:val="clear" w:color="auto" w:fill="auto"/>
          <w:lang w:eastAsia="zh-CN"/>
        </w:rPr>
        <w:t>教育事业不断提升。</w:t>
      </w:r>
      <w:r>
        <w:rPr>
          <w:rFonts w:hint="eastAsia" w:ascii="仿宋_GB2312" w:hAnsi="仿宋_GB2312" w:eastAsia="仿宋_GB2312" w:cs="仿宋_GB2312"/>
          <w:sz w:val="32"/>
          <w:szCs w:val="32"/>
          <w:shd w:val="clear" w:color="auto" w:fill="auto"/>
          <w:lang w:val="en-US" w:eastAsia="zh-CN"/>
        </w:rPr>
        <w:t>完成“中学合并、小学提升”工程、新办一所幼儿园，</w:t>
      </w:r>
      <w:r>
        <w:rPr>
          <w:rFonts w:hint="eastAsia" w:ascii="仿宋_GB2312" w:hAnsi="仿宋_GB2312" w:eastAsia="仿宋_GB2312" w:cs="仿宋_GB2312"/>
          <w:sz w:val="32"/>
          <w:szCs w:val="32"/>
          <w:shd w:val="clear" w:color="auto" w:fill="auto"/>
        </w:rPr>
        <w:t>切实做好“控辍保学”工作，</w:t>
      </w:r>
      <w:r>
        <w:rPr>
          <w:rFonts w:hint="eastAsia" w:ascii="仿宋_GB2312" w:hAnsi="仿宋_GB2312" w:eastAsia="仿宋_GB2312" w:cs="仿宋_GB2312"/>
          <w:sz w:val="32"/>
          <w:szCs w:val="32"/>
          <w:shd w:val="clear" w:color="auto" w:fill="auto"/>
          <w:lang w:eastAsia="zh-CN"/>
        </w:rPr>
        <w:t>劝返学生</w:t>
      </w:r>
      <w:r>
        <w:rPr>
          <w:rFonts w:hint="eastAsia" w:ascii="仿宋_GB2312" w:hAnsi="仿宋_GB2312" w:eastAsia="仿宋_GB2312" w:cs="仿宋_GB2312"/>
          <w:sz w:val="32"/>
          <w:szCs w:val="32"/>
          <w:shd w:val="clear" w:color="auto" w:fill="auto"/>
          <w:lang w:val="en-US" w:eastAsia="zh-CN"/>
        </w:rPr>
        <w:t>5人，3—5岁幼儿入园率100%</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关心支持学校发展</w:t>
      </w:r>
      <w:r>
        <w:rPr>
          <w:rFonts w:hint="eastAsia" w:ascii="仿宋_GB2312" w:hAnsi="仿宋_GB2312" w:eastAsia="仿宋_GB2312" w:cs="仿宋_GB2312"/>
          <w:sz w:val="32"/>
          <w:szCs w:val="32"/>
          <w:shd w:val="clear" w:color="auto" w:fill="auto"/>
          <w:lang w:eastAsia="zh-CN"/>
        </w:rPr>
        <w:t>，表彰优秀教师</w:t>
      </w:r>
      <w:r>
        <w:rPr>
          <w:rFonts w:hint="eastAsia" w:ascii="仿宋_GB2312" w:hAnsi="仿宋_GB2312" w:eastAsia="仿宋_GB2312" w:cs="仿宋_GB2312"/>
          <w:sz w:val="32"/>
          <w:szCs w:val="32"/>
          <w:shd w:val="clear" w:color="auto" w:fill="auto"/>
          <w:lang w:val="en-US" w:eastAsia="zh-CN"/>
        </w:rPr>
        <w:t>5名，积极牵线搭桥，爱心团队开展捐资助学3次21万元，用于改善学校办学条件和帮扶贫困学生。农业产业稳步发展。做好“高山”“高优”两篇“绿色文章”，</w:t>
      </w:r>
      <w:r>
        <w:rPr>
          <w:rFonts w:hint="eastAsia" w:ascii="仿宋_GB2312" w:hAnsi="仿宋_GB2312" w:eastAsia="仿宋_GB2312" w:cs="仿宋_GB2312"/>
          <w:i w:val="0"/>
          <w:caps w:val="0"/>
          <w:color w:val="191919"/>
          <w:spacing w:val="0"/>
          <w:sz w:val="32"/>
          <w:szCs w:val="32"/>
          <w:shd w:val="clear" w:color="auto" w:fill="auto"/>
          <w:lang w:eastAsia="zh-CN"/>
        </w:rPr>
        <w:t>全镇高山蔬菜达</w:t>
      </w:r>
      <w:r>
        <w:rPr>
          <w:rFonts w:hint="eastAsia" w:ascii="仿宋_GB2312" w:hAnsi="仿宋_GB2312" w:eastAsia="仿宋_GB2312" w:cs="仿宋_GB2312"/>
          <w:i w:val="0"/>
          <w:caps w:val="0"/>
          <w:color w:val="191919"/>
          <w:spacing w:val="0"/>
          <w:sz w:val="32"/>
          <w:szCs w:val="32"/>
          <w:shd w:val="clear" w:color="auto" w:fill="auto"/>
          <w:lang w:val="en-US" w:eastAsia="zh-CN"/>
        </w:rPr>
        <w:t>18000亩，</w:t>
      </w:r>
      <w:r>
        <w:rPr>
          <w:rFonts w:hint="eastAsia" w:ascii="仿宋_GB2312" w:hAnsi="仿宋_GB2312" w:eastAsia="仿宋_GB2312" w:cs="仿宋_GB2312"/>
          <w:sz w:val="32"/>
          <w:szCs w:val="32"/>
          <w:shd w:val="clear" w:color="auto" w:fill="auto"/>
          <w:lang w:val="en-US" w:eastAsia="zh-CN"/>
        </w:rPr>
        <w:t>楠香村</w:t>
      </w:r>
      <w:r>
        <w:rPr>
          <w:rFonts w:hint="eastAsia" w:ascii="仿宋_GB2312" w:hAnsi="仿宋_GB2312" w:eastAsia="仿宋_GB2312" w:cs="仿宋_GB2312"/>
          <w:b w:val="0"/>
          <w:bCs w:val="0"/>
          <w:i w:val="0"/>
          <w:caps w:val="0"/>
          <w:color w:val="191919"/>
          <w:spacing w:val="0"/>
          <w:sz w:val="32"/>
          <w:szCs w:val="32"/>
          <w:shd w:val="clear" w:color="auto" w:fill="auto"/>
          <w:lang w:eastAsia="zh-CN"/>
        </w:rPr>
        <w:t>接轨高端农业发展模式，注册“南山蓝”有机蔬菜品牌，</w:t>
      </w:r>
      <w:r>
        <w:rPr>
          <w:rFonts w:hint="eastAsia" w:ascii="仿宋_GB2312" w:hAnsi="仿宋_GB2312" w:eastAsia="仿宋_GB2312" w:cs="仿宋_GB2312"/>
          <w:i w:val="0"/>
          <w:caps w:val="0"/>
          <w:color w:val="191919"/>
          <w:spacing w:val="0"/>
          <w:sz w:val="32"/>
          <w:szCs w:val="32"/>
          <w:shd w:val="clear" w:color="auto" w:fill="auto"/>
          <w:lang w:val="en-US" w:eastAsia="zh-CN"/>
        </w:rPr>
        <w:t>引领</w:t>
      </w:r>
      <w:r>
        <w:rPr>
          <w:rFonts w:hint="eastAsia" w:ascii="仿宋_GB2312" w:hAnsi="仿宋_GB2312" w:eastAsia="仿宋_GB2312" w:cs="仿宋_GB2312"/>
          <w:i w:val="0"/>
          <w:caps w:val="0"/>
          <w:color w:val="191919"/>
          <w:spacing w:val="0"/>
          <w:sz w:val="32"/>
          <w:szCs w:val="32"/>
          <w:shd w:val="clear" w:color="auto" w:fill="auto"/>
          <w:lang w:eastAsia="zh-CN"/>
        </w:rPr>
        <w:t>发展“订单农业”。</w:t>
      </w:r>
      <w:r>
        <w:rPr>
          <w:rFonts w:hint="eastAsia" w:ascii="仿宋_GB2312" w:hAnsi="仿宋_GB2312" w:eastAsia="仿宋_GB2312" w:cs="仿宋_GB2312"/>
          <w:color w:val="auto"/>
          <w:sz w:val="32"/>
          <w:szCs w:val="32"/>
          <w:shd w:val="clear" w:color="auto" w:fill="auto"/>
        </w:rPr>
        <w:t>以集中培训和现场培训为主，为多个农业生产基地提供科技服务，受益农民达</w:t>
      </w:r>
      <w:r>
        <w:rPr>
          <w:rFonts w:hint="eastAsia" w:ascii="仿宋_GB2312" w:hAnsi="仿宋_GB2312" w:eastAsia="仿宋_GB2312" w:cs="仿宋_GB2312"/>
          <w:color w:val="auto"/>
          <w:sz w:val="32"/>
          <w:szCs w:val="32"/>
          <w:shd w:val="clear" w:color="auto" w:fill="auto"/>
          <w:lang w:val="en-US" w:eastAsia="zh-CN"/>
        </w:rPr>
        <w:t>4000</w:t>
      </w:r>
      <w:r>
        <w:rPr>
          <w:rFonts w:hint="eastAsia" w:ascii="仿宋_GB2312" w:hAnsi="仿宋_GB2312" w:eastAsia="仿宋_GB2312" w:cs="仿宋_GB2312"/>
          <w:color w:val="auto"/>
          <w:sz w:val="32"/>
          <w:szCs w:val="32"/>
          <w:shd w:val="clear" w:color="auto" w:fill="auto"/>
        </w:rPr>
        <w:t>多人次。</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color="auto" w:fill="auto"/>
          <w:lang w:eastAsia="zh-CN"/>
        </w:rPr>
      </w:pPr>
      <w:r>
        <w:rPr>
          <w:rFonts w:hint="eastAsia" w:ascii="黑体" w:hAnsi="黑体" w:eastAsia="黑体" w:cs="黑体"/>
          <w:i w:val="0"/>
          <w:iCs w:val="0"/>
          <w:caps w:val="0"/>
          <w:color w:val="000000"/>
          <w:spacing w:val="0"/>
          <w:sz w:val="32"/>
          <w:szCs w:val="32"/>
          <w:shd w:val="clear" w:color="auto" w:fill="auto"/>
          <w:lang w:eastAsia="zh-CN"/>
        </w:rPr>
        <w:t>五、</w:t>
      </w:r>
      <w:r>
        <w:rPr>
          <w:rFonts w:hint="eastAsia" w:ascii="黑体" w:hAnsi="黑体" w:eastAsia="黑体" w:cs="黑体"/>
          <w:i w:val="0"/>
          <w:iCs w:val="0"/>
          <w:caps w:val="0"/>
          <w:color w:val="000000"/>
          <w:spacing w:val="0"/>
          <w:sz w:val="32"/>
          <w:szCs w:val="32"/>
          <w:shd w:val="clear" w:color="auto" w:fill="auto"/>
        </w:rPr>
        <w:t>强化作风优环境，不断</w:t>
      </w:r>
      <w:r>
        <w:rPr>
          <w:rFonts w:hint="eastAsia" w:ascii="黑体" w:hAnsi="黑体" w:eastAsia="黑体" w:cs="黑体"/>
          <w:i w:val="0"/>
          <w:iCs w:val="0"/>
          <w:caps w:val="0"/>
          <w:color w:val="000000"/>
          <w:spacing w:val="0"/>
          <w:sz w:val="32"/>
          <w:szCs w:val="32"/>
          <w:shd w:val="clear" w:color="auto" w:fill="auto"/>
          <w:lang w:eastAsia="zh-CN"/>
        </w:rPr>
        <w:t>加强自身建设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落实党风廉政建设主体责任和监督责任，开展镇、村干部集中谈心谈话4次。通报违纪违法案例10余次，组织观看《警钟长鸣》《扫黑除恶》等警示教育片3次，推动党员干部汲取违纪违法典型案例教训。</w:t>
      </w:r>
      <w:r>
        <w:rPr>
          <w:rFonts w:hint="eastAsia" w:ascii="仿宋_GB2312" w:hAnsi="仿宋_GB2312" w:eastAsia="仿宋_GB2312" w:cs="仿宋_GB2312"/>
          <w:color w:val="000000"/>
          <w:sz w:val="32"/>
          <w:szCs w:val="32"/>
          <w:shd w:val="clear" w:color="auto" w:fill="FFFFFF"/>
        </w:rPr>
        <w:t>通过作风整顿、内控监督，强化纪律和规矩意识，确保干部队伍</w:t>
      </w:r>
      <w:r>
        <w:rPr>
          <w:rFonts w:hint="eastAsia" w:ascii="仿宋_GB2312" w:hAnsi="仿宋_GB2312" w:eastAsia="仿宋_GB2312" w:cs="仿宋_GB2312"/>
          <w:color w:val="000000"/>
          <w:sz w:val="32"/>
          <w:szCs w:val="32"/>
          <w:shd w:val="clear" w:color="auto" w:fill="FFFFFF"/>
          <w:lang w:val="en-US" w:eastAsia="zh-CN"/>
        </w:rPr>
        <w:t>作风不断改善。</w:t>
      </w:r>
      <w:r>
        <w:rPr>
          <w:rFonts w:hint="eastAsia" w:ascii="仿宋_GB2312" w:hAnsi="仿宋_GB2312" w:eastAsia="仿宋_GB2312" w:cs="仿宋_GB2312"/>
          <w:color w:val="auto"/>
          <w:sz w:val="32"/>
          <w:szCs w:val="32"/>
          <w:lang w:val="en-US" w:eastAsia="zh-CN"/>
        </w:rPr>
        <w:t>结合党史学习教育“我为群众办实事”，持续抓好“大走访大服务”走进群众专项行动。</w:t>
      </w:r>
      <w:r>
        <w:rPr>
          <w:rFonts w:hint="eastAsia" w:ascii="仿宋_GB2312" w:hAnsi="仿宋_GB2312" w:eastAsia="仿宋_GB2312" w:cs="仿宋_GB2312"/>
          <w:color w:val="000000"/>
          <w:sz w:val="32"/>
          <w:szCs w:val="32"/>
          <w:shd w:val="clear" w:color="auto" w:fill="FFFFFF"/>
          <w:lang w:val="en-US" w:eastAsia="zh-CN"/>
        </w:rPr>
        <w:t>广泛收集群众反映的老大难问题，共计为民办实事157件；</w:t>
      </w:r>
      <w:r>
        <w:rPr>
          <w:rFonts w:hint="eastAsia" w:ascii="仿宋_GB2312" w:hAnsi="仿宋_GB2312" w:eastAsia="仿宋_GB2312" w:cs="仿宋_GB2312"/>
          <w:color w:val="000000"/>
          <w:sz w:val="32"/>
          <w:szCs w:val="32"/>
          <w:shd w:val="clear" w:color="auto" w:fill="FFFFFF"/>
        </w:rPr>
        <w:t>设立“城区便民服务</w:t>
      </w:r>
      <w:r>
        <w:rPr>
          <w:rFonts w:hint="eastAsia" w:ascii="仿宋_GB2312" w:hAnsi="仿宋_GB2312" w:eastAsia="仿宋_GB2312" w:cs="仿宋_GB2312"/>
          <w:color w:val="000000"/>
          <w:sz w:val="32"/>
          <w:szCs w:val="32"/>
          <w:shd w:val="clear" w:color="auto" w:fill="FFFFFF"/>
          <w:lang w:val="en-US" w:eastAsia="zh-CN"/>
        </w:rPr>
        <w:t>代办站</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列出</w:t>
      </w:r>
      <w:r>
        <w:rPr>
          <w:rFonts w:hint="eastAsia" w:ascii="仿宋_GB2312" w:hAnsi="仿宋_GB2312" w:eastAsia="仿宋_GB2312" w:cs="仿宋_GB2312"/>
          <w:color w:val="000000"/>
          <w:sz w:val="32"/>
          <w:szCs w:val="32"/>
          <w:shd w:val="clear" w:color="auto" w:fill="FFFFFF"/>
          <w:lang w:val="en-US" w:eastAsia="zh-CN"/>
        </w:rPr>
        <w:t>代</w:t>
      </w:r>
      <w:r>
        <w:rPr>
          <w:rFonts w:hint="eastAsia" w:ascii="仿宋_GB2312" w:hAnsi="仿宋_GB2312" w:eastAsia="仿宋_GB2312" w:cs="仿宋_GB2312"/>
          <w:color w:val="000000"/>
          <w:sz w:val="32"/>
          <w:szCs w:val="32"/>
          <w:shd w:val="clear" w:color="auto" w:fill="FFFFFF"/>
        </w:rPr>
        <w:t>办事项25项，解决</w:t>
      </w:r>
      <w:r>
        <w:rPr>
          <w:rFonts w:hint="eastAsia" w:ascii="仿宋_GB2312" w:hAnsi="仿宋_GB2312" w:eastAsia="仿宋_GB2312" w:cs="仿宋_GB2312"/>
          <w:color w:val="000000"/>
          <w:sz w:val="32"/>
          <w:szCs w:val="32"/>
          <w:shd w:val="clear" w:color="auto" w:fill="FFFFFF"/>
          <w:lang w:val="en-US" w:eastAsia="zh-CN"/>
        </w:rPr>
        <w:t>进城居住群众</w:t>
      </w:r>
      <w:r>
        <w:rPr>
          <w:rFonts w:hint="eastAsia" w:ascii="仿宋_GB2312" w:hAnsi="仿宋_GB2312" w:eastAsia="仿宋_GB2312" w:cs="仿宋_GB2312"/>
          <w:color w:val="000000"/>
          <w:sz w:val="32"/>
          <w:szCs w:val="32"/>
          <w:shd w:val="clear" w:color="auto" w:fill="FFFFFF"/>
        </w:rPr>
        <w:t>“回乡”办事不方便的问题，</w:t>
      </w:r>
      <w:r>
        <w:rPr>
          <w:rFonts w:hint="eastAsia" w:ascii="仿宋_GB2312" w:hAnsi="仿宋_GB2312" w:eastAsia="仿宋_GB2312" w:cs="仿宋_GB2312"/>
          <w:color w:val="000000"/>
          <w:sz w:val="32"/>
          <w:szCs w:val="32"/>
          <w:shd w:val="clear" w:color="auto" w:fill="FFFFFF"/>
          <w:lang w:val="en-US" w:eastAsia="zh-CN"/>
        </w:rPr>
        <w:t>做到</w:t>
      </w:r>
      <w:r>
        <w:rPr>
          <w:rFonts w:hint="eastAsia" w:ascii="仿宋_GB2312" w:hAnsi="仿宋_GB2312" w:eastAsia="仿宋_GB2312" w:cs="仿宋_GB2312"/>
          <w:color w:val="000000"/>
          <w:sz w:val="32"/>
          <w:szCs w:val="32"/>
          <w:shd w:val="clear" w:color="auto" w:fill="FFFFFF"/>
        </w:rPr>
        <w:t>“有事不回乡，离乡不离心”。</w:t>
      </w:r>
      <w:r>
        <w:rPr>
          <w:rFonts w:hint="eastAsia" w:ascii="仿宋_GB2312" w:hAnsi="仿宋_GB2312" w:eastAsia="仿宋_GB2312" w:cs="仿宋_GB2312"/>
          <w:color w:val="auto"/>
          <w:sz w:val="32"/>
          <w:szCs w:val="32"/>
          <w:lang w:val="en-US" w:eastAsia="zh-CN"/>
        </w:rPr>
        <w:t>建立“干部+群众”服务机制，印制4000余份大为镇心连心服务卡，畅通诉求反映渠道，共走访群众700余户，收集民情200余件，民情办结率100%，</w:t>
      </w:r>
      <w:r>
        <w:rPr>
          <w:rFonts w:hint="eastAsia" w:ascii="仿宋_GB2312" w:hAnsi="仿宋_GB2312" w:eastAsia="仿宋_GB2312" w:cs="仿宋_GB2312"/>
          <w:sz w:val="32"/>
          <w:szCs w:val="32"/>
          <w:lang w:val="en-US" w:eastAsia="zh-CN"/>
        </w:rPr>
        <w:t>纾难解困群众308名17.2万元。</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numPr>
          <w:ilvl w:val="0"/>
          <w:numId w:val="0"/>
        </w:numPr>
        <w:snapToGrid w:val="0"/>
        <w:spacing w:line="520" w:lineRule="exact"/>
        <w:ind w:firstLine="640" w:firstLineChars="200"/>
        <w:rPr>
          <w:rFonts w:hint="eastAsia" w:ascii="仿宋_GB2312" w:hAnsi="黑体" w:eastAsia="仿宋_GB2312"/>
          <w:b w:val="0"/>
          <w:bCs/>
          <w:sz w:val="32"/>
          <w:szCs w:val="32"/>
        </w:rPr>
      </w:pPr>
      <w:r>
        <w:rPr>
          <w:rFonts w:hint="eastAsia" w:ascii="仿宋_GB2312" w:hAnsi="黑体" w:eastAsia="仿宋_GB2312"/>
          <w:b w:val="0"/>
          <w:bCs/>
          <w:sz w:val="32"/>
          <w:szCs w:val="32"/>
        </w:rPr>
        <w:t>我镇设置</w:t>
      </w:r>
      <w:r>
        <w:rPr>
          <w:rFonts w:hint="eastAsia" w:ascii="仿宋_GB2312" w:hAnsi="黑体" w:eastAsia="仿宋_GB2312"/>
          <w:b w:val="0"/>
          <w:bCs/>
          <w:sz w:val="32"/>
          <w:szCs w:val="32"/>
          <w:lang w:val="en-US" w:eastAsia="zh-CN"/>
        </w:rPr>
        <w:t>1</w:t>
      </w:r>
      <w:r>
        <w:rPr>
          <w:rFonts w:hint="eastAsia" w:ascii="仿宋_GB2312" w:hAnsi="黑体" w:eastAsia="仿宋_GB2312"/>
          <w:b w:val="0"/>
          <w:bCs/>
          <w:sz w:val="32"/>
          <w:szCs w:val="32"/>
        </w:rPr>
        <w:t>个行政机关，</w:t>
      </w:r>
      <w:r>
        <w:rPr>
          <w:rFonts w:hint="eastAsia" w:ascii="仿宋_GB2312" w:hAnsi="黑体" w:eastAsia="仿宋_GB2312"/>
          <w:b w:val="0"/>
          <w:bCs/>
          <w:sz w:val="32"/>
          <w:szCs w:val="32"/>
          <w:lang w:val="en-US" w:eastAsia="zh-CN"/>
        </w:rPr>
        <w:t>4</w:t>
      </w:r>
      <w:r>
        <w:rPr>
          <w:rFonts w:hint="eastAsia" w:ascii="仿宋_GB2312" w:hAnsi="黑体" w:eastAsia="仿宋_GB2312"/>
          <w:b w:val="0"/>
          <w:bCs/>
          <w:sz w:val="32"/>
          <w:szCs w:val="32"/>
        </w:rPr>
        <w:t>个事业部门</w:t>
      </w:r>
      <w:r>
        <w:rPr>
          <w:rFonts w:hint="eastAsia" w:ascii="仿宋_GB2312" w:hAnsi="黑体" w:eastAsia="仿宋_GB2312"/>
          <w:b w:val="0"/>
          <w:bCs/>
          <w:sz w:val="32"/>
          <w:szCs w:val="32"/>
          <w:lang w:eastAsia="zh-CN"/>
        </w:rPr>
        <w:t>：便民服务中心（退役军人服务站）、农业综合服务中心、文化旅游服务中心、农民工服务中心</w:t>
      </w:r>
      <w:r>
        <w:rPr>
          <w:rFonts w:hint="eastAsia" w:ascii="仿宋_GB2312" w:hAnsi="黑体" w:eastAsia="仿宋_GB2312"/>
          <w:b w:val="0"/>
          <w:bCs/>
          <w:sz w:val="32"/>
          <w:szCs w:val="32"/>
        </w:rPr>
        <w:t>。</w:t>
      </w:r>
    </w:p>
    <w:p>
      <w:pPr>
        <w:widowControl/>
        <w:jc w:val="left"/>
      </w:pPr>
      <w:r>
        <w:rPr>
          <w:rFonts w:ascii="仿宋" w:hAnsi="仿宋" w:eastAsia="仿宋"/>
          <w:sz w:val="32"/>
          <w:szCs w:val="32"/>
        </w:rPr>
        <w:br w:type="page"/>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96602"/>
      <w:bookmarkStart w:id="23" w:name="_Toc15377204"/>
      <w:r>
        <w:rPr>
          <w:rFonts w:hint="eastAsia" w:ascii="方正小标宋_GBK" w:hAnsi="方正小标宋_GBK" w:eastAsia="方正小标宋_GBK" w:cs="方正小标宋_GBK"/>
          <w:b w:val="0"/>
          <w:bCs w:val="0"/>
          <w:sz w:val="44"/>
          <w:szCs w:val="44"/>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1369.78</w:t>
      </w:r>
      <w:r>
        <w:rPr>
          <w:rFonts w:hint="eastAsia" w:ascii="仿宋_GB2312" w:hAnsi="仿宋_GB2312" w:eastAsia="仿宋_GB2312" w:cs="仿宋_GB2312"/>
          <w:sz w:val="32"/>
          <w:szCs w:val="32"/>
        </w:rPr>
        <w:t>万元。与2020年相比，收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总计各减少</w:t>
      </w:r>
      <w:r>
        <w:rPr>
          <w:rFonts w:hint="eastAsia" w:ascii="仿宋_GB2312" w:hAnsi="仿宋_GB2312" w:eastAsia="仿宋_GB2312" w:cs="仿宋_GB2312"/>
          <w:sz w:val="32"/>
          <w:szCs w:val="32"/>
          <w:lang w:val="en-US" w:eastAsia="zh-CN"/>
        </w:rPr>
        <w:t>1141.36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45.45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减少峨汉高速项目拆迁、峨胜石膏项目等相关经费以及会计做账规范化将不属于收入的经费进行账务区分。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021年度支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1429.66</w:t>
      </w:r>
      <w:r>
        <w:rPr>
          <w:rFonts w:hint="eastAsia" w:ascii="仿宋_GB2312" w:hAnsi="仿宋_GB2312" w:eastAsia="仿宋_GB2312" w:cs="仿宋_GB2312"/>
          <w:sz w:val="32"/>
          <w:szCs w:val="32"/>
        </w:rPr>
        <w:t>万元。与2020年相比，支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总计减少</w:t>
      </w:r>
      <w:r>
        <w:rPr>
          <w:rFonts w:hint="eastAsia" w:ascii="仿宋_GB2312" w:hAnsi="仿宋_GB2312" w:eastAsia="仿宋_GB2312" w:cs="仿宋_GB2312"/>
          <w:sz w:val="32"/>
          <w:szCs w:val="32"/>
          <w:lang w:val="en-US" w:eastAsia="zh-CN"/>
        </w:rPr>
        <w:t>1286.4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47.36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减少峨汉高速项目拆迁、峨胜石膏项目等相关经费以及会计做账规范化将不属于费用的经费进行账务区分。</w:t>
      </w:r>
    </w:p>
    <w:p>
      <w:pPr>
        <w:pStyle w:val="2"/>
        <w:ind w:left="1058" w:leftChars="504" w:firstLine="640" w:firstLineChars="200"/>
        <w:rPr>
          <w:rFonts w:hint="default"/>
          <w:lang w:val="en-US" w:eastAsia="zh-CN"/>
        </w:rPr>
      </w:pPr>
      <w:r>
        <w:rPr>
          <w:rFonts w:hint="eastAsia" w:ascii="仿宋_GB2312" w:hAnsi="仿宋_GB2312" w:eastAsia="仿宋_GB2312" w:cs="仿宋_GB2312"/>
          <w:sz w:val="32"/>
          <w:szCs w:val="32"/>
          <w:lang w:val="en-US" w:eastAsia="zh-CN"/>
        </w:rPr>
        <w:t>图1：2021年与2020年收入支出（万元）</w:t>
      </w:r>
    </w:p>
    <w:p>
      <w:pPr>
        <w:pStyle w:val="2"/>
        <w:rPr>
          <w:rFonts w:hint="eastAsia" w:ascii="仿宋_GB2312" w:hAnsi="仿宋_GB2312" w:eastAsia="仿宋_GB2312" w:cs="仿宋_GB2312"/>
          <w:sz w:val="32"/>
          <w:szCs w:val="32"/>
          <w:lang w:eastAsia="zh-CN"/>
        </w:rPr>
      </w:pPr>
      <w:r>
        <w:rPr>
          <w:rFonts w:hint="eastAsia" w:eastAsiaTheme="minorEastAsia"/>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hint="eastAsia"/>
        </w:rPr>
      </w:pPr>
    </w:p>
    <w:p>
      <w:pPr>
        <w:keepNext w:val="0"/>
        <w:keepLines w:val="0"/>
        <w:pageBreakBefore w:val="0"/>
        <w:kinsoku/>
        <w:wordWrap/>
        <w:overflowPunct/>
        <w:topLinePunct w:val="0"/>
        <w:bidi w:val="0"/>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1369.78</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1183.22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86.38</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127.77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9.33</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58.79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4.29</w:t>
      </w:r>
      <w:r>
        <w:rPr>
          <w:rFonts w:hint="eastAsia" w:ascii="仿宋_GB2312" w:hAnsi="仿宋_GB2312" w:eastAsia="仿宋_GB2312" w:cs="仿宋_GB2312"/>
          <w:b w:val="0"/>
          <w:bCs w:val="0"/>
          <w:sz w:val="32"/>
          <w:szCs w:val="32"/>
        </w:rPr>
        <w:t>%。</w:t>
      </w:r>
    </w:p>
    <w:p>
      <w:pPr>
        <w:pStyle w:val="2"/>
        <w:rPr>
          <w:rFonts w:hint="eastAsia"/>
        </w:rPr>
      </w:pPr>
    </w:p>
    <w:p>
      <w:pPr>
        <w:pStyle w:val="2"/>
        <w:ind w:left="0" w:leftChars="0" w:firstLine="0" w:firstLineChars="0"/>
        <w:rPr>
          <w:rFonts w:hint="eastAsia"/>
        </w:rPr>
      </w:pPr>
      <w:r>
        <w:rPr>
          <w:rFonts w:hint="eastAsia"/>
          <w:lang w:val="en-US" w:eastAsia="zh-CN"/>
        </w:rPr>
        <w:t xml:space="preserve"> </w:t>
      </w:r>
      <w:r>
        <w:drawing>
          <wp:inline distT="0" distB="0" distL="114300" distR="114300">
            <wp:extent cx="5486400" cy="3800475"/>
            <wp:effectExtent l="38735" t="18415" r="56515" b="673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bidi w:val="0"/>
        <w:spacing w:line="600" w:lineRule="exact"/>
        <w:ind w:firstLine="1920" w:firstLineChars="6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（图2：收入决算结构图）（饼状图）</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b w:val="0"/>
          <w:bCs w:val="0"/>
          <w:sz w:val="32"/>
          <w:szCs w:val="32"/>
        </w:rPr>
      </w:pPr>
    </w:p>
    <w:p>
      <w:pPr>
        <w:pStyle w:val="2"/>
      </w:pPr>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8"/>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1429.66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699.94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48.96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729.72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51.04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hint="eastAsia"/>
        </w:rPr>
      </w:pPr>
      <w:r>
        <w:drawing>
          <wp:inline distT="0" distB="0" distL="114300" distR="114300">
            <wp:extent cx="5391150" cy="3248025"/>
            <wp:effectExtent l="38735" t="18415" r="56515" b="6731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pacing w:line="600" w:lineRule="exact"/>
        <w:ind w:firstLine="1920" w:firstLineChars="6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（图3：支出决算结构图）（饼状图）</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1310.99</w:t>
      </w:r>
      <w:r>
        <w:rPr>
          <w:rFonts w:hint="eastAsia" w:ascii="仿宋_GB2312" w:hAnsi="仿宋_GB2312" w:eastAsia="仿宋_GB2312" w:cs="仿宋_GB2312"/>
          <w:b w:val="0"/>
          <w:bCs w:val="0"/>
          <w:sz w:val="32"/>
          <w:szCs w:val="32"/>
        </w:rPr>
        <w:t>万元。与2020年相比，财政拨款收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总计减少</w:t>
      </w:r>
      <w:r>
        <w:rPr>
          <w:rFonts w:hint="eastAsia" w:ascii="仿宋_GB2312" w:hAnsi="仿宋_GB2312" w:eastAsia="仿宋_GB2312" w:cs="仿宋_GB2312"/>
          <w:b w:val="0"/>
          <w:bCs w:val="0"/>
          <w:sz w:val="32"/>
          <w:szCs w:val="32"/>
          <w:lang w:val="en-US" w:eastAsia="zh-CN"/>
        </w:rPr>
        <w:t>662.35</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33.56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减少峨汉高速项目拆迁、峨胜石膏项目等相关经费。</w:t>
      </w:r>
      <w:r>
        <w:rPr>
          <w:rFonts w:hint="eastAsia" w:ascii="仿宋_GB2312" w:hAnsi="仿宋_GB2312" w:eastAsia="仿宋_GB2312" w:cs="仿宋_GB2312"/>
          <w:b w:val="0"/>
          <w:bCs w:val="0"/>
          <w:sz w:val="32"/>
          <w:szCs w:val="32"/>
        </w:rPr>
        <w:t>2021年财政拨款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1281.01</w:t>
      </w:r>
      <w:r>
        <w:rPr>
          <w:rFonts w:hint="eastAsia" w:ascii="仿宋_GB2312" w:hAnsi="仿宋_GB2312" w:eastAsia="仿宋_GB2312" w:cs="仿宋_GB2312"/>
          <w:b w:val="0"/>
          <w:bCs w:val="0"/>
          <w:sz w:val="32"/>
          <w:szCs w:val="32"/>
        </w:rPr>
        <w:t>万元。与2020年相比，财政拨款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总计减少</w:t>
      </w:r>
      <w:r>
        <w:rPr>
          <w:rFonts w:hint="eastAsia" w:ascii="仿宋_GB2312" w:hAnsi="仿宋_GB2312" w:eastAsia="仿宋_GB2312" w:cs="仿宋_GB2312"/>
          <w:b w:val="0"/>
          <w:bCs w:val="0"/>
          <w:sz w:val="32"/>
          <w:szCs w:val="32"/>
          <w:lang w:val="en-US" w:eastAsia="zh-CN"/>
        </w:rPr>
        <w:t>989.82</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43.59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减少峨汉高速项目拆迁、峨胜石膏项目等相关经费。</w:t>
      </w:r>
    </w:p>
    <w:p>
      <w:pPr>
        <w:pStyle w:val="2"/>
        <w:rPr>
          <w:rFonts w:hint="eastAsia" w:ascii="仿宋_GB2312" w:hAnsi="仿宋_GB2312" w:eastAsia="仿宋_GB2312" w:cs="仿宋_GB2312"/>
          <w:b w:val="0"/>
          <w:bCs w:val="0"/>
          <w:sz w:val="32"/>
          <w:szCs w:val="32"/>
        </w:rPr>
      </w:pPr>
      <w:r>
        <w:drawing>
          <wp:inline distT="0" distB="0" distL="114300" distR="114300">
            <wp:extent cx="5419725" cy="3115310"/>
            <wp:effectExtent l="38735" t="18415" r="46990" b="6667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pPr>
        <w:keepNext w:val="0"/>
        <w:keepLines w:val="0"/>
        <w:pageBreakBefore w:val="0"/>
        <w:kinsoku/>
        <w:wordWrap/>
        <w:overflowPunct/>
        <w:topLinePunct w:val="0"/>
        <w:bidi w:val="0"/>
        <w:spacing w:line="600" w:lineRule="exact"/>
        <w:ind w:firstLine="640"/>
        <w:textAlignment w:val="auto"/>
        <w:rPr>
          <w:rFonts w:ascii="仿宋" w:hAnsi="仿宋" w:eastAsia="仿宋"/>
          <w:b/>
          <w:sz w:val="32"/>
          <w:szCs w:val="32"/>
        </w:rPr>
      </w:pPr>
    </w:p>
    <w:p>
      <w:pPr>
        <w:keepNext w:val="0"/>
        <w:keepLines w:val="0"/>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1139.61</w:t>
      </w:r>
      <w:r>
        <w:rPr>
          <w:rFonts w:hint="eastAsia" w:ascii="仿宋" w:hAnsi="仿宋" w:eastAsia="仿宋"/>
          <w:sz w:val="32"/>
          <w:szCs w:val="32"/>
        </w:rPr>
        <w:t>万元，占本年支出合计的</w:t>
      </w:r>
      <w:r>
        <w:rPr>
          <w:rFonts w:hint="eastAsia" w:ascii="仿宋" w:hAnsi="仿宋" w:eastAsia="仿宋"/>
          <w:sz w:val="32"/>
          <w:szCs w:val="32"/>
          <w:lang w:val="en-US" w:eastAsia="zh-CN"/>
        </w:rPr>
        <w:t>79.71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w:t>
      </w:r>
      <w:r>
        <w:rPr>
          <w:rFonts w:hint="eastAsia" w:ascii="仿宋" w:hAnsi="仿宋" w:eastAsia="仿宋"/>
          <w:sz w:val="32"/>
          <w:szCs w:val="32"/>
          <w:lang w:val="en-US" w:eastAsia="zh-CN"/>
        </w:rPr>
        <w:t>167.65</w:t>
      </w:r>
      <w:r>
        <w:rPr>
          <w:rFonts w:hint="eastAsia" w:ascii="仿宋" w:hAnsi="仿宋" w:eastAsia="仿宋"/>
          <w:sz w:val="32"/>
          <w:szCs w:val="32"/>
        </w:rPr>
        <w:t>万元，下降</w:t>
      </w:r>
      <w:r>
        <w:rPr>
          <w:rFonts w:hint="eastAsia" w:ascii="仿宋" w:hAnsi="仿宋" w:eastAsia="仿宋"/>
          <w:sz w:val="32"/>
          <w:szCs w:val="32"/>
          <w:lang w:val="en-US" w:eastAsia="zh-CN"/>
        </w:rPr>
        <w:t>12.82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落实财政过紧日子要求，继续压减一般性支出，把钱用在刀刃上。</w:t>
      </w:r>
    </w:p>
    <w:p>
      <w:pPr>
        <w:rPr>
          <w:rFonts w:ascii="仿宋" w:hAnsi="仿宋" w:eastAsia="仿宋"/>
          <w:sz w:val="32"/>
          <w:szCs w:val="32"/>
        </w:rPr>
      </w:pPr>
      <w:r>
        <w:drawing>
          <wp:inline distT="0" distB="0" distL="114300" distR="114300">
            <wp:extent cx="5524500" cy="3228975"/>
            <wp:effectExtent l="38735" t="18415" r="56515" b="6731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1139.61</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547.12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48.01</w:t>
      </w:r>
      <w:r>
        <w:rPr>
          <w:rFonts w:hint="eastAsia" w:ascii="仿宋_GB2312" w:hAnsi="仿宋_GB2312" w:eastAsia="仿宋_GB2312" w:cs="仿宋_GB2312"/>
          <w:b w:val="0"/>
          <w:bCs w:val="0"/>
          <w:sz w:val="32"/>
          <w:szCs w:val="32"/>
        </w:rPr>
        <w:t>%；文化旅游体育与传媒（类）支出</w:t>
      </w:r>
      <w:r>
        <w:rPr>
          <w:rFonts w:hint="eastAsia" w:ascii="仿宋_GB2312" w:hAnsi="仿宋_GB2312" w:eastAsia="仿宋_GB2312" w:cs="仿宋_GB2312"/>
          <w:b w:val="0"/>
          <w:bCs w:val="0"/>
          <w:sz w:val="32"/>
          <w:szCs w:val="32"/>
          <w:lang w:val="en-US" w:eastAsia="zh-CN"/>
        </w:rPr>
        <w:t>28.82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2.53</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67.61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5.93</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16.21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1.42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lang w:eastAsia="zh-CN"/>
        </w:rPr>
        <w:t>城乡社区</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23.7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2.08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农林水</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403.27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35.39</w:t>
      </w:r>
      <w:r>
        <w:rPr>
          <w:rFonts w:hint="eastAsia" w:ascii="仿宋_GB2312" w:hAnsi="仿宋_GB2312" w:eastAsia="仿宋_GB2312" w:cs="仿宋_GB2312"/>
          <w:b w:val="0"/>
          <w:bCs w:val="0"/>
          <w:color w:val="000000"/>
          <w:sz w:val="32"/>
          <w:szCs w:val="32"/>
        </w:rPr>
        <w:t>占%；</w:t>
      </w:r>
      <w:r>
        <w:rPr>
          <w:rFonts w:hint="eastAsia" w:ascii="仿宋_GB2312" w:hAnsi="仿宋_GB2312" w:eastAsia="仿宋_GB2312" w:cs="仿宋_GB2312"/>
          <w:b w:val="0"/>
          <w:bCs w:val="0"/>
          <w:color w:val="000000"/>
          <w:sz w:val="32"/>
          <w:szCs w:val="32"/>
          <w:lang w:eastAsia="zh-CN"/>
        </w:rPr>
        <w:t>住房保障</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52.88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4.64</w:t>
      </w:r>
      <w:r>
        <w:rPr>
          <w:rFonts w:hint="eastAsia" w:ascii="仿宋_GB2312" w:hAnsi="仿宋_GB2312" w:eastAsia="仿宋_GB2312" w:cs="仿宋_GB2312"/>
          <w:b w:val="0"/>
          <w:bCs w:val="0"/>
          <w:color w:val="000000"/>
          <w:sz w:val="32"/>
          <w:szCs w:val="32"/>
        </w:rPr>
        <w:t>%。</w:t>
      </w:r>
    </w:p>
    <w:p>
      <w:pPr>
        <w:pStyle w:val="2"/>
        <w:rPr>
          <w:rFonts w:hint="eastAsia" w:ascii="仿宋_GB2312" w:hAnsi="仿宋_GB2312" w:eastAsia="仿宋_GB2312" w:cs="仿宋_GB2312"/>
          <w:b w:val="0"/>
          <w:bCs w:val="0"/>
          <w:sz w:val="32"/>
          <w:szCs w:val="32"/>
        </w:rPr>
      </w:pPr>
    </w:p>
    <w:p>
      <w:pPr>
        <w:rPr>
          <w:rFonts w:hint="eastAsia"/>
        </w:rPr>
      </w:pPr>
      <w:r>
        <w:drawing>
          <wp:inline distT="0" distB="0" distL="114300" distR="114300">
            <wp:extent cx="5683885" cy="3982085"/>
            <wp:effectExtent l="38735" t="18415" r="49530" b="7620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6" w:name="_Toc15377212"/>
      <w:r>
        <w:rPr>
          <w:rFonts w:hint="eastAsia" w:ascii="楷体_GB2312" w:hAnsi="楷体_GB2312" w:eastAsia="楷体_GB2312" w:cs="楷体_GB2312"/>
          <w:b w:val="0"/>
          <w:bCs/>
          <w:sz w:val="32"/>
          <w:szCs w:val="32"/>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Style w:val="16"/>
          <w:rFonts w:hint="eastAsia" w:ascii="仿宋_GB2312" w:hAnsi="仿宋_GB2312" w:eastAsia="仿宋_GB2312" w:cs="仿宋_GB2312"/>
          <w:b w:val="0"/>
          <w:bCs/>
          <w:sz w:val="32"/>
          <w:szCs w:val="32"/>
        </w:rPr>
      </w:pPr>
      <w:bookmarkStart w:id="37" w:name="_Toc15377444"/>
      <w:bookmarkStart w:id="38" w:name="_Toc15378460"/>
      <w:bookmarkStart w:id="39" w:name="_Toc15377213"/>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1139.61</w:t>
      </w:r>
      <w:r>
        <w:rPr>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95.24</w:t>
      </w:r>
      <w:r>
        <w:rPr>
          <w:rStyle w:val="16"/>
          <w:rFonts w:hint="eastAsia" w:ascii="仿宋_GB2312" w:hAnsi="仿宋_GB2312" w:eastAsia="仿宋_GB2312" w:cs="仿宋_GB2312"/>
          <w:b w:val="0"/>
          <w:bCs/>
          <w:sz w:val="32"/>
          <w:szCs w:val="32"/>
        </w:rPr>
        <w:t>%。其中：</w:t>
      </w:r>
      <w:bookmarkEnd w:id="37"/>
      <w:bookmarkEnd w:id="38"/>
      <w:bookmarkEnd w:id="39"/>
    </w:p>
    <w:p>
      <w:pPr>
        <w:pageBreakBefore w:val="0"/>
        <w:numPr>
          <w:ilvl w:val="0"/>
          <w:numId w:val="0"/>
        </w:numPr>
        <w:kinsoku/>
        <w:wordWrap/>
        <w:overflowPunct/>
        <w:topLinePunct w:val="0"/>
        <w:bidi w:val="0"/>
        <w:spacing w:line="240" w:lineRule="auto"/>
        <w:ind w:left="0" w:leftChars="0" w:firstLine="640" w:firstLineChars="200"/>
        <w:textAlignment w:val="auto"/>
        <w:rPr>
          <w:rFonts w:hint="eastAsia"/>
          <w:highlight w:val="none"/>
        </w:rPr>
      </w:pPr>
      <w:r>
        <w:rPr>
          <w:rStyle w:val="16"/>
          <w:rFonts w:hint="eastAsia" w:ascii="仿宋_GB2312" w:hAnsi="仿宋_GB2312" w:eastAsia="仿宋_GB2312" w:cs="仿宋_GB2312"/>
          <w:b w:val="0"/>
          <w:bCs/>
          <w:color w:val="000000"/>
          <w:sz w:val="32"/>
          <w:szCs w:val="32"/>
          <w:highlight w:val="none"/>
          <w:lang w:val="en-US" w:eastAsia="zh-CN"/>
        </w:rPr>
        <w:t>1.</w:t>
      </w:r>
      <w:r>
        <w:rPr>
          <w:rStyle w:val="16"/>
          <w:rFonts w:hint="eastAsia" w:ascii="仿宋_GB2312" w:hAnsi="仿宋_GB2312" w:eastAsia="仿宋_GB2312" w:cs="仿宋_GB2312"/>
          <w:b w:val="0"/>
          <w:bCs/>
          <w:color w:val="000000"/>
          <w:sz w:val="32"/>
          <w:szCs w:val="32"/>
          <w:highlight w:val="none"/>
        </w:rPr>
        <w:t>一般公共服务（类）</w:t>
      </w:r>
      <w:r>
        <w:rPr>
          <w:rStyle w:val="16"/>
          <w:rFonts w:hint="eastAsia" w:ascii="仿宋_GB2312" w:hAnsi="仿宋_GB2312" w:eastAsia="仿宋_GB2312" w:cs="仿宋_GB2312"/>
          <w:b w:val="0"/>
          <w:bCs/>
          <w:color w:val="000000"/>
          <w:sz w:val="32"/>
          <w:szCs w:val="32"/>
          <w:highlight w:val="none"/>
          <w:lang w:eastAsia="zh-CN"/>
        </w:rPr>
        <w:t>人大事务</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其他人大事务支出</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4.8</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2.</w:t>
      </w:r>
      <w:r>
        <w:rPr>
          <w:rStyle w:val="16"/>
          <w:rFonts w:hint="eastAsia" w:ascii="仿宋_GB2312" w:hAnsi="仿宋_GB2312" w:eastAsia="仿宋_GB2312" w:cs="仿宋_GB2312"/>
          <w:b w:val="0"/>
          <w:bCs/>
          <w:color w:val="000000"/>
          <w:sz w:val="32"/>
          <w:szCs w:val="32"/>
          <w:highlight w:val="none"/>
        </w:rPr>
        <w:t>一般公共服务（类）</w:t>
      </w:r>
      <w:r>
        <w:rPr>
          <w:rStyle w:val="16"/>
          <w:rFonts w:hint="eastAsia" w:ascii="仿宋_GB2312" w:hAnsi="仿宋_GB2312" w:eastAsia="仿宋_GB2312" w:cs="仿宋_GB2312"/>
          <w:b w:val="0"/>
          <w:bCs/>
          <w:color w:val="000000"/>
          <w:sz w:val="32"/>
          <w:szCs w:val="32"/>
          <w:highlight w:val="none"/>
          <w:lang w:eastAsia="zh-CN"/>
        </w:rPr>
        <w:t>政府办公厅（室）及相关机构事务</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行政运行</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383.18</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Fonts w:hint="eastAsia"/>
          <w:highlight w:val="none"/>
        </w:rPr>
      </w:pPr>
      <w:r>
        <w:rPr>
          <w:rStyle w:val="16"/>
          <w:rFonts w:hint="eastAsia" w:ascii="仿宋_GB2312" w:hAnsi="仿宋_GB2312" w:eastAsia="仿宋_GB2312" w:cs="仿宋_GB2312"/>
          <w:b w:val="0"/>
          <w:bCs/>
          <w:color w:val="000000"/>
          <w:sz w:val="32"/>
          <w:szCs w:val="32"/>
          <w:highlight w:val="none"/>
          <w:lang w:val="en-US" w:eastAsia="zh-CN"/>
        </w:rPr>
        <w:t>3.</w:t>
      </w:r>
      <w:r>
        <w:rPr>
          <w:rStyle w:val="16"/>
          <w:rFonts w:hint="eastAsia" w:ascii="仿宋_GB2312" w:hAnsi="仿宋_GB2312" w:eastAsia="仿宋_GB2312" w:cs="仿宋_GB2312"/>
          <w:b w:val="0"/>
          <w:bCs/>
          <w:color w:val="000000"/>
          <w:sz w:val="32"/>
          <w:szCs w:val="32"/>
          <w:highlight w:val="none"/>
        </w:rPr>
        <w:t>一般公共服务（类）</w:t>
      </w:r>
      <w:r>
        <w:rPr>
          <w:rStyle w:val="16"/>
          <w:rFonts w:hint="eastAsia" w:ascii="仿宋_GB2312" w:hAnsi="仿宋_GB2312" w:eastAsia="仿宋_GB2312" w:cs="仿宋_GB2312"/>
          <w:b w:val="0"/>
          <w:bCs/>
          <w:color w:val="000000"/>
          <w:sz w:val="32"/>
          <w:szCs w:val="32"/>
          <w:highlight w:val="none"/>
          <w:lang w:eastAsia="zh-CN"/>
        </w:rPr>
        <w:t>政府办公厅（室）及相关机构事务</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事业运行</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91.25</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numPr>
          <w:ilvl w:val="0"/>
          <w:numId w:val="0"/>
        </w:numPr>
        <w:kinsoku/>
        <w:wordWrap/>
        <w:overflowPunct/>
        <w:topLinePunct w:val="0"/>
        <w:bidi w:val="0"/>
        <w:spacing w:line="240" w:lineRule="auto"/>
        <w:ind w:left="0" w:leftChars="0"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4.</w:t>
      </w:r>
      <w:r>
        <w:rPr>
          <w:rStyle w:val="16"/>
          <w:rFonts w:hint="eastAsia" w:ascii="仿宋_GB2312" w:hAnsi="仿宋_GB2312" w:eastAsia="仿宋_GB2312" w:cs="仿宋_GB2312"/>
          <w:b w:val="0"/>
          <w:bCs/>
          <w:color w:val="000000"/>
          <w:sz w:val="32"/>
          <w:szCs w:val="32"/>
          <w:highlight w:val="none"/>
        </w:rPr>
        <w:t>一般公共服务（类）</w:t>
      </w:r>
      <w:r>
        <w:rPr>
          <w:rStyle w:val="16"/>
          <w:rFonts w:hint="eastAsia" w:ascii="仿宋_GB2312" w:hAnsi="仿宋_GB2312" w:eastAsia="仿宋_GB2312" w:cs="仿宋_GB2312"/>
          <w:b w:val="0"/>
          <w:bCs/>
          <w:color w:val="000000"/>
          <w:sz w:val="32"/>
          <w:szCs w:val="32"/>
          <w:highlight w:val="none"/>
          <w:lang w:eastAsia="zh-CN"/>
        </w:rPr>
        <w:t>政府办公厅（室）及相关机构事务</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其他政府办公厅（室）及相关机构事务支出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67.89</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5</w:t>
      </w:r>
      <w:r>
        <w:rPr>
          <w:rStyle w:val="16"/>
          <w:rFonts w:hint="eastAsia" w:ascii="仿宋_GB2312" w:hAnsi="仿宋_GB2312" w:eastAsia="仿宋_GB2312" w:cs="仿宋_GB2312"/>
          <w:b w:val="0"/>
          <w:bCs/>
          <w:color w:val="000000"/>
          <w:sz w:val="32"/>
          <w:szCs w:val="32"/>
          <w:highlight w:val="none"/>
          <w:lang w:eastAsia="zh-CN"/>
        </w:rPr>
        <w:t>．</w:t>
      </w:r>
      <w:r>
        <w:rPr>
          <w:rStyle w:val="16"/>
          <w:rFonts w:hint="eastAsia" w:ascii="仿宋_GB2312" w:hAnsi="仿宋_GB2312" w:eastAsia="仿宋_GB2312" w:cs="仿宋_GB2312"/>
          <w:b w:val="0"/>
          <w:bCs/>
          <w:color w:val="000000"/>
          <w:sz w:val="32"/>
          <w:szCs w:val="32"/>
          <w:highlight w:val="none"/>
        </w:rPr>
        <w:t>文化旅游体育与传媒</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文化和旅游</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其他文化和旅游支出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28.82</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6</w:t>
      </w:r>
      <w:r>
        <w:rPr>
          <w:rStyle w:val="16"/>
          <w:rFonts w:hint="eastAsia" w:ascii="仿宋_GB2312" w:hAnsi="仿宋_GB2312" w:eastAsia="仿宋_GB2312" w:cs="仿宋_GB2312"/>
          <w:b w:val="0"/>
          <w:bCs/>
          <w:color w:val="000000"/>
          <w:sz w:val="32"/>
          <w:szCs w:val="32"/>
          <w:highlight w:val="none"/>
          <w:lang w:eastAsia="zh-CN"/>
        </w:rPr>
        <w:t>．</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行政事业单位养老支出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机关事业单位基本养老保险缴费支出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36.82</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7</w:t>
      </w:r>
      <w:r>
        <w:rPr>
          <w:rStyle w:val="16"/>
          <w:rFonts w:hint="eastAsia" w:ascii="仿宋_GB2312" w:hAnsi="仿宋_GB2312" w:eastAsia="仿宋_GB2312" w:cs="仿宋_GB2312"/>
          <w:b w:val="0"/>
          <w:bCs/>
          <w:color w:val="000000"/>
          <w:sz w:val="32"/>
          <w:szCs w:val="32"/>
          <w:highlight w:val="none"/>
          <w:lang w:eastAsia="zh-CN"/>
        </w:rPr>
        <w:t>．</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行政事业单位养老支出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机关事业单位职业年金缴费支出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18.68</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8</w:t>
      </w:r>
      <w:r>
        <w:rPr>
          <w:rStyle w:val="16"/>
          <w:rFonts w:hint="eastAsia" w:ascii="仿宋_GB2312" w:hAnsi="仿宋_GB2312" w:eastAsia="仿宋_GB2312" w:cs="仿宋_GB2312"/>
          <w:b w:val="0"/>
          <w:bCs/>
          <w:color w:val="000000"/>
          <w:sz w:val="32"/>
          <w:szCs w:val="32"/>
          <w:highlight w:val="none"/>
          <w:lang w:eastAsia="zh-CN"/>
        </w:rPr>
        <w:t>．</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抚恤</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其他优抚支出</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6.93</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9</w:t>
      </w:r>
      <w:r>
        <w:rPr>
          <w:rStyle w:val="16"/>
          <w:rFonts w:hint="eastAsia" w:ascii="仿宋_GB2312" w:hAnsi="仿宋_GB2312" w:eastAsia="仿宋_GB2312" w:cs="仿宋_GB2312"/>
          <w:b w:val="0"/>
          <w:bCs/>
          <w:color w:val="000000"/>
          <w:sz w:val="32"/>
          <w:szCs w:val="32"/>
          <w:highlight w:val="none"/>
          <w:lang w:eastAsia="zh-CN"/>
        </w:rPr>
        <w:t>．</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5.18</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10</w:t>
      </w:r>
      <w:r>
        <w:rPr>
          <w:rStyle w:val="16"/>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行政事业单位医疗</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行政单位医疗</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16.21</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11</w:t>
      </w:r>
      <w:r>
        <w:rPr>
          <w:rStyle w:val="16"/>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城乡社区支出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城乡社区环境卫生</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城乡社区环境卫生</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23.7</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highlight w:val="none"/>
        </w:rPr>
      </w:pPr>
      <w:r>
        <w:rPr>
          <w:rStyle w:val="16"/>
          <w:rFonts w:hint="eastAsia" w:ascii="仿宋_GB2312" w:hAnsi="仿宋_GB2312" w:eastAsia="仿宋_GB2312" w:cs="仿宋_GB2312"/>
          <w:b w:val="0"/>
          <w:bCs/>
          <w:color w:val="000000"/>
          <w:sz w:val="32"/>
          <w:szCs w:val="32"/>
          <w:highlight w:val="none"/>
          <w:lang w:val="en-US" w:eastAsia="zh-CN"/>
        </w:rPr>
        <w:t>12</w:t>
      </w:r>
      <w:r>
        <w:rPr>
          <w:rStyle w:val="16"/>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农林水支出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农业农村</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事业运行</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58.53</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13</w:t>
      </w:r>
      <w:r>
        <w:rPr>
          <w:rStyle w:val="16"/>
          <w:rFonts w:hint="eastAsia" w:ascii="仿宋_GB2312" w:hAnsi="仿宋_GB2312" w:eastAsia="仿宋_GB2312" w:cs="仿宋_GB2312"/>
          <w:b w:val="0"/>
          <w:bCs/>
          <w:color w:val="000000"/>
          <w:sz w:val="32"/>
          <w:szCs w:val="32"/>
          <w:highlight w:val="none"/>
          <w:lang w:eastAsia="zh-CN"/>
        </w:rPr>
        <w:t>．农林水支出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扶贫</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其他扶贫支出</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9.95</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highlight w:val="none"/>
        </w:rPr>
      </w:pPr>
      <w:r>
        <w:rPr>
          <w:rStyle w:val="16"/>
          <w:rFonts w:hint="eastAsia" w:ascii="仿宋_GB2312" w:hAnsi="仿宋_GB2312" w:eastAsia="仿宋_GB2312" w:cs="仿宋_GB2312"/>
          <w:b w:val="0"/>
          <w:bCs/>
          <w:color w:val="000000"/>
          <w:sz w:val="32"/>
          <w:szCs w:val="32"/>
          <w:highlight w:val="none"/>
          <w:lang w:val="en-US" w:eastAsia="zh-CN"/>
        </w:rPr>
        <w:t>14</w:t>
      </w:r>
      <w:r>
        <w:rPr>
          <w:rStyle w:val="16"/>
          <w:rFonts w:hint="eastAsia" w:ascii="仿宋_GB2312" w:hAnsi="仿宋_GB2312" w:eastAsia="仿宋_GB2312" w:cs="仿宋_GB2312"/>
          <w:b w:val="0"/>
          <w:bCs/>
          <w:color w:val="000000"/>
          <w:sz w:val="32"/>
          <w:szCs w:val="32"/>
          <w:highlight w:val="none"/>
          <w:lang w:eastAsia="zh-CN"/>
        </w:rPr>
        <w:t>．农林水支出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农村综合改革</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对村民委员会和村党支部的补助</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334.79</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85.45</w:t>
      </w:r>
      <w:r>
        <w:rPr>
          <w:rStyle w:val="16"/>
          <w:rFonts w:hint="eastAsia" w:ascii="仿宋_GB2312" w:hAnsi="仿宋_GB2312" w:eastAsia="仿宋_GB2312" w:cs="仿宋_GB2312"/>
          <w:b w:val="0"/>
          <w:bCs/>
          <w:color w:val="000000"/>
          <w:sz w:val="32"/>
          <w:szCs w:val="32"/>
          <w:highlight w:val="none"/>
        </w:rPr>
        <w:t>%，决算数小于预算数的主要原因是</w:t>
      </w:r>
      <w:r>
        <w:rPr>
          <w:rStyle w:val="16"/>
          <w:rFonts w:hint="eastAsia" w:ascii="仿宋_GB2312" w:hAnsi="仿宋_GB2312" w:eastAsia="仿宋_GB2312" w:cs="仿宋_GB2312"/>
          <w:b w:val="0"/>
          <w:bCs/>
          <w:color w:val="000000"/>
          <w:sz w:val="32"/>
          <w:szCs w:val="32"/>
          <w:highlight w:val="none"/>
          <w:lang w:eastAsia="zh-CN"/>
        </w:rPr>
        <w:t>部分</w:t>
      </w:r>
      <w:r>
        <w:rPr>
          <w:rStyle w:val="16"/>
          <w:rFonts w:hint="eastAsia" w:ascii="仿宋_GB2312" w:hAnsi="仿宋_GB2312" w:eastAsia="仿宋_GB2312" w:cs="仿宋_GB2312"/>
          <w:b w:val="0"/>
          <w:bCs/>
          <w:color w:val="000000"/>
          <w:sz w:val="32"/>
          <w:szCs w:val="32"/>
          <w:highlight w:val="none"/>
        </w:rPr>
        <w:t>村级基层组织活动和公共服务运行经费</w:t>
      </w:r>
      <w:r>
        <w:rPr>
          <w:rStyle w:val="16"/>
          <w:rFonts w:hint="eastAsia" w:ascii="仿宋_GB2312" w:hAnsi="仿宋_GB2312" w:eastAsia="仿宋_GB2312" w:cs="仿宋_GB2312"/>
          <w:b w:val="0"/>
          <w:bCs/>
          <w:color w:val="000000"/>
          <w:sz w:val="32"/>
          <w:szCs w:val="32"/>
          <w:highlight w:val="none"/>
          <w:lang w:eastAsia="zh-CN"/>
        </w:rPr>
        <w:t>延后支付</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15</w:t>
      </w:r>
      <w:r>
        <w:rPr>
          <w:rStyle w:val="16"/>
          <w:rFonts w:hint="eastAsia" w:ascii="仿宋_GB2312" w:hAnsi="仿宋_GB2312" w:eastAsia="仿宋_GB2312" w:cs="仿宋_GB2312"/>
          <w:b w:val="0"/>
          <w:bCs/>
          <w:color w:val="000000"/>
          <w:sz w:val="32"/>
          <w:szCs w:val="32"/>
          <w:highlight w:val="none"/>
          <w:lang w:eastAsia="zh-CN"/>
        </w:rPr>
        <w:t>．住房保障支出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住房改革支出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住房公积金</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52.88</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100</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，决算数</w:t>
      </w:r>
      <w:r>
        <w:rPr>
          <w:rFonts w:hint="eastAsia" w:ascii="仿宋_GB2312" w:hAnsi="仿宋_GB2312" w:eastAsia="仿宋_GB2312" w:cs="仿宋_GB2312"/>
          <w:b w:val="0"/>
          <w:bCs/>
          <w:color w:val="000000"/>
          <w:sz w:val="32"/>
          <w:szCs w:val="32"/>
          <w:highlight w:val="none"/>
        </w:rPr>
        <w:t>与预算数持平</w:t>
      </w:r>
      <w:r>
        <w:rPr>
          <w:rStyle w:val="16"/>
          <w:rFonts w:hint="eastAsia" w:ascii="仿宋_GB2312" w:hAnsi="仿宋_GB2312" w:eastAsia="仿宋_GB2312" w:cs="仿宋_GB2312"/>
          <w:b w:val="0"/>
          <w:bCs/>
          <w:color w:val="000000"/>
          <w:sz w:val="32"/>
          <w:szCs w:val="32"/>
          <w:highlight w:val="none"/>
        </w:rPr>
        <w:t>。</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sz w:val="32"/>
          <w:szCs w:val="32"/>
          <w:highlight w:val="none"/>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w:t>
      </w:r>
      <w:r>
        <w:rPr>
          <w:rFonts w:hint="eastAsia" w:ascii="仿宋_GB2312" w:hAnsi="仿宋_GB2312" w:eastAsia="仿宋_GB2312" w:cs="仿宋_GB2312"/>
          <w:b w:val="0"/>
          <w:bCs w:val="0"/>
          <w:sz w:val="32"/>
          <w:szCs w:val="32"/>
          <w:lang w:val="en-US" w:eastAsia="zh-CN"/>
        </w:rPr>
        <w:t>699.94</w:t>
      </w:r>
      <w:r>
        <w:rPr>
          <w:rFonts w:hint="eastAsia" w:ascii="仿宋_GB2312" w:hAnsi="仿宋_GB2312" w:eastAsia="仿宋_GB2312" w:cs="仿宋_GB2312"/>
          <w:b w:val="0"/>
          <w:bCs w:val="0"/>
          <w:sz w:val="32"/>
          <w:szCs w:val="32"/>
        </w:rPr>
        <w:t>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590.04</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109.9</w:t>
      </w:r>
      <w:r>
        <w:rPr>
          <w:rFonts w:hint="eastAsia" w:ascii="仿宋_GB2312" w:hAnsi="仿宋_GB2312" w:eastAsia="仿宋_GB2312" w:cs="仿宋_GB2312"/>
          <w:b w:val="0"/>
          <w:bCs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b w:val="0"/>
        </w:rPr>
      </w:pPr>
      <w:bookmarkStart w:id="42" w:name="_Toc15396609"/>
      <w:bookmarkStart w:id="43" w:name="_Toc15377215"/>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27.06</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预算数持平</w:t>
      </w:r>
      <w:r>
        <w:rPr>
          <w:rFonts w:hint="eastAsia" w:ascii="仿宋_GB2312" w:hAnsi="仿宋_GB2312" w:eastAsia="仿宋_GB2312" w:cs="仿宋_GB2312"/>
          <w:b w:val="0"/>
          <w:bCs w:val="0"/>
          <w:sz w:val="32"/>
          <w:szCs w:val="32"/>
          <w:lang w:eastAsia="zh-CN"/>
        </w:rPr>
        <w:t>，原因为本年度新购一辆公务用车</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27.06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rPr>
          <w:rFonts w:hint="eastAsia"/>
        </w:rPr>
      </w:pPr>
      <w:r>
        <w:drawing>
          <wp:inline distT="0" distB="0" distL="114300" distR="114300">
            <wp:extent cx="5683885" cy="3009265"/>
            <wp:effectExtent l="38735" t="18415" r="49530" b="5842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2020年增加/减少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本年度未安排</w:t>
      </w:r>
      <w:r>
        <w:rPr>
          <w:rFonts w:hint="eastAsia" w:ascii="仿宋_GB2312" w:hAnsi="仿宋_GB2312" w:eastAsia="仿宋_GB2312" w:cs="仿宋_GB2312"/>
          <w:b w:val="0"/>
          <w:bCs w:val="0"/>
          <w:sz w:val="32"/>
          <w:szCs w:val="32"/>
        </w:rPr>
        <w:t>因公出国（境）。</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27.06</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公务用车购置及运行维护费支出决算比2020年增加</w:t>
      </w:r>
      <w:r>
        <w:rPr>
          <w:rFonts w:hint="eastAsia" w:ascii="仿宋_GB2312" w:hAnsi="仿宋_GB2312" w:eastAsia="仿宋_GB2312" w:cs="仿宋_GB2312"/>
          <w:b w:val="0"/>
          <w:bCs w:val="0"/>
          <w:sz w:val="32"/>
          <w:szCs w:val="32"/>
          <w:lang w:val="en-US" w:eastAsia="zh-CN"/>
        </w:rPr>
        <w:t>4.91</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22.17</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2021年度新购置一辆公务用车</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10.78</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10.78</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疫情防控、五清行动、森林防火、防汛减灾、乡村振兴、项目建设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。截至2021年12月底，单位共有公务用车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辆。全年按规定</w:t>
      </w:r>
      <w:r>
        <w:rPr>
          <w:rFonts w:hint="eastAsia" w:ascii="仿宋_GB2312" w:hAnsi="仿宋_GB2312" w:eastAsia="仿宋_GB2312" w:cs="仿宋_GB2312"/>
          <w:b w:val="0"/>
          <w:bCs w:val="0"/>
          <w:sz w:val="32"/>
          <w:szCs w:val="32"/>
          <w:lang w:eastAsia="zh-CN"/>
        </w:rPr>
        <w:t>报废</w:t>
      </w:r>
      <w:r>
        <w:rPr>
          <w:rFonts w:hint="eastAsia" w:ascii="仿宋_GB2312" w:hAnsi="仿宋_GB2312" w:eastAsia="仿宋_GB2312" w:cs="仿宋_GB2312"/>
          <w:b w:val="0"/>
          <w:bCs w:val="0"/>
          <w:sz w:val="32"/>
          <w:szCs w:val="32"/>
        </w:rPr>
        <w:t>公务用车</w:t>
      </w:r>
      <w:r>
        <w:rPr>
          <w:rFonts w:hint="eastAsia" w:ascii="仿宋_GB2312" w:hAnsi="仿宋_GB2312" w:eastAsia="仿宋_GB2312" w:cs="仿宋_GB2312"/>
          <w:b w:val="0"/>
          <w:bCs w:val="0"/>
          <w:sz w:val="32"/>
          <w:szCs w:val="32"/>
          <w:lang w:val="en-US" w:eastAsia="zh-CN"/>
        </w:rPr>
        <w:t>1辆，为原值21.46万元已折旧完成的越野车。</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16.28</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疫情防控、五清行动、森林防火、防汛减灾、乡村振兴、项目建设</w:t>
      </w:r>
      <w:r>
        <w:rPr>
          <w:rFonts w:hint="eastAsia" w:ascii="仿宋_GB2312" w:hAnsi="仿宋_GB2312" w:eastAsia="仿宋_GB2312" w:cs="仿宋_GB2312"/>
          <w:b w:val="0"/>
          <w:bCs w:val="0"/>
          <w:sz w:val="32"/>
          <w:szCs w:val="32"/>
        </w:rPr>
        <w:t>等所需的公务用车燃料费、维修费、过路过桥费、保险费等支出。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公务接待费支出决算比2020年增加/减少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2021年度未安排公务接待</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600" w:lineRule="exact"/>
        <w:ind w:firstLine="640"/>
        <w:textAlignment w:val="auto"/>
        <w:outlineLvl w:val="1"/>
        <w:rPr>
          <w:rFonts w:hint="eastAsia" w:ascii="仿宋_GB2312" w:hAnsi="仿宋_GB2312" w:eastAsia="仿宋_GB2312" w:cs="仿宋_GB2312"/>
          <w:b w:val="0"/>
          <w:bCs w:val="0"/>
          <w:sz w:val="32"/>
          <w:szCs w:val="32"/>
        </w:rPr>
      </w:pPr>
      <w:bookmarkStart w:id="46" w:name="_Toc15396610"/>
      <w:bookmarkStart w:id="47" w:name="_Toc15377218"/>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127.77</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8"/>
          <w:rFonts w:ascii="黑体" w:hAnsi="黑体" w:eastAsia="黑体"/>
          <w:b w:val="0"/>
        </w:rPr>
      </w:pPr>
      <w:bookmarkStart w:id="50" w:name="_Toc15377221"/>
      <w:bookmarkStart w:id="51" w:name="_Toc15396612"/>
      <w:r>
        <w:rPr>
          <w:rStyle w:val="28"/>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109.9</w:t>
      </w:r>
      <w:r>
        <w:rPr>
          <w:rFonts w:hint="eastAsia" w:ascii="仿宋_GB2312" w:hAnsi="仿宋_GB2312" w:eastAsia="仿宋_GB2312" w:cs="仿宋_GB2312"/>
          <w:b w:val="0"/>
          <w:bCs w:val="0"/>
          <w:sz w:val="32"/>
          <w:szCs w:val="32"/>
        </w:rPr>
        <w:t>万元，比2020年增加</w:t>
      </w:r>
      <w:r>
        <w:rPr>
          <w:rFonts w:hint="eastAsia" w:ascii="仿宋_GB2312" w:hAnsi="仿宋_GB2312" w:eastAsia="仿宋_GB2312" w:cs="仿宋_GB2312"/>
          <w:b w:val="0"/>
          <w:bCs w:val="0"/>
          <w:sz w:val="32"/>
          <w:szCs w:val="32"/>
          <w:lang w:val="en-US" w:eastAsia="zh-CN"/>
        </w:rPr>
        <w:t>13.7</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14.24</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val="en-US" w:eastAsia="zh-CN"/>
        </w:rPr>
        <w:t>2021年度单位增加4名行政人员导致的经费支出变动</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81.44</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45</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36.44</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万元。主要用于大为镇冻库项目采购设备</w:t>
      </w:r>
      <w:r>
        <w:rPr>
          <w:rFonts w:hint="eastAsia" w:ascii="仿宋_GB2312" w:hAnsi="仿宋_GB2312" w:eastAsia="仿宋_GB2312" w:cs="仿宋_GB2312"/>
          <w:b w:val="0"/>
          <w:bCs w:val="0"/>
          <w:sz w:val="32"/>
          <w:szCs w:val="32"/>
          <w:lang w:eastAsia="zh-CN"/>
        </w:rPr>
        <w:t>、大为镇老车风童子坡山坪塘（蓄水池）工程</w:t>
      </w:r>
      <w:r>
        <w:rPr>
          <w:rFonts w:hint="eastAsia" w:ascii="仿宋_GB2312" w:hAnsi="仿宋_GB2312" w:eastAsia="仿宋_GB2312" w:cs="仿宋_GB2312"/>
          <w:b w:val="0"/>
          <w:bCs w:val="0"/>
          <w:sz w:val="32"/>
          <w:szCs w:val="32"/>
        </w:rPr>
        <w:t>。授予中小企业合同金额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%，其中：授予小微企业合同金额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b w:val="0"/>
          <w:bCs w:val="0"/>
          <w:sz w:val="32"/>
          <w:szCs w:val="32"/>
          <w:lang w:eastAsia="zh-CN"/>
        </w:rPr>
        <w:t>大为镇</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color w:val="000000"/>
          <w:sz w:val="32"/>
          <w:szCs w:val="32"/>
        </w:rPr>
        <w:t>特种专业技术用车</w:t>
      </w:r>
      <w:r>
        <w:rPr>
          <w:rFonts w:hint="eastAsia" w:ascii="仿宋_GB2312" w:hAnsi="仿宋_GB2312" w:eastAsia="仿宋_GB2312" w:cs="仿宋_GB2312"/>
          <w:b w:val="0"/>
          <w:bCs w:val="0"/>
          <w:color w:val="000000"/>
          <w:sz w:val="32"/>
          <w:szCs w:val="32"/>
          <w:lang w:val="en-US" w:eastAsia="zh-CN"/>
        </w:rPr>
        <w:t>1辆，</w:t>
      </w:r>
      <w:r>
        <w:rPr>
          <w:rFonts w:hint="eastAsia" w:ascii="仿宋_GB2312" w:hAnsi="仿宋_GB2312" w:eastAsia="仿宋_GB2312" w:cs="仿宋_GB2312"/>
          <w:b w:val="0"/>
          <w:bCs w:val="0"/>
          <w:sz w:val="32"/>
          <w:szCs w:val="32"/>
        </w:rPr>
        <w:t>应急保障用车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hAnsi="仿宋_GB2312" w:eastAsia="仿宋_GB2312" w:cs="仿宋_GB2312"/>
          <w:b w:val="0"/>
          <w:bCs w:val="0"/>
          <w:sz w:val="32"/>
          <w:szCs w:val="32"/>
          <w:lang w:eastAsia="zh-CN"/>
        </w:rPr>
        <w:t>疫情防控、五清行动、森林防火、防汛减灾、乡村振兴、项目建设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政府日常事务。大为镇</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lang w:eastAsia="zh-CN"/>
        </w:rPr>
        <w:t>社会治安综合治理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“乡镇交管办及劝导员专项经费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食品药品监管工作经费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eastAsia="zh-CN"/>
        </w:rPr>
        <w:t>“扶贫项目工程”“公务用车购置”“村组干部工资”“</w:t>
      </w:r>
      <w:r>
        <w:rPr>
          <w:rFonts w:hint="eastAsia" w:ascii="仿宋_GB2312" w:hAnsi="仿宋_GB2312" w:eastAsia="仿宋_GB2312" w:cs="仿宋_GB2312"/>
          <w:sz w:val="32"/>
          <w:szCs w:val="32"/>
          <w:lang w:val="zh-CN" w:eastAsia="zh-CN"/>
        </w:rPr>
        <w:t>峨汉高速征地拆迁项目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进城安置补偿经费项目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大为镇</w:t>
      </w:r>
      <w:r>
        <w:rPr>
          <w:rFonts w:hint="eastAsia" w:ascii="仿宋_GB2312" w:hAnsi="仿宋_GB2312" w:eastAsia="仿宋_GB2312" w:cs="仿宋_GB2312"/>
          <w:sz w:val="32"/>
          <w:szCs w:val="32"/>
        </w:rPr>
        <w:t>部门整体绩效评价报告》见附件（第四部分）。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rPr>
      </w:pPr>
      <w:bookmarkStart w:id="55" w:name="_Toc15377225"/>
      <w:bookmarkStart w:id="56" w:name="_Toc15396613"/>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27"/>
          <w:rFonts w:hint="eastAsia" w:ascii="方正小标宋_GBK" w:hAnsi="方正小标宋_GBK" w:eastAsia="方正小标宋_GBK" w:cs="方正小标宋_GBK"/>
          <w:b w:val="0"/>
        </w:rPr>
        <w:t>词解释</w:t>
      </w:r>
      <w:bookmarkEnd w:id="55"/>
      <w:bookmarkEnd w:id="56"/>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bookmarkStart w:id="57" w:name="_Toc15377226"/>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25"/>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pStyle w:val="25"/>
        <w:spacing w:line="560" w:lineRule="exact"/>
        <w:ind w:firstLine="640" w:firstLineChars="200"/>
        <w:rPr>
          <w:rFonts w:ascii="仿宋_GB2312" w:eastAsia="仿宋_GB2312"/>
          <w:sz w:val="32"/>
          <w:szCs w:val="32"/>
          <w:lang w:val="en-US" w:eastAsia="zh-CN"/>
        </w:rPr>
      </w:pPr>
      <w:r>
        <w:rPr>
          <w:rFonts w:hint="eastAsia" w:ascii="仿宋_GB2312" w:eastAsia="仿宋_GB2312"/>
          <w:color w:val="000000"/>
          <w:sz w:val="32"/>
          <w:szCs w:val="32"/>
          <w:lang w:eastAsia="zh-CN"/>
        </w:rPr>
        <w:t>九、</w:t>
      </w:r>
      <w:r>
        <w:rPr>
          <w:rFonts w:hint="eastAsia" w:ascii="仿宋_GB2312" w:eastAsia="仿宋_GB2312"/>
          <w:sz w:val="32"/>
          <w:szCs w:val="32"/>
          <w:lang w:val="en-US" w:eastAsia="zh-CN"/>
        </w:rPr>
        <w:t>一般公共服务（类）政府办公厅（室）及相关机构事务（款）行政运行（项）</w:t>
      </w:r>
      <w:r>
        <w:rPr>
          <w:rFonts w:ascii="仿宋_GB2312" w:eastAsia="仿宋_GB2312"/>
          <w:sz w:val="32"/>
          <w:szCs w:val="32"/>
          <w:lang w:val="en-US" w:eastAsia="zh-CN"/>
        </w:rPr>
        <w:t xml:space="preserve">: </w:t>
      </w:r>
      <w:r>
        <w:rPr>
          <w:rFonts w:hint="eastAsia" w:ascii="仿宋_GB2312" w:eastAsia="仿宋_GB2312"/>
          <w:sz w:val="32"/>
          <w:szCs w:val="32"/>
        </w:rPr>
        <w:t>主要是</w:t>
      </w:r>
      <w:r>
        <w:rPr>
          <w:rFonts w:hint="eastAsia" w:ascii="仿宋_GB2312" w:eastAsia="仿宋_GB2312"/>
          <w:sz w:val="32"/>
          <w:szCs w:val="32"/>
          <w:lang w:eastAsia="zh-CN"/>
        </w:rPr>
        <w:t>机关</w:t>
      </w:r>
      <w:r>
        <w:rPr>
          <w:rFonts w:hint="eastAsia" w:ascii="仿宋_GB2312" w:eastAsia="仿宋_GB2312"/>
          <w:sz w:val="32"/>
          <w:szCs w:val="32"/>
        </w:rPr>
        <w:t>正常运转的基本支出，包括基本工资、津贴补贴（或绩效工资）等人员经费以及办公费、印刷费、水电费等日常公用经费。</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pPr>
        <w:pStyle w:val="25"/>
        <w:numPr>
          <w:ilvl w:val="0"/>
          <w:numId w:val="2"/>
        </w:numPr>
        <w:spacing w:line="56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一般公共服务（类）政府办公厅（室）及相关机构事务（款）行政运行（项）其他政府办公厅（室及相关机构事务）（项）: 主要反映政府年办公厅（室）及相关机构事务支出。</w:t>
      </w:r>
    </w:p>
    <w:p>
      <w:pPr>
        <w:pageBreakBefore w:val="0"/>
        <w:kinsoku/>
        <w:wordWrap/>
        <w:overflowPunct/>
        <w:topLinePunct w:val="0"/>
        <w:bidi w:val="0"/>
        <w:spacing w:line="600" w:lineRule="exact"/>
        <w:ind w:firstLine="640" w:firstLineChars="200"/>
        <w:textAlignment w:val="auto"/>
        <w:rPr>
          <w:rFonts w:hint="default" w:ascii="仿宋_GB2312" w:eastAsia="仿宋_GB2312"/>
          <w:sz w:val="32"/>
          <w:szCs w:val="32"/>
          <w:lang w:val="en-US" w:eastAsia="zh-CN"/>
        </w:rPr>
      </w:pPr>
      <w:r>
        <w:rPr>
          <w:rStyle w:val="16"/>
          <w:rFonts w:hint="eastAsia" w:ascii="仿宋_GB2312" w:hAnsi="仿宋_GB2312" w:eastAsia="仿宋_GB2312" w:cs="仿宋_GB2312"/>
          <w:b w:val="0"/>
          <w:bCs/>
          <w:color w:val="000000"/>
          <w:sz w:val="32"/>
          <w:szCs w:val="32"/>
          <w:highlight w:val="none"/>
          <w:lang w:eastAsia="zh-CN"/>
        </w:rPr>
        <w:t>十一、</w:t>
      </w:r>
      <w:r>
        <w:rPr>
          <w:rStyle w:val="16"/>
          <w:rFonts w:hint="eastAsia" w:ascii="仿宋_GB2312" w:hAnsi="仿宋_GB2312" w:eastAsia="仿宋_GB2312" w:cs="仿宋_GB2312"/>
          <w:b w:val="0"/>
          <w:bCs/>
          <w:color w:val="000000"/>
          <w:sz w:val="32"/>
          <w:szCs w:val="32"/>
          <w:highlight w:val="none"/>
        </w:rPr>
        <w:t>一般公共服务（类）</w:t>
      </w:r>
      <w:r>
        <w:rPr>
          <w:rStyle w:val="16"/>
          <w:rFonts w:hint="eastAsia" w:ascii="仿宋_GB2312" w:hAnsi="仿宋_GB2312" w:eastAsia="仿宋_GB2312" w:cs="仿宋_GB2312"/>
          <w:b w:val="0"/>
          <w:bCs/>
          <w:color w:val="000000"/>
          <w:sz w:val="32"/>
          <w:szCs w:val="32"/>
          <w:highlight w:val="none"/>
          <w:lang w:eastAsia="zh-CN"/>
        </w:rPr>
        <w:t>财政事务</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事业运行</w:t>
      </w:r>
      <w:r>
        <w:rPr>
          <w:rStyle w:val="16"/>
          <w:rFonts w:hint="eastAsia" w:ascii="仿宋_GB2312" w:hAnsi="仿宋_GB2312" w:eastAsia="仿宋_GB2312" w:cs="仿宋_GB2312"/>
          <w:b w:val="0"/>
          <w:bCs/>
          <w:color w:val="000000"/>
          <w:sz w:val="32"/>
          <w:szCs w:val="32"/>
          <w:highlight w:val="none"/>
        </w:rPr>
        <w:t>（项）:</w:t>
      </w:r>
      <w:r>
        <w:rPr>
          <w:rStyle w:val="16"/>
          <w:rFonts w:hint="eastAsia" w:ascii="仿宋_GB2312" w:hAnsi="仿宋_GB2312" w:eastAsia="仿宋_GB2312" w:cs="仿宋_GB2312"/>
          <w:b w:val="0"/>
          <w:bCs/>
          <w:color w:val="000000"/>
          <w:sz w:val="32"/>
          <w:szCs w:val="32"/>
          <w:highlight w:val="none"/>
          <w:lang w:eastAsia="zh-CN"/>
        </w:rPr>
        <w:t>反映便民服务中心</w:t>
      </w:r>
      <w:r>
        <w:rPr>
          <w:rFonts w:hint="eastAsia" w:ascii="仿宋_GB2312" w:eastAsia="仿宋_GB2312"/>
          <w:sz w:val="32"/>
          <w:szCs w:val="32"/>
        </w:rPr>
        <w:t>正常运转的基本支出，包括基本工资、津贴补贴（或绩效工资）等人员经费以及办公费、印刷费、水电费等日常公用经费</w:t>
      </w:r>
      <w:r>
        <w:rPr>
          <w:rStyle w:val="16"/>
          <w:rFonts w:hint="eastAsia" w:ascii="仿宋_GB2312" w:hAnsi="仿宋_GB2312" w:eastAsia="仿宋_GB2312" w:cs="仿宋_GB2312"/>
          <w:b w:val="0"/>
          <w:bCs/>
          <w:color w:val="000000"/>
          <w:sz w:val="32"/>
          <w:szCs w:val="32"/>
          <w:highlight w:val="none"/>
        </w:rPr>
        <w:t>。</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十二、</w:t>
      </w:r>
      <w:r>
        <w:rPr>
          <w:rFonts w:hint="eastAsia" w:ascii="仿宋_GB2312" w:eastAsia="仿宋_GB2312"/>
          <w:sz w:val="32"/>
          <w:szCs w:val="32"/>
          <w:lang w:val="en-US" w:eastAsia="zh-CN"/>
        </w:rPr>
        <w:t>文化旅游体育与传媒（类）文化和旅游（款）其他文化和旅游支出（项）:反映其他用于文化和旅游方面的支出。</w:t>
      </w:r>
    </w:p>
    <w:p>
      <w:pPr>
        <w:pStyle w:val="25"/>
        <w:spacing w:line="560" w:lineRule="exact"/>
        <w:ind w:firstLine="640" w:firstLineChars="200"/>
        <w:rPr>
          <w:rFonts w:ascii="仿宋_GB2312" w:eastAsia="仿宋_GB2312"/>
          <w:sz w:val="32"/>
          <w:szCs w:val="32"/>
          <w:lang w:val="en-US" w:eastAsia="zh-CN"/>
        </w:rPr>
      </w:pPr>
      <w:r>
        <w:rPr>
          <w:rStyle w:val="16"/>
          <w:rFonts w:hint="eastAsia" w:ascii="仿宋_GB2312" w:hAnsi="仿宋_GB2312" w:eastAsia="仿宋_GB2312" w:cs="仿宋_GB2312"/>
          <w:b w:val="0"/>
          <w:bCs/>
          <w:color w:val="000000"/>
          <w:sz w:val="32"/>
          <w:szCs w:val="32"/>
          <w:highlight w:val="none"/>
          <w:lang w:eastAsia="zh-CN"/>
        </w:rPr>
        <w:t>十三、</w:t>
      </w:r>
      <w:r>
        <w:rPr>
          <w:rStyle w:val="16"/>
          <w:rFonts w:hint="eastAsia" w:ascii="仿宋_GB2312" w:hAnsi="仿宋_GB2312" w:eastAsia="仿宋_GB2312" w:cs="仿宋_GB2312"/>
          <w:b w:val="0"/>
          <w:bCs/>
          <w:color w:val="000000"/>
          <w:sz w:val="32"/>
          <w:szCs w:val="32"/>
          <w:highlight w:val="none"/>
        </w:rPr>
        <w:t>文化旅游体育与传媒</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文化和旅游</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群众文化</w:t>
      </w:r>
      <w:r>
        <w:rPr>
          <w:rStyle w:val="16"/>
          <w:rFonts w:hint="eastAsia" w:ascii="仿宋_GB2312" w:hAnsi="仿宋_GB2312" w:eastAsia="仿宋_GB2312" w:cs="仿宋_GB2312"/>
          <w:b w:val="0"/>
          <w:bCs/>
          <w:color w:val="000000"/>
          <w:sz w:val="32"/>
          <w:szCs w:val="32"/>
          <w:highlight w:val="none"/>
        </w:rPr>
        <w:t xml:space="preserve">（项）: </w:t>
      </w:r>
      <w:r>
        <w:rPr>
          <w:rStyle w:val="16"/>
          <w:rFonts w:hint="eastAsia" w:ascii="仿宋_GB2312" w:hAnsi="仿宋_GB2312" w:eastAsia="仿宋_GB2312" w:cs="仿宋_GB2312"/>
          <w:b w:val="0"/>
          <w:bCs/>
          <w:color w:val="000000"/>
          <w:sz w:val="32"/>
          <w:szCs w:val="32"/>
          <w:highlight w:val="none"/>
          <w:lang w:eastAsia="zh-CN"/>
        </w:rPr>
        <w:t>反映文化与旅游服务中心</w:t>
      </w:r>
      <w:r>
        <w:rPr>
          <w:rFonts w:hint="eastAsia" w:ascii="仿宋_GB2312" w:eastAsia="仿宋_GB2312"/>
          <w:sz w:val="32"/>
          <w:szCs w:val="32"/>
        </w:rPr>
        <w:t>正常运转的基本支出，包括基本工资、津贴补贴（或绩效工资）等人员经费以及办公费、印刷费、水电费等日常公用经费。</w:t>
      </w:r>
    </w:p>
    <w:p>
      <w:pPr>
        <w:pStyle w:val="25"/>
        <w:spacing w:line="560" w:lineRule="exact"/>
        <w:ind w:firstLine="640" w:firstLineChars="200"/>
        <w:rPr>
          <w:rFonts w:hint="default" w:ascii="仿宋_GB2312" w:eastAsia="仿宋_GB2312"/>
          <w:sz w:val="32"/>
          <w:szCs w:val="32"/>
          <w:lang w:val="en-US" w:eastAsia="zh-CN"/>
        </w:rPr>
      </w:pPr>
      <w:r>
        <w:rPr>
          <w:rStyle w:val="16"/>
          <w:rFonts w:hint="eastAsia" w:ascii="仿宋_GB2312" w:hAnsi="仿宋_GB2312" w:eastAsia="仿宋_GB2312" w:cs="仿宋_GB2312"/>
          <w:b w:val="0"/>
          <w:bCs/>
          <w:color w:val="000000"/>
          <w:sz w:val="32"/>
          <w:szCs w:val="32"/>
          <w:highlight w:val="none"/>
          <w:lang w:eastAsia="zh-CN"/>
        </w:rPr>
        <w:t>十四、</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抚恤</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死亡抚恤</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反映按照规定用于烈士和牺牲、病故人员家属的一次性和定期抚恤金以及丧葬补助费。</w:t>
      </w:r>
    </w:p>
    <w:p>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十五、</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抚恤</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其他优抚支出</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反映其他用于优抚方面的支出。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十六、</w:t>
      </w:r>
      <w:r>
        <w:rPr>
          <w:rStyle w:val="16"/>
          <w:rFonts w:hint="eastAsia" w:ascii="仿宋_GB2312" w:hAnsi="仿宋_GB2312" w:eastAsia="仿宋_GB2312" w:cs="仿宋_GB2312"/>
          <w:b w:val="0"/>
          <w:bCs/>
          <w:color w:val="000000"/>
          <w:sz w:val="32"/>
          <w:szCs w:val="32"/>
          <w:highlight w:val="none"/>
        </w:rPr>
        <w:t>社会保障和就业</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部门实施养老保险制度由单位缴纳的</w:t>
      </w:r>
      <w:r>
        <w:rPr>
          <w:rFonts w:hint="eastAsia" w:ascii="仿宋_GB2312" w:eastAsia="仿宋_GB2312"/>
          <w:sz w:val="32"/>
          <w:szCs w:val="32"/>
          <w:lang w:eastAsia="zh-CN"/>
        </w:rPr>
        <w:t>其他社会</w:t>
      </w:r>
      <w:r>
        <w:rPr>
          <w:rFonts w:hint="eastAsia" w:ascii="仿宋_GB2312" w:eastAsia="仿宋_GB2312"/>
          <w:sz w:val="32"/>
          <w:szCs w:val="32"/>
        </w:rPr>
        <w:t>保险费的支出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十七、</w:t>
      </w:r>
      <w:r>
        <w:rPr>
          <w:rFonts w:hint="eastAsia" w:ascii="仿宋_GB2312" w:eastAsia="仿宋_GB2312"/>
          <w:sz w:val="32"/>
          <w:szCs w:val="32"/>
          <w:lang w:val="en-US" w:eastAsia="zh-CN"/>
        </w:rPr>
        <w:t>社会保障和就业（类）</w:t>
      </w:r>
      <w:r>
        <w:rPr>
          <w:rStyle w:val="16"/>
          <w:rFonts w:hint="eastAsia" w:ascii="仿宋_GB2312" w:hAnsi="仿宋_GB2312" w:eastAsia="仿宋_GB2312" w:cs="仿宋_GB2312"/>
          <w:b w:val="0"/>
          <w:bCs/>
          <w:color w:val="000000"/>
          <w:sz w:val="32"/>
          <w:szCs w:val="32"/>
          <w:highlight w:val="none"/>
          <w:lang w:eastAsia="zh-CN"/>
        </w:rPr>
        <w:t>行政事业单位养老支出</w:t>
      </w:r>
      <w:r>
        <w:rPr>
          <w:rFonts w:hint="eastAsia" w:ascii="仿宋_GB2312" w:eastAsia="仿宋_GB2312"/>
          <w:sz w:val="32"/>
          <w:szCs w:val="32"/>
          <w:lang w:val="en-US" w:eastAsia="zh-CN"/>
        </w:rPr>
        <w:t>（款）机关事业单位基本养老保险缴费支出（项）：反映</w:t>
      </w:r>
      <w:r>
        <w:rPr>
          <w:rFonts w:hint="eastAsia" w:ascii="仿宋_GB2312" w:eastAsia="仿宋_GB2312"/>
          <w:sz w:val="32"/>
          <w:szCs w:val="32"/>
        </w:rPr>
        <w:t>部门实施养老保险制度由单位缴纳的养老保险费的支出。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000000"/>
          <w:sz w:val="32"/>
          <w:szCs w:val="32"/>
          <w:lang w:eastAsia="zh-CN"/>
        </w:rPr>
        <w:t>十八、</w:t>
      </w:r>
      <w:r>
        <w:rPr>
          <w:rFonts w:hint="eastAsia" w:ascii="仿宋_GB2312" w:eastAsia="仿宋_GB2312"/>
          <w:sz w:val="32"/>
          <w:szCs w:val="32"/>
          <w:lang w:val="en-US" w:eastAsia="zh-CN"/>
        </w:rPr>
        <w:t>社会保障和就业（类）</w:t>
      </w:r>
      <w:r>
        <w:rPr>
          <w:rStyle w:val="16"/>
          <w:rFonts w:hint="eastAsia" w:ascii="仿宋_GB2312" w:hAnsi="仿宋_GB2312" w:eastAsia="仿宋_GB2312" w:cs="仿宋_GB2312"/>
          <w:b w:val="0"/>
          <w:bCs/>
          <w:color w:val="000000"/>
          <w:sz w:val="32"/>
          <w:szCs w:val="32"/>
          <w:highlight w:val="none"/>
          <w:lang w:eastAsia="zh-CN"/>
        </w:rPr>
        <w:t>行政事业单位养老支出</w:t>
      </w:r>
      <w:r>
        <w:rPr>
          <w:rFonts w:hint="eastAsia" w:ascii="仿宋_GB2312" w:eastAsia="仿宋_GB2312"/>
          <w:sz w:val="32"/>
          <w:szCs w:val="32"/>
          <w:lang w:val="en-US" w:eastAsia="zh-CN"/>
        </w:rPr>
        <w:t>（款）机关事业单位职业年金缴费支出（项）：反映</w:t>
      </w:r>
      <w:r>
        <w:rPr>
          <w:rFonts w:hint="eastAsia" w:ascii="仿宋_GB2312" w:eastAsia="仿宋_GB2312"/>
          <w:sz w:val="32"/>
          <w:szCs w:val="32"/>
        </w:rPr>
        <w:t>部门实施养老保险制度由单位缴纳的职业年金的支出</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sz w:val="32"/>
          <w:szCs w:val="32"/>
          <w:lang w:eastAsia="zh-CN"/>
        </w:rPr>
        <w:t>十九、</w:t>
      </w:r>
      <w:r>
        <w:rPr>
          <w:rFonts w:hint="eastAsia" w:ascii="仿宋_GB2312" w:hAnsi="仿宋_GB2312" w:eastAsia="仿宋_GB2312" w:cs="仿宋_GB2312"/>
          <w:b w:val="0"/>
          <w:bCs/>
          <w:color w:val="000000"/>
          <w:sz w:val="32"/>
          <w:szCs w:val="32"/>
          <w:highlight w:val="none"/>
        </w:rPr>
        <w:t>卫生健康</w:t>
      </w:r>
      <w:r>
        <w:rPr>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行政事业单位医疗</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行政单位医疗</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w:t>
      </w:r>
      <w:r>
        <w:rPr>
          <w:rFonts w:hint="eastAsia" w:ascii="仿宋_GB2312" w:eastAsia="仿宋_GB2312"/>
          <w:sz w:val="32"/>
          <w:szCs w:val="32"/>
        </w:rPr>
        <w:t>部门实施</w:t>
      </w:r>
      <w:r>
        <w:rPr>
          <w:rFonts w:hint="eastAsia" w:ascii="仿宋_GB2312" w:eastAsia="仿宋_GB2312"/>
          <w:sz w:val="32"/>
          <w:szCs w:val="32"/>
          <w:lang w:eastAsia="zh-CN"/>
        </w:rPr>
        <w:t>医疗</w:t>
      </w:r>
      <w:r>
        <w:rPr>
          <w:rFonts w:hint="eastAsia" w:ascii="仿宋_GB2312" w:eastAsia="仿宋_GB2312"/>
          <w:sz w:val="32"/>
          <w:szCs w:val="32"/>
        </w:rPr>
        <w:t>保险制度由单位缴纳的</w:t>
      </w:r>
      <w:r>
        <w:rPr>
          <w:rFonts w:hint="eastAsia" w:ascii="仿宋_GB2312" w:eastAsia="仿宋_GB2312"/>
          <w:sz w:val="32"/>
          <w:szCs w:val="32"/>
          <w:lang w:eastAsia="zh-CN"/>
        </w:rPr>
        <w:t>医疗保险</w:t>
      </w:r>
      <w:r>
        <w:rPr>
          <w:rFonts w:hint="eastAsia" w:ascii="仿宋_GB2312" w:eastAsia="仿宋_GB2312"/>
          <w:sz w:val="32"/>
          <w:szCs w:val="32"/>
        </w:rPr>
        <w:t>的</w:t>
      </w:r>
      <w:r>
        <w:rPr>
          <w:rFonts w:hint="eastAsia" w:ascii="仿宋_GB2312" w:hAnsi="Times New Roman" w:eastAsia="仿宋_GB2312" w:cs="Times New Roman"/>
          <w:color w:val="000000"/>
          <w:sz w:val="32"/>
          <w:szCs w:val="32"/>
          <w:lang w:eastAsia="zh-CN"/>
        </w:rPr>
        <w:t>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二十、城乡社区支出（类）城乡社区环境卫生（款）城乡社区环境卫生（项）</w:t>
      </w:r>
      <w:r>
        <w:rPr>
          <w:rFonts w:hint="eastAsia" w:ascii="仿宋_GB2312" w:hAnsi="Times New Roman" w:eastAsia="仿宋_GB2312" w:cs="Times New Roman"/>
          <w:color w:val="000000"/>
          <w:sz w:val="32"/>
          <w:szCs w:val="32"/>
          <w:lang w:eastAsia="zh-CN"/>
        </w:rPr>
        <w:t>:反映用于各村、集镇环境卫生方面的支出。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二十一、农林水支出（类）农业农村（款）事业运行（项）:反映农业综合服务中心正常运转的基本支出，包括基本工资、津贴补贴（或绩效工资）等人员经费以及办公费、印刷费、水电费等日常公用经费。</w:t>
      </w:r>
    </w:p>
    <w:p>
      <w:pPr>
        <w:pStyle w:val="25"/>
        <w:spacing w:line="560" w:lineRule="exact"/>
        <w:ind w:firstLine="640" w:firstLineChars="200"/>
        <w:rPr>
          <w:rFonts w:hint="default" w:ascii="仿宋_GB2312" w:eastAsia="仿宋_GB2312"/>
          <w:sz w:val="32"/>
          <w:szCs w:val="32"/>
          <w:lang w:val="en-US" w:eastAsia="zh-CN"/>
        </w:rPr>
      </w:pPr>
      <w:r>
        <w:rPr>
          <w:rFonts w:hint="eastAsia" w:ascii="仿宋_GB2312" w:hAnsi="Times New Roman" w:eastAsia="仿宋_GB2312" w:cs="Times New Roman"/>
          <w:color w:val="000000"/>
          <w:sz w:val="32"/>
          <w:szCs w:val="32"/>
          <w:lang w:val="en-US" w:eastAsia="zh-CN"/>
        </w:rPr>
        <w:t>二十二、</w:t>
      </w:r>
      <w:r>
        <w:rPr>
          <w:rStyle w:val="16"/>
          <w:rFonts w:hint="eastAsia" w:ascii="仿宋_GB2312" w:hAnsi="仿宋_GB2312" w:eastAsia="仿宋_GB2312" w:cs="仿宋_GB2312"/>
          <w:b w:val="0"/>
          <w:bCs/>
          <w:color w:val="000000"/>
          <w:sz w:val="32"/>
          <w:szCs w:val="32"/>
          <w:highlight w:val="none"/>
          <w:lang w:eastAsia="zh-CN"/>
        </w:rPr>
        <w:t>农林水支出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扶贫</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其他扶贫支出</w:t>
      </w:r>
      <w:r>
        <w:rPr>
          <w:rStyle w:val="16"/>
          <w:rFonts w:hint="eastAsia" w:ascii="仿宋_GB2312" w:hAnsi="仿宋_GB2312" w:eastAsia="仿宋_GB2312" w:cs="仿宋_GB2312"/>
          <w:b w:val="0"/>
          <w:bCs/>
          <w:color w:val="000000"/>
          <w:sz w:val="32"/>
          <w:szCs w:val="32"/>
          <w:highlight w:val="none"/>
        </w:rPr>
        <w:t xml:space="preserve">（项）: </w:t>
      </w:r>
      <w:r>
        <w:rPr>
          <w:rFonts w:hint="eastAsia" w:ascii="仿宋_GB2312" w:eastAsia="仿宋_GB2312"/>
          <w:sz w:val="32"/>
          <w:szCs w:val="32"/>
          <w:lang w:val="en-US" w:eastAsia="zh-CN"/>
        </w:rPr>
        <w:t>反映其他用于扶贫方面的支出。</w:t>
      </w:r>
    </w:p>
    <w:p>
      <w:pPr>
        <w:pStyle w:val="25"/>
        <w:spacing w:line="560" w:lineRule="exact"/>
        <w:ind w:firstLine="640" w:firstLineChars="200"/>
        <w:rPr>
          <w:rFonts w:hint="default" w:ascii="仿宋_GB2312" w:eastAsia="仿宋_GB2312"/>
          <w:sz w:val="32"/>
          <w:szCs w:val="32"/>
          <w:lang w:val="en-US" w:eastAsia="zh-CN"/>
        </w:rPr>
      </w:pPr>
      <w:r>
        <w:rPr>
          <w:rStyle w:val="16"/>
          <w:rFonts w:hint="eastAsia" w:ascii="仿宋_GB2312" w:hAnsi="仿宋_GB2312" w:eastAsia="仿宋_GB2312" w:cs="仿宋_GB2312"/>
          <w:b w:val="0"/>
          <w:bCs/>
          <w:color w:val="000000"/>
          <w:sz w:val="32"/>
          <w:szCs w:val="32"/>
          <w:highlight w:val="none"/>
          <w:lang w:eastAsia="zh-CN"/>
        </w:rPr>
        <w:t>二十三、农林水支出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农村综合改革</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对村民委员会和村党支部的补助</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反映各级财政对村民委员会和村党支部的补助支出，以及支持建立县级基本财力保障机制安排的村级组织运转奖补资金。</w:t>
      </w:r>
    </w:p>
    <w:p>
      <w:pPr>
        <w:pStyle w:val="25"/>
        <w:spacing w:line="560" w:lineRule="exact"/>
        <w:ind w:firstLine="640" w:firstLineChars="200"/>
        <w:rPr>
          <w:rFonts w:hint="default" w:ascii="仿宋_GB2312" w:eastAsia="仿宋_GB2312"/>
          <w:sz w:val="32"/>
          <w:szCs w:val="32"/>
          <w:lang w:val="en-US" w:eastAsia="zh-CN"/>
        </w:rPr>
      </w:pPr>
      <w:r>
        <w:rPr>
          <w:rStyle w:val="16"/>
          <w:rFonts w:hint="eastAsia" w:ascii="仿宋_GB2312" w:hAnsi="仿宋_GB2312" w:eastAsia="仿宋_GB2312" w:cs="仿宋_GB2312"/>
          <w:b w:val="0"/>
          <w:bCs/>
          <w:color w:val="000000"/>
          <w:sz w:val="32"/>
          <w:szCs w:val="32"/>
          <w:highlight w:val="none"/>
          <w:lang w:eastAsia="zh-CN"/>
        </w:rPr>
        <w:t>二十四、住房保障支出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住房改革支出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住房公积金</w:t>
      </w:r>
      <w:r>
        <w:rPr>
          <w:rStyle w:val="16"/>
          <w:rFonts w:hint="eastAsia" w:ascii="仿宋_GB2312" w:hAnsi="仿宋_GB2312" w:eastAsia="仿宋_GB2312" w:cs="仿宋_GB2312"/>
          <w:b w:val="0"/>
          <w:bCs/>
          <w:color w:val="000000"/>
          <w:sz w:val="32"/>
          <w:szCs w:val="32"/>
          <w:highlight w:val="none"/>
        </w:rPr>
        <w:t>（项）:</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二十五</w:t>
      </w:r>
      <w:r>
        <w:rPr>
          <w:rFonts w:hint="eastAsia" w:ascii="仿宋_GB2312" w:eastAsia="仿宋_GB2312"/>
          <w:color w:val="000000"/>
          <w:sz w:val="32"/>
          <w:szCs w:val="32"/>
          <w:lang w:eastAsia="zh-CN"/>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二十六</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二十七</w:t>
      </w:r>
      <w:r>
        <w:rPr>
          <w:rFonts w:hint="eastAsia" w:ascii="仿宋_GB2312" w:eastAsia="仿宋_GB2312"/>
          <w:color w:val="000000"/>
          <w:sz w:val="32"/>
          <w:szCs w:val="32"/>
          <w:lang w:eastAsia="zh-CN"/>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二十八、</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sz w:val="32"/>
          <w:szCs w:val="32"/>
        </w:rPr>
      </w:pPr>
      <w:r>
        <w:rPr>
          <w:rFonts w:hint="eastAsia" w:ascii="仿宋_GB2312" w:eastAsia="仿宋_GB2312"/>
          <w:sz w:val="32"/>
          <w:szCs w:val="32"/>
          <w:lang w:eastAsia="zh-CN"/>
        </w:rPr>
        <w:t>二十九、</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bCs w:val="0"/>
        </w:rPr>
      </w:pPr>
      <w:r>
        <w:rPr>
          <w:rFonts w:ascii="宋体"/>
          <w:b/>
          <w:color w:val="000000"/>
          <w:sz w:val="44"/>
          <w:szCs w:val="44"/>
        </w:rPr>
        <w:br w:type="page"/>
      </w:r>
      <w:bookmarkStart w:id="58" w:name="_Toc15396614"/>
      <w:r>
        <w:rPr>
          <w:rFonts w:hint="eastAsia" w:ascii="方正小标宋_GBK" w:hAnsi="方正小标宋_GBK" w:eastAsia="方正小标宋_GBK" w:cs="方正小标宋_GBK"/>
          <w:b w:val="0"/>
          <w:bCs w:val="0"/>
          <w:sz w:val="44"/>
          <w:szCs w:val="44"/>
        </w:rPr>
        <w:t>第</w:t>
      </w:r>
      <w:r>
        <w:rPr>
          <w:rStyle w:val="27"/>
          <w:rFonts w:hint="eastAsia" w:ascii="方正小标宋_GBK" w:hAnsi="方正小标宋_GBK" w:eastAsia="方正小标宋_GBK" w:cs="方正小标宋_GBK"/>
          <w:b w:val="0"/>
          <w:bCs w:val="0"/>
        </w:rPr>
        <w:t>四部分 附件</w:t>
      </w:r>
      <w:bookmarkEnd w:id="5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w:t>
      </w:r>
      <w:r>
        <w:rPr>
          <w:rFonts w:hint="eastAsia" w:ascii="方正小标宋_GBK" w:hAnsi="方正小标宋_GBK" w:eastAsia="方正小标宋_GBK" w:cs="方正小标宋_GBK"/>
          <w:kern w:val="0"/>
          <w:sz w:val="44"/>
          <w:szCs w:val="44"/>
          <w:lang w:eastAsia="zh-CN"/>
        </w:rPr>
        <w:t>大为镇</w:t>
      </w:r>
      <w:r>
        <w:rPr>
          <w:rFonts w:hint="eastAsia" w:ascii="方正小标宋_GBK" w:hAnsi="方正小标宋_GBK" w:eastAsia="方正小标宋_GBK" w:cs="方正小标宋_GBK"/>
          <w:kern w:val="0"/>
          <w:sz w:val="44"/>
          <w:szCs w:val="44"/>
        </w:rPr>
        <w:t>部门整体绩效评价报告</w:t>
      </w:r>
    </w:p>
    <w:p>
      <w:pPr>
        <w:keepNext w:val="0"/>
        <w:keepLines w:val="0"/>
        <w:pageBreakBefore w:val="0"/>
        <w:widowControl/>
        <w:kinsoku/>
        <w:wordWrap/>
        <w:overflowPunct/>
        <w:topLinePunct w:val="0"/>
        <w:bidi w:val="0"/>
        <w:spacing w:line="600" w:lineRule="exact"/>
        <w:ind w:firstLine="640" w:firstLineChars="200"/>
        <w:contextualSpacing/>
        <w:jc w:val="center"/>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pStyle w:val="2"/>
        <w:ind w:left="0" w:leftChars="0" w:firstLine="640" w:firstLineChars="200"/>
        <w:rPr>
          <w:rFonts w:hint="eastAsia"/>
          <w:lang w:val="zh-CN"/>
        </w:rPr>
      </w:pPr>
      <w:r>
        <w:rPr>
          <w:rFonts w:hint="eastAsia" w:ascii="仿宋_GB2312" w:hAnsi="黑体"/>
          <w:bCs/>
          <w:szCs w:val="32"/>
        </w:rPr>
        <w:t>我镇设置1个行政机关，4个事业部门：便民服务中心（退役军人服务站）、农业综合服务中心、文化旅游服务中心、农民工服务中心。当年无变动。</w:t>
      </w:r>
    </w:p>
    <w:p>
      <w:pPr>
        <w:keepNext w:val="0"/>
        <w:keepLines w:val="0"/>
        <w:pageBreakBefore w:val="0"/>
        <w:widowControl/>
        <w:numPr>
          <w:ilvl w:val="0"/>
          <w:numId w:val="3"/>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按照峨委办〔2019〕63号、峨编发〔2021〕14号、峨编发〔2021〕18号文件精神，按照职能归口，内设6个行政机构、4个事业机构。行政机构设党政办公室、党建办公室、社会事务办公室（社会治理办公室）、综合执法办公室、乡村振兴办公室（规划建设管理办公室、自然资源和生态环境保护办公室）、财政所；事业机构设便民服务中心（退役军人服务站）、农业综合服务中心、文化旅游服务中心、农民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镇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统筹协调乡村振兴、经济发展、国土空间规划、村镇建设管理、自然资源和生态环境保护、城乡环境治理、人居环境整治等相关工作。（六）负责镇财务和村级财务的管理指导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lang w:val="zh-CN"/>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numPr>
          <w:ilvl w:val="0"/>
          <w:numId w:val="3"/>
        </w:numPr>
        <w:kinsoku/>
        <w:wordWrap/>
        <w:overflowPunct/>
        <w:topLinePunct w:val="0"/>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人员概况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zh-CN" w:eastAsia="zh-CN" w:bidi="zh-CN"/>
        </w:rPr>
        <w:t>我镇行政人员编制核定为23名，实有</w:t>
      </w:r>
      <w:r>
        <w:rPr>
          <w:rFonts w:hint="eastAsia" w:ascii="仿宋_GB2312" w:hAnsi="仿宋_GB2312" w:eastAsia="仿宋_GB2312" w:cs="仿宋_GB2312"/>
          <w:color w:val="auto"/>
          <w:spacing w:val="0"/>
          <w:w w:val="100"/>
          <w:kern w:val="2"/>
          <w:sz w:val="32"/>
          <w:szCs w:val="32"/>
          <w:lang w:val="en-US" w:eastAsia="zh-CN" w:bidi="zh-CN"/>
        </w:rPr>
        <w:t>24</w:t>
      </w:r>
      <w:r>
        <w:rPr>
          <w:rFonts w:hint="eastAsia" w:ascii="仿宋_GB2312" w:hAnsi="仿宋_GB2312" w:eastAsia="仿宋_GB2312" w:cs="仿宋_GB2312"/>
          <w:color w:val="auto"/>
          <w:spacing w:val="0"/>
          <w:w w:val="100"/>
          <w:kern w:val="2"/>
          <w:sz w:val="32"/>
          <w:szCs w:val="32"/>
          <w:lang w:val="zh-CN" w:eastAsia="zh-CN" w:bidi="zh-CN"/>
        </w:rPr>
        <w:t>人；工勤编制</w:t>
      </w:r>
      <w:r>
        <w:rPr>
          <w:rFonts w:hint="eastAsia" w:ascii="仿宋_GB2312" w:hAnsi="仿宋_GB2312" w:eastAsia="仿宋_GB2312" w:cs="仿宋_GB2312"/>
          <w:color w:val="auto"/>
          <w:spacing w:val="0"/>
          <w:w w:val="100"/>
          <w:kern w:val="2"/>
          <w:sz w:val="32"/>
          <w:szCs w:val="32"/>
          <w:lang w:val="en-US" w:eastAsia="zh-CN" w:bidi="zh-CN"/>
        </w:rPr>
        <w:t>1名，实有0人；</w:t>
      </w:r>
      <w:r>
        <w:rPr>
          <w:rFonts w:hint="eastAsia" w:ascii="仿宋_GB2312" w:hAnsi="仿宋_GB2312" w:eastAsia="仿宋_GB2312" w:cs="仿宋_GB2312"/>
          <w:color w:val="auto"/>
          <w:spacing w:val="0"/>
          <w:w w:val="100"/>
          <w:kern w:val="2"/>
          <w:sz w:val="32"/>
          <w:szCs w:val="32"/>
          <w:lang w:val="zh-CN" w:eastAsia="zh-CN" w:bidi="zh-CN"/>
        </w:rPr>
        <w:t>事业人员编制</w:t>
      </w:r>
      <w:r>
        <w:rPr>
          <w:rFonts w:hint="eastAsia" w:ascii="仿宋_GB2312" w:hAnsi="仿宋_GB2312" w:eastAsia="仿宋_GB2312" w:cs="仿宋_GB2312"/>
          <w:color w:val="auto"/>
          <w:spacing w:val="0"/>
          <w:w w:val="100"/>
          <w:kern w:val="2"/>
          <w:sz w:val="32"/>
          <w:szCs w:val="32"/>
          <w:lang w:val="en-US" w:eastAsia="zh-CN" w:bidi="zh-CN"/>
        </w:rPr>
        <w:t>13</w:t>
      </w:r>
      <w:r>
        <w:rPr>
          <w:rFonts w:hint="eastAsia" w:ascii="仿宋_GB2312" w:hAnsi="仿宋_GB2312" w:eastAsia="仿宋_GB2312" w:cs="仿宋_GB2312"/>
          <w:color w:val="auto"/>
          <w:spacing w:val="0"/>
          <w:w w:val="100"/>
          <w:kern w:val="2"/>
          <w:sz w:val="32"/>
          <w:szCs w:val="32"/>
          <w:lang w:val="zh-CN" w:eastAsia="zh-CN" w:bidi="zh-CN"/>
        </w:rPr>
        <w:t>名，实有</w:t>
      </w:r>
      <w:r>
        <w:rPr>
          <w:rFonts w:hint="eastAsia" w:ascii="仿宋_GB2312" w:hAnsi="仿宋_GB2312" w:eastAsia="仿宋_GB2312" w:cs="仿宋_GB2312"/>
          <w:color w:val="auto"/>
          <w:spacing w:val="0"/>
          <w:w w:val="100"/>
          <w:kern w:val="2"/>
          <w:sz w:val="32"/>
          <w:szCs w:val="32"/>
          <w:lang w:val="en-US" w:eastAsia="zh-CN" w:bidi="zh-CN"/>
        </w:rPr>
        <w:t>16</w:t>
      </w:r>
      <w:r>
        <w:rPr>
          <w:rFonts w:hint="eastAsia" w:ascii="仿宋_GB2312" w:hAnsi="仿宋_GB2312" w:eastAsia="仿宋_GB2312" w:cs="仿宋_GB2312"/>
          <w:color w:val="auto"/>
          <w:spacing w:val="0"/>
          <w:w w:val="100"/>
          <w:kern w:val="2"/>
          <w:sz w:val="32"/>
          <w:szCs w:val="32"/>
          <w:lang w:val="zh-CN" w:eastAsia="zh-CN" w:bidi="zh-CN"/>
        </w:rPr>
        <w:t>人；我单位总编制</w:t>
      </w:r>
      <w:r>
        <w:rPr>
          <w:rFonts w:hint="eastAsia" w:ascii="仿宋_GB2312" w:hAnsi="仿宋_GB2312" w:eastAsia="仿宋_GB2312" w:cs="仿宋_GB2312"/>
          <w:color w:val="auto"/>
          <w:spacing w:val="0"/>
          <w:w w:val="100"/>
          <w:kern w:val="2"/>
          <w:sz w:val="32"/>
          <w:szCs w:val="32"/>
          <w:lang w:val="en-US" w:eastAsia="zh-CN" w:bidi="zh-CN"/>
        </w:rPr>
        <w:t>37</w:t>
      </w:r>
      <w:r>
        <w:rPr>
          <w:rFonts w:hint="eastAsia" w:ascii="仿宋_GB2312" w:hAnsi="仿宋_GB2312" w:eastAsia="仿宋_GB2312" w:cs="仿宋_GB2312"/>
          <w:color w:val="auto"/>
          <w:spacing w:val="0"/>
          <w:w w:val="100"/>
          <w:kern w:val="2"/>
          <w:sz w:val="32"/>
          <w:szCs w:val="32"/>
          <w:lang w:val="zh-CN" w:eastAsia="zh-CN" w:bidi="zh-CN"/>
        </w:rPr>
        <w:t>人，实有</w:t>
      </w:r>
      <w:r>
        <w:rPr>
          <w:rFonts w:hint="eastAsia" w:ascii="仿宋_GB2312" w:hAnsi="仿宋_GB2312" w:eastAsia="仿宋_GB2312" w:cs="仿宋_GB2312"/>
          <w:color w:val="auto"/>
          <w:spacing w:val="0"/>
          <w:w w:val="100"/>
          <w:kern w:val="2"/>
          <w:sz w:val="32"/>
          <w:szCs w:val="32"/>
          <w:lang w:val="en-US" w:eastAsia="zh-CN" w:bidi="zh-CN"/>
        </w:rPr>
        <w:t>40</w:t>
      </w:r>
      <w:r>
        <w:rPr>
          <w:rFonts w:hint="eastAsia" w:ascii="仿宋_GB2312" w:hAnsi="仿宋_GB2312" w:eastAsia="仿宋_GB2312" w:cs="仿宋_GB2312"/>
          <w:color w:val="auto"/>
          <w:spacing w:val="0"/>
          <w:w w:val="100"/>
          <w:kern w:val="2"/>
          <w:sz w:val="32"/>
          <w:szCs w:val="32"/>
          <w:lang w:val="zh-CN" w:eastAsia="zh-CN" w:bidi="zh-CN"/>
        </w:rPr>
        <w:t>人。其中</w:t>
      </w:r>
      <w:r>
        <w:rPr>
          <w:rFonts w:hint="eastAsia" w:ascii="仿宋_GB2312" w:hAnsi="仿宋_GB2312" w:eastAsia="仿宋_GB2312" w:cs="仿宋_GB2312"/>
          <w:color w:val="auto"/>
          <w:spacing w:val="0"/>
          <w:w w:val="100"/>
          <w:kern w:val="2"/>
          <w:sz w:val="32"/>
          <w:szCs w:val="32"/>
          <w:lang w:val="en-US" w:eastAsia="zh-CN" w:bidi="zh-CN"/>
        </w:rPr>
        <w:t>2021年新增4名行政人员。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w:t>
      </w:r>
    </w:p>
    <w:p>
      <w:pPr>
        <w:ind w:firstLine="640" w:firstLineChars="200"/>
        <w:rPr>
          <w:rFonts w:hint="eastAsia" w:ascii="仿宋_GB2312" w:hAnsi="仿宋_GB2312" w:eastAsia="仿宋" w:cs="仿宋_GB2312"/>
          <w:kern w:val="2"/>
          <w:sz w:val="32"/>
          <w:szCs w:val="32"/>
          <w:lang w:val="zh-CN" w:eastAsia="zh-CN" w:bidi="zh-CN"/>
        </w:rPr>
      </w:pPr>
      <w:r>
        <w:rPr>
          <w:rFonts w:hint="eastAsia" w:ascii="仿宋_GB2312" w:hAnsi="仿宋_GB2312" w:eastAsia="仿宋_GB2312" w:cs="仿宋_GB2312"/>
          <w:color w:val="auto"/>
          <w:spacing w:val="0"/>
          <w:w w:val="100"/>
          <w:kern w:val="2"/>
          <w:sz w:val="32"/>
          <w:szCs w:val="32"/>
          <w:lang w:val="zh-CN" w:eastAsia="zh-CN" w:bidi="zh-CN"/>
        </w:rPr>
        <w:t>本单位2021年收入总额1369.78万元，其中财政拨款收入1310.98万元，占比95.71%，较上年降低33.57%，原因为节约开支，收入减少。其他收入58.79万元，占比4.29%，较上年降低89.07%，原因为会计做账规范化，将收到的资金用途进行科学区分，不属于收入项的不纳入收入。</w:t>
      </w:r>
    </w:p>
    <w:p>
      <w:pPr>
        <w:pStyle w:val="2"/>
        <w:rPr>
          <w:rFonts w:hint="eastAsia"/>
          <w:lang w:val="zh-CN"/>
        </w:rPr>
      </w:pPr>
      <w:r>
        <w:drawing>
          <wp:inline distT="0" distB="0" distL="0" distR="0">
            <wp:extent cx="5486400" cy="3219450"/>
            <wp:effectExtent l="0" t="0" r="0" b="0"/>
            <wp:docPr id="4" name="图片 4" descr="收入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收入类"/>
                    <pic:cNvPicPr>
                      <a:picLocks noChangeAspect="1" noChangeArrowheads="1"/>
                    </pic:cNvPicPr>
                  </pic:nvPicPr>
                  <pic:blipFill>
                    <a:blip r:embed="rId14" cstate="print"/>
                    <a:srcRect/>
                    <a:stretch>
                      <a:fillRect/>
                    </a:stretch>
                  </pic:blipFill>
                  <pic:spPr>
                    <a:xfrm>
                      <a:off x="0" y="0"/>
                      <a:ext cx="5486400" cy="3219450"/>
                    </a:xfrm>
                    <a:prstGeom prst="rect">
                      <a:avLst/>
                    </a:prstGeom>
                    <a:noFill/>
                    <a:ln w="9525">
                      <a:noFill/>
                      <a:miter lim="800000"/>
                      <a:headEnd/>
                      <a:tailEnd/>
                    </a:ln>
                  </pic:spPr>
                </pic:pic>
              </a:graphicData>
            </a:graphic>
          </wp:inline>
        </w:drawing>
      </w:r>
    </w:p>
    <w:p>
      <w:pPr>
        <w:keepNext w:val="0"/>
        <w:keepLines w:val="0"/>
        <w:pageBreakBefore w:val="0"/>
        <w:widowControl/>
        <w:numPr>
          <w:ilvl w:val="0"/>
          <w:numId w:val="4"/>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部门财政资金支出情况</w:t>
      </w:r>
    </w:p>
    <w:p>
      <w:pPr>
        <w:spacing w:line="360" w:lineRule="auto"/>
        <w:ind w:firstLine="420" w:firstLineChars="200"/>
        <w:rPr>
          <w:rFonts w:hint="eastAsia" w:ascii="仿宋_GB2312" w:hAnsi="仿宋_GB2312" w:eastAsia="仿宋" w:cs="仿宋_GB2312"/>
          <w:kern w:val="2"/>
          <w:sz w:val="32"/>
          <w:szCs w:val="32"/>
          <w:lang w:val="zh-CN" w:eastAsia="zh-CN" w:bidi="zh-CN"/>
        </w:rPr>
      </w:pPr>
      <w:r>
        <w:rPr>
          <w:rFonts w:hint="eastAsia"/>
          <w:lang w:val="en-US" w:eastAsia="zh-CN"/>
        </w:rPr>
        <w:t xml:space="preserve">  </w:t>
      </w:r>
      <w:r>
        <w:rPr>
          <w:rFonts w:hint="eastAsia" w:ascii="仿宋_GB2312" w:hAnsi="仿宋_GB2312" w:eastAsia="仿宋" w:cs="仿宋_GB2312"/>
          <w:kern w:val="2"/>
          <w:sz w:val="32"/>
          <w:szCs w:val="32"/>
          <w:lang w:val="en-US" w:eastAsia="zh-CN" w:bidi="zh-CN"/>
        </w:rPr>
        <w:t xml:space="preserve"> </w:t>
      </w:r>
      <w:r>
        <w:rPr>
          <w:rFonts w:hint="eastAsia" w:ascii="仿宋_GB2312" w:hAnsi="仿宋_GB2312" w:eastAsia="仿宋_GB2312" w:cs="仿宋_GB2312"/>
          <w:color w:val="auto"/>
          <w:spacing w:val="0"/>
          <w:w w:val="100"/>
          <w:kern w:val="2"/>
          <w:sz w:val="32"/>
          <w:szCs w:val="32"/>
          <w:lang w:val="en-US" w:eastAsia="zh-CN" w:bidi="zh-CN"/>
        </w:rPr>
        <w:t xml:space="preserve"> </w:t>
      </w:r>
      <w:r>
        <w:rPr>
          <w:rFonts w:hint="eastAsia" w:ascii="仿宋_GB2312" w:hAnsi="仿宋_GB2312" w:eastAsia="仿宋_GB2312" w:cs="仿宋_GB2312"/>
          <w:color w:val="auto"/>
          <w:spacing w:val="0"/>
          <w:w w:val="100"/>
          <w:kern w:val="2"/>
          <w:sz w:val="32"/>
          <w:szCs w:val="32"/>
          <w:lang w:val="zh-CN" w:eastAsia="zh-CN" w:bidi="zh-CN"/>
        </w:rPr>
        <w:t>2021年总支出1429.66万元，其中：基本支出699.94万元，占总支出的48.96%。项目支出729.72万元，占总支出的51.04%。与2020年度支出总计2716.06万元相比减少了1286.4，原因为减少征地拆迁等项目，加强成本管理和控制。</w:t>
      </w:r>
    </w:p>
    <w:p>
      <w:pPr>
        <w:pStyle w:val="2"/>
        <w:numPr>
          <w:ilvl w:val="0"/>
          <w:numId w:val="0"/>
        </w:numPr>
        <w:ind w:leftChars="0"/>
        <w:rPr>
          <w:rFonts w:hint="default" w:eastAsia="仿宋"/>
          <w:lang w:val="en-US" w:eastAsia="zh-CN"/>
        </w:rPr>
      </w:pPr>
      <w:r>
        <w:drawing>
          <wp:inline distT="0" distB="0" distL="0" distR="0">
            <wp:extent cx="5391150" cy="3248025"/>
            <wp:effectExtent l="38735" t="18415" r="56515" b="6731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1.预决算编制情况。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我单位每年按时完成预决算编制、绩效目标填报，细化专项预算，同时提前安排上年结转结余资金今年使用计划，提高资金使用效率。</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2.执行管理情况。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在预算执行中对均衡计划按时支付，切实保障单位正常运转。项目资金按照管理要求按时支入，不延期支付，不挪用项目资金。严格按照年初预算执行。</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3.支出绩效情况。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（1）行政运转保障。</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各类人员工资及时足额发放缴存，保险，公积金及时缴纳；办公支出优先保障，确保单位正常运转；按需购置设备，确保工作开展。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（2）机关厉行节约。</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单位认真贯彻中央八项规定，厉行节约，严格控制“三公”经费。报废公务用车一辆，严格按照公车相关制度新购置公务用车一辆，因公车改革公务用车运行维护费比上年减少。全年没有发生接待费和因公出国费用。</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（3）机关节能降耗。</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单位制定机关节能降耗规则，要求机关干部以身作则，节约资源，减少能耗。机关用水用电支出与上年持平；因公车改革公务用车燃修费支出较上年下降。</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4.绩效目标完成情况。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本年绩效目标基本完成，达到了项目要求，现就几项重点情况汇报如下：</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村组干部工资项目为超百万项目，项目目标为及时足额发放</w:t>
      </w:r>
      <w:r>
        <w:rPr>
          <w:rFonts w:hint="eastAsia" w:ascii="仿宋_GB2312" w:hAnsi="宋体" w:eastAsia="仿宋_GB2312" w:cs="宋体"/>
          <w:kern w:val="0"/>
          <w:sz w:val="32"/>
          <w:szCs w:val="32"/>
          <w:shd w:val="clear" w:color="auto" w:fill="FFFFFF"/>
          <w:lang w:val="en-US"/>
        </w:rPr>
        <w:t>8个村的村组干部报酬，保障村组干部基本利益，提高他们的工作积极性，进而推动大为镇基层治理等各项工作有序开展。</w:t>
      </w:r>
      <w:r>
        <w:rPr>
          <w:rFonts w:hint="eastAsia" w:ascii="仿宋_GB2312" w:hAnsi="宋体" w:eastAsia="仿宋_GB2312" w:cs="宋体"/>
          <w:kern w:val="0"/>
          <w:sz w:val="32"/>
          <w:szCs w:val="32"/>
          <w:shd w:val="clear" w:color="auto" w:fill="FFFFFF"/>
          <w:lang w:val="zh-CN"/>
        </w:rPr>
        <w:t>村组干部报酬资金的申请使用由大为镇相关业务科室负责，项目自评步骤为由项目业务股室经办人员、财务人员共同草拟自评报告，分别报分管领导、主要领导审阅后再报送。</w:t>
      </w:r>
      <w:r>
        <w:rPr>
          <w:rFonts w:hint="eastAsia" w:ascii="仿宋_GB2312" w:hAnsi="宋体" w:eastAsia="仿宋_GB2312" w:cs="宋体"/>
          <w:kern w:val="0"/>
          <w:sz w:val="32"/>
          <w:szCs w:val="32"/>
          <w:shd w:val="clear" w:color="auto" w:fill="FFFFFF"/>
          <w:lang w:val="en-US" w:eastAsia="zh-CN"/>
        </w:rPr>
        <w:t>2021年度该项目申请资金为216.99万元，使用资金为216.99万元，使用率100%，</w:t>
      </w:r>
      <w:r>
        <w:rPr>
          <w:rFonts w:hint="eastAsia" w:ascii="仿宋_GB2312" w:hAnsi="宋体" w:eastAsia="仿宋_GB2312" w:cs="宋体"/>
          <w:kern w:val="0"/>
          <w:sz w:val="32"/>
          <w:szCs w:val="32"/>
          <w:shd w:val="clear" w:color="auto" w:fill="FFFFFF"/>
          <w:lang w:val="zh-CN"/>
        </w:rPr>
        <w:t>据项目资金管理办法，大为镇</w:t>
      </w:r>
      <w:r>
        <w:rPr>
          <w:rFonts w:hint="eastAsia" w:ascii="仿宋_GB2312" w:hAnsi="宋体" w:eastAsia="仿宋_GB2312" w:cs="宋体"/>
          <w:kern w:val="0"/>
          <w:sz w:val="32"/>
          <w:szCs w:val="32"/>
          <w:shd w:val="clear" w:color="auto" w:fill="FFFFFF"/>
          <w:lang w:val="zh-CN" w:eastAsia="zh-CN"/>
        </w:rPr>
        <w:t>村组干部报酬项目</w:t>
      </w:r>
      <w:r>
        <w:rPr>
          <w:rFonts w:hint="eastAsia" w:ascii="仿宋_GB2312" w:hAnsi="宋体" w:eastAsia="仿宋_GB2312" w:cs="宋体"/>
          <w:kern w:val="0"/>
          <w:sz w:val="32"/>
          <w:szCs w:val="32"/>
          <w:shd w:val="clear" w:color="auto" w:fill="FFFFFF"/>
          <w:lang w:val="zh-CN"/>
        </w:rPr>
        <w:t>资金使用严格执行财务管理制度、财务处理及时、会计核算规范。</w:t>
      </w:r>
      <w:r>
        <w:rPr>
          <w:rFonts w:hint="eastAsia" w:ascii="仿宋_GB2312" w:hAnsi="宋体" w:eastAsia="仿宋_GB2312" w:cs="宋体"/>
          <w:kern w:val="0"/>
          <w:sz w:val="32"/>
          <w:szCs w:val="32"/>
          <w:shd w:val="clear" w:color="auto" w:fill="FFFFFF"/>
          <w:lang w:val="zh-CN" w:eastAsia="zh-CN"/>
        </w:rPr>
        <w:t>全年每月及时足额发放了相关经费，保障了村组干部权益，进而有效的推动了各项工作有序开展。该项目</w:t>
      </w:r>
      <w:r>
        <w:rPr>
          <w:rFonts w:hint="eastAsia" w:ascii="仿宋_GB2312" w:hAnsi="宋体" w:eastAsia="仿宋_GB2312" w:cs="宋体"/>
          <w:kern w:val="0"/>
          <w:sz w:val="32"/>
          <w:szCs w:val="32"/>
          <w:shd w:val="clear" w:color="auto" w:fill="FFFFFF"/>
          <w:lang w:val="zh-CN"/>
        </w:rPr>
        <w:t>我镇自评分数为100分</w:t>
      </w:r>
      <w:r>
        <w:rPr>
          <w:rFonts w:hint="eastAsia" w:ascii="仿宋_GB2312" w:hAnsi="宋体" w:eastAsia="仿宋_GB2312" w:cs="宋体"/>
          <w:kern w:val="0"/>
          <w:sz w:val="32"/>
          <w:szCs w:val="32"/>
          <w:shd w:val="clear" w:color="auto" w:fill="FFFFFF"/>
          <w:lang w:val="zh-CN" w:eastAsia="zh-CN"/>
        </w:rPr>
        <w:t>，（详见附表）</w:t>
      </w:r>
      <w:r>
        <w:rPr>
          <w:rFonts w:hint="eastAsia" w:ascii="仿宋_GB2312" w:hAnsi="宋体" w:eastAsia="仿宋_GB2312" w:cs="宋体"/>
          <w:kern w:val="0"/>
          <w:sz w:val="32"/>
          <w:szCs w:val="32"/>
          <w:shd w:val="clear" w:color="auto" w:fill="FFFFFF"/>
          <w:lang w:val="zh-CN"/>
        </w:rPr>
        <w:t>。</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村办公经费，按照市组织部要求，所有的村办公经费都不再拔付到村，实行报帐制，按照规定的支出范围由各村定时到镇报销办公经费，其余资金按进度及时拨付各村。</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对民政临时困难救助资金通常由各村上报，按照审批权限进行审批，救济金通过一卡通发放到救助对象手中，对个别特殊对象经党政办公会决定，进行发放。民政项目及时完成，保障全镇经济社会的稳定发展。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总体上我镇各项目标完成情况良好，促进全镇经济的稳定和发展。</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5.财务管理情况。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_GB2312" w:hAnsi="仿宋_GB2312" w:cs="仿宋_GB2312"/>
          <w:szCs w:val="32"/>
          <w:lang w:val="zh-CN" w:bidi="zh-CN"/>
        </w:rPr>
      </w:pPr>
      <w:r>
        <w:rPr>
          <w:rFonts w:hint="eastAsia" w:ascii="仿宋_GB2312" w:hAnsi="宋体" w:eastAsia="仿宋_GB2312" w:cs="宋体"/>
          <w:kern w:val="0"/>
          <w:sz w:val="32"/>
          <w:szCs w:val="32"/>
          <w:shd w:val="clear" w:color="auto" w:fill="FFFFFF"/>
          <w:lang w:val="zh-CN"/>
        </w:rPr>
        <w:t>坚持依法理财，严格按照财经纪律的要求，制定并严格执行财务管理制度，财政所职责分工上墙，确保传达到每一个财务工作人员；规范财务管理，财政所分设会计和出纳岗位，按不相容职位分离原则安排人员负责印鉴的管理和票据的管理，分工明确，相互牵制，严格执行行政事业单位会计制度，根据实际发生的经济业务事项及时进行会计核算，严禁虚列、多列、少列或不列费用，严禁私设账外账、小金库、公款私存等；加强财政内部控制建设，完善内部控制制度，强化财政监督，结合镇党委和各部门加强对财政所工作的监督管理，不断改进完善财务管理工作。完善政府采购制度，积极组织学习采购政策和程序，熟悉采购流程，同时落实专人负责政府采购，保障政府采购程序合法、责任到位。</w:t>
      </w:r>
    </w:p>
    <w:p>
      <w:pPr>
        <w:pStyle w:val="2"/>
        <w:rPr>
          <w:lang w:val="zh-CN"/>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（二）结果应用情况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按照上级要求，结合年初工作计划及财政预算，我镇着力加强绩效管理自评工作，成立了以镇长为领导，财政所工作人员和镇纪检部门纪检委员为主要成员的工作小组，通过部门自查、领导小组督查、文件资料检查等方式加强对支出绩效，特别是资金量较大的财政支出的评价工作，并按时进行公开。经自查，我镇在财政资金的管理使用中严格按照财政资金拨付流程和审批程序进行，不存在违法违纪行为。</w:t>
      </w:r>
    </w:p>
    <w:p>
      <w:pPr>
        <w:keepNext w:val="0"/>
        <w:keepLines w:val="0"/>
        <w:pageBreakBefore w:val="0"/>
        <w:widowControl/>
        <w:numPr>
          <w:ilvl w:val="0"/>
          <w:numId w:val="5"/>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pPr>
        <w:keepNext w:val="0"/>
        <w:keepLines w:val="0"/>
        <w:pageBreakBefore w:val="0"/>
        <w:widowControl/>
        <w:kinsoku/>
        <w:wordWrap/>
        <w:overflowPunct/>
        <w:topLinePunct w:val="0"/>
        <w:bidi w:val="0"/>
        <w:adjustRightInd w:val="0"/>
        <w:snapToGrid w:val="0"/>
        <w:spacing w:line="600" w:lineRule="exact"/>
        <w:contextualSpacing/>
        <w:jc w:val="left"/>
        <w:textAlignment w:val="auto"/>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_GB2312" w:hAnsi="宋体" w:eastAsia="仿宋_GB2312" w:cs="宋体"/>
          <w:kern w:val="0"/>
          <w:sz w:val="32"/>
          <w:szCs w:val="32"/>
          <w:shd w:val="clear" w:color="auto" w:fill="FFFFFF"/>
          <w:lang w:val="zh-CN"/>
        </w:rPr>
        <w:t>按照市财政局要求强化绩效管理理念，秉承客观公正、实事求是的原则开展单位自评工作。严格按照相关评价体系进行自评，自评评分为</w:t>
      </w:r>
      <w:r>
        <w:rPr>
          <w:rFonts w:hint="eastAsia" w:ascii="仿宋_GB2312" w:hAnsi="宋体" w:eastAsia="仿宋_GB2312" w:cs="宋体"/>
          <w:kern w:val="0"/>
          <w:sz w:val="32"/>
          <w:szCs w:val="32"/>
          <w:shd w:val="clear" w:color="auto" w:fill="FFFFFF"/>
          <w:lang w:val="en-US" w:eastAsia="zh-CN"/>
        </w:rPr>
        <w:t>96.97</w:t>
      </w:r>
      <w:r>
        <w:rPr>
          <w:rFonts w:hint="eastAsia" w:ascii="仿宋_GB2312" w:hAnsi="宋体" w:eastAsia="仿宋_GB2312" w:cs="宋体"/>
          <w:kern w:val="0"/>
          <w:sz w:val="32"/>
          <w:szCs w:val="32"/>
          <w:shd w:val="clear" w:color="auto" w:fill="FFFFFF"/>
          <w:lang w:val="zh-CN"/>
        </w:rPr>
        <w:t>分。</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spacing w:line="360" w:lineRule="auto"/>
        <w:ind w:firstLine="640" w:firstLineChars="200"/>
        <w:rPr>
          <w:rFonts w:hint="eastAsia"/>
          <w:lang w:val="zh-CN"/>
        </w:rPr>
      </w:pPr>
      <w:r>
        <w:rPr>
          <w:rFonts w:hint="eastAsia" w:ascii="仿宋_GB2312" w:hAnsi="宋体" w:eastAsia="仿宋_GB2312" w:cs="宋体"/>
          <w:kern w:val="0"/>
          <w:sz w:val="32"/>
          <w:szCs w:val="32"/>
          <w:shd w:val="clear" w:color="auto" w:fill="FFFFFF"/>
          <w:lang w:val="zh-CN"/>
        </w:rPr>
        <w:t>2021年，我镇预算整体支出情况较好，在市财政局的大力支持下，较好的完成了市委、市政府下达的民政救助补助、城乡环境整治、峨汉高速项目拆迁、疫情防控、防汛等工作任务，推动了全镇经济社会发展。所设立的整体绩效目标，符合客观实际，符合国家法律法规，国民经济和社会发展总体规划，符合部门“三定”方案确定的职责，同时，我镇依据整体绩效目标所设定的绩效指标清晰、细化、可衡量，与部门年度的任务数或计划数相对应；与本年度部门预算资金相匹配。</w:t>
      </w:r>
    </w:p>
    <w:p>
      <w:pPr>
        <w:keepNext w:val="0"/>
        <w:keepLines w:val="0"/>
        <w:pageBreakBefore w:val="0"/>
        <w:widowControl/>
        <w:numPr>
          <w:ilvl w:val="0"/>
          <w:numId w:val="0"/>
        </w:numPr>
        <w:kinsoku/>
        <w:wordWrap/>
        <w:overflowPunct/>
        <w:topLinePunct w:val="0"/>
        <w:bidi w:val="0"/>
        <w:adjustRightInd w:val="0"/>
        <w:snapToGrid w:val="0"/>
        <w:spacing w:line="600" w:lineRule="exact"/>
        <w:ind w:left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spacing w:line="360" w:lineRule="auto"/>
        <w:ind w:firstLine="640" w:firstLineChars="200"/>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1、在绩效目标设定时未进行充分的调研论证，使得目标设定与实际工作存在些许偏差，绩效目标管理在进行中的调整也有待完善。</w:t>
      </w:r>
    </w:p>
    <w:p>
      <w:pPr>
        <w:spacing w:line="360" w:lineRule="auto"/>
        <w:ind w:firstLine="640" w:firstLineChars="200"/>
        <w:rPr>
          <w:rFonts w:hint="eastAsia"/>
          <w:lang w:val="zh-CN"/>
        </w:rPr>
      </w:pPr>
      <w:r>
        <w:rPr>
          <w:rFonts w:hint="eastAsia" w:ascii="仿宋_GB2312" w:hAnsi="宋体" w:eastAsia="仿宋_GB2312" w:cs="宋体"/>
          <w:kern w:val="0"/>
          <w:sz w:val="32"/>
          <w:szCs w:val="32"/>
          <w:shd w:val="clear" w:color="auto" w:fill="FFFFFF"/>
          <w:lang w:val="zh-CN"/>
        </w:rPr>
        <w:t>2.预算执行进度和效率有待加强。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spacing w:line="360" w:lineRule="auto"/>
        <w:ind w:firstLine="640" w:firstLineChars="200"/>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提高认识，突出重点，密切关注目标任务开展情况，确保实际工作切合绩效目标，我单位将严格按照上级部门预算管理和绩效目标管理要求，密切关注各项目标任务开展情况，适时调整自身工作方向和内容，确保绩效目标得到全面贯彻执行。</w:t>
      </w:r>
    </w:p>
    <w:p>
      <w:pPr>
        <w:pStyle w:val="2"/>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切实加快预算执行力度，提升资金使用效率。我单位将严格按照上级部门预算执行进度的相关要求，督促业务部门加快项目实施进度，切实加大预算执行力度，提高预算资金使用效率，年底确保全部执行完所有的预算指标，全面完成单位年初制定的各项目标任务。</w:t>
      </w:r>
    </w:p>
    <w:p>
      <w:pPr>
        <w:rPr>
          <w:lang w:val="zh-CN"/>
        </w:rPr>
      </w:pPr>
      <w:bookmarkStart w:id="73" w:name="_GoBack"/>
      <w:bookmarkEnd w:id="73"/>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pPr>
        <w:keepNext w:val="0"/>
        <w:keepLines w:val="0"/>
        <w:pageBreakBefore w:val="0"/>
        <w:kinsoku/>
        <w:wordWrap/>
        <w:overflowPunct/>
        <w:topLinePunct w:val="0"/>
        <w:bidi w:val="0"/>
        <w:spacing w:line="600" w:lineRule="exact"/>
        <w:ind w:firstLine="883"/>
        <w:jc w:val="center"/>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sz w:val="32"/>
          <w:szCs w:val="32"/>
          <w:lang w:val="zh-CN"/>
        </w:rPr>
        <w:t>峨汉高速征地拆迁项目</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60" w:lineRule="exact"/>
        <w:ind w:firstLine="640" w:firstLineChars="200"/>
        <w:rPr>
          <w:rFonts w:ascii="仿宋_GB2312" w:hAnsi="宋体"/>
          <w:lang w:val="zh-CN"/>
        </w:rPr>
      </w:pPr>
      <w:r>
        <w:rPr>
          <w:rFonts w:hint="eastAsia" w:ascii="仿宋_GB2312" w:hAnsi="宋体" w:eastAsia="仿宋_GB2312" w:cs="Times New Roman"/>
          <w:sz w:val="32"/>
          <w:szCs w:val="32"/>
          <w:lang w:val="zh-CN"/>
        </w:rPr>
        <w:t>峨汉高速征地拆迁项目涉及温朝辉厂房地上建筑物和构筑物拆除费用，共计38万元。</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及时完成对该户的相关拆迁经费支出。</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2"/>
        <w:ind w:left="0" w:leftChars="0"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．资金使用。</w:t>
      </w:r>
      <w:r>
        <w:rPr>
          <w:rFonts w:hint="eastAsia" w:ascii="仿宋_GB2312" w:hAnsi="宋体" w:eastAsia="仿宋_GB2312" w:cs="Times New Roman"/>
          <w:sz w:val="32"/>
          <w:szCs w:val="32"/>
          <w:lang w:val="zh-CN"/>
        </w:rPr>
        <w:t>该项目资金38万元。申请资金38万元，使用资金38万元，使用率100%。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据项目资金管理办法，大为镇峨汉高速项目资金使用严格执行财务管理制度、财务处理及时、会计核算规范。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该项目由大为镇人民政府组织实施，村、农户配合完成。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该项目严格按照征地拆迁管理办法进行项目的实施，相关部门全程参与实施。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该项目严格按照征地拆迁管理办法进行项目的实施，镇纪委全程监督项目的实施。该项目无违规违纪现象。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完成对峨汉高速项目征地拆迁该户安置补偿。</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通过绩效管理自评，峨汉高速项目在预算支出中不存在违法违纪行为，按要求做到了项目实施有计划、有监管、有落实。完成了项目的征地拆迁。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2021年特定目标类部门预算项目绩效目标自评</w:t>
      </w:r>
    </w:p>
    <w:p>
      <w:pPr>
        <w:tabs>
          <w:tab w:val="left" w:pos="1440"/>
        </w:tabs>
        <w:spacing w:line="560" w:lineRule="exact"/>
        <w:ind w:firstLine="2560" w:firstLineChars="800"/>
        <w:rPr>
          <w:rFonts w:hint="eastAsia" w:ascii="方正小标宋_GBK" w:hAnsi="方正小标宋_GBK" w:eastAsia="楷体" w:cs="方正小标宋_GBK"/>
          <w:b/>
          <w:sz w:val="44"/>
          <w:szCs w:val="44"/>
          <w:lang w:val="zh-CN" w:eastAsia="zh-CN"/>
        </w:rPr>
      </w:pPr>
      <w:r>
        <w:rPr>
          <w:rFonts w:hint="eastAsia" w:ascii="楷体_GB2312" w:hAnsi="楷体_GB2312" w:eastAsia="楷体_GB2312" w:cs="楷体_GB2312"/>
          <w:sz w:val="32"/>
          <w:szCs w:val="32"/>
          <w:lang w:val="zh-CN"/>
        </w:rPr>
        <w:t>（</w:t>
      </w:r>
      <w:r>
        <w:rPr>
          <w:rFonts w:hint="eastAsia" w:ascii="楷体" w:hAnsi="楷体" w:eastAsia="楷体" w:cs="楷体"/>
          <w:sz w:val="32"/>
          <w:szCs w:val="32"/>
          <w:lang w:val="zh-CN"/>
        </w:rPr>
        <w:t>峨汉高速征地拆迁项目</w:t>
      </w:r>
      <w:r>
        <w:rPr>
          <w:rFonts w:hint="eastAsia" w:ascii="楷体" w:hAnsi="楷体" w:eastAsia="楷体" w:cs="楷体"/>
          <w:color w:val="000000"/>
          <w:kern w:val="0"/>
          <w:sz w:val="32"/>
          <w:szCs w:val="32"/>
          <w:lang w:val="zh-CN"/>
        </w:rPr>
        <w:t>）</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698"/>
        <w:gridCol w:w="1080"/>
        <w:gridCol w:w="1500"/>
        <w:gridCol w:w="1950"/>
        <w:gridCol w:w="1440"/>
        <w:gridCol w:w="1381"/>
      </w:tblGrid>
      <w:tr>
        <w:tblPrEx>
          <w:tblCellMar>
            <w:top w:w="0" w:type="dxa"/>
            <w:left w:w="108" w:type="dxa"/>
            <w:bottom w:w="0" w:type="dxa"/>
            <w:right w:w="108" w:type="dxa"/>
          </w:tblCellMar>
        </w:tblPrEx>
        <w:trPr>
          <w:trHeight w:val="254" w:hRule="atLeast"/>
          <w:jc w:val="center"/>
        </w:trPr>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峨眉山市人民政府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峨眉山市大为镇人民政府</w:t>
            </w:r>
          </w:p>
        </w:tc>
      </w:tr>
      <w:tr>
        <w:tblPrEx>
          <w:tblCellMar>
            <w:top w:w="0" w:type="dxa"/>
            <w:left w:w="108" w:type="dxa"/>
            <w:bottom w:w="0" w:type="dxa"/>
            <w:right w:w="108" w:type="dxa"/>
          </w:tblCellMar>
        </w:tblPrEx>
        <w:trPr>
          <w:trHeight w:val="341" w:hRule="atLeast"/>
          <w:jc w:val="center"/>
        </w:trPr>
        <w:tc>
          <w:tcPr>
            <w:tcW w:w="2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38</w:t>
            </w:r>
          </w:p>
        </w:tc>
      </w:tr>
      <w:tr>
        <w:tblPrEx>
          <w:tblCellMar>
            <w:top w:w="0" w:type="dxa"/>
            <w:left w:w="108" w:type="dxa"/>
            <w:bottom w:w="0" w:type="dxa"/>
            <w:right w:w="108" w:type="dxa"/>
          </w:tblCellMar>
        </w:tblPrEx>
        <w:trPr>
          <w:trHeight w:val="730"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38</w:t>
            </w:r>
          </w:p>
        </w:tc>
      </w:tr>
      <w:tr>
        <w:tblPrEx>
          <w:tblCellMar>
            <w:top w:w="0" w:type="dxa"/>
            <w:left w:w="108" w:type="dxa"/>
            <w:bottom w:w="0" w:type="dxa"/>
            <w:right w:w="108" w:type="dxa"/>
          </w:tblCellMar>
        </w:tblPrEx>
        <w:trPr>
          <w:trHeight w:val="341"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5" w:hRule="atLeast"/>
          <w:jc w:val="center"/>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060" w:hRule="atLeast"/>
          <w:jc w:val="center"/>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lang w:val="zh-CN"/>
              </w:rPr>
              <w:t>及时完成对该户的相关安置经费支出。</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及时足额的</w:t>
            </w:r>
            <w:r>
              <w:rPr>
                <w:rFonts w:hint="eastAsia" w:asciiTheme="minorEastAsia" w:hAnsiTheme="minorEastAsia" w:eastAsiaTheme="minorEastAsia" w:cstheme="minorEastAsia"/>
                <w:color w:val="000000"/>
                <w:sz w:val="24"/>
                <w:lang w:eastAsia="zh-CN"/>
              </w:rPr>
              <w:t>发放了该户安置经费</w:t>
            </w:r>
            <w:r>
              <w:rPr>
                <w:rFonts w:hint="eastAsia" w:asciiTheme="minorEastAsia" w:hAnsiTheme="minorEastAsia" w:eastAsiaTheme="minorEastAsia" w:cstheme="minorEastAsia"/>
                <w:color w:val="000000"/>
                <w:sz w:val="24"/>
              </w:rPr>
              <w:t>。</w:t>
            </w:r>
          </w:p>
        </w:tc>
      </w:tr>
      <w:tr>
        <w:tblPrEx>
          <w:tblCellMar>
            <w:top w:w="0" w:type="dxa"/>
            <w:left w:w="108" w:type="dxa"/>
            <w:bottom w:w="0" w:type="dxa"/>
            <w:right w:w="108" w:type="dxa"/>
          </w:tblCellMar>
        </w:tblPrEx>
        <w:trPr>
          <w:trHeight w:val="693" w:hRule="atLeast"/>
          <w:jc w:val="center"/>
        </w:trPr>
        <w:tc>
          <w:tcPr>
            <w:tcW w:w="1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户数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=1户</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1户</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高质量完成</w:t>
            </w:r>
            <w:r>
              <w:rPr>
                <w:rFonts w:hint="eastAsia" w:asciiTheme="minorEastAsia" w:hAnsiTheme="minorEastAsia" w:eastAsiaTheme="minorEastAsia" w:cstheme="minorEastAsia"/>
                <w:color w:val="000000"/>
                <w:sz w:val="24"/>
                <w:lang w:eastAsia="zh-CN"/>
              </w:rPr>
              <w:t>经费</w:t>
            </w:r>
            <w:r>
              <w:rPr>
                <w:rFonts w:hint="eastAsia" w:asciiTheme="minorEastAsia" w:hAnsiTheme="minorEastAsia" w:eastAsiaTheme="minorEastAsia" w:cstheme="minorEastAsia"/>
                <w:color w:val="000000"/>
                <w:sz w:val="24"/>
              </w:rPr>
              <w:t>发放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及时对</w:t>
            </w:r>
            <w:r>
              <w:rPr>
                <w:rFonts w:hint="eastAsia" w:asciiTheme="minorEastAsia" w:hAnsiTheme="minorEastAsia" w:eastAsiaTheme="minorEastAsia" w:cstheme="minorEastAsia"/>
                <w:color w:val="000000"/>
                <w:sz w:val="24"/>
                <w:lang w:eastAsia="zh-CN"/>
              </w:rPr>
              <w:t>经费</w:t>
            </w:r>
            <w:r>
              <w:rPr>
                <w:rFonts w:hint="eastAsia" w:asciiTheme="minorEastAsia" w:hAnsiTheme="minorEastAsia" w:eastAsiaTheme="minorEastAsia" w:cstheme="minorEastAsia"/>
                <w:color w:val="000000"/>
                <w:sz w:val="24"/>
              </w:rPr>
              <w:t>进行支付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r>
      <w:tr>
        <w:tblPrEx>
          <w:tblCellMar>
            <w:top w:w="0" w:type="dxa"/>
            <w:left w:w="108" w:type="dxa"/>
            <w:bottom w:w="0" w:type="dxa"/>
            <w:right w:w="108" w:type="dxa"/>
          </w:tblCellMar>
        </w:tblPrEx>
        <w:trPr>
          <w:trHeight w:val="35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加强成本控制不超预算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38</w:t>
            </w:r>
            <w:r>
              <w:rPr>
                <w:rFonts w:hint="eastAsia" w:asciiTheme="minorEastAsia" w:hAnsiTheme="minorEastAsia" w:eastAsiaTheme="minorEastAsia" w:cstheme="minorEastAsia"/>
                <w:color w:val="000000"/>
                <w:sz w:val="24"/>
              </w:rPr>
              <w:t>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38</w:t>
            </w:r>
            <w:r>
              <w:rPr>
                <w:rFonts w:hint="eastAsia" w:asciiTheme="minorEastAsia" w:hAnsiTheme="minorEastAsia" w:eastAsiaTheme="minorEastAsia" w:cstheme="minorEastAsia"/>
                <w:color w:val="000000"/>
                <w:sz w:val="24"/>
              </w:rPr>
              <w:t>万元</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全镇经济发展较上年度提高率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发生征地拆迁矛盾纠纷数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r>
      <w:tr>
        <w:tblPrEx>
          <w:tblCellMar>
            <w:top w:w="0" w:type="dxa"/>
            <w:left w:w="108" w:type="dxa"/>
            <w:bottom w:w="0" w:type="dxa"/>
            <w:right w:w="108" w:type="dxa"/>
          </w:tblCellMar>
        </w:tblPrEx>
        <w:trPr>
          <w:trHeight w:val="577"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提高</w:t>
            </w:r>
            <w:r>
              <w:rPr>
                <w:rFonts w:hint="eastAsia" w:asciiTheme="minorEastAsia" w:hAnsiTheme="minorEastAsia" w:eastAsiaTheme="minorEastAsia" w:cstheme="minorEastAsia"/>
                <w:color w:val="000000"/>
                <w:sz w:val="24"/>
                <w:lang w:eastAsia="zh-CN"/>
              </w:rPr>
              <w:t>镇域内生态环境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保障拆迁安置工作顺利开展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30" w:hRule="atLeast"/>
          <w:jc w:val="center"/>
        </w:trPr>
        <w:tc>
          <w:tcPr>
            <w:tcW w:w="16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群众</w:t>
            </w:r>
            <w:r>
              <w:rPr>
                <w:rFonts w:hint="eastAsia" w:asciiTheme="minorEastAsia" w:hAnsiTheme="minorEastAsia" w:eastAsiaTheme="minorEastAsia" w:cstheme="minorEastAsia"/>
                <w:color w:val="000000"/>
                <w:sz w:val="24"/>
              </w:rPr>
              <w:t>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bl>
    <w:p>
      <w:pPr>
        <w:pStyle w:val="6"/>
        <w:spacing w:before="93"/>
        <w:rPr>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pPr>
        <w:tabs>
          <w:tab w:val="left" w:pos="1440"/>
        </w:tabs>
        <w:spacing w:line="560" w:lineRule="exact"/>
        <w:ind w:firstLine="2240" w:firstLineChars="7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大为镇进城安置补偿经费项目</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lang w:val="zh-CN"/>
        </w:rPr>
      </w:pPr>
      <w:r>
        <w:rPr>
          <w:rFonts w:hint="eastAsia" w:ascii="仿宋_GB2312" w:hAnsi="宋体" w:eastAsia="仿宋_GB2312" w:cs="Times New Roman"/>
          <w:sz w:val="32"/>
          <w:szCs w:val="32"/>
          <w:lang w:val="zh-CN"/>
        </w:rPr>
        <w:t>峨胜集团征地拆迁项目涉及新增人口货币化安置门市费，涉及1户1人，共计1.5万元。</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及时完成对该户该人的相关安置经费支出。</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2"/>
        <w:ind w:left="0" w:leftChars="0" w:firstLine="640" w:firstLineChars="200"/>
        <w:rPr>
          <w:lang w:val="zh-CN"/>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adjustRightInd w:val="0"/>
        <w:snapToGrid w:val="0"/>
        <w:spacing w:line="560" w:lineRule="exact"/>
        <w:ind w:firstLine="720"/>
        <w:rPr>
          <w:rFonts w:hint="eastAsia" w:ascii="仿宋_GB2312" w:hAnsi="宋体" w:eastAsia="仿宋_GB2312" w:cs="Times New Roman"/>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．资金使用。</w:t>
      </w:r>
      <w:r>
        <w:rPr>
          <w:rFonts w:hint="eastAsia" w:ascii="仿宋_GB2312" w:hAnsi="宋体" w:eastAsia="仿宋_GB2312" w:cs="Times New Roman"/>
          <w:sz w:val="32"/>
          <w:szCs w:val="32"/>
          <w:lang w:val="zh-CN"/>
        </w:rPr>
        <w:t>该项目资金1.5万元。申请资金1.5万元，使用资金1.5万元，使用率100%。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据项目资金管理办法，大为镇进城安置补偿经费项目资金使用严格执行财务管理制度、财务处理及时、会计核算规范。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该项目由大为镇人民政府组织实施，村、农户配合完成。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该项目严格按照征地拆迁管理办法进行项目的实施，相关部门全程参与实施。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该项目严格按照征地拆迁管理办法进行项目的实施，镇纪委全程监督项目的实施。该项目无违规违纪现象。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完成对峨胜项目征地拆迁新增1户1人的安置补偿。</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通过绩效管理自评，进城安置补偿经费项目在预算支出中不存在违法违纪行为，按要求做到了项目实施有计划、有监管、有落实。完成了项目的征地拆迁。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2021年特定目标类部门预算项目绩效目标自评</w:t>
      </w:r>
    </w:p>
    <w:p>
      <w:pPr>
        <w:tabs>
          <w:tab w:val="left" w:pos="1440"/>
        </w:tabs>
        <w:spacing w:line="560" w:lineRule="exact"/>
        <w:ind w:firstLine="2240" w:firstLineChars="700"/>
        <w:rPr>
          <w:rFonts w:hint="eastAsia" w:ascii="方正小标宋_GBK" w:hAnsi="方正小标宋_GBK" w:eastAsia="楷体" w:cs="方正小标宋_GBK"/>
          <w:b/>
          <w:sz w:val="44"/>
          <w:szCs w:val="44"/>
          <w:lang w:val="zh-CN" w:eastAsia="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大为镇进城安置补偿经费项目）</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698"/>
        <w:gridCol w:w="1080"/>
        <w:gridCol w:w="1500"/>
        <w:gridCol w:w="1950"/>
        <w:gridCol w:w="1440"/>
        <w:gridCol w:w="1381"/>
      </w:tblGrid>
      <w:tr>
        <w:tblPrEx>
          <w:tblCellMar>
            <w:top w:w="0" w:type="dxa"/>
            <w:left w:w="108" w:type="dxa"/>
            <w:bottom w:w="0" w:type="dxa"/>
            <w:right w:w="108" w:type="dxa"/>
          </w:tblCellMar>
        </w:tblPrEx>
        <w:trPr>
          <w:trHeight w:val="254" w:hRule="atLeast"/>
          <w:jc w:val="center"/>
        </w:trPr>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峨眉山市人民政府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峨眉山市大为镇人民政府</w:t>
            </w:r>
          </w:p>
        </w:tc>
      </w:tr>
      <w:tr>
        <w:tblPrEx>
          <w:tblCellMar>
            <w:top w:w="0" w:type="dxa"/>
            <w:left w:w="108" w:type="dxa"/>
            <w:bottom w:w="0" w:type="dxa"/>
            <w:right w:w="108" w:type="dxa"/>
          </w:tblCellMar>
        </w:tblPrEx>
        <w:trPr>
          <w:trHeight w:val="341" w:hRule="atLeast"/>
          <w:jc w:val="center"/>
        </w:trPr>
        <w:tc>
          <w:tcPr>
            <w:tcW w:w="2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1.5</w:t>
            </w:r>
          </w:p>
        </w:tc>
      </w:tr>
      <w:tr>
        <w:tblPrEx>
          <w:tblCellMar>
            <w:top w:w="0" w:type="dxa"/>
            <w:left w:w="108" w:type="dxa"/>
            <w:bottom w:w="0" w:type="dxa"/>
            <w:right w:w="108" w:type="dxa"/>
          </w:tblCellMar>
        </w:tblPrEx>
        <w:trPr>
          <w:trHeight w:val="730"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1.5</w:t>
            </w:r>
          </w:p>
        </w:tc>
      </w:tr>
      <w:tr>
        <w:tblPrEx>
          <w:tblCellMar>
            <w:top w:w="0" w:type="dxa"/>
            <w:left w:w="108" w:type="dxa"/>
            <w:bottom w:w="0" w:type="dxa"/>
            <w:right w:w="108" w:type="dxa"/>
          </w:tblCellMar>
        </w:tblPrEx>
        <w:trPr>
          <w:trHeight w:val="341"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5" w:hRule="atLeast"/>
          <w:jc w:val="center"/>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060" w:hRule="atLeast"/>
          <w:jc w:val="center"/>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lang w:val="zh-CN"/>
              </w:rPr>
              <w:t>及时完成对该户该人的相关安置经费支出。</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及时足额的</w:t>
            </w:r>
            <w:r>
              <w:rPr>
                <w:rFonts w:hint="eastAsia" w:asciiTheme="minorEastAsia" w:hAnsiTheme="minorEastAsia" w:eastAsiaTheme="minorEastAsia" w:cstheme="minorEastAsia"/>
                <w:color w:val="000000"/>
                <w:sz w:val="24"/>
                <w:lang w:eastAsia="zh-CN"/>
              </w:rPr>
              <w:t>发放了该户该人安置经费</w:t>
            </w:r>
            <w:r>
              <w:rPr>
                <w:rFonts w:hint="eastAsia" w:asciiTheme="minorEastAsia" w:hAnsiTheme="minorEastAsia" w:eastAsiaTheme="minorEastAsia" w:cstheme="minorEastAsia"/>
                <w:color w:val="000000"/>
                <w:sz w:val="24"/>
              </w:rPr>
              <w:t>。</w:t>
            </w:r>
          </w:p>
        </w:tc>
      </w:tr>
      <w:tr>
        <w:tblPrEx>
          <w:tblCellMar>
            <w:top w:w="0" w:type="dxa"/>
            <w:left w:w="108" w:type="dxa"/>
            <w:bottom w:w="0" w:type="dxa"/>
            <w:right w:w="108" w:type="dxa"/>
          </w:tblCellMar>
        </w:tblPrEx>
        <w:trPr>
          <w:trHeight w:val="693" w:hRule="atLeast"/>
          <w:jc w:val="center"/>
        </w:trPr>
        <w:tc>
          <w:tcPr>
            <w:tcW w:w="1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户数人数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=1户1人</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1户1人</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高质量完成</w:t>
            </w:r>
            <w:r>
              <w:rPr>
                <w:rFonts w:hint="eastAsia" w:asciiTheme="minorEastAsia" w:hAnsiTheme="minorEastAsia" w:eastAsiaTheme="minorEastAsia" w:cstheme="minorEastAsia"/>
                <w:color w:val="000000"/>
                <w:sz w:val="24"/>
                <w:lang w:eastAsia="zh-CN"/>
              </w:rPr>
              <w:t>经费</w:t>
            </w:r>
            <w:r>
              <w:rPr>
                <w:rFonts w:hint="eastAsia" w:asciiTheme="minorEastAsia" w:hAnsiTheme="minorEastAsia" w:eastAsiaTheme="minorEastAsia" w:cstheme="minorEastAsia"/>
                <w:color w:val="000000"/>
                <w:sz w:val="24"/>
              </w:rPr>
              <w:t>发放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及时对</w:t>
            </w:r>
            <w:r>
              <w:rPr>
                <w:rFonts w:hint="eastAsia" w:asciiTheme="minorEastAsia" w:hAnsiTheme="minorEastAsia" w:eastAsiaTheme="minorEastAsia" w:cstheme="minorEastAsia"/>
                <w:color w:val="000000"/>
                <w:sz w:val="24"/>
                <w:lang w:eastAsia="zh-CN"/>
              </w:rPr>
              <w:t>经费</w:t>
            </w:r>
            <w:r>
              <w:rPr>
                <w:rFonts w:hint="eastAsia" w:asciiTheme="minorEastAsia" w:hAnsiTheme="minorEastAsia" w:eastAsiaTheme="minorEastAsia" w:cstheme="minorEastAsia"/>
                <w:color w:val="000000"/>
                <w:sz w:val="24"/>
              </w:rPr>
              <w:t>进行支付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r>
      <w:tr>
        <w:tblPrEx>
          <w:tblCellMar>
            <w:top w:w="0" w:type="dxa"/>
            <w:left w:w="108" w:type="dxa"/>
            <w:bottom w:w="0" w:type="dxa"/>
            <w:right w:w="108" w:type="dxa"/>
          </w:tblCellMar>
        </w:tblPrEx>
        <w:trPr>
          <w:trHeight w:val="35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加强成本控制不超预算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1.5</w:t>
            </w:r>
            <w:r>
              <w:rPr>
                <w:rFonts w:hint="eastAsia" w:asciiTheme="minorEastAsia" w:hAnsiTheme="minorEastAsia" w:eastAsiaTheme="minorEastAsia" w:cstheme="minorEastAsia"/>
                <w:color w:val="000000"/>
                <w:sz w:val="24"/>
              </w:rPr>
              <w:t>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1.5</w:t>
            </w:r>
            <w:r>
              <w:rPr>
                <w:rFonts w:hint="eastAsia" w:asciiTheme="minorEastAsia" w:hAnsiTheme="minorEastAsia" w:eastAsiaTheme="minorEastAsia" w:cstheme="minorEastAsia"/>
                <w:color w:val="000000"/>
                <w:sz w:val="24"/>
              </w:rPr>
              <w:t>万元</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全镇经济发展较上年度提高率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发生征地拆迁矛盾纠纷数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r>
      <w:tr>
        <w:tblPrEx>
          <w:tblCellMar>
            <w:top w:w="0" w:type="dxa"/>
            <w:left w:w="108" w:type="dxa"/>
            <w:bottom w:w="0" w:type="dxa"/>
            <w:right w:w="108" w:type="dxa"/>
          </w:tblCellMar>
        </w:tblPrEx>
        <w:trPr>
          <w:trHeight w:val="577"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提高</w:t>
            </w:r>
            <w:r>
              <w:rPr>
                <w:rFonts w:hint="eastAsia" w:asciiTheme="minorEastAsia" w:hAnsiTheme="minorEastAsia" w:eastAsiaTheme="minorEastAsia" w:cstheme="minorEastAsia"/>
                <w:color w:val="000000"/>
                <w:sz w:val="24"/>
                <w:lang w:eastAsia="zh-CN"/>
              </w:rPr>
              <w:t>镇域内生态环境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保障拆迁安置工作顺利开展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30" w:hRule="atLeast"/>
          <w:jc w:val="center"/>
        </w:trPr>
        <w:tc>
          <w:tcPr>
            <w:tcW w:w="16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群众</w:t>
            </w:r>
            <w:r>
              <w:rPr>
                <w:rFonts w:hint="eastAsia" w:asciiTheme="minorEastAsia" w:hAnsiTheme="minorEastAsia" w:eastAsiaTheme="minorEastAsia" w:cstheme="minorEastAsia"/>
                <w:color w:val="000000"/>
                <w:sz w:val="24"/>
              </w:rPr>
              <w:t>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bl>
    <w:p>
      <w:pPr>
        <w:pStyle w:val="6"/>
        <w:spacing w:before="93"/>
        <w:rPr>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pPr>
        <w:tabs>
          <w:tab w:val="left" w:pos="1440"/>
        </w:tabs>
        <w:spacing w:line="560" w:lineRule="exact"/>
        <w:ind w:firstLine="2880" w:firstLineChars="9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扶贫项目工程</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lang w:val="zh-CN"/>
        </w:rPr>
      </w:pPr>
      <w:r>
        <w:rPr>
          <w:rFonts w:hint="eastAsia" w:ascii="仿宋_GB2312" w:hAnsi="宋体" w:eastAsia="仿宋_GB2312" w:cs="Times New Roman"/>
          <w:sz w:val="32"/>
          <w:szCs w:val="32"/>
          <w:lang w:val="zh-CN"/>
        </w:rPr>
        <w:t>大为镇扶贫项目工程包含两个工程项目尾款，分别为林家村</w:t>
      </w:r>
      <w:r>
        <w:rPr>
          <w:rFonts w:hint="eastAsia" w:ascii="仿宋_GB2312" w:hAnsi="宋体" w:eastAsia="仿宋_GB2312" w:cs="Times New Roman"/>
          <w:sz w:val="32"/>
          <w:szCs w:val="32"/>
          <w:lang w:val="en-US" w:eastAsia="zh-CN"/>
        </w:rPr>
        <w:t>2、3、4组道路硬化工程尾款，1.49万；大为镇2020年老车风童子坡山坪塘项目工程尾款，5.44万。合计6.93</w:t>
      </w:r>
      <w:r>
        <w:rPr>
          <w:rFonts w:hint="eastAsia" w:ascii="仿宋_GB2312" w:hAnsi="宋体" w:eastAsia="仿宋_GB2312" w:cs="Times New Roman"/>
          <w:sz w:val="32"/>
          <w:szCs w:val="32"/>
          <w:lang w:val="zh-CN"/>
        </w:rPr>
        <w:t>万元。</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及时对相关工程项目尾款进行支付。</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2"/>
        <w:ind w:left="0" w:leftChars="0" w:firstLine="640" w:firstLineChars="200"/>
        <w:rPr>
          <w:lang w:val="zh-CN"/>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adjustRightInd w:val="0"/>
        <w:snapToGrid w:val="0"/>
        <w:spacing w:line="560" w:lineRule="exact"/>
        <w:ind w:firstLine="720"/>
        <w:rPr>
          <w:rFonts w:hint="eastAsia" w:ascii="仿宋_GB2312" w:hAnsi="宋体" w:eastAsia="仿宋_GB2312" w:cs="Times New Roman"/>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．资金使用。</w:t>
      </w:r>
      <w:r>
        <w:rPr>
          <w:rFonts w:hint="eastAsia" w:ascii="仿宋_GB2312" w:hAnsi="宋体" w:eastAsia="仿宋_GB2312" w:cs="Times New Roman"/>
          <w:sz w:val="32"/>
          <w:szCs w:val="32"/>
          <w:lang w:val="zh-CN"/>
        </w:rPr>
        <w:t>该项目资金</w:t>
      </w:r>
      <w:r>
        <w:rPr>
          <w:rFonts w:hint="eastAsia" w:ascii="仿宋_GB2312" w:hAnsi="宋体" w:eastAsia="仿宋_GB2312" w:cs="Times New Roman"/>
          <w:sz w:val="32"/>
          <w:szCs w:val="32"/>
          <w:lang w:val="en-US" w:eastAsia="zh-CN"/>
        </w:rPr>
        <w:t>6.93</w:t>
      </w:r>
      <w:r>
        <w:rPr>
          <w:rFonts w:hint="eastAsia" w:ascii="仿宋_GB2312" w:hAnsi="宋体" w:eastAsia="仿宋_GB2312" w:cs="Times New Roman"/>
          <w:sz w:val="32"/>
          <w:szCs w:val="32"/>
          <w:lang w:val="zh-CN"/>
        </w:rPr>
        <w:t>万元。申请资金</w:t>
      </w:r>
      <w:r>
        <w:rPr>
          <w:rFonts w:hint="eastAsia" w:ascii="仿宋_GB2312" w:hAnsi="宋体" w:eastAsia="仿宋_GB2312" w:cs="Times New Roman"/>
          <w:sz w:val="32"/>
          <w:szCs w:val="32"/>
          <w:lang w:val="en-US" w:eastAsia="zh-CN"/>
        </w:rPr>
        <w:t>6.93</w:t>
      </w:r>
      <w:r>
        <w:rPr>
          <w:rFonts w:hint="eastAsia" w:ascii="仿宋_GB2312" w:hAnsi="宋体" w:eastAsia="仿宋_GB2312" w:cs="Times New Roman"/>
          <w:sz w:val="32"/>
          <w:szCs w:val="32"/>
          <w:lang w:val="zh-CN"/>
        </w:rPr>
        <w:t>万元，使用资金</w:t>
      </w:r>
      <w:r>
        <w:rPr>
          <w:rFonts w:hint="eastAsia" w:ascii="仿宋_GB2312" w:hAnsi="宋体" w:eastAsia="仿宋_GB2312" w:cs="Times New Roman"/>
          <w:sz w:val="32"/>
          <w:szCs w:val="32"/>
          <w:lang w:val="en-US" w:eastAsia="zh-CN"/>
        </w:rPr>
        <w:t>6.93</w:t>
      </w:r>
      <w:r>
        <w:rPr>
          <w:rFonts w:hint="eastAsia" w:ascii="仿宋_GB2312" w:hAnsi="宋体" w:eastAsia="仿宋_GB2312" w:cs="Times New Roman"/>
          <w:sz w:val="32"/>
          <w:szCs w:val="32"/>
          <w:lang w:val="zh-CN"/>
        </w:rPr>
        <w:t>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据项目资金管理办法，大为镇扶贫项目工程资金使用严格执行财务管理制度、财务处理及时、会计核算规范。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该项目由大为镇人民政府组织实施，相关部门配合完成。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该项目严格按照工程项目管理办法进行项目的实施，相关部门全程参与实施。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该项目严格按照工程项目管理办法进行项目的实施，镇纪委全程监督项目的实施。该项目无违规违纪现象。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完成对林家村</w:t>
      </w:r>
      <w:r>
        <w:rPr>
          <w:rFonts w:hint="eastAsia" w:ascii="仿宋_GB2312" w:hAnsi="宋体" w:eastAsia="仿宋_GB2312" w:cs="Times New Roman"/>
          <w:sz w:val="32"/>
          <w:szCs w:val="32"/>
          <w:lang w:val="en-US" w:eastAsia="zh-CN"/>
        </w:rPr>
        <w:t>2、3、4组道路硬化工程尾款，1.49万；大为镇2020年老车风童子坡山坪塘项目工程尾款，5.44万。合计6.93</w:t>
      </w:r>
      <w:r>
        <w:rPr>
          <w:rFonts w:hint="eastAsia" w:ascii="仿宋_GB2312" w:hAnsi="宋体" w:eastAsia="仿宋_GB2312" w:cs="Times New Roman"/>
          <w:sz w:val="32"/>
          <w:szCs w:val="32"/>
          <w:lang w:val="zh-CN"/>
        </w:rPr>
        <w:t>万元的尾款支付。</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通过绩效管理自评，扶贫项目工程在预算支出中不存在违法违纪行为，按要求做到了项目实施有计划、有监管、有落实。</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2021年特定目标类部门预算项目绩效目标自评</w:t>
      </w:r>
    </w:p>
    <w:p>
      <w:pPr>
        <w:tabs>
          <w:tab w:val="left" w:pos="1440"/>
        </w:tabs>
        <w:spacing w:line="560" w:lineRule="exact"/>
        <w:ind w:firstLine="3200" w:firstLineChars="1000"/>
        <w:rPr>
          <w:rFonts w:hint="eastAsia" w:ascii="方正小标宋_GBK" w:hAnsi="方正小标宋_GBK" w:eastAsia="楷体" w:cs="方正小标宋_GBK"/>
          <w:b/>
          <w:sz w:val="44"/>
          <w:szCs w:val="44"/>
          <w:lang w:val="zh-CN" w:eastAsia="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扶贫项目工程）</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698"/>
        <w:gridCol w:w="1080"/>
        <w:gridCol w:w="1500"/>
        <w:gridCol w:w="1950"/>
        <w:gridCol w:w="1440"/>
        <w:gridCol w:w="1381"/>
      </w:tblGrid>
      <w:tr>
        <w:tblPrEx>
          <w:tblCellMar>
            <w:top w:w="0" w:type="dxa"/>
            <w:left w:w="108" w:type="dxa"/>
            <w:bottom w:w="0" w:type="dxa"/>
            <w:right w:w="108" w:type="dxa"/>
          </w:tblCellMar>
        </w:tblPrEx>
        <w:trPr>
          <w:trHeight w:val="254" w:hRule="atLeast"/>
          <w:jc w:val="center"/>
        </w:trPr>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峨眉山市人民政府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峨眉山市大为镇人民政府</w:t>
            </w:r>
          </w:p>
        </w:tc>
      </w:tr>
      <w:tr>
        <w:tblPrEx>
          <w:tblCellMar>
            <w:top w:w="0" w:type="dxa"/>
            <w:left w:w="108" w:type="dxa"/>
            <w:bottom w:w="0" w:type="dxa"/>
            <w:right w:w="108" w:type="dxa"/>
          </w:tblCellMar>
        </w:tblPrEx>
        <w:trPr>
          <w:trHeight w:val="341" w:hRule="atLeast"/>
          <w:jc w:val="center"/>
        </w:trPr>
        <w:tc>
          <w:tcPr>
            <w:tcW w:w="2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6.93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6.93</w:t>
            </w:r>
          </w:p>
        </w:tc>
      </w:tr>
      <w:tr>
        <w:tblPrEx>
          <w:tblCellMar>
            <w:top w:w="0" w:type="dxa"/>
            <w:left w:w="108" w:type="dxa"/>
            <w:bottom w:w="0" w:type="dxa"/>
            <w:right w:w="108" w:type="dxa"/>
          </w:tblCellMar>
        </w:tblPrEx>
        <w:trPr>
          <w:trHeight w:val="730"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6.93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6.93</w:t>
            </w:r>
          </w:p>
        </w:tc>
      </w:tr>
      <w:tr>
        <w:tblPrEx>
          <w:tblCellMar>
            <w:top w:w="0" w:type="dxa"/>
            <w:left w:w="108" w:type="dxa"/>
            <w:bottom w:w="0" w:type="dxa"/>
            <w:right w:w="108" w:type="dxa"/>
          </w:tblCellMar>
        </w:tblPrEx>
        <w:trPr>
          <w:trHeight w:val="341"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5" w:hRule="atLeast"/>
          <w:jc w:val="center"/>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150" w:hRule="atLeast"/>
          <w:jc w:val="center"/>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仿宋_GB2312" w:eastAsia="仿宋_GB2312" w:cs="仿宋_GB2312"/>
                <w:sz w:val="28"/>
                <w:szCs w:val="28"/>
              </w:rPr>
            </w:pPr>
            <w:r>
              <w:rPr>
                <w:rFonts w:hint="eastAsia" w:ascii="仿宋_GB2312" w:hAnsi="宋体" w:eastAsia="仿宋_GB2312" w:cs="Times New Roman"/>
                <w:sz w:val="24"/>
                <w:szCs w:val="24"/>
                <w:lang w:val="zh-CN"/>
              </w:rPr>
              <w:t>完成对林家村</w:t>
            </w:r>
            <w:r>
              <w:rPr>
                <w:rFonts w:hint="eastAsia" w:ascii="仿宋_GB2312" w:hAnsi="宋体" w:eastAsia="仿宋_GB2312" w:cs="Times New Roman"/>
                <w:sz w:val="24"/>
                <w:szCs w:val="24"/>
                <w:lang w:val="en-US" w:eastAsia="zh-CN"/>
              </w:rPr>
              <w:t>2、3、4组道路硬化工程尾款，1.49万；大为镇2020年老车风童子坡山坪塘项目工程尾款，5.44万。合计6.93</w:t>
            </w:r>
            <w:r>
              <w:rPr>
                <w:rFonts w:hint="eastAsia" w:ascii="仿宋_GB2312" w:hAnsi="宋体" w:eastAsia="仿宋_GB2312" w:cs="Times New Roman"/>
                <w:sz w:val="24"/>
                <w:szCs w:val="24"/>
                <w:lang w:val="zh-CN"/>
              </w:rPr>
              <w:t>万元的尾款支付。</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及时足额</w:t>
            </w:r>
            <w:r>
              <w:rPr>
                <w:rFonts w:hint="eastAsia" w:asciiTheme="minorEastAsia" w:hAnsiTheme="minorEastAsia" w:eastAsiaTheme="minorEastAsia" w:cstheme="minorEastAsia"/>
                <w:color w:val="000000"/>
                <w:sz w:val="24"/>
                <w:lang w:eastAsia="zh-CN"/>
              </w:rPr>
              <w:t>支付了两笔工程尾款</w:t>
            </w:r>
            <w:r>
              <w:rPr>
                <w:rFonts w:hint="eastAsia" w:asciiTheme="minorEastAsia" w:hAnsiTheme="minorEastAsia" w:eastAsiaTheme="minorEastAsia" w:cstheme="minorEastAsia"/>
                <w:color w:val="000000"/>
                <w:sz w:val="24"/>
              </w:rPr>
              <w:t>。</w:t>
            </w:r>
          </w:p>
        </w:tc>
      </w:tr>
      <w:tr>
        <w:tblPrEx>
          <w:tblCellMar>
            <w:top w:w="0" w:type="dxa"/>
            <w:left w:w="108" w:type="dxa"/>
            <w:bottom w:w="0" w:type="dxa"/>
            <w:right w:w="108" w:type="dxa"/>
          </w:tblCellMar>
        </w:tblPrEx>
        <w:trPr>
          <w:trHeight w:val="693" w:hRule="atLeast"/>
          <w:jc w:val="center"/>
        </w:trPr>
        <w:tc>
          <w:tcPr>
            <w:tcW w:w="1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工程数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=2个</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2个</w:t>
            </w:r>
          </w:p>
        </w:tc>
      </w:tr>
      <w:tr>
        <w:tblPrEx>
          <w:tblCellMar>
            <w:top w:w="0" w:type="dxa"/>
            <w:left w:w="108" w:type="dxa"/>
            <w:bottom w:w="0" w:type="dxa"/>
            <w:right w:w="108" w:type="dxa"/>
          </w:tblCellMar>
        </w:tblPrEx>
        <w:trPr>
          <w:trHeight w:val="52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高质量完成</w:t>
            </w:r>
            <w:r>
              <w:rPr>
                <w:rFonts w:hint="eastAsia" w:asciiTheme="minorEastAsia" w:hAnsiTheme="minorEastAsia" w:eastAsiaTheme="minorEastAsia" w:cstheme="minorEastAsia"/>
                <w:color w:val="000000"/>
                <w:sz w:val="21"/>
                <w:szCs w:val="21"/>
                <w:lang w:eastAsia="zh-CN"/>
              </w:rPr>
              <w:t>经费</w:t>
            </w:r>
            <w:r>
              <w:rPr>
                <w:rFonts w:hint="eastAsia" w:asciiTheme="minorEastAsia" w:hAnsiTheme="minorEastAsia" w:eastAsiaTheme="minorEastAsia" w:cstheme="minorEastAsia"/>
                <w:color w:val="000000"/>
                <w:sz w:val="21"/>
                <w:szCs w:val="21"/>
              </w:rPr>
              <w:t>发放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6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及时对</w:t>
            </w:r>
            <w:r>
              <w:rPr>
                <w:rFonts w:hint="eastAsia" w:asciiTheme="minorEastAsia" w:hAnsiTheme="minorEastAsia" w:eastAsiaTheme="minorEastAsia" w:cstheme="minorEastAsia"/>
                <w:color w:val="000000"/>
                <w:sz w:val="21"/>
                <w:szCs w:val="21"/>
                <w:lang w:eastAsia="zh-CN"/>
              </w:rPr>
              <w:t>经费</w:t>
            </w:r>
            <w:r>
              <w:rPr>
                <w:rFonts w:hint="eastAsia" w:asciiTheme="minorEastAsia" w:hAnsiTheme="minorEastAsia" w:eastAsiaTheme="minorEastAsia" w:cstheme="minorEastAsia"/>
                <w:color w:val="000000"/>
                <w:sz w:val="21"/>
                <w:szCs w:val="21"/>
              </w:rPr>
              <w:t>进行支付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r>
      <w:tr>
        <w:tblPrEx>
          <w:tblCellMar>
            <w:top w:w="0" w:type="dxa"/>
            <w:left w:w="108" w:type="dxa"/>
            <w:bottom w:w="0" w:type="dxa"/>
            <w:right w:w="108" w:type="dxa"/>
          </w:tblCellMar>
        </w:tblPrEx>
        <w:trPr>
          <w:trHeight w:val="35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加强成本控制不超预算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6.93</w:t>
            </w:r>
            <w:r>
              <w:rPr>
                <w:rFonts w:hint="eastAsia" w:asciiTheme="minorEastAsia" w:hAnsiTheme="minorEastAsia" w:eastAsiaTheme="minorEastAsia" w:cstheme="minorEastAsia"/>
                <w:color w:val="000000"/>
                <w:sz w:val="24"/>
              </w:rPr>
              <w:t>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6.93</w:t>
            </w:r>
            <w:r>
              <w:rPr>
                <w:rFonts w:hint="eastAsia" w:asciiTheme="minorEastAsia" w:hAnsiTheme="minorEastAsia" w:eastAsiaTheme="minorEastAsia" w:cstheme="minorEastAsia"/>
                <w:color w:val="000000"/>
                <w:sz w:val="24"/>
              </w:rPr>
              <w:t>万元</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全镇经济发展较上年度提高率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发生拖欠工程款矛盾纠纷数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r>
      <w:tr>
        <w:tblPrEx>
          <w:tblCellMar>
            <w:top w:w="0" w:type="dxa"/>
            <w:left w:w="108" w:type="dxa"/>
            <w:bottom w:w="0" w:type="dxa"/>
            <w:right w:w="108" w:type="dxa"/>
          </w:tblCellMar>
        </w:tblPrEx>
        <w:trPr>
          <w:trHeight w:val="56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生态效益指标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提高</w:t>
            </w:r>
            <w:r>
              <w:rPr>
                <w:rFonts w:hint="eastAsia" w:asciiTheme="minorEastAsia" w:hAnsiTheme="minorEastAsia" w:eastAsiaTheme="minorEastAsia" w:cstheme="minorEastAsia"/>
                <w:color w:val="000000"/>
                <w:sz w:val="21"/>
                <w:szCs w:val="21"/>
                <w:lang w:eastAsia="zh-CN"/>
              </w:rPr>
              <w:t>镇域内生态环境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63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群众生产生活积极性提高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30" w:hRule="atLeast"/>
          <w:jc w:val="center"/>
        </w:trPr>
        <w:tc>
          <w:tcPr>
            <w:tcW w:w="16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满意度</w:t>
            </w:r>
          </w:p>
          <w:p>
            <w:pPr>
              <w:widowControl/>
              <w:spacing w:line="320" w:lineRule="exact"/>
              <w:jc w:val="center"/>
              <w:textAlignment w:val="bottom"/>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群众</w:t>
            </w:r>
            <w:r>
              <w:rPr>
                <w:rFonts w:hint="eastAsia" w:asciiTheme="minorEastAsia" w:hAnsiTheme="minorEastAsia" w:eastAsiaTheme="minorEastAsia" w:cstheme="minorEastAsia"/>
                <w:color w:val="000000"/>
                <w:sz w:val="21"/>
                <w:szCs w:val="21"/>
              </w:rPr>
              <w:t>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bl>
    <w:p>
      <w:pPr>
        <w:pStyle w:val="6"/>
        <w:spacing w:before="93"/>
        <w:rPr>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pPr>
        <w:tabs>
          <w:tab w:val="left" w:pos="1440"/>
        </w:tabs>
        <w:spacing w:line="560" w:lineRule="exact"/>
        <w:ind w:firstLine="2880" w:firstLineChars="9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公务用车购置</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lang w:val="zh-CN"/>
        </w:rPr>
      </w:pPr>
      <w:r>
        <w:rPr>
          <w:rFonts w:hint="eastAsia" w:ascii="仿宋_GB2312" w:hAnsi="宋体" w:eastAsia="仿宋_GB2312" w:cs="Times New Roman"/>
          <w:sz w:val="32"/>
          <w:szCs w:val="32"/>
          <w:lang w:val="zh-CN"/>
        </w:rPr>
        <w:t>大为镇</w:t>
      </w:r>
      <w:r>
        <w:rPr>
          <w:rFonts w:hint="eastAsia" w:ascii="仿宋_GB2312" w:hAnsi="宋体" w:eastAsia="仿宋_GB2312" w:cs="Times New Roman"/>
          <w:sz w:val="32"/>
          <w:szCs w:val="32"/>
          <w:lang w:val="en-US" w:eastAsia="zh-CN"/>
        </w:rPr>
        <w:t>2021年新购置公务用车1辆，预算数为10.78万元</w:t>
      </w:r>
      <w:r>
        <w:rPr>
          <w:rFonts w:hint="eastAsia" w:ascii="仿宋_GB2312" w:hAnsi="宋体" w:eastAsia="仿宋_GB2312" w:cs="Times New Roman"/>
          <w:sz w:val="32"/>
          <w:szCs w:val="32"/>
          <w:lang w:val="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及时完成公务用车购置工作。</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2"/>
        <w:ind w:left="0" w:leftChars="0" w:firstLine="640" w:firstLineChars="200"/>
        <w:rPr>
          <w:lang w:val="zh-CN"/>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adjustRightInd w:val="0"/>
        <w:snapToGrid w:val="0"/>
        <w:spacing w:line="560" w:lineRule="exact"/>
        <w:ind w:firstLine="720"/>
        <w:rPr>
          <w:rFonts w:hint="eastAsia" w:ascii="仿宋_GB2312" w:hAnsi="宋体" w:eastAsia="仿宋_GB2312" w:cs="Times New Roman"/>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．资金使用。</w:t>
      </w:r>
      <w:r>
        <w:rPr>
          <w:rFonts w:hint="eastAsia" w:ascii="仿宋_GB2312" w:hAnsi="宋体" w:eastAsia="仿宋_GB2312" w:cs="Times New Roman"/>
          <w:sz w:val="32"/>
          <w:szCs w:val="32"/>
          <w:lang w:val="zh-CN"/>
        </w:rPr>
        <w:t>该项目资金</w:t>
      </w:r>
      <w:r>
        <w:rPr>
          <w:rFonts w:hint="eastAsia" w:ascii="仿宋_GB2312" w:hAnsi="宋体" w:eastAsia="仿宋_GB2312" w:cs="Times New Roman"/>
          <w:sz w:val="32"/>
          <w:szCs w:val="32"/>
          <w:lang w:val="en-US" w:eastAsia="zh-CN"/>
        </w:rPr>
        <w:t>10.78</w:t>
      </w:r>
      <w:r>
        <w:rPr>
          <w:rFonts w:hint="eastAsia" w:ascii="仿宋_GB2312" w:hAnsi="宋体" w:eastAsia="仿宋_GB2312" w:cs="Times New Roman"/>
          <w:sz w:val="32"/>
          <w:szCs w:val="32"/>
          <w:lang w:val="zh-CN"/>
        </w:rPr>
        <w:t>万元。申请资金</w:t>
      </w:r>
      <w:r>
        <w:rPr>
          <w:rFonts w:hint="eastAsia" w:ascii="仿宋_GB2312" w:hAnsi="宋体" w:eastAsia="仿宋_GB2312" w:cs="Times New Roman"/>
          <w:sz w:val="32"/>
          <w:szCs w:val="32"/>
          <w:lang w:val="en-US" w:eastAsia="zh-CN"/>
        </w:rPr>
        <w:t>10.78</w:t>
      </w:r>
      <w:r>
        <w:rPr>
          <w:rFonts w:hint="eastAsia" w:ascii="仿宋_GB2312" w:hAnsi="宋体" w:eastAsia="仿宋_GB2312" w:cs="Times New Roman"/>
          <w:sz w:val="32"/>
          <w:szCs w:val="32"/>
          <w:lang w:val="zh-CN"/>
        </w:rPr>
        <w:t>万元，使用资金</w:t>
      </w:r>
      <w:r>
        <w:rPr>
          <w:rFonts w:hint="eastAsia" w:ascii="仿宋_GB2312" w:hAnsi="宋体" w:eastAsia="仿宋_GB2312" w:cs="Times New Roman"/>
          <w:sz w:val="32"/>
          <w:szCs w:val="32"/>
          <w:lang w:val="en-US" w:eastAsia="zh-CN"/>
        </w:rPr>
        <w:t>10.78</w:t>
      </w:r>
      <w:r>
        <w:rPr>
          <w:rFonts w:hint="eastAsia" w:ascii="仿宋_GB2312" w:hAnsi="宋体" w:eastAsia="仿宋_GB2312" w:cs="Times New Roman"/>
          <w:sz w:val="32"/>
          <w:szCs w:val="32"/>
          <w:lang w:val="zh-CN"/>
        </w:rPr>
        <w:t>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据项目资金管理办法，大为镇购置公务用车项目资金使用严格执行财务管理制度、财务处理及时、会计核算规范。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该项目由大为镇人民政府组织实施，相关部门配合完成。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该项目严格按照公务用车管理办法进行项目的实施，相关部门全程参与实施。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该项目严格按照公务用车管理办法进行项目的实施，镇纪委全程监督项目的实施。该项目无违规违纪现象。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完成新购公务用车的资金支付。</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通过绩效管理自评，公务用车购置项目在预算支出中不存在违法违纪行为，按要求做到了项目实施有计划、有监管、有落实。</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2021年特定目标类部门预算项目绩效目标自评</w:t>
      </w:r>
    </w:p>
    <w:p>
      <w:pPr>
        <w:tabs>
          <w:tab w:val="left" w:pos="1440"/>
        </w:tabs>
        <w:spacing w:line="560" w:lineRule="exact"/>
        <w:ind w:firstLine="3200" w:firstLineChars="1000"/>
        <w:rPr>
          <w:rFonts w:hint="eastAsia" w:ascii="方正小标宋_GBK" w:hAnsi="方正小标宋_GBK" w:eastAsia="楷体" w:cs="方正小标宋_GBK"/>
          <w:b/>
          <w:sz w:val="44"/>
          <w:szCs w:val="44"/>
          <w:lang w:val="zh-CN" w:eastAsia="zh-CN"/>
        </w:rPr>
      </w:pPr>
      <w:r>
        <w:rPr>
          <w:rFonts w:hint="eastAsia" w:ascii="楷体_GB2312" w:hAnsi="楷体_GB2312" w:eastAsia="楷体_GB2312" w:cs="楷体_GB2312"/>
          <w:sz w:val="32"/>
          <w:szCs w:val="32"/>
          <w:lang w:val="zh-CN"/>
        </w:rPr>
        <w:t>（</w:t>
      </w:r>
      <w:r>
        <w:rPr>
          <w:rFonts w:hint="eastAsia" w:ascii="楷体" w:hAnsi="楷体" w:eastAsia="楷体" w:cs="楷体"/>
          <w:color w:val="000000"/>
          <w:kern w:val="0"/>
          <w:sz w:val="32"/>
          <w:szCs w:val="32"/>
          <w:lang w:val="zh-CN"/>
        </w:rPr>
        <w:t>公务用车购置）</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698"/>
        <w:gridCol w:w="1080"/>
        <w:gridCol w:w="1500"/>
        <w:gridCol w:w="1950"/>
        <w:gridCol w:w="1440"/>
        <w:gridCol w:w="1381"/>
      </w:tblGrid>
      <w:tr>
        <w:tblPrEx>
          <w:tblCellMar>
            <w:top w:w="0" w:type="dxa"/>
            <w:left w:w="108" w:type="dxa"/>
            <w:bottom w:w="0" w:type="dxa"/>
            <w:right w:w="108" w:type="dxa"/>
          </w:tblCellMar>
        </w:tblPrEx>
        <w:trPr>
          <w:trHeight w:val="254" w:hRule="atLeast"/>
          <w:jc w:val="center"/>
        </w:trPr>
        <w:tc>
          <w:tcPr>
            <w:tcW w:w="2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峨眉山市人民政府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峨眉山市大为镇人民政府</w:t>
            </w:r>
          </w:p>
        </w:tc>
      </w:tr>
      <w:tr>
        <w:tblPrEx>
          <w:tblCellMar>
            <w:top w:w="0" w:type="dxa"/>
            <w:left w:w="108" w:type="dxa"/>
            <w:bottom w:w="0" w:type="dxa"/>
            <w:right w:w="108" w:type="dxa"/>
          </w:tblCellMar>
        </w:tblPrEx>
        <w:trPr>
          <w:trHeight w:val="341" w:hRule="atLeast"/>
          <w:jc w:val="center"/>
        </w:trPr>
        <w:tc>
          <w:tcPr>
            <w:tcW w:w="27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10.78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10.78</w:t>
            </w:r>
          </w:p>
        </w:tc>
      </w:tr>
      <w:tr>
        <w:tblPrEx>
          <w:tblCellMar>
            <w:top w:w="0" w:type="dxa"/>
            <w:left w:w="108" w:type="dxa"/>
            <w:bottom w:w="0" w:type="dxa"/>
            <w:right w:w="108" w:type="dxa"/>
          </w:tblCellMar>
        </w:tblPrEx>
        <w:trPr>
          <w:trHeight w:val="730"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10.78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Theme="minorEastAsia" w:hAnsiTheme="minorEastAsia" w:eastAsiaTheme="minorEastAsia" w:cstheme="minorEastAsia"/>
                <w:color w:val="000000"/>
                <w:sz w:val="24"/>
                <w:lang w:val="en-US" w:eastAsia="zh-CN"/>
              </w:rPr>
              <w:t>10.78</w:t>
            </w:r>
          </w:p>
        </w:tc>
      </w:tr>
      <w:tr>
        <w:tblPrEx>
          <w:tblCellMar>
            <w:top w:w="0" w:type="dxa"/>
            <w:left w:w="108" w:type="dxa"/>
            <w:bottom w:w="0" w:type="dxa"/>
            <w:right w:w="108" w:type="dxa"/>
          </w:tblCellMar>
        </w:tblPrEx>
        <w:trPr>
          <w:trHeight w:val="341" w:hRule="atLeast"/>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5" w:hRule="atLeast"/>
          <w:jc w:val="center"/>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060" w:hRule="atLeast"/>
          <w:jc w:val="center"/>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lang w:val="zh-CN"/>
              </w:rPr>
              <w:t>及时支付公务用车购置费用</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cs="仿宋_GB2312" w:eastAsiaTheme="minorEastAsia"/>
                <w:sz w:val="28"/>
                <w:szCs w:val="28"/>
                <w:lang w:eastAsia="zh-CN"/>
              </w:rPr>
            </w:pPr>
            <w:r>
              <w:rPr>
                <w:rFonts w:hint="eastAsia" w:asciiTheme="minorEastAsia" w:hAnsiTheme="minorEastAsia" w:eastAsiaTheme="minorEastAsia" w:cstheme="minorEastAsia"/>
                <w:color w:val="000000"/>
                <w:sz w:val="24"/>
              </w:rPr>
              <w:t>及时</w:t>
            </w:r>
            <w:r>
              <w:rPr>
                <w:rFonts w:hint="eastAsia" w:asciiTheme="minorEastAsia" w:hAnsiTheme="minorEastAsia" w:eastAsiaTheme="minorEastAsia" w:cstheme="minorEastAsia"/>
                <w:color w:val="000000"/>
                <w:sz w:val="24"/>
                <w:lang w:eastAsia="zh-CN"/>
              </w:rPr>
              <w:t>支付了公务用车购置费用。</w:t>
            </w:r>
          </w:p>
        </w:tc>
      </w:tr>
      <w:tr>
        <w:tblPrEx>
          <w:tblCellMar>
            <w:top w:w="0" w:type="dxa"/>
            <w:left w:w="108" w:type="dxa"/>
            <w:bottom w:w="0" w:type="dxa"/>
            <w:right w:w="108" w:type="dxa"/>
          </w:tblCellMar>
        </w:tblPrEx>
        <w:trPr>
          <w:trHeight w:val="693" w:hRule="atLeast"/>
          <w:jc w:val="center"/>
        </w:trPr>
        <w:tc>
          <w:tcPr>
            <w:tcW w:w="1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车辆数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=1辆</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1辆</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高质量完成</w:t>
            </w:r>
            <w:r>
              <w:rPr>
                <w:rFonts w:hint="eastAsia" w:asciiTheme="minorEastAsia" w:hAnsiTheme="minorEastAsia" w:eastAsiaTheme="minorEastAsia" w:cstheme="minorEastAsia"/>
                <w:color w:val="000000"/>
                <w:sz w:val="24"/>
                <w:lang w:eastAsia="zh-CN"/>
              </w:rPr>
              <w:t>经费支付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及时对</w:t>
            </w:r>
            <w:r>
              <w:rPr>
                <w:rFonts w:hint="eastAsia" w:asciiTheme="minorEastAsia" w:hAnsiTheme="minorEastAsia" w:eastAsiaTheme="minorEastAsia" w:cstheme="minorEastAsia"/>
                <w:color w:val="000000"/>
                <w:sz w:val="24"/>
                <w:lang w:eastAsia="zh-CN"/>
              </w:rPr>
              <w:t>经费</w:t>
            </w:r>
            <w:r>
              <w:rPr>
                <w:rFonts w:hint="eastAsia" w:asciiTheme="minorEastAsia" w:hAnsiTheme="minorEastAsia" w:eastAsiaTheme="minorEastAsia" w:cstheme="minorEastAsia"/>
                <w:color w:val="000000"/>
                <w:sz w:val="24"/>
              </w:rPr>
              <w:t>进行支付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r>
      <w:tr>
        <w:tblPrEx>
          <w:tblCellMar>
            <w:top w:w="0" w:type="dxa"/>
            <w:left w:w="108" w:type="dxa"/>
            <w:bottom w:w="0" w:type="dxa"/>
            <w:right w:w="108" w:type="dxa"/>
          </w:tblCellMar>
        </w:tblPrEx>
        <w:trPr>
          <w:trHeight w:val="35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加强成本控制不超预算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10.78</w:t>
            </w:r>
            <w:r>
              <w:rPr>
                <w:rFonts w:hint="eastAsia" w:asciiTheme="minorEastAsia" w:hAnsiTheme="minorEastAsia" w:eastAsiaTheme="minorEastAsia" w:cstheme="minorEastAsia"/>
                <w:color w:val="000000"/>
                <w:sz w:val="24"/>
              </w:rPr>
              <w:t>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10.78</w:t>
            </w:r>
            <w:r>
              <w:rPr>
                <w:rFonts w:hint="eastAsia" w:asciiTheme="minorEastAsia" w:hAnsiTheme="minorEastAsia" w:eastAsiaTheme="minorEastAsia" w:cstheme="minorEastAsia"/>
                <w:color w:val="000000"/>
                <w:sz w:val="24"/>
              </w:rPr>
              <w:t>万元</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全镇经济发展较上年度提高率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w:t>
            </w:r>
            <w:r>
              <w:rPr>
                <w:rFonts w:hint="eastAsia" w:asciiTheme="minorEastAsia" w:hAnsiTheme="minorEastAsia" w:eastAsiaTheme="minorEastAsia" w:cstheme="minorEastAsia"/>
                <w:color w:val="000000"/>
                <w:sz w:val="24"/>
              </w:rPr>
              <w:t>%</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及时为群众提供服务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w:t>
            </w:r>
          </w:p>
        </w:tc>
      </w:tr>
      <w:tr>
        <w:tblPrEx>
          <w:tblCellMar>
            <w:top w:w="0" w:type="dxa"/>
            <w:left w:w="108" w:type="dxa"/>
            <w:bottom w:w="0" w:type="dxa"/>
            <w:right w:w="108" w:type="dxa"/>
          </w:tblCellMar>
        </w:tblPrEx>
        <w:trPr>
          <w:trHeight w:val="577"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提高</w:t>
            </w:r>
            <w:r>
              <w:rPr>
                <w:rFonts w:hint="eastAsia" w:asciiTheme="minorEastAsia" w:hAnsiTheme="minorEastAsia" w:eastAsiaTheme="minorEastAsia" w:cstheme="minorEastAsia"/>
                <w:color w:val="000000"/>
                <w:sz w:val="24"/>
                <w:lang w:eastAsia="zh-CN"/>
              </w:rPr>
              <w:t>镇域内生态环境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10</w:t>
            </w:r>
            <w:r>
              <w:rPr>
                <w:rFonts w:hint="eastAsia" w:asciiTheme="minorEastAsia" w:hAnsiTheme="minorEastAsia" w:eastAsiaTheme="minorEastAsia" w:cstheme="minorEastAsia"/>
                <w:color w:val="000000"/>
                <w:sz w:val="24"/>
              </w:rPr>
              <w:t>%</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保障机关各项工作顺利开展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30" w:hRule="atLeast"/>
          <w:jc w:val="center"/>
        </w:trPr>
        <w:tc>
          <w:tcPr>
            <w:tcW w:w="16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eastAsia="zh-CN"/>
              </w:rPr>
              <w:t>群众</w:t>
            </w:r>
            <w:r>
              <w:rPr>
                <w:rFonts w:hint="eastAsia" w:asciiTheme="minorEastAsia" w:hAnsiTheme="minorEastAsia" w:eastAsiaTheme="minorEastAsia" w:cstheme="minorEastAsia"/>
                <w:color w:val="000000"/>
                <w:sz w:val="24"/>
              </w:rPr>
              <w:t>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bl>
    <w:p>
      <w:pPr>
        <w:pStyle w:val="6"/>
        <w:spacing w:before="93"/>
        <w:rPr>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en-US" w:eastAsia="zh-CN"/>
        </w:rPr>
        <w:t>100万元以上</w:t>
      </w:r>
      <w:r>
        <w:rPr>
          <w:rFonts w:hint="eastAsia" w:ascii="方正小标宋_GBK" w:hAnsi="方正小标宋_GBK" w:eastAsia="方正小标宋_GBK" w:cs="方正小标宋_GBK"/>
          <w:sz w:val="44"/>
          <w:szCs w:val="44"/>
          <w:lang w:val="zh-CN"/>
        </w:rPr>
        <w:t>预算项目支出绩效自评报告范本</w:t>
      </w:r>
    </w:p>
    <w:p>
      <w:pPr>
        <w:keepNext w:val="0"/>
        <w:keepLines w:val="0"/>
        <w:pageBreakBefore w:val="0"/>
        <w:kinsoku/>
        <w:wordWrap/>
        <w:overflowPunct/>
        <w:topLinePunct w:val="0"/>
        <w:bidi w:val="0"/>
        <w:spacing w:line="600" w:lineRule="exact"/>
        <w:ind w:firstLine="3257" w:firstLineChars="1018"/>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 w:hAnsi="楷体" w:eastAsia="楷体" w:cs="楷体"/>
          <w:color w:val="000000"/>
          <w:sz w:val="32"/>
          <w:szCs w:val="32"/>
        </w:rPr>
        <w:t>村</w:t>
      </w:r>
      <w:r>
        <w:rPr>
          <w:rFonts w:hint="eastAsia" w:ascii="楷体" w:hAnsi="楷体" w:eastAsia="楷体" w:cs="楷体"/>
          <w:color w:val="000000"/>
          <w:sz w:val="32"/>
          <w:szCs w:val="32"/>
          <w:lang w:eastAsia="zh-CN"/>
        </w:rPr>
        <w:t>组</w:t>
      </w:r>
      <w:r>
        <w:rPr>
          <w:rFonts w:hint="eastAsia" w:ascii="楷体" w:hAnsi="楷体" w:eastAsia="楷体" w:cs="楷体"/>
          <w:color w:val="000000"/>
          <w:sz w:val="32"/>
          <w:szCs w:val="32"/>
        </w:rPr>
        <w:t>干部工资</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60" w:lineRule="exact"/>
        <w:ind w:firstLine="640" w:firstLineChars="200"/>
        <w:rPr>
          <w:rFonts w:ascii="仿宋_GB2312" w:hAnsi="宋体"/>
          <w:lang w:val="zh-CN"/>
        </w:rPr>
      </w:pPr>
      <w:r>
        <w:rPr>
          <w:rFonts w:hint="eastAsia" w:ascii="仿宋_GB2312" w:hAnsi="宋体" w:eastAsia="仿宋_GB2312" w:cs="Times New Roman"/>
          <w:sz w:val="32"/>
          <w:szCs w:val="32"/>
          <w:lang w:val="zh-CN"/>
        </w:rPr>
        <w:t>大为镇村组干部工资项目为大为村</w:t>
      </w:r>
      <w:r>
        <w:rPr>
          <w:rFonts w:hint="eastAsia" w:ascii="仿宋_GB2312" w:hAnsi="宋体" w:eastAsia="仿宋_GB2312" w:cs="Times New Roman"/>
          <w:sz w:val="32"/>
          <w:szCs w:val="32"/>
          <w:lang w:val="en-US" w:eastAsia="zh-CN"/>
        </w:rPr>
        <w:t>8各村村组干部2021年度工资</w:t>
      </w:r>
      <w:r>
        <w:rPr>
          <w:rFonts w:hint="eastAsia" w:ascii="仿宋_GB2312" w:hAnsi="宋体" w:eastAsia="仿宋_GB2312" w:cs="Times New Roman"/>
          <w:sz w:val="32"/>
          <w:szCs w:val="32"/>
          <w:lang w:val="zh-CN"/>
        </w:rPr>
        <w:t>，共计</w:t>
      </w:r>
      <w:r>
        <w:rPr>
          <w:rFonts w:hint="eastAsia" w:ascii="仿宋_GB2312" w:hAnsi="宋体" w:eastAsia="仿宋_GB2312" w:cs="Times New Roman"/>
          <w:sz w:val="32"/>
          <w:szCs w:val="32"/>
          <w:lang w:val="en-US" w:eastAsia="zh-CN"/>
        </w:rPr>
        <w:t>216.99</w:t>
      </w:r>
      <w:r>
        <w:rPr>
          <w:rFonts w:hint="eastAsia" w:ascii="仿宋_GB2312" w:hAnsi="宋体" w:eastAsia="仿宋_GB2312" w:cs="Times New Roman"/>
          <w:sz w:val="32"/>
          <w:szCs w:val="32"/>
          <w:lang w:val="zh-CN"/>
        </w:rPr>
        <w:t>万元。</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及时完成每月村组干部工资支出。</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cs="Times New Roman"/>
          <w:sz w:val="32"/>
          <w:szCs w:val="32"/>
          <w:lang w:val="zh-CN"/>
        </w:rPr>
        <w:t>资金的申请使用由大为镇相关业务科室负责，项目自评步骤为由项目业务股室经办人员、财务人员共同草拟自评报告，分别报分管领导、主要领导审阅后再报送。</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pStyle w:val="2"/>
        <w:ind w:left="0" w:leftChars="0"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我镇严格对照该项目资金情况申请预算资金，坚持财政资金申报流程，项目资金及时批复。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s="Times New Roman"/>
          <w:sz w:val="32"/>
          <w:szCs w:val="32"/>
          <w:lang w:val="zh-CN"/>
        </w:rPr>
        <w:t>项目资金均由大为镇负责部门开展相关工作，及时完成工作内容，编制资金使用兑付表，经分管领导、主要领导审核后支付。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Times New Roman"/>
          <w:sz w:val="32"/>
          <w:szCs w:val="32"/>
          <w:lang w:val="zh-CN"/>
        </w:rPr>
        <w:t>该项目资金</w:t>
      </w:r>
      <w:r>
        <w:rPr>
          <w:rFonts w:hint="eastAsia" w:ascii="仿宋_GB2312" w:hAnsi="宋体" w:eastAsia="仿宋_GB2312" w:cs="Times New Roman"/>
          <w:sz w:val="32"/>
          <w:szCs w:val="32"/>
          <w:lang w:val="en-US" w:eastAsia="zh-CN"/>
        </w:rPr>
        <w:t>216.99</w:t>
      </w:r>
      <w:r>
        <w:rPr>
          <w:rFonts w:hint="eastAsia" w:ascii="仿宋_GB2312" w:hAnsi="宋体" w:eastAsia="仿宋_GB2312" w:cs="Times New Roman"/>
          <w:sz w:val="32"/>
          <w:szCs w:val="32"/>
          <w:lang w:val="zh-CN"/>
        </w:rPr>
        <w:t>万元。申请资金</w:t>
      </w:r>
      <w:r>
        <w:rPr>
          <w:rFonts w:hint="eastAsia" w:ascii="仿宋_GB2312" w:hAnsi="宋体" w:eastAsia="仿宋_GB2312" w:cs="Times New Roman"/>
          <w:sz w:val="32"/>
          <w:szCs w:val="32"/>
          <w:lang w:val="en-US" w:eastAsia="zh-CN"/>
        </w:rPr>
        <w:t>216.99</w:t>
      </w:r>
      <w:r>
        <w:rPr>
          <w:rFonts w:hint="eastAsia" w:ascii="仿宋_GB2312" w:hAnsi="宋体" w:eastAsia="仿宋_GB2312" w:cs="Times New Roman"/>
          <w:sz w:val="32"/>
          <w:szCs w:val="32"/>
          <w:lang w:val="zh-CN"/>
        </w:rPr>
        <w:t>万元，使用资金</w:t>
      </w:r>
      <w:r>
        <w:rPr>
          <w:rFonts w:hint="eastAsia" w:ascii="仿宋_GB2312" w:hAnsi="宋体" w:eastAsia="仿宋_GB2312" w:cs="Times New Roman"/>
          <w:sz w:val="32"/>
          <w:szCs w:val="32"/>
          <w:lang w:val="en-US" w:eastAsia="zh-CN"/>
        </w:rPr>
        <w:t>216.99</w:t>
      </w:r>
      <w:r>
        <w:rPr>
          <w:rFonts w:hint="eastAsia" w:ascii="仿宋_GB2312" w:hAnsi="宋体" w:eastAsia="仿宋_GB2312" w:cs="Times New Roman"/>
          <w:sz w:val="32"/>
          <w:szCs w:val="32"/>
          <w:lang w:val="zh-CN"/>
        </w:rPr>
        <w:t>万元，使用率100%。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据项目资金管理办法，大为镇村组干部工资项目资金使用严格执行财务管理制度、财务处理及时、会计核算规范。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项目组织架构及实施流程</w:t>
      </w:r>
    </w:p>
    <w:p>
      <w:pPr>
        <w:keepNext w:val="0"/>
        <w:keepLines w:val="0"/>
        <w:pageBreakBefore w:val="0"/>
        <w:kinsoku/>
        <w:wordWrap/>
        <w:overflowPunct/>
        <w:topLinePunct w:val="0"/>
        <w:bidi w:val="0"/>
        <w:adjustRightInd w:val="0"/>
        <w:snapToGrid w:val="0"/>
        <w:spacing w:line="600" w:lineRule="exact"/>
        <w:ind w:firstLine="720"/>
        <w:textAlignment w:val="auto"/>
        <w:rPr>
          <w:lang w:val="zh-CN"/>
        </w:rPr>
      </w:pPr>
      <w:r>
        <w:rPr>
          <w:rFonts w:hint="eastAsia" w:ascii="仿宋_GB2312" w:hAnsi="宋体" w:eastAsia="仿宋_GB2312" w:cs="Times New Roman"/>
          <w:sz w:val="32"/>
          <w:szCs w:val="32"/>
          <w:lang w:val="zh-CN"/>
        </w:rPr>
        <w:t>该项目由大为镇人民政府组织实施，相关部门配合完成。</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Times New Roman" w:hAnsi="Times New Roman" w:cs="Times New Roman"/>
          <w:lang w:val="zh-CN"/>
        </w:rPr>
      </w:pPr>
      <w:r>
        <w:rPr>
          <w:rFonts w:hint="eastAsia" w:ascii="仿宋_GB2312" w:hAnsi="宋体" w:eastAsia="仿宋_GB2312" w:cs="Times New Roman"/>
          <w:sz w:val="32"/>
          <w:szCs w:val="32"/>
          <w:lang w:val="zh-CN"/>
        </w:rPr>
        <w:t>该项目严格按照村组干部相关工资管理办法进行项目的实施，相关部门全程参与实施。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（三）项目监管情况</w:t>
      </w:r>
    </w:p>
    <w:p>
      <w:pPr>
        <w:spacing w:line="600" w:lineRule="exact"/>
        <w:ind w:firstLine="640" w:firstLineChars="200"/>
        <w:rPr>
          <w:rFonts w:ascii="仿宋_GB2312" w:hAnsi="仿宋_GB2312" w:cs="仿宋_GB2312"/>
        </w:rPr>
      </w:pPr>
      <w:r>
        <w:rPr>
          <w:rFonts w:hint="eastAsia" w:ascii="仿宋_GB2312" w:hAnsi="宋体" w:eastAsia="仿宋_GB2312" w:cs="Times New Roman"/>
          <w:sz w:val="32"/>
          <w:szCs w:val="32"/>
          <w:lang w:val="zh-CN"/>
        </w:rPr>
        <w:t>该项目严格按照村组干部工资管理办法进行项目的实施，镇纪委全程监督项目的实施。该项目无违规违纪现象。</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每月及时对村组干部工资进行支付。</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通过绩效管理自评，村组干部工资项目在预算支出中不存在违法违纪行为，按要求做到了项目实施有计划、有监管、有落实。完成了每月的村组干部工资发放。</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我镇自评分数为100分。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textAlignment w:val="auto"/>
        <w:rPr>
          <w:rFonts w:hint="default" w:eastAsia="仿宋_GB2312"/>
          <w:lang w:val="en-US" w:eastAsia="zh-CN"/>
        </w:rPr>
      </w:pPr>
      <w:r>
        <w:rPr>
          <w:rFonts w:hint="eastAsia" w:hAnsi="宋体"/>
          <w:sz w:val="32"/>
          <w:szCs w:val="32"/>
          <w:lang w:val="en-US" w:eastAsia="zh-CN"/>
        </w:rPr>
        <w:t xml:space="preserve">    无</w:t>
      </w: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w:t>
      </w:r>
      <w:r>
        <w:rPr>
          <w:rFonts w:hint="eastAsia" w:ascii="方正小标宋_GBK" w:hAnsi="方正小标宋_GBK" w:eastAsia="方正小标宋_GBK" w:cs="方正小标宋_GBK"/>
          <w:b/>
          <w:sz w:val="44"/>
          <w:szCs w:val="44"/>
          <w:lang w:val="en-US" w:eastAsia="zh-CN"/>
        </w:rPr>
        <w:t>100万元以上含</w:t>
      </w:r>
      <w:r>
        <w:rPr>
          <w:rFonts w:hint="eastAsia" w:ascii="方正小标宋_GBK" w:hAnsi="方正小标宋_GBK" w:eastAsia="方正小标宋_GBK" w:cs="方正小标宋_GBK"/>
          <w:b/>
          <w:sz w:val="44"/>
          <w:szCs w:val="44"/>
        </w:rPr>
        <w:t>特定目标类部门预算项目绩效目标自评</w:t>
      </w:r>
    </w:p>
    <w:p>
      <w:pPr>
        <w:widowControl/>
        <w:adjustRightInd w:val="0"/>
        <w:snapToGrid w:val="0"/>
        <w:spacing w:line="240" w:lineRule="auto"/>
        <w:ind w:firstLine="3200" w:firstLineChars="1000"/>
        <w:contextualSpacing/>
        <w:jc w:val="left"/>
        <w:rPr>
          <w:rFonts w:hint="eastAsia" w:ascii="方正小标宋_GBK" w:hAnsi="方正小标宋_GBK" w:eastAsia="楷体" w:cs="方正小标宋_GBK"/>
          <w:b/>
          <w:sz w:val="44"/>
          <w:szCs w:val="44"/>
          <w:lang w:val="zh-CN"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村</w:t>
      </w:r>
      <w:r>
        <w:rPr>
          <w:rFonts w:hint="eastAsia" w:ascii="楷体" w:hAnsi="楷体" w:eastAsia="楷体" w:cs="楷体"/>
          <w:color w:val="000000"/>
          <w:sz w:val="32"/>
          <w:szCs w:val="32"/>
          <w:lang w:eastAsia="zh-CN"/>
        </w:rPr>
        <w:t>组</w:t>
      </w:r>
      <w:r>
        <w:rPr>
          <w:rFonts w:hint="eastAsia" w:ascii="楷体" w:hAnsi="楷体" w:eastAsia="楷体" w:cs="楷体"/>
          <w:color w:val="000000"/>
          <w:sz w:val="32"/>
          <w:szCs w:val="32"/>
        </w:rPr>
        <w:t>干部工资</w:t>
      </w:r>
      <w:r>
        <w:rPr>
          <w:rFonts w:hint="eastAsia" w:ascii="楷体" w:hAnsi="楷体" w:eastAsia="楷体" w:cs="楷体"/>
          <w:color w:val="000000"/>
          <w:sz w:val="32"/>
          <w:szCs w:val="32"/>
          <w:lang w:eastAsia="zh-CN"/>
        </w:rPr>
        <w:t>）</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698"/>
        <w:gridCol w:w="1155"/>
        <w:gridCol w:w="1425"/>
        <w:gridCol w:w="1950"/>
        <w:gridCol w:w="1440"/>
        <w:gridCol w:w="1381"/>
      </w:tblGrid>
      <w:tr>
        <w:tblPrEx>
          <w:tblCellMar>
            <w:top w:w="0" w:type="dxa"/>
            <w:left w:w="108" w:type="dxa"/>
            <w:bottom w:w="0" w:type="dxa"/>
            <w:right w:w="108" w:type="dxa"/>
          </w:tblCellMar>
        </w:tblPrEx>
        <w:trPr>
          <w:trHeight w:val="254" w:hRule="atLeast"/>
          <w:jc w:val="center"/>
        </w:trPr>
        <w:tc>
          <w:tcPr>
            <w:tcW w:w="2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峨眉山市人民政府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峨眉山市大为镇人民政府</w:t>
            </w:r>
          </w:p>
        </w:tc>
      </w:tr>
      <w:tr>
        <w:tblPrEx>
          <w:tblCellMar>
            <w:top w:w="0" w:type="dxa"/>
            <w:left w:w="108" w:type="dxa"/>
            <w:bottom w:w="0" w:type="dxa"/>
            <w:right w:w="108" w:type="dxa"/>
          </w:tblCellMar>
        </w:tblPrEx>
        <w:trPr>
          <w:trHeight w:val="341" w:hRule="atLeast"/>
          <w:jc w:val="center"/>
        </w:trPr>
        <w:tc>
          <w:tcPr>
            <w:tcW w:w="28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216.99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216.99</w:t>
            </w:r>
          </w:p>
        </w:tc>
      </w:tr>
      <w:tr>
        <w:tblPrEx>
          <w:tblCellMar>
            <w:top w:w="0" w:type="dxa"/>
            <w:left w:w="108" w:type="dxa"/>
            <w:bottom w:w="0" w:type="dxa"/>
            <w:right w:w="108" w:type="dxa"/>
          </w:tblCellMar>
        </w:tblPrEx>
        <w:trPr>
          <w:trHeight w:val="730" w:hRule="atLeast"/>
          <w:jc w:val="center"/>
        </w:trPr>
        <w:tc>
          <w:tcPr>
            <w:tcW w:w="28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216.99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216.99</w:t>
            </w:r>
          </w:p>
        </w:tc>
      </w:tr>
      <w:tr>
        <w:tblPrEx>
          <w:tblCellMar>
            <w:top w:w="0" w:type="dxa"/>
            <w:left w:w="108" w:type="dxa"/>
            <w:bottom w:w="0" w:type="dxa"/>
            <w:right w:w="108" w:type="dxa"/>
          </w:tblCellMar>
        </w:tblPrEx>
        <w:trPr>
          <w:trHeight w:val="341" w:hRule="atLeast"/>
          <w:jc w:val="center"/>
        </w:trPr>
        <w:tc>
          <w:tcPr>
            <w:tcW w:w="28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5" w:hRule="atLeast"/>
          <w:jc w:val="center"/>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555" w:hRule="atLeast"/>
          <w:jc w:val="center"/>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及时足额保障各村村组干部工资</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Theme="minorEastAsia" w:hAnsiTheme="minorEastAsia" w:eastAsiaTheme="minorEastAsia" w:cstheme="minorEastAsia"/>
                <w:color w:val="000000"/>
                <w:sz w:val="24"/>
              </w:rPr>
              <w:t>及时足额的保障了村组干部的工资发放。</w:t>
            </w:r>
          </w:p>
        </w:tc>
      </w:tr>
      <w:tr>
        <w:tblPrEx>
          <w:tblCellMar>
            <w:top w:w="0" w:type="dxa"/>
            <w:left w:w="108" w:type="dxa"/>
            <w:bottom w:w="0" w:type="dxa"/>
            <w:right w:w="108" w:type="dxa"/>
          </w:tblCellMar>
        </w:tblPrEx>
        <w:trPr>
          <w:trHeight w:val="693" w:hRule="atLeast"/>
          <w:jc w:val="center"/>
        </w:trPr>
        <w:tc>
          <w:tcPr>
            <w:tcW w:w="1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保障村组干部的村个数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8个村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8个村</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高质量完成工资发放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41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及时对工资进行支付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≦1年</w:t>
            </w:r>
          </w:p>
        </w:tc>
      </w:tr>
      <w:tr>
        <w:tblPrEx>
          <w:tblCellMar>
            <w:top w:w="0" w:type="dxa"/>
            <w:left w:w="108" w:type="dxa"/>
            <w:bottom w:w="0" w:type="dxa"/>
            <w:right w:w="108" w:type="dxa"/>
          </w:tblCellMar>
        </w:tblPrEx>
        <w:trPr>
          <w:trHeight w:val="355"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加强成本控制不超预算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≦216.99万元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216.99万元</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全镇经济发展较上年度提高率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村组干部催发工资次数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0</w:t>
            </w:r>
          </w:p>
        </w:tc>
      </w:tr>
      <w:tr>
        <w:tblPrEx>
          <w:tblCellMar>
            <w:top w:w="0" w:type="dxa"/>
            <w:left w:w="108" w:type="dxa"/>
            <w:bottom w:w="0" w:type="dxa"/>
            <w:right w:w="108" w:type="dxa"/>
          </w:tblCellMar>
        </w:tblPrEx>
        <w:trPr>
          <w:trHeight w:val="577"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提高村组干部生态环境工作重视度较上年提升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20%</w:t>
            </w:r>
          </w:p>
        </w:tc>
      </w:tr>
      <w:tr>
        <w:tblPrEx>
          <w:tblCellMar>
            <w:top w:w="0" w:type="dxa"/>
            <w:left w:w="108" w:type="dxa"/>
            <w:bottom w:w="0" w:type="dxa"/>
            <w:right w:w="108" w:type="dxa"/>
          </w:tblCellMar>
        </w:tblPrEx>
        <w:trPr>
          <w:trHeight w:val="480" w:hRule="atLeast"/>
          <w:jc w:val="center"/>
        </w:trPr>
        <w:tc>
          <w:tcPr>
            <w:tcW w:w="169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提高干部工作积极性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r>
        <w:tblPrEx>
          <w:tblCellMar>
            <w:top w:w="0" w:type="dxa"/>
            <w:left w:w="108" w:type="dxa"/>
            <w:bottom w:w="0" w:type="dxa"/>
            <w:right w:w="108" w:type="dxa"/>
          </w:tblCellMar>
        </w:tblPrEx>
        <w:trPr>
          <w:trHeight w:val="530" w:hRule="atLeast"/>
          <w:jc w:val="center"/>
        </w:trPr>
        <w:tc>
          <w:tcPr>
            <w:tcW w:w="16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村组干部满意度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0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rPr>
              <w:t>100%</w:t>
            </w:r>
          </w:p>
        </w:tc>
      </w:tr>
    </w:tbl>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center"/>
        <w:textAlignment w:val="auto"/>
        <w:outlineLvl w:val="0"/>
        <w:rPr>
          <w:rStyle w:val="27"/>
          <w:rFonts w:hint="eastAsia" w:ascii="方正小标宋_GBK" w:hAnsi="方正小标宋_GBK" w:eastAsia="方正小标宋_GBK" w:cs="方正小标宋_GBK"/>
          <w:b w:val="0"/>
          <w:sz w:val="44"/>
          <w:szCs w:val="44"/>
        </w:rPr>
      </w:pPr>
      <w:bookmarkStart w:id="59" w:name="_Toc15396618"/>
      <w:r>
        <w:rPr>
          <w:rStyle w:val="27"/>
          <w:rFonts w:hint="eastAsia" w:ascii="方正小标宋_GBK" w:hAnsi="方正小标宋_GBK" w:eastAsia="方正小标宋_GBK" w:cs="方正小标宋_GBK"/>
          <w:b w:val="0"/>
          <w:sz w:val="44"/>
          <w:szCs w:val="44"/>
        </w:rPr>
        <w:t>附表</w:t>
      </w:r>
      <w:bookmarkEnd w:id="57"/>
      <w:bookmarkEnd w:id="59"/>
      <w:bookmarkStart w:id="60"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82D85A3"/>
    <w:multiLevelType w:val="singleLevel"/>
    <w:tmpl w:val="282D85A3"/>
    <w:lvl w:ilvl="0" w:tentative="0">
      <w:start w:val="2"/>
      <w:numFmt w:val="chineseCounting"/>
      <w:suff w:val="nothing"/>
      <w:lvlText w:val="（%1）"/>
      <w:lvlJc w:val="left"/>
      <w:rPr>
        <w:rFonts w:hint="eastAsia"/>
      </w:r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4E644184"/>
    <w:multiLevelType w:val="singleLevel"/>
    <w:tmpl w:val="4E644184"/>
    <w:lvl w:ilvl="0" w:tentative="0">
      <w:start w:val="1"/>
      <w:numFmt w:val="chineseCounting"/>
      <w:suff w:val="nothing"/>
      <w:lvlText w:val="（%1）"/>
      <w:lvlJc w:val="left"/>
      <w:rPr>
        <w:rFonts w:hint="eastAsia"/>
      </w:rPr>
    </w:lvl>
  </w:abstractNum>
  <w:abstractNum w:abstractNumId="6">
    <w:nsid w:val="4FB546B4"/>
    <w:multiLevelType w:val="singleLevel"/>
    <w:tmpl w:val="4FB546B4"/>
    <w:lvl w:ilvl="0" w:tentative="0">
      <w:start w:val="2"/>
      <w:numFmt w:val="chineseCounting"/>
      <w:suff w:val="nothing"/>
      <w:lvlText w:val="（%1）"/>
      <w:lvlJc w:val="left"/>
      <w:rPr>
        <w:rFonts w:hint="eastAsia"/>
      </w:r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D52BF"/>
    <w:rsid w:val="066E0107"/>
    <w:rsid w:val="07996F6E"/>
    <w:rsid w:val="0A2032A3"/>
    <w:rsid w:val="101860EC"/>
    <w:rsid w:val="10C055FF"/>
    <w:rsid w:val="118107EC"/>
    <w:rsid w:val="12FF5F51"/>
    <w:rsid w:val="13D50BC4"/>
    <w:rsid w:val="16BB723D"/>
    <w:rsid w:val="1AD25FC6"/>
    <w:rsid w:val="1BE8440E"/>
    <w:rsid w:val="1D155CEE"/>
    <w:rsid w:val="23860B96"/>
    <w:rsid w:val="240371BF"/>
    <w:rsid w:val="263623CF"/>
    <w:rsid w:val="26AD1DFF"/>
    <w:rsid w:val="29FD04D3"/>
    <w:rsid w:val="2C8A61B5"/>
    <w:rsid w:val="2DF04E50"/>
    <w:rsid w:val="319F7F4E"/>
    <w:rsid w:val="31BE4004"/>
    <w:rsid w:val="361758AC"/>
    <w:rsid w:val="36AA5135"/>
    <w:rsid w:val="37E16F03"/>
    <w:rsid w:val="3C5D5A50"/>
    <w:rsid w:val="3D98207C"/>
    <w:rsid w:val="3FAA5B91"/>
    <w:rsid w:val="40BA6CAA"/>
    <w:rsid w:val="44E268DA"/>
    <w:rsid w:val="46C85294"/>
    <w:rsid w:val="4A627F82"/>
    <w:rsid w:val="4B4F25DA"/>
    <w:rsid w:val="4BE068DB"/>
    <w:rsid w:val="4D577224"/>
    <w:rsid w:val="4EAB630A"/>
    <w:rsid w:val="4ECE2238"/>
    <w:rsid w:val="4FC94056"/>
    <w:rsid w:val="544E363C"/>
    <w:rsid w:val="598D40DE"/>
    <w:rsid w:val="5AF92295"/>
    <w:rsid w:val="5CC24DE5"/>
    <w:rsid w:val="5CD71FC4"/>
    <w:rsid w:val="5F175346"/>
    <w:rsid w:val="6C4A05C8"/>
    <w:rsid w:val="6E7E3605"/>
    <w:rsid w:val="6FF5CC65"/>
    <w:rsid w:val="71315443"/>
    <w:rsid w:val="715C0E4B"/>
    <w:rsid w:val="72734D90"/>
    <w:rsid w:val="73AD73D5"/>
    <w:rsid w:val="73B6EB34"/>
    <w:rsid w:val="79EE5BA4"/>
    <w:rsid w:val="7A894339"/>
    <w:rsid w:val="7CA230D3"/>
    <w:rsid w:val="7D8519F7"/>
    <w:rsid w:val="7DFD54DE"/>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6">
    <w:name w:val="Strong"/>
    <w:basedOn w:val="15"/>
    <w:qFormat/>
    <w:uiPriority w:val="99"/>
    <w:rPr>
      <w:b/>
    </w:rPr>
  </w:style>
  <w:style w:type="character" w:styleId="17">
    <w:name w:val="Emphasis"/>
    <w:basedOn w:val="15"/>
    <w:qFormat/>
    <w:uiPriority w:val="0"/>
    <w:rPr>
      <w:i/>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8.xml"/><Relationship Id="rId14" Type="http://schemas.openxmlformats.org/officeDocument/2006/relationships/image" Target="media/image1.png"/><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844;&#24320;&#25968;&#25454;\2020&#24180;&#20915;&#31639;&#20844;&#24320;&#38468;&#22270;(&#27169;&#26495;)&#20165;&#20379;&#21442;&#32771;%20-%20&#21103;&#264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844;&#24320;&#25968;&#25454;\2020&#24180;&#20915;&#31639;&#20844;&#24320;&#38468;&#22270;(&#27169;&#26495;)&#20165;&#20379;&#21442;&#32771;%20-%20&#21103;&#264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19&#24180;&#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19&#24180;&#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844;&#24320;&#25968;&#25454;\2020&#24180;&#20915;&#31639;&#20844;&#24320;&#38468;&#22270;(&#27169;&#26495;)&#20165;&#20379;&#21442;&#32771;%20-%20&#21103;&#264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esktop\2021&#24180;&#20915;&#31639;&#20844;&#24320;\2021&#24180;&#20915;&#31639;&#20844;&#24320;&#30456;&#20851;&#25968;&#25454;\&#21442;&#32771;\2019&#24180;&#20915;&#31639;&#20844;&#24320;&#38468;&#22270;(&#27169;&#26495;)&#20165;&#20379;&#21442;&#3277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020&#24180;&#20915;&#31639;&#20844;&#24320;&#38468;&#22270;(&#27169;&#26495;)&#20165;&#20379;&#21442;&#32771;%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收入（万元）</c:v>
                </c:pt>
                <c:pt idx="1">
                  <c:v>支出（万元）</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1369.78</c:v>
                </c:pt>
                <c:pt idx="1">
                  <c:v>1429.66</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收入（万元）</c:v>
                </c:pt>
                <c:pt idx="1">
                  <c:v>支出（万元）</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2511.14</c:v>
                </c:pt>
                <c:pt idx="1">
                  <c:v>2716.06</c:v>
                </c:pt>
              </c:numCache>
            </c:numRef>
          </c:val>
        </c:ser>
        <c:dLbls>
          <c:showLegendKey val="0"/>
          <c:showVal val="1"/>
          <c:showCatName val="0"/>
          <c:showSerName val="0"/>
          <c:showPercent val="0"/>
          <c:showBubbleSize val="0"/>
        </c:dLbls>
        <c:gapWidth val="219"/>
        <c:overlap val="-27"/>
        <c:axId val="729141247"/>
        <c:axId val="577821309"/>
      </c:barChart>
      <c:catAx>
        <c:axId val="7291412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7821309"/>
        <c:crosses val="autoZero"/>
        <c:auto val="1"/>
        <c:lblAlgn val="ctr"/>
        <c:lblOffset val="100"/>
        <c:noMultiLvlLbl val="0"/>
      </c:catAx>
      <c:valAx>
        <c:axId val="5778213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141247"/>
        <c:crosses val="autoZero"/>
        <c:crossBetween val="between"/>
      </c:valAx>
      <c:spPr>
        <a:noFill/>
        <a:ln>
          <a:noFill/>
        </a:ln>
        <a:effectLst/>
      </c:spPr>
    </c:plotArea>
    <c:legend>
      <c:legendPos val="b"/>
      <c:layout>
        <c:manualLayout>
          <c:xMode val="edge"/>
          <c:yMode val="edge"/>
          <c:x val="0.4054375"/>
          <c:y val="0.921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2</a:t>
            </a:r>
            <a:r>
              <a:rPr lang="zh-CN"/>
              <a:t>：</a:t>
            </a:r>
            <a:r>
              <a:rPr lang="en-US"/>
              <a:t>2021</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'[2020年决算公开附图(模板)仅供参考 - 副本.xlsx]收入决算结构图2'!$B$6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'[2020年决算公开附图(模板)仅供参考 - 副本.xlsx]收入决算结构图2'!$A$7:$A$9</c:f>
              <c:strCache>
                <c:ptCount val="3"/>
                <c:pt idx="0">
                  <c:v>一般公共预算财政拨款收入1183.22万元</c:v>
                </c:pt>
                <c:pt idx="1">
                  <c:v>其他收入58.79万元</c:v>
                </c:pt>
                <c:pt idx="2">
                  <c:v>政府性基金预算财政拨款127.77万元</c:v>
                </c:pt>
              </c:strCache>
            </c:strRef>
          </c:cat>
          <c:val>
            <c:numRef>
              <c:f>'[2020年决算公开附图(模板)仅供参考 - 副本.xlsx]收入决算结构图2'!$B$7:$B$9</c:f>
              <c:numCache>
                <c:formatCode>0.00%</c:formatCode>
                <c:ptCount val="3"/>
                <c:pt idx="0">
                  <c:v>0.8638</c:v>
                </c:pt>
                <c:pt idx="1">
                  <c:v>0.0429</c:v>
                </c:pt>
                <c:pt idx="2">
                  <c:v>0.0933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2021</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'[2020年决算公开附图(模板)仅供参考 - 副本.xlsx]支出决算结构图3'!$B$9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'[2020年决算公开附图(模板)仅供参考 - 副本.xlsx]支出决算结构图3'!$A$10:$A$11</c:f>
              <c:strCache>
                <c:ptCount val="2"/>
                <c:pt idx="0">
                  <c:v>基本支出699.94万元</c:v>
                </c:pt>
                <c:pt idx="1">
                  <c:v>项目支出729.72万元</c:v>
                </c:pt>
              </c:strCache>
            </c:strRef>
          </c:cat>
          <c:val>
            <c:numRef>
              <c:f>'[2020年决算公开附图(模板)仅供参考 - 副本.xlsx]支出决算结构图3'!$B$10:$B$11</c:f>
              <c:numCache>
                <c:formatCode>0.00%</c:formatCode>
                <c:ptCount val="2"/>
                <c:pt idx="0">
                  <c:v>0.4896</c:v>
                </c:pt>
                <c:pt idx="1">
                  <c:v>0.5104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4</a:t>
            </a:r>
            <a:r>
              <a:rPr lang="zh-CN" altLang="en-US"/>
              <a:t>：财政拨款收、支决算总计变动情况图</a:t>
            </a:r>
            <a:endParaRPr lang="zh-CN" altLang="en-US"/>
          </a:p>
        </c:rich>
      </c:tx>
      <c:layout/>
      <c:overlay val="0"/>
    </c:title>
    <c:autoTitleDeleted val="0"/>
    <c:plotArea>
      <c:layout>
        <c:manualLayout>
          <c:layoutTarget val="inner"/>
          <c:xMode val="edge"/>
          <c:yMode val="edge"/>
          <c:x val="0.0893966022261277"/>
          <c:y val="0.230815709969789"/>
          <c:w val="0.72091388400703"/>
          <c:h val="0.672306143001007"/>
        </c:manualLayout>
      </c:layout>
      <c:barChart>
        <c:barDir val="col"/>
        <c:grouping val="clustered"/>
        <c:varyColors val="0"/>
        <c:ser>
          <c:idx val="0"/>
          <c:order val="0"/>
          <c:tx>
            <c:strRef>
              <c:f>'[2019年决算公开附图(模板)仅供参考.xlsx]财政拨款收、支决算总计变动情况图4'!$C$4</c:f>
              <c:strCache>
                <c:ptCount val="1"/>
                <c:pt idx="0">
                  <c:v>金额</c:v>
                </c:pt>
              </c:strCache>
            </c:strRef>
          </c:tx>
          <c:invertIfNegative val="0"/>
          <c:dPt>
            <c:idx val="1"/>
            <c:invertIfNegative val="0"/>
            <c:bubble3D val="0"/>
            <c:spPr>
              <a:solidFill>
                <a:schemeClr val="accent1"/>
              </a:solidFill>
              <a:ln w="9525" cap="flat" cmpd="sng" algn="ctr">
                <a:solidFill>
                  <a:schemeClr val="accent1"/>
                </a:solidFill>
                <a:prstDash val="solid"/>
              </a:ln>
              <a:effectLst>
                <a:outerShdw blurRad="40000" dist="23000" dir="5400000" rotWithShape="0">
                  <a:srgbClr val="000000">
                    <a:alpha val="35000"/>
                  </a:srgbClr>
                </a:outerShdw>
              </a:effectLst>
            </c:spPr>
          </c:dPt>
          <c:dPt>
            <c:idx val="2"/>
            <c:invertIfNegative val="0"/>
            <c:bubble3D val="0"/>
            <c:spPr>
              <a:solidFill>
                <a:srgbClr val="C00000"/>
              </a:solidFill>
            </c:spPr>
          </c:dPt>
          <c:dPt>
            <c:idx val="3"/>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'[2019年决算公开附图(模板)仅供参考.xlsx]财政拨款收、支决算总计变动情况图4'!$B$5:$B$8</c:f>
              <c:strCache>
                <c:ptCount val="4"/>
                <c:pt idx="0">
                  <c:v>2020年收入</c:v>
                </c:pt>
                <c:pt idx="1">
                  <c:v>2021年收入</c:v>
                </c:pt>
                <c:pt idx="2">
                  <c:v>2020年支出</c:v>
                </c:pt>
                <c:pt idx="3">
                  <c:v>2021年支出</c:v>
                </c:pt>
              </c:strCache>
            </c:strRef>
          </c:cat>
          <c:val>
            <c:numRef>
              <c:f>'[2019年决算公开附图(模板)仅供参考.xlsx]财政拨款收、支决算总计变动情况图4'!$C$5:$C$8</c:f>
              <c:numCache>
                <c:formatCode>General</c:formatCode>
                <c:ptCount val="4"/>
                <c:pt idx="0">
                  <c:v>1973.34</c:v>
                </c:pt>
                <c:pt idx="1">
                  <c:v>1310.99</c:v>
                </c:pt>
                <c:pt idx="2">
                  <c:v>2270.83</c:v>
                </c:pt>
                <c:pt idx="3">
                  <c:v>1281.01</c:v>
                </c:pt>
              </c:numCache>
            </c:numRef>
          </c:val>
        </c:ser>
        <c:dLbls>
          <c:showLegendKey val="0"/>
          <c:showVal val="1"/>
          <c:showCatName val="0"/>
          <c:showSerName val="0"/>
          <c:showPercent val="0"/>
          <c:showBubbleSize val="0"/>
        </c:dLbls>
        <c:gapWidth val="150"/>
        <c:axId val="80569856"/>
        <c:axId val="80571392"/>
      </c:barChart>
      <c:catAx>
        <c:axId val="80569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0571392"/>
        <c:crosses val="autoZero"/>
        <c:auto val="1"/>
        <c:lblAlgn val="ctr"/>
        <c:lblOffset val="100"/>
        <c:noMultiLvlLbl val="0"/>
      </c:catAx>
      <c:valAx>
        <c:axId val="80571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056985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5</a:t>
            </a:r>
            <a:r>
              <a:rPr lang="zh-CN" altLang="en-US"/>
              <a:t>：一般公共预算财政拨款支出决算       变动情况图</a:t>
            </a:r>
            <a:endParaRPr lang="zh-CN" altLang="en-US"/>
          </a:p>
        </c:rich>
      </c:tx>
      <c:layout/>
      <c:overlay val="0"/>
    </c:title>
    <c:autoTitleDeleted val="0"/>
    <c:plotArea>
      <c:layout/>
      <c:barChart>
        <c:barDir val="col"/>
        <c:grouping val="clustered"/>
        <c:varyColors val="0"/>
        <c:ser>
          <c:idx val="0"/>
          <c:order val="0"/>
          <c:tx>
            <c:strRef>
              <c:f>'[2019年决算公开附图(模板)仅供参考.xlsx]一般公共预算财政拨款支出决算变动图5'!$C$4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'[2019年决算公开附图(模板)仅供参考.xlsx]一般公共预算财政拨款支出决算变动图5'!$B$5:$B$6</c:f>
              <c:strCache>
                <c:ptCount val="2"/>
                <c:pt idx="0">
                  <c:v>2020年</c:v>
                </c:pt>
                <c:pt idx="1">
                  <c:v>2021年</c:v>
                </c:pt>
              </c:strCache>
            </c:strRef>
          </c:cat>
          <c:val>
            <c:numRef>
              <c:f>'[2019年决算公开附图(模板)仅供参考.xlsx]一般公共预算财政拨款支出决算变动图5'!$C$5:$C$6</c:f>
              <c:numCache>
                <c:formatCode>General</c:formatCode>
                <c:ptCount val="2"/>
                <c:pt idx="0">
                  <c:v>1307.26</c:v>
                </c:pt>
                <c:pt idx="1">
                  <c:v>1139.61</c:v>
                </c:pt>
              </c:numCache>
            </c:numRef>
          </c:val>
        </c:ser>
        <c:dLbls>
          <c:showLegendKey val="0"/>
          <c:showVal val="1"/>
          <c:showCatName val="0"/>
          <c:showSerName val="0"/>
          <c:showPercent val="0"/>
          <c:showBubbleSize val="0"/>
        </c:dLbls>
        <c:gapWidth val="150"/>
        <c:axId val="81740160"/>
        <c:axId val="81741696"/>
      </c:barChart>
      <c:catAx>
        <c:axId val="81740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1741696"/>
        <c:crosses val="autoZero"/>
        <c:auto val="1"/>
        <c:lblAlgn val="ctr"/>
        <c:lblOffset val="100"/>
        <c:noMultiLvlLbl val="0"/>
      </c:catAx>
      <c:valAx>
        <c:axId val="81741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174016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6</a:t>
            </a:r>
            <a:r>
              <a:rPr lang="zh-CN" altLang="en-US"/>
              <a:t>：一般公共预算财政拨款支出决算结构图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'[2020年决算公开附图(模板)仅供参考 - 副本.xlsx]一般公共预算财政拨款支出决算结构图6'!$C$16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dLblPos val="bestFit"/>
              <c:showLegendKey val="0"/>
              <c:showVal val="1"/>
              <c:showCatName val="0"/>
              <c:showSerName val="0"/>
              <c:showPercent val="0"/>
              <c:showBubbleSize val="0"/>
              <c:extLst>
                <c:ext xmlns:c15="http://schemas.microsoft.com/office/drawing/2012/chart" uri="{CE6537A1-D6FC-4f65-9D91-7224C49458BB}"/>
              </c:extLst>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'[2020年决算公开附图(模板)仅供参考 - 副本.xlsx]一般公共预算财政拨款支出决算结构图6'!$B$17:$B$23</c:f>
              <c:strCache>
                <c:ptCount val="7"/>
                <c:pt idx="0">
                  <c:v>一般公共服务支出547.12万元</c:v>
                </c:pt>
                <c:pt idx="1">
                  <c:v>文化旅游体育与传媒支出28.82万元</c:v>
                </c:pt>
                <c:pt idx="2">
                  <c:v>社会保障和就业支出67.61万元</c:v>
                </c:pt>
                <c:pt idx="3">
                  <c:v>卫生健康支出16.21万元</c:v>
                </c:pt>
                <c:pt idx="4">
                  <c:v>城乡社区支出23.7万元</c:v>
                </c:pt>
                <c:pt idx="5">
                  <c:v>农林水支出403.27万元</c:v>
                </c:pt>
                <c:pt idx="6">
                  <c:v>住房保障支出52.88万元</c:v>
                </c:pt>
              </c:strCache>
            </c:strRef>
          </c:cat>
          <c:val>
            <c:numRef>
              <c:f>'[2020年决算公开附图(模板)仅供参考 - 副本.xlsx]一般公共预算财政拨款支出决算结构图6'!$C$17:$C$23</c:f>
              <c:numCache>
                <c:formatCode>0.00%</c:formatCode>
                <c:ptCount val="7"/>
                <c:pt idx="0">
                  <c:v>0.4801</c:v>
                </c:pt>
                <c:pt idx="1">
                  <c:v>0.0253</c:v>
                </c:pt>
                <c:pt idx="2">
                  <c:v>0.0593</c:v>
                </c:pt>
                <c:pt idx="3">
                  <c:v>0.0142</c:v>
                </c:pt>
                <c:pt idx="4">
                  <c:v>0.0208</c:v>
                </c:pt>
                <c:pt idx="5">
                  <c:v>0.3539</c:v>
                </c:pt>
                <c:pt idx="6">
                  <c:v>0.0464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7</a:t>
            </a:r>
            <a:r>
              <a:rPr lang="zh-CN" altLang="en-US"/>
              <a:t>：</a:t>
            </a:r>
            <a:r>
              <a:rPr lang="en-US" altLang="zh-CN"/>
              <a:t>2021</a:t>
            </a:r>
            <a:r>
              <a:rPr lang="zh-CN" altLang="en-US"/>
              <a:t>年  </a:t>
            </a:r>
            <a:r>
              <a:rPr lang="en-US" altLang="zh-CN"/>
              <a:t>"</a:t>
            </a:r>
            <a:r>
              <a:rPr lang="zh-CN" altLang="en-US"/>
              <a:t>三公”经费财政拨款                  支出结构图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'[2019年决算公开附图(模板)仅供参考.xlsx]“三公”经费财政拨款支出结构图7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'[2019年决算公开附图(模板)仅供参考.xlsx]“三公”经费财政拨款支出结构图7 '!$A$10:$A$12</c:f>
              <c:strCache>
                <c:ptCount val="3"/>
                <c:pt idx="0">
                  <c:v>因公出国（境）费支出0万元</c:v>
                </c:pt>
                <c:pt idx="1">
                  <c:v>公务用车购置及运行维护费支出27.06万元</c:v>
                </c:pt>
                <c:pt idx="2">
                  <c:v>公务接待费支出0万元</c:v>
                </c:pt>
              </c:strCache>
            </c:strRef>
          </c:cat>
          <c:val>
            <c:numRef>
              <c:f>'[2019年决算公开附图(模板)仅供参考.xlsx]“三公”经费财政拨款支出结构图7 '!$B$10:$B$12</c:f>
              <c:numCache>
                <c:formatCode>0.00%</c:formatCode>
                <c:ptCount val="3"/>
                <c:pt idx="0">
                  <c:v>0</c:v>
                </c:pt>
                <c:pt idx="1">
                  <c:v>1</c:v>
                </c:pt>
                <c:pt idx="2">
                  <c:v>0</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2021</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支出决算结构图3!$A$10:$A$11</c:f>
              <c:strCache>
                <c:ptCount val="2"/>
                <c:pt idx="0">
                  <c:v>基本支出699.94万元</c:v>
                </c:pt>
                <c:pt idx="1">
                  <c:v>项目支出729.72万元</c:v>
                </c:pt>
              </c:strCache>
            </c:strRef>
          </c:cat>
          <c:val>
            <c:numRef>
              <c:f>支出决算结构图3!$B$10:$B$11</c:f>
              <c:numCache>
                <c:formatCode>0.00%</c:formatCode>
                <c:ptCount val="2"/>
                <c:pt idx="0">
                  <c:v>0.4896</c:v>
                </c:pt>
                <c:pt idx="1">
                  <c:v>0.5104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1220</Words>
  <Characters>6954</Characters>
  <Lines>57</Lines>
  <Paragraphs>16</Paragraphs>
  <TotalTime>14</TotalTime>
  <ScaleCrop>false</ScaleCrop>
  <LinksUpToDate>false</LinksUpToDate>
  <CharactersWithSpaces>8158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2022-10-27T02:13:52Z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2EA0AEA40C354209B526299C5E7172F9</vt:lpwstr>
  </property>
</Properties>
</file>