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425"/>
      <w:bookmarkStart w:id="1" w:name="_Toc15396475"/>
      <w:bookmarkStart w:id="2" w:name="_Toc15378441"/>
      <w:bookmarkStart w:id="3" w:name="_Toc15377193"/>
      <w:bookmarkStart w:id="4" w:name="_Toc15396597"/>
      <w:bookmarkStart w:id="5" w:name="_Toc15306267"/>
      <w:bookmarkStart w:id="73" w:name="_GoBack"/>
      <w:bookmarkEnd w:id="73"/>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476"/>
      <w:bookmarkStart w:id="8" w:name="_Toc15396598"/>
      <w:bookmarkStart w:id="9" w:name="_Toc15378442"/>
      <w:bookmarkStart w:id="10" w:name="_Toc1537742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eastAsia="zh-CN"/>
        </w:rPr>
        <w:t>峨眉山市经济开发区管理委员会</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keepNext w:val="0"/>
        <w:keepLines w:val="0"/>
        <w:pageBreakBefore w:val="0"/>
        <w:widowControl/>
        <w:kinsoku/>
        <w:wordWrap/>
        <w:overflowPunct/>
        <w:topLinePunct w:val="0"/>
        <w:autoSpaceDE/>
        <w:autoSpaceDN/>
        <w:bidi w:val="0"/>
        <w:spacing w:line="600"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录</w:t>
      </w:r>
    </w:p>
    <w:p>
      <w:pPr>
        <w:pStyle w:val="11"/>
        <w:keepNext w:val="0"/>
        <w:keepLines w:val="0"/>
        <w:pageBreakBefore w:val="0"/>
        <w:kinsoku/>
        <w:wordWrap/>
        <w:overflowPunct/>
        <w:topLinePunct w:val="0"/>
        <w:autoSpaceDE/>
        <w:autoSpaceDN/>
        <w:bidi w:val="0"/>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公开时间：2022</w:t>
      </w:r>
      <w:r>
        <w:rPr>
          <w:rFonts w:hint="eastAsia" w:ascii="楷体_GB2312" w:hAnsi="楷体_GB2312" w:eastAsia="楷体_GB2312" w:cs="楷体_GB2312"/>
          <w:sz w:val="32"/>
          <w:szCs w:val="32"/>
          <w:highlight w:val="none"/>
        </w:rPr>
        <w:t>年10月</w:t>
      </w:r>
      <w:r>
        <w:rPr>
          <w:rFonts w:hint="eastAsia" w:ascii="楷体_GB2312" w:hAnsi="楷体_GB2312" w:eastAsia="楷体_GB2312" w:cs="楷体_GB2312"/>
          <w:sz w:val="32"/>
          <w:szCs w:val="32"/>
          <w:highlight w:val="none"/>
          <w:lang w:val="en-US" w:eastAsia="zh-CN"/>
        </w:rPr>
        <w:t>27</w:t>
      </w:r>
      <w:r>
        <w:rPr>
          <w:rFonts w:hint="eastAsia" w:ascii="楷体_GB2312" w:hAnsi="楷体_GB2312" w:eastAsia="楷体_GB2312" w:cs="楷体_GB2312"/>
          <w:sz w:val="32"/>
          <w:szCs w:val="32"/>
          <w:highlight w:val="none"/>
        </w:rPr>
        <w:t>日</w:t>
      </w:r>
    </w:p>
    <w:p>
      <w:pPr>
        <w:keepNext w:val="0"/>
        <w:keepLines w:val="0"/>
        <w:pageBreakBefore w:val="0"/>
        <w:kinsoku/>
        <w:wordWrap/>
        <w:overflowPunct/>
        <w:topLinePunct w:val="0"/>
        <w:autoSpaceDE/>
        <w:autoSpaceDN/>
        <w:bidi w:val="0"/>
        <w:spacing w:line="600" w:lineRule="exact"/>
        <w:textAlignment w:val="auto"/>
      </w:pP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第一部分 部门概况</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一、基本职能及主要工作</w:t>
      </w:r>
      <w:r>
        <w:rPr>
          <w:rFonts w:hint="eastAsia" w:ascii="仿宋_GB2312" w:hAnsi="仿宋_GB2312" w:eastAsia="仿宋_GB2312" w:cs="仿宋_GB2312"/>
          <w:sz w:val="32"/>
          <w:szCs w:val="32"/>
          <w:highlight w:val="none"/>
          <w:lang w:val="en-US" w:eastAsia="zh-CN"/>
        </w:rPr>
        <w:t xml:space="preserve"> .......................4</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二、机构设置</w:t>
      </w:r>
      <w:r>
        <w:rPr>
          <w:rFonts w:hint="eastAsia" w:ascii="仿宋_GB2312" w:hAnsi="仿宋_GB2312" w:eastAsia="仿宋_GB2312" w:cs="仿宋_GB2312"/>
          <w:sz w:val="32"/>
          <w:szCs w:val="32"/>
          <w:highlight w:val="none"/>
          <w:lang w:val="en-US" w:eastAsia="zh-CN"/>
        </w:rPr>
        <w:t>..................................7</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第二部分 2021年度部门决算情况说明</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一、收入支出决算总体情况说明</w:t>
      </w:r>
      <w:r>
        <w:rPr>
          <w:rFonts w:hint="eastAsia" w:ascii="仿宋_GB2312" w:hAnsi="仿宋_GB2312" w:eastAsia="仿宋_GB2312" w:cs="仿宋_GB2312"/>
          <w:sz w:val="32"/>
          <w:szCs w:val="32"/>
          <w:highlight w:val="none"/>
          <w:lang w:val="en-US" w:eastAsia="zh-CN"/>
        </w:rPr>
        <w:t>..................8</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二、收入决算情况说明</w:t>
      </w:r>
      <w:r>
        <w:rPr>
          <w:rFonts w:hint="eastAsia" w:ascii="仿宋_GB2312" w:hAnsi="仿宋_GB2312" w:eastAsia="仿宋_GB2312" w:cs="仿宋_GB2312"/>
          <w:sz w:val="32"/>
          <w:szCs w:val="32"/>
          <w:highlight w:val="none"/>
          <w:lang w:val="en-US" w:eastAsia="zh-CN"/>
        </w:rPr>
        <w:t>..........................8</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三、支出决算情况说明</w:t>
      </w:r>
      <w:r>
        <w:rPr>
          <w:rFonts w:hint="eastAsia" w:ascii="仿宋_GB2312" w:hAnsi="仿宋_GB2312" w:eastAsia="仿宋_GB2312" w:cs="仿宋_GB2312"/>
          <w:sz w:val="32"/>
          <w:szCs w:val="32"/>
          <w:highlight w:val="none"/>
          <w:lang w:val="en-US" w:eastAsia="zh-CN"/>
        </w:rPr>
        <w:t>..........................9</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四、财政拨款收入支出决算总体情况说明</w:t>
      </w:r>
      <w:r>
        <w:rPr>
          <w:rFonts w:hint="eastAsia" w:ascii="仿宋_GB2312" w:hAnsi="仿宋_GB2312" w:eastAsia="仿宋_GB2312" w:cs="仿宋_GB2312"/>
          <w:sz w:val="32"/>
          <w:szCs w:val="32"/>
          <w:highlight w:val="none"/>
          <w:lang w:val="en-US" w:eastAsia="zh-CN"/>
        </w:rPr>
        <w:t>..........10</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五、一般公共预算财政拨款支出决算情况说明</w:t>
      </w:r>
      <w:r>
        <w:rPr>
          <w:rFonts w:hint="eastAsia" w:ascii="仿宋_GB2312" w:hAnsi="仿宋_GB2312" w:eastAsia="仿宋_GB2312" w:cs="仿宋_GB2312"/>
          <w:sz w:val="32"/>
          <w:szCs w:val="32"/>
          <w:highlight w:val="none"/>
          <w:lang w:val="en-US" w:eastAsia="zh-CN"/>
        </w:rPr>
        <w:t>......10</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六、一般公共预算财政拨款基本支出决算情况说明</w:t>
      </w:r>
      <w:r>
        <w:rPr>
          <w:rFonts w:hint="eastAsia" w:ascii="仿宋_GB2312" w:hAnsi="仿宋_GB2312" w:eastAsia="仿宋_GB2312" w:cs="仿宋_GB2312"/>
          <w:sz w:val="32"/>
          <w:szCs w:val="32"/>
          <w:highlight w:val="none"/>
          <w:lang w:val="en-US" w:eastAsia="zh-CN"/>
        </w:rPr>
        <w:t>..13</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七、“三公”经费财政拨款支出决算情况说明</w:t>
      </w:r>
      <w:r>
        <w:rPr>
          <w:rFonts w:hint="eastAsia" w:ascii="仿宋_GB2312" w:hAnsi="仿宋_GB2312" w:eastAsia="仿宋_GB2312" w:cs="仿宋_GB2312"/>
          <w:sz w:val="32"/>
          <w:szCs w:val="32"/>
          <w:highlight w:val="none"/>
          <w:lang w:val="en-US" w:eastAsia="zh-CN"/>
        </w:rPr>
        <w:t>.......14</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八、政府性基金预算支出决算情况说明</w:t>
      </w:r>
      <w:r>
        <w:rPr>
          <w:rFonts w:hint="eastAsia" w:ascii="仿宋_GB2312" w:hAnsi="仿宋_GB2312" w:eastAsia="仿宋_GB2312" w:cs="仿宋_GB2312"/>
          <w:sz w:val="32"/>
          <w:szCs w:val="32"/>
          <w:highlight w:val="none"/>
          <w:lang w:val="en-US" w:eastAsia="zh-CN"/>
        </w:rPr>
        <w:t>............16</w:t>
      </w:r>
    </w:p>
    <w:p>
      <w:pPr>
        <w:pStyle w:val="12"/>
        <w:keepNext w:val="0"/>
        <w:keepLines w:val="0"/>
        <w:pageBreakBefore w:val="0"/>
        <w:kinsoku/>
        <w:wordWrap/>
        <w:overflowPunct/>
        <w:topLinePunct w:val="0"/>
        <w:autoSpaceDE/>
        <w:autoSpaceDN/>
        <w:bidi w:val="0"/>
        <w:adjustRightInd w:val="0"/>
        <w:snapToGrid w:val="0"/>
        <w:spacing w:line="600" w:lineRule="exact"/>
        <w:ind w:leftChars="0" w:firstLine="320" w:firstLineChars="1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九、国有资本经营预算支出决算情况说明</w:t>
      </w:r>
      <w:r>
        <w:rPr>
          <w:rFonts w:hint="eastAsia" w:ascii="仿宋_GB2312" w:hAnsi="仿宋_GB2312" w:eastAsia="仿宋_GB2312" w:cs="仿宋_GB2312"/>
          <w:sz w:val="32"/>
          <w:szCs w:val="32"/>
          <w:highlight w:val="none"/>
          <w:lang w:val="en-US" w:eastAsia="zh-CN"/>
        </w:rPr>
        <w:t>..........16</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Style w:val="16"/>
          <w:rFonts w:hint="eastAsia" w:ascii="仿宋_GB2312" w:hAnsi="仿宋_GB2312" w:eastAsia="仿宋_GB2312" w:cs="仿宋_GB2312"/>
          <w:color w:val="auto"/>
          <w:sz w:val="32"/>
          <w:szCs w:val="32"/>
          <w:highlight w:val="none"/>
          <w:u w:val="none"/>
        </w:rPr>
        <w:t>十、</w:t>
      </w:r>
      <w:r>
        <w:rPr>
          <w:rFonts w:hint="eastAsia" w:ascii="仿宋_GB2312" w:hAnsi="仿宋_GB2312" w:eastAsia="仿宋_GB2312" w:cs="仿宋_GB2312"/>
          <w:sz w:val="32"/>
          <w:szCs w:val="32"/>
          <w:highlight w:val="none"/>
        </w:rPr>
        <w:t>其他重要事项的情况说明</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lang w:val="en-US" w:eastAsia="zh-CN"/>
        </w:rPr>
        <w:t>...................16</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第三部分 名词解释</w:t>
      </w:r>
      <w:r>
        <w:rPr>
          <w:rFonts w:hint="eastAsia" w:ascii="黑体" w:hAnsi="黑体" w:eastAsia="黑体" w:cs="黑体"/>
          <w:sz w:val="32"/>
          <w:szCs w:val="32"/>
          <w:highlight w:val="none"/>
          <w:lang w:val="en-US" w:eastAsia="zh-CN"/>
        </w:rPr>
        <w:t>..................................19</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第四部分 附件</w:t>
      </w:r>
      <w:r>
        <w:rPr>
          <w:rFonts w:hint="eastAsia" w:ascii="黑体" w:hAnsi="黑体" w:eastAsia="黑体" w:cs="黑体"/>
          <w:sz w:val="32"/>
          <w:szCs w:val="32"/>
          <w:highlight w:val="none"/>
          <w:lang w:val="en-US" w:eastAsia="zh-CN"/>
        </w:rPr>
        <w:t>......................................23</w:t>
      </w:r>
    </w:p>
    <w:p>
      <w:pPr>
        <w:pStyle w:val="11"/>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第五部分 附表</w:t>
      </w:r>
      <w:r>
        <w:rPr>
          <w:rFonts w:hint="eastAsia" w:ascii="黑体" w:hAnsi="黑体" w:eastAsia="黑体" w:cs="黑体"/>
          <w:sz w:val="32"/>
          <w:szCs w:val="32"/>
          <w:highlight w:val="none"/>
          <w:lang w:val="en-US" w:eastAsia="zh-CN"/>
        </w:rPr>
        <w:t>......................................44</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一、收入支出决算总表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二、收入决算表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四、财政拨款收入支出决算总表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五、财政拨款支出决算明细表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六、一般公共预算财政拨款支出决算表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七、一般公共预算财政拨款支出决算明细表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八、一般公共预算财政拨款基本支出决算表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九、一般公共预算财政拨款项目支出决算表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十、一般公共预算财政拨款“三公”经费支出决算表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十一、政府性基金预算财政拨款收入支出决算表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十二、政府性基金预算财政拨款“三公”经费支出决算表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十三、国有资本经营预算财政拨款收入支出决算表</w:t>
      </w:r>
    </w:p>
    <w:p>
      <w:pPr>
        <w:pStyle w:val="12"/>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十四、国有资本经营预算财政拨款支出决算表</w:t>
      </w: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bCs/>
          <w:kern w:val="44"/>
          <w:sz w:val="32"/>
          <w:szCs w:val="32"/>
          <w:highlight w:val="none"/>
        </w:rPr>
      </w:pPr>
      <w:bookmarkStart w:id="12" w:name="_Toc15377196"/>
      <w:bookmarkStart w:id="13" w:name="_Toc15396599"/>
      <w:r>
        <w:rPr>
          <w:rFonts w:hint="eastAsia" w:ascii="仿宋_GB2312" w:hAnsi="仿宋_GB2312" w:eastAsia="仿宋_GB2312" w:cs="仿宋_GB2312"/>
          <w:b/>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rPr>
      </w:pPr>
      <w:bookmarkStart w:id="14" w:name="_Toc15396600"/>
      <w:bookmarkStart w:id="15" w:name="_Toc15377197"/>
      <w:r>
        <w:rPr>
          <w:rFonts w:hint="eastAsia" w:ascii="黑体" w:hAnsi="黑体" w:eastAsia="黑体" w:cs="黑体"/>
          <w:sz w:val="32"/>
          <w:szCs w:val="32"/>
          <w:highlight w:val="none"/>
        </w:rPr>
        <w:t>一、基本职能及主要工作</w:t>
      </w:r>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bookmarkStart w:id="16" w:name="_Toc15377198"/>
      <w:bookmarkStart w:id="17" w:name="_Toc15378445"/>
      <w:r>
        <w:rPr>
          <w:rFonts w:hint="eastAsia" w:ascii="仿宋_GB2312" w:hAnsi="仿宋_GB2312" w:eastAsia="仿宋_GB2312" w:cs="仿宋_GB2312"/>
          <w:sz w:val="32"/>
          <w:szCs w:val="32"/>
          <w:highlight w:val="none"/>
          <w:lang w:eastAsia="zh-CN"/>
        </w:rPr>
        <w:t>（一）主要职能。</w:t>
      </w:r>
      <w:bookmarkEnd w:id="16"/>
      <w:bookmarkEnd w:id="1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1、贯彻落实国家、省、乐山市和峨眉山市经济与社会发展的方针、政策、法规，研究经济开发区发展目标任务及建设发展的重大问题。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2、组织编制经济开发区总体规划、控制性详细规划、安全生产整体评价、规划环境影响评价和年度工作计划，经批准后组织实施；负责经济开发区企业经济运行统计分析工作。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3、统筹协调经济开发区投资和重点项目建设。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4、负责经济开发区企业要素保障和协调服务工作，配合相关部门做好经济开发区科技创新、招商引资、绿色发展、知识产权保护、工业高质量发展及民营经济发展等工作。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5、协调指导经济开发区企业开展品牌创建、项目申报工作。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6、负责建立经济开发区应急处置机制，制定完善应急预案。负责职责范围内的安全生产和职业健康、生态环境保护等工作；负责园区企业不稳定因素化解和稳控、法制园区建设等工作。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7、承担乐山市政府、峨眉山市政府交办的其他事项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bookmarkStart w:id="18" w:name="_Toc15378446"/>
      <w:bookmarkStart w:id="19" w:name="_Toc15377199"/>
      <w:r>
        <w:rPr>
          <w:rFonts w:hint="eastAsia" w:ascii="仿宋_GB2312" w:hAnsi="仿宋_GB2312" w:eastAsia="仿宋_GB2312" w:cs="仿宋_GB2312"/>
          <w:sz w:val="32"/>
          <w:szCs w:val="32"/>
          <w:highlight w:val="none"/>
          <w:lang w:eastAsia="zh-CN"/>
        </w:rPr>
        <w:t>（二）2021年重点工作完成情况。</w:t>
      </w:r>
      <w:bookmarkEnd w:id="18"/>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预计2021年，园区完成固定资产投资3亿元，完成项目入库3亿元；完成工业总产值285亿元，实现主营业务收入275亿元，实现利税总额20亿元。完成出口创汇0.7亿美元；新增入园企业3家，新增就业人员200人。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1.党建工作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继续巩固拓展主题教育成果，落实“三会一课”、固定主题党日、组织生活会、民主评议党员、按期换届、党费收缴、党务公开、谈心谈话等制度，从严抓好党员发展，深化“党建引领+城乡基层治理”。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2.党风廉政建设工作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推动党风廉政建设责任落实，深化正风肃纪；支持和保障市纪委监委派驻市场监管局纪检组开展工作；扎实开展“大走访大服务”走进群众专项行动。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3.脱贫攻坚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每月组织干部继续开展贫困户结对帮扶，支持和保障下派双福镇三江村第一书记和援彝干部开展工作；定期研究安排“一对一”帮扶村级集体经济发展工作。协调解决结对的绥山镇仙塘村、净安村、新建村集体经济发展中遇到的困难问题，支持和保障3名进村第一书记开展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4.服务企业发展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落实好系列扶持政策，做好疫情后企业复产复工督查工作；落实“园保贷”等相关优惠政策，为园区企业发展提供资金扶持；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梳理园区企业用地面积、立项、产能、生产经营等情况，更新园区企业台账。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5.园区规划修编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通过公开招投标方式确定园区规划修编制单位，在国土空间规划基础上开展园区规划修编。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6.机构升格相关工作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配合完成经开区升格为副处级机构后，相关内设机构及人员编制调整完善工作。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7.推进重大项目建设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推进“挂图作战”餐厨垃圾无害化处理项目，力争2021年底前完成餐厨垃圾处理生产线2条及其配套设施主体工程建设，2022年完成设备调试及项目试运行；推进中科乐美年产40万吨新型超微细粉体材料生产项目，力争2021年完成主体工程及生产厂房、办公楼，宿舍楼、食堂等其他配套设施建设，并调试运行；推进川西南（峨眉山）现代大型物流园项目，配合开展项目选址及前期准备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8.安全工作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每季度召开安全环保工作例会；开展一次安全环保应急演练；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按照四川峨眉山经济开发区等功能区安全专项整治三年行动实施方案开展园区安全风险评估和集约化可视化安全监管信息共享平台建设，同时积极开展排险除患检查。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每月不定期对园区各企业环保网格化巡查工作，按照《四川峨眉山经济开发区管理委员会环境保护工作职责》做好巡查记录、完善痕迹管理；加快推进乐九新型建材产业园跟踪环评工作，并按跟踪环评要求完成园区地下水、大气等污染监测工作；加强对园区企业的监管，全面做好新一轮中央环保督察及各级环保督察“回头看”迎检工作和交办问题的整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10.创客梦工厂相关工作。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全面开展创客梦工厂各项活动，力争新引进企业8-9个；争创国家级小微企业创业创新示范基地；维护创客梦工厂园区设施，完成消防设备更换项目等。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rPr>
      </w:pPr>
      <w:bookmarkStart w:id="20" w:name="_Toc15396601"/>
      <w:bookmarkStart w:id="21" w:name="_Toc15377200"/>
      <w:r>
        <w:rPr>
          <w:rFonts w:hint="eastAsia" w:ascii="黑体" w:hAnsi="黑体" w:eastAsia="黑体" w:cs="黑体"/>
          <w:sz w:val="32"/>
          <w:szCs w:val="32"/>
          <w:highlight w:val="none"/>
        </w:rPr>
        <w:t>二、机构设置</w:t>
      </w:r>
      <w:bookmarkEnd w:id="20"/>
      <w:bookmarkEnd w:id="2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四川省峨眉山经济开发区管理委员会</w:t>
      </w:r>
      <w:r>
        <w:rPr>
          <w:rFonts w:hint="eastAsia" w:ascii="仿宋_GB2312" w:hAnsi="仿宋_GB2312" w:eastAsia="仿宋_GB2312" w:cs="仿宋_GB2312"/>
          <w:sz w:val="32"/>
          <w:szCs w:val="32"/>
          <w:highlight w:val="none"/>
        </w:rPr>
        <w:t>下属二级单位</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个，其中行政单位</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个，参照公务员法管理的事业单位</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个，其他事业单位</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无</w:t>
      </w:r>
      <w:r>
        <w:rPr>
          <w:rFonts w:hint="eastAsia" w:ascii="仿宋_GB2312" w:hAnsi="仿宋_GB2312" w:eastAsia="仿宋_GB2312" w:cs="仿宋_GB2312"/>
          <w:sz w:val="32"/>
          <w:szCs w:val="32"/>
          <w:highlight w:val="none"/>
        </w:rPr>
        <w:t>纳入2021年度部门决算编制范围的二级预算单位</w:t>
      </w:r>
      <w:r>
        <w:rPr>
          <w:rFonts w:hint="eastAsia" w:ascii="仿宋_GB2312" w:hAnsi="仿宋_GB2312" w:eastAsia="仿宋_GB2312" w:cs="仿宋_GB2312"/>
          <w:sz w:val="32"/>
          <w:szCs w:val="32"/>
          <w:highlight w:val="none"/>
          <w:lang w:val="en-US" w:eastAsia="zh-CN"/>
        </w:rPr>
        <w:t>。</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highlight w:val="none"/>
        </w:rPr>
      </w:pPr>
      <w:bookmarkStart w:id="22" w:name="_Toc15396602"/>
      <w:bookmarkStart w:id="23" w:name="_Toc15377204"/>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highlight w:val="none"/>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highlight w:val="yellow"/>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highlight w:val="yellow"/>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highlight w:val="yellow"/>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highlight w:val="yellow"/>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highlight w:val="yellow"/>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highlight w:val="yellow"/>
        </w:rPr>
      </w:pPr>
    </w:p>
    <w:p>
      <w:pPr>
        <w:keepNext w:val="0"/>
        <w:keepLines w:val="0"/>
        <w:pageBreakBefore w:val="0"/>
        <w:kinsoku/>
        <w:wordWrap/>
        <w:overflowPunct/>
        <w:topLinePunct w:val="0"/>
        <w:bidi w:val="0"/>
        <w:spacing w:line="600" w:lineRule="exact"/>
        <w:jc w:val="both"/>
        <w:textAlignment w:val="auto"/>
        <w:rPr>
          <w:rFonts w:hint="eastAsia" w:ascii="方正小标宋_GBK" w:hAnsi="方正小标宋_GBK" w:eastAsia="方正小标宋_GBK" w:cs="方正小标宋_GBK"/>
          <w:b w:val="0"/>
          <w:bCs w:val="0"/>
          <w:sz w:val="44"/>
          <w:szCs w:val="44"/>
          <w:highlight w:val="none"/>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highlight w:val="yellow"/>
        </w:rPr>
      </w:pPr>
      <w:r>
        <w:rPr>
          <w:rFonts w:hint="eastAsia" w:ascii="方正小标宋_GBK" w:hAnsi="方正小标宋_GBK" w:eastAsia="方正小标宋_GBK" w:cs="方正小标宋_GBK"/>
          <w:b w:val="0"/>
          <w:bCs w:val="0"/>
          <w:sz w:val="44"/>
          <w:szCs w:val="44"/>
          <w:highlight w:val="none"/>
        </w:rPr>
        <w:t>第二部分 2021年度部门决算情况说明</w:t>
      </w:r>
      <w:bookmarkEnd w:id="22"/>
      <w:bookmarkEnd w:id="23"/>
    </w:p>
    <w:p>
      <w:pPr>
        <w:keepNext w:val="0"/>
        <w:keepLines w:val="0"/>
        <w:pageBreakBefore w:val="0"/>
        <w:kinsoku/>
        <w:wordWrap/>
        <w:overflowPunct/>
        <w:topLinePunct w:val="0"/>
        <w:bidi w:val="0"/>
        <w:spacing w:line="600" w:lineRule="exact"/>
        <w:textAlignment w:val="auto"/>
        <w:rPr>
          <w:highlight w:val="yellow"/>
        </w:rPr>
      </w:pPr>
    </w:p>
    <w:p>
      <w:pPr>
        <w:pStyle w:val="24"/>
        <w:keepNext w:val="0"/>
        <w:keepLines w:val="0"/>
        <w:pageBreakBefore w:val="0"/>
        <w:numPr>
          <w:ilvl w:val="0"/>
          <w:numId w:val="1"/>
        </w:numPr>
        <w:kinsoku/>
        <w:wordWrap/>
        <w:overflowPunct/>
        <w:topLinePunct w:val="0"/>
        <w:bidi w:val="0"/>
        <w:spacing w:line="600" w:lineRule="exact"/>
        <w:ind w:firstLineChars="0"/>
        <w:textAlignment w:val="auto"/>
        <w:outlineLvl w:val="1"/>
        <w:rPr>
          <w:rStyle w:val="26"/>
          <w:rFonts w:ascii="黑体" w:hAnsi="黑体" w:eastAsia="黑体"/>
          <w:b w:val="0"/>
          <w:highlight w:val="none"/>
        </w:rPr>
      </w:pPr>
      <w:bookmarkStart w:id="24" w:name="_Toc15396603"/>
      <w:bookmarkStart w:id="25" w:name="_Toc15377205"/>
      <w:r>
        <w:rPr>
          <w:rFonts w:hint="eastAsia" w:ascii="黑体" w:hAnsi="黑体" w:eastAsia="黑体"/>
          <w:sz w:val="32"/>
          <w:szCs w:val="32"/>
          <w:highlight w:val="none"/>
        </w:rPr>
        <w:t>收</w:t>
      </w:r>
      <w:r>
        <w:rPr>
          <w:rStyle w:val="26"/>
          <w:rFonts w:hint="eastAsia" w:ascii="黑体" w:hAnsi="黑体" w:eastAsia="黑体"/>
          <w:b w:val="0"/>
          <w:highlight w:val="none"/>
        </w:rPr>
        <w:t>入支出决算总体情况说明</w:t>
      </w:r>
      <w:bookmarkEnd w:id="24"/>
      <w:bookmarkEnd w:id="25"/>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2021年度收、支总计</w:t>
      </w:r>
      <w:r>
        <w:rPr>
          <w:rFonts w:hint="eastAsia" w:ascii="仿宋_GB2312" w:hAnsi="仿宋_GB2312" w:eastAsia="仿宋_GB2312" w:cs="仿宋_GB2312"/>
          <w:sz w:val="32"/>
          <w:szCs w:val="32"/>
          <w:highlight w:val="none"/>
          <w:lang w:val="en-US" w:eastAsia="zh-CN"/>
        </w:rPr>
        <w:t>6122.3</w:t>
      </w:r>
      <w:r>
        <w:rPr>
          <w:rFonts w:hint="eastAsia" w:ascii="仿宋_GB2312" w:hAnsi="仿宋_GB2312" w:eastAsia="仿宋_GB2312" w:cs="仿宋_GB2312"/>
          <w:sz w:val="32"/>
          <w:szCs w:val="32"/>
          <w:highlight w:val="none"/>
        </w:rPr>
        <w:t>万元。与2020年相比，收、支总计各增加</w:t>
      </w:r>
      <w:r>
        <w:rPr>
          <w:rFonts w:hint="eastAsia" w:ascii="仿宋_GB2312" w:hAnsi="仿宋_GB2312" w:eastAsia="仿宋_GB2312" w:cs="仿宋_GB2312"/>
          <w:sz w:val="32"/>
          <w:szCs w:val="32"/>
          <w:highlight w:val="none"/>
          <w:lang w:val="en-US" w:eastAsia="zh-CN"/>
        </w:rPr>
        <w:t>3932.31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179.55</w:t>
      </w:r>
      <w:r>
        <w:rPr>
          <w:rFonts w:hint="eastAsia" w:ascii="仿宋_GB2312" w:hAnsi="仿宋_GB2312" w:eastAsia="仿宋_GB2312" w:cs="仿宋_GB2312"/>
          <w:sz w:val="32"/>
          <w:szCs w:val="32"/>
          <w:highlight w:val="none"/>
        </w:rPr>
        <w:t>%。主要变动原因是</w:t>
      </w:r>
      <w:r>
        <w:rPr>
          <w:rFonts w:hint="eastAsia" w:ascii="仿宋_GB2312" w:hAnsi="仿宋_GB2312" w:eastAsia="仿宋_GB2312" w:cs="仿宋_GB2312"/>
          <w:sz w:val="32"/>
          <w:szCs w:val="32"/>
          <w:highlight w:val="none"/>
          <w:lang w:val="en-US" w:eastAsia="zh-CN"/>
        </w:rPr>
        <w:t>2021年财政下指标，归还财政借款。</w:t>
      </w:r>
    </w:p>
    <w:p>
      <w:pPr>
        <w:pStyle w:val="6"/>
        <w:rPr>
          <w:rFonts w:hint="eastAsia" w:ascii="仿宋_GB2312" w:hAnsi="仿宋_GB2312" w:eastAsia="仿宋_GB2312" w:cs="仿宋_GB2312"/>
          <w:sz w:val="32"/>
          <w:szCs w:val="32"/>
          <w:highlight w:val="yellow"/>
        </w:rPr>
      </w:pPr>
      <w:r>
        <w:drawing>
          <wp:inline distT="0" distB="0" distL="114300" distR="114300">
            <wp:extent cx="4572000" cy="2971800"/>
            <wp:effectExtent l="4445" t="4445" r="14605"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4"/>
        <w:keepNext w:val="0"/>
        <w:keepLines w:val="0"/>
        <w:pageBreakBefore w:val="0"/>
        <w:numPr>
          <w:ilvl w:val="0"/>
          <w:numId w:val="1"/>
        </w:numPr>
        <w:kinsoku/>
        <w:wordWrap/>
        <w:overflowPunct/>
        <w:topLinePunct w:val="0"/>
        <w:bidi w:val="0"/>
        <w:spacing w:line="600" w:lineRule="exact"/>
        <w:ind w:firstLineChars="0"/>
        <w:textAlignment w:val="auto"/>
        <w:outlineLvl w:val="1"/>
        <w:rPr>
          <w:rStyle w:val="26"/>
          <w:rFonts w:ascii="黑体" w:hAnsi="黑体" w:eastAsia="黑体"/>
          <w:b w:val="0"/>
          <w:highlight w:val="none"/>
        </w:rPr>
      </w:pPr>
      <w:bookmarkStart w:id="26" w:name="_Toc15377206"/>
      <w:bookmarkStart w:id="27" w:name="_Toc15396604"/>
      <w:r>
        <w:rPr>
          <w:rFonts w:hint="eastAsia" w:ascii="黑体" w:hAnsi="黑体" w:eastAsia="黑体"/>
          <w:sz w:val="32"/>
          <w:szCs w:val="32"/>
          <w:highlight w:val="none"/>
        </w:rPr>
        <w:t>收</w:t>
      </w:r>
      <w:r>
        <w:rPr>
          <w:rStyle w:val="26"/>
          <w:rFonts w:hint="eastAsia" w:ascii="黑体" w:hAnsi="黑体" w:eastAsia="黑体"/>
          <w:b w:val="0"/>
          <w:highlight w:val="none"/>
        </w:rPr>
        <w:t>入决算情况说明</w:t>
      </w:r>
      <w:bookmarkEnd w:id="26"/>
      <w:bookmarkEnd w:id="27"/>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2021年本年收入合计</w:t>
      </w:r>
      <w:r>
        <w:rPr>
          <w:rFonts w:hint="eastAsia" w:ascii="仿宋_GB2312" w:hAnsi="仿宋_GB2312" w:eastAsia="仿宋_GB2312" w:cs="仿宋_GB2312"/>
          <w:b w:val="0"/>
          <w:bCs w:val="0"/>
          <w:sz w:val="32"/>
          <w:szCs w:val="32"/>
          <w:highlight w:val="none"/>
          <w:lang w:val="en-US" w:eastAsia="zh-CN"/>
        </w:rPr>
        <w:t>552.12</w:t>
      </w:r>
      <w:r>
        <w:rPr>
          <w:rFonts w:hint="eastAsia" w:ascii="仿宋_GB2312" w:hAnsi="仿宋_GB2312" w:eastAsia="仿宋_GB2312" w:cs="仿宋_GB2312"/>
          <w:b w:val="0"/>
          <w:bCs w:val="0"/>
          <w:sz w:val="32"/>
          <w:szCs w:val="32"/>
          <w:highlight w:val="none"/>
        </w:rPr>
        <w:t>万元，其中：一般公共预算财政拨款收入</w:t>
      </w:r>
      <w:r>
        <w:rPr>
          <w:rFonts w:hint="eastAsia" w:ascii="仿宋_GB2312" w:hAnsi="仿宋_GB2312" w:eastAsia="仿宋_GB2312" w:cs="仿宋_GB2312"/>
          <w:b w:val="0"/>
          <w:bCs w:val="0"/>
          <w:sz w:val="32"/>
          <w:szCs w:val="32"/>
          <w:highlight w:val="none"/>
          <w:lang w:val="en-US" w:eastAsia="zh-CN"/>
        </w:rPr>
        <w:t>407.03</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73.72</w:t>
      </w:r>
      <w:r>
        <w:rPr>
          <w:rFonts w:hint="eastAsia" w:ascii="仿宋_GB2312" w:hAnsi="仿宋_GB2312" w:eastAsia="仿宋_GB2312" w:cs="仿宋_GB2312"/>
          <w:b w:val="0"/>
          <w:bCs w:val="0"/>
          <w:sz w:val="32"/>
          <w:szCs w:val="32"/>
          <w:highlight w:val="none"/>
        </w:rPr>
        <w:t>%；政府性基金预算财政拨款收入</w:t>
      </w:r>
      <w:r>
        <w:rPr>
          <w:rFonts w:hint="eastAsia" w:ascii="仿宋_GB2312" w:hAnsi="仿宋_GB2312" w:eastAsia="仿宋_GB2312" w:cs="仿宋_GB2312"/>
          <w:b w:val="0"/>
          <w:bCs w:val="0"/>
          <w:sz w:val="32"/>
          <w:szCs w:val="32"/>
          <w:highlight w:val="none"/>
          <w:lang w:val="en-US" w:eastAsia="zh-CN"/>
        </w:rPr>
        <w:t>145.09</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26.28</w:t>
      </w:r>
      <w:r>
        <w:rPr>
          <w:rFonts w:hint="eastAsia" w:ascii="仿宋_GB2312" w:hAnsi="仿宋_GB2312" w:eastAsia="仿宋_GB2312" w:cs="仿宋_GB2312"/>
          <w:b w:val="0"/>
          <w:bCs w:val="0"/>
          <w:sz w:val="32"/>
          <w:szCs w:val="32"/>
          <w:highlight w:val="none"/>
        </w:rPr>
        <w:t>%；国有资本经营预算财政拨款收入</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%；上级补助收入</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%；事业收入</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%；经营收入</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%；附属单位上缴收入</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%；其他收入</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w:t>
      </w:r>
    </w:p>
    <w:p>
      <w:pPr>
        <w:keepNext w:val="0"/>
        <w:keepLines w:val="0"/>
        <w:pageBreakBefore w:val="0"/>
        <w:kinsoku/>
        <w:wordWrap/>
        <w:overflowPunct/>
        <w:topLinePunct w:val="0"/>
        <w:bidi w:val="0"/>
        <w:spacing w:line="600" w:lineRule="exact"/>
        <w:textAlignment w:val="auto"/>
        <w:rPr>
          <w:rFonts w:ascii="仿宋_GB2312" w:eastAsia="仿宋_GB2312"/>
          <w:b w:val="0"/>
          <w:bCs w:val="0"/>
          <w:sz w:val="32"/>
          <w:szCs w:val="32"/>
          <w:highlight w:val="yellow"/>
        </w:rPr>
      </w:pPr>
    </w:p>
    <w:p>
      <w:pPr>
        <w:pStyle w:val="6"/>
        <w:rPr>
          <w:rFonts w:ascii="仿宋_GB2312" w:eastAsia="仿宋_GB2312"/>
          <w:b w:val="0"/>
          <w:bCs w:val="0"/>
          <w:sz w:val="32"/>
          <w:szCs w:val="32"/>
          <w:highlight w:val="yellow"/>
        </w:rPr>
      </w:pPr>
      <w:r>
        <w:drawing>
          <wp:inline distT="0" distB="0" distL="114300" distR="114300">
            <wp:extent cx="5325110" cy="2520950"/>
            <wp:effectExtent l="4445" t="4445" r="23495" b="825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6"/>
        <w:rPr>
          <w:rFonts w:ascii="仿宋_GB2312" w:eastAsia="仿宋_GB2312"/>
          <w:b w:val="0"/>
          <w:bCs w:val="0"/>
          <w:sz w:val="32"/>
          <w:szCs w:val="32"/>
          <w:highlight w:val="yellow"/>
        </w:rPr>
      </w:pPr>
    </w:p>
    <w:p>
      <w:pPr>
        <w:pStyle w:val="24"/>
        <w:keepNext w:val="0"/>
        <w:keepLines w:val="0"/>
        <w:pageBreakBefore w:val="0"/>
        <w:numPr>
          <w:ilvl w:val="0"/>
          <w:numId w:val="1"/>
        </w:numPr>
        <w:kinsoku/>
        <w:wordWrap/>
        <w:overflowPunct/>
        <w:topLinePunct w:val="0"/>
        <w:bidi w:val="0"/>
        <w:spacing w:line="600" w:lineRule="exact"/>
        <w:ind w:firstLineChars="0"/>
        <w:textAlignment w:val="auto"/>
        <w:outlineLvl w:val="1"/>
        <w:rPr>
          <w:rStyle w:val="26"/>
          <w:rFonts w:ascii="黑体" w:hAnsi="黑体" w:eastAsia="黑体"/>
          <w:b w:val="0"/>
          <w:highlight w:val="none"/>
        </w:rPr>
      </w:pPr>
      <w:bookmarkStart w:id="28" w:name="_Toc15377207"/>
      <w:bookmarkStart w:id="29" w:name="_Toc15396605"/>
      <w:r>
        <w:rPr>
          <w:rFonts w:hint="eastAsia" w:ascii="黑体" w:hAnsi="黑体" w:eastAsia="黑体"/>
          <w:sz w:val="32"/>
          <w:szCs w:val="32"/>
          <w:highlight w:val="none"/>
        </w:rPr>
        <w:t>支</w:t>
      </w:r>
      <w:r>
        <w:rPr>
          <w:rStyle w:val="26"/>
          <w:rFonts w:hint="eastAsia" w:ascii="黑体" w:hAnsi="黑体" w:eastAsia="黑体"/>
          <w:b w:val="0"/>
          <w:highlight w:val="none"/>
        </w:rPr>
        <w:t>出决算情况说明</w:t>
      </w:r>
      <w:bookmarkEnd w:id="28"/>
      <w:bookmarkEnd w:id="29"/>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2021年本年支出合计</w:t>
      </w:r>
      <w:r>
        <w:rPr>
          <w:rFonts w:hint="eastAsia" w:ascii="仿宋_GB2312" w:hAnsi="仿宋_GB2312" w:eastAsia="仿宋_GB2312" w:cs="仿宋_GB2312"/>
          <w:sz w:val="32"/>
          <w:szCs w:val="32"/>
          <w:highlight w:val="none"/>
          <w:lang w:val="en-US" w:eastAsia="zh-CN"/>
        </w:rPr>
        <w:t>6117.44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315.62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5.16</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5801.82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94.84</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bidi w:val="0"/>
        <w:spacing w:line="600" w:lineRule="exact"/>
        <w:textAlignment w:val="auto"/>
        <w:rPr>
          <w:rFonts w:ascii="仿宋_GB2312" w:eastAsia="仿宋_GB2312"/>
          <w:sz w:val="32"/>
          <w:szCs w:val="32"/>
          <w:highlight w:val="yellow"/>
        </w:rPr>
      </w:pPr>
    </w:p>
    <w:p>
      <w:pPr>
        <w:pStyle w:val="6"/>
        <w:rPr>
          <w:rFonts w:ascii="仿宋_GB2312" w:eastAsia="仿宋_GB2312"/>
          <w:sz w:val="32"/>
          <w:szCs w:val="32"/>
          <w:highlight w:val="yellow"/>
        </w:rPr>
      </w:pPr>
      <w:r>
        <w:drawing>
          <wp:inline distT="0" distB="0" distL="114300" distR="114300">
            <wp:extent cx="5343525" cy="2714625"/>
            <wp:effectExtent l="4445" t="4445" r="5080" b="5080"/>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kinsoku/>
        <w:wordWrap/>
        <w:overflowPunct/>
        <w:topLinePunct w:val="0"/>
        <w:bidi w:val="0"/>
        <w:spacing w:line="600" w:lineRule="exact"/>
        <w:ind w:firstLine="640" w:firstLineChars="200"/>
        <w:textAlignment w:val="auto"/>
        <w:outlineLvl w:val="1"/>
        <w:rPr>
          <w:rStyle w:val="26"/>
          <w:rFonts w:ascii="黑体" w:hAnsi="黑体" w:eastAsia="黑体"/>
          <w:b w:val="0"/>
          <w:highlight w:val="none"/>
        </w:rPr>
      </w:pPr>
      <w:bookmarkStart w:id="30" w:name="_Toc15377208"/>
      <w:bookmarkStart w:id="31" w:name="_Toc15396606"/>
      <w:r>
        <w:rPr>
          <w:rFonts w:hint="eastAsia" w:ascii="黑体" w:hAnsi="黑体" w:eastAsia="黑体"/>
          <w:sz w:val="32"/>
          <w:szCs w:val="32"/>
          <w:highlight w:val="none"/>
        </w:rPr>
        <w:t>四、财</w:t>
      </w:r>
      <w:r>
        <w:rPr>
          <w:rStyle w:val="26"/>
          <w:rFonts w:hint="eastAsia" w:ascii="黑体" w:hAnsi="黑体" w:eastAsia="黑体"/>
          <w:b w:val="0"/>
          <w:highlight w:val="none"/>
        </w:rPr>
        <w:t>政拨款收入支出决算总体情况说明</w:t>
      </w:r>
      <w:bookmarkEnd w:id="30"/>
      <w:bookmarkEnd w:id="31"/>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rPr>
        <w:t>2021年财政拨款收、支总计</w:t>
      </w:r>
      <w:r>
        <w:rPr>
          <w:rFonts w:hint="eastAsia" w:ascii="仿宋_GB2312" w:hAnsi="仿宋_GB2312" w:eastAsia="仿宋_GB2312" w:cs="仿宋_GB2312"/>
          <w:b w:val="0"/>
          <w:bCs w:val="0"/>
          <w:sz w:val="32"/>
          <w:szCs w:val="32"/>
          <w:highlight w:val="none"/>
          <w:lang w:val="en-US" w:eastAsia="zh-CN"/>
        </w:rPr>
        <w:t>6122.28</w:t>
      </w:r>
      <w:r>
        <w:rPr>
          <w:rFonts w:hint="eastAsia" w:ascii="仿宋_GB2312" w:hAnsi="仿宋_GB2312" w:eastAsia="仿宋_GB2312" w:cs="仿宋_GB2312"/>
          <w:b w:val="0"/>
          <w:bCs w:val="0"/>
          <w:sz w:val="32"/>
          <w:szCs w:val="32"/>
          <w:highlight w:val="none"/>
        </w:rPr>
        <w:t>万元。与2020年相比，财政拨款收、支总计各增加</w:t>
      </w:r>
      <w:r>
        <w:rPr>
          <w:rFonts w:hint="eastAsia" w:ascii="仿宋_GB2312" w:hAnsi="仿宋_GB2312" w:eastAsia="仿宋_GB2312" w:cs="仿宋_GB2312"/>
          <w:b w:val="0"/>
          <w:bCs w:val="0"/>
          <w:sz w:val="32"/>
          <w:szCs w:val="32"/>
          <w:highlight w:val="none"/>
          <w:lang w:val="en-US" w:eastAsia="zh-CN"/>
        </w:rPr>
        <w:t>3932.36</w:t>
      </w:r>
      <w:r>
        <w:rPr>
          <w:rFonts w:hint="eastAsia" w:ascii="仿宋_GB2312" w:hAnsi="仿宋_GB2312" w:eastAsia="仿宋_GB2312" w:cs="仿宋_GB2312"/>
          <w:b w:val="0"/>
          <w:bCs w:val="0"/>
          <w:sz w:val="32"/>
          <w:szCs w:val="32"/>
          <w:highlight w:val="none"/>
        </w:rPr>
        <w:t>万元，增长</w:t>
      </w:r>
      <w:r>
        <w:rPr>
          <w:rFonts w:hint="eastAsia" w:ascii="仿宋_GB2312" w:hAnsi="仿宋_GB2312" w:eastAsia="仿宋_GB2312" w:cs="仿宋_GB2312"/>
          <w:b w:val="0"/>
          <w:bCs w:val="0"/>
          <w:sz w:val="32"/>
          <w:szCs w:val="32"/>
          <w:highlight w:val="none"/>
          <w:lang w:val="en-US" w:eastAsia="zh-CN"/>
        </w:rPr>
        <w:t>179.56</w:t>
      </w:r>
      <w:r>
        <w:rPr>
          <w:rFonts w:hint="eastAsia" w:ascii="仿宋_GB2312" w:hAnsi="仿宋_GB2312" w:eastAsia="仿宋_GB2312" w:cs="仿宋_GB2312"/>
          <w:b w:val="0"/>
          <w:bCs w:val="0"/>
          <w:sz w:val="32"/>
          <w:szCs w:val="32"/>
          <w:highlight w:val="none"/>
        </w:rPr>
        <w:t>%。主要变动原因是</w:t>
      </w:r>
      <w:r>
        <w:rPr>
          <w:rFonts w:hint="eastAsia" w:ascii="仿宋_GB2312" w:hAnsi="仿宋_GB2312" w:eastAsia="仿宋_GB2312" w:cs="仿宋_GB2312"/>
          <w:sz w:val="32"/>
          <w:szCs w:val="32"/>
          <w:highlight w:val="none"/>
          <w:lang w:val="en-US" w:eastAsia="zh-CN"/>
        </w:rPr>
        <w:t>2021年财政下指标，归还财政借款。</w:t>
      </w:r>
    </w:p>
    <w:p>
      <w:pPr>
        <w:keepNext w:val="0"/>
        <w:keepLines w:val="0"/>
        <w:pageBreakBefore w:val="0"/>
        <w:kinsoku/>
        <w:wordWrap/>
        <w:overflowPunct/>
        <w:topLinePunct w:val="0"/>
        <w:bidi w:val="0"/>
        <w:spacing w:line="600" w:lineRule="exact"/>
        <w:ind w:firstLine="640"/>
        <w:textAlignment w:val="auto"/>
        <w:rPr>
          <w:rFonts w:ascii="仿宋" w:hAnsi="仿宋" w:eastAsia="仿宋"/>
          <w:b/>
          <w:sz w:val="32"/>
          <w:szCs w:val="32"/>
          <w:highlight w:val="yellow"/>
        </w:rPr>
      </w:pPr>
    </w:p>
    <w:p>
      <w:pPr>
        <w:pStyle w:val="6"/>
        <w:rPr>
          <w:rFonts w:ascii="仿宋" w:hAnsi="仿宋" w:eastAsia="仿宋"/>
          <w:b/>
          <w:sz w:val="32"/>
          <w:szCs w:val="32"/>
          <w:highlight w:val="yellow"/>
        </w:rPr>
      </w:pPr>
      <w:r>
        <w:drawing>
          <wp:inline distT="0" distB="0" distL="114300" distR="114300">
            <wp:extent cx="5286375" cy="2752725"/>
            <wp:effectExtent l="4445" t="4445" r="5080"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6"/>
        <w:rPr>
          <w:rFonts w:ascii="仿宋" w:hAnsi="仿宋" w:eastAsia="仿宋"/>
          <w:b/>
          <w:sz w:val="32"/>
          <w:szCs w:val="32"/>
          <w:highlight w:val="yellow"/>
        </w:rPr>
      </w:pPr>
    </w:p>
    <w:p>
      <w:pPr>
        <w:keepNext w:val="0"/>
        <w:keepLines w:val="0"/>
        <w:pageBreakBefore w:val="0"/>
        <w:kinsoku/>
        <w:wordWrap/>
        <w:overflowPunct/>
        <w:topLinePunct w:val="0"/>
        <w:bidi w:val="0"/>
        <w:spacing w:line="600" w:lineRule="exact"/>
        <w:ind w:firstLine="640" w:firstLineChars="200"/>
        <w:textAlignment w:val="auto"/>
        <w:outlineLvl w:val="1"/>
        <w:rPr>
          <w:rStyle w:val="26"/>
          <w:rFonts w:ascii="黑体" w:hAnsi="黑体" w:eastAsia="黑体"/>
          <w:b w:val="0"/>
          <w:highlight w:val="none"/>
        </w:rPr>
      </w:pPr>
      <w:bookmarkStart w:id="32" w:name="_Toc15396607"/>
      <w:bookmarkStart w:id="33" w:name="_Toc15377209"/>
      <w:r>
        <w:rPr>
          <w:rFonts w:hint="eastAsia" w:ascii="黑体" w:hAnsi="黑体" w:eastAsia="黑体"/>
          <w:sz w:val="32"/>
          <w:szCs w:val="32"/>
          <w:highlight w:val="none"/>
        </w:rPr>
        <w:t>五、</w:t>
      </w:r>
      <w:r>
        <w:rPr>
          <w:rFonts w:hint="eastAsia" w:ascii="黑体" w:hAnsi="黑体" w:eastAsia="黑体"/>
          <w:b/>
          <w:sz w:val="32"/>
          <w:szCs w:val="32"/>
          <w:highlight w:val="none"/>
        </w:rPr>
        <w:t>一</w:t>
      </w:r>
      <w:r>
        <w:rPr>
          <w:rStyle w:val="26"/>
          <w:rFonts w:hint="eastAsia" w:ascii="黑体" w:hAnsi="黑体" w:eastAsia="黑体"/>
          <w:b w:val="0"/>
          <w:highlight w:val="none"/>
        </w:rPr>
        <w:t>般公共预算财政拨款支出决算情况说明</w:t>
      </w:r>
      <w:bookmarkEnd w:id="32"/>
      <w:bookmarkEnd w:id="33"/>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highlight w:val="none"/>
        </w:rPr>
      </w:pPr>
      <w:bookmarkStart w:id="34" w:name="_Toc15377210"/>
      <w:r>
        <w:rPr>
          <w:rFonts w:hint="eastAsia" w:ascii="仿宋" w:hAnsi="仿宋" w:eastAsia="仿宋"/>
          <w:b/>
          <w:sz w:val="32"/>
          <w:szCs w:val="32"/>
          <w:highlight w:val="none"/>
        </w:rPr>
        <w:t>（一）一般公共预算财政拨款支出决算总体情况</w:t>
      </w:r>
      <w:bookmarkEnd w:id="34"/>
    </w:p>
    <w:p>
      <w:pPr>
        <w:keepNext w:val="0"/>
        <w:keepLines w:val="0"/>
        <w:pageBreakBefore w:val="0"/>
        <w:kinsoku/>
        <w:wordWrap/>
        <w:overflowPunct/>
        <w:topLinePunct w:val="0"/>
        <w:bidi w:val="0"/>
        <w:spacing w:line="600" w:lineRule="exact"/>
        <w:ind w:firstLine="640" w:firstLineChars="200"/>
        <w:textAlignment w:val="auto"/>
        <w:rPr>
          <w:rFonts w:hint="default" w:ascii="仿宋" w:hAnsi="仿宋" w:eastAsia="仿宋"/>
          <w:sz w:val="32"/>
          <w:szCs w:val="32"/>
          <w:highlight w:val="none"/>
          <w:lang w:val="en-US" w:eastAsia="zh-CN"/>
        </w:rPr>
      </w:pPr>
      <w:r>
        <w:rPr>
          <w:rFonts w:ascii="仿宋" w:hAnsi="仿宋" w:eastAsia="仿宋"/>
          <w:sz w:val="32"/>
          <w:szCs w:val="32"/>
          <w:highlight w:val="none"/>
        </w:rPr>
        <w:t>20</w:t>
      </w:r>
      <w:r>
        <w:rPr>
          <w:rFonts w:hint="eastAsia" w:ascii="仿宋" w:hAnsi="仿宋" w:eastAsia="仿宋"/>
          <w:sz w:val="32"/>
          <w:szCs w:val="32"/>
          <w:highlight w:val="none"/>
        </w:rPr>
        <w:t>21年一般公共预算财政拨款支出</w:t>
      </w:r>
      <w:r>
        <w:rPr>
          <w:rFonts w:hint="eastAsia" w:ascii="仿宋" w:hAnsi="仿宋" w:eastAsia="仿宋"/>
          <w:sz w:val="32"/>
          <w:szCs w:val="32"/>
          <w:highlight w:val="none"/>
          <w:lang w:val="en-US" w:eastAsia="zh-CN"/>
        </w:rPr>
        <w:t>2972.34</w:t>
      </w:r>
      <w:r>
        <w:rPr>
          <w:rFonts w:hint="eastAsia" w:ascii="仿宋" w:hAnsi="仿宋" w:eastAsia="仿宋"/>
          <w:sz w:val="32"/>
          <w:szCs w:val="32"/>
          <w:highlight w:val="none"/>
        </w:rPr>
        <w:t>万元，占本年支出合计的</w:t>
      </w:r>
      <w:r>
        <w:rPr>
          <w:rFonts w:hint="eastAsia" w:ascii="仿宋" w:hAnsi="仿宋" w:eastAsia="仿宋"/>
          <w:sz w:val="32"/>
          <w:szCs w:val="32"/>
          <w:highlight w:val="none"/>
          <w:lang w:val="en-US" w:eastAsia="zh-CN"/>
        </w:rPr>
        <w:t>48.59</w:t>
      </w:r>
      <w:r>
        <w:rPr>
          <w:rFonts w:ascii="仿宋" w:hAnsi="仿宋" w:eastAsia="仿宋"/>
          <w:sz w:val="32"/>
          <w:szCs w:val="32"/>
          <w:highlight w:val="none"/>
        </w:rPr>
        <w:t>%</w:t>
      </w:r>
      <w:r>
        <w:rPr>
          <w:rFonts w:hint="eastAsia" w:ascii="仿宋" w:hAnsi="仿宋" w:eastAsia="仿宋"/>
          <w:sz w:val="32"/>
          <w:szCs w:val="32"/>
          <w:highlight w:val="none"/>
        </w:rPr>
        <w:t>。与</w:t>
      </w:r>
      <w:r>
        <w:rPr>
          <w:rFonts w:ascii="仿宋" w:hAnsi="仿宋" w:eastAsia="仿宋"/>
          <w:sz w:val="32"/>
          <w:szCs w:val="32"/>
          <w:highlight w:val="none"/>
        </w:rPr>
        <w:t>20</w:t>
      </w:r>
      <w:r>
        <w:rPr>
          <w:rFonts w:hint="eastAsia" w:ascii="仿宋" w:hAnsi="仿宋" w:eastAsia="仿宋"/>
          <w:sz w:val="32"/>
          <w:szCs w:val="32"/>
          <w:highlight w:val="none"/>
        </w:rPr>
        <w:t>20年相比，一般公共预算财政拨款支出增加</w:t>
      </w:r>
      <w:r>
        <w:rPr>
          <w:rFonts w:hint="eastAsia" w:ascii="仿宋" w:hAnsi="仿宋" w:eastAsia="仿宋"/>
          <w:sz w:val="32"/>
          <w:szCs w:val="32"/>
          <w:highlight w:val="none"/>
          <w:lang w:val="en-US" w:eastAsia="zh-CN"/>
        </w:rPr>
        <w:t>2610.02</w:t>
      </w:r>
      <w:r>
        <w:rPr>
          <w:rFonts w:hint="eastAsia" w:ascii="仿宋" w:hAnsi="仿宋" w:eastAsia="仿宋"/>
          <w:sz w:val="32"/>
          <w:szCs w:val="32"/>
          <w:highlight w:val="none"/>
        </w:rPr>
        <w:t>万元，增长</w:t>
      </w:r>
      <w:r>
        <w:rPr>
          <w:rFonts w:hint="eastAsia" w:ascii="仿宋" w:hAnsi="仿宋" w:eastAsia="仿宋"/>
          <w:sz w:val="32"/>
          <w:szCs w:val="32"/>
          <w:highlight w:val="none"/>
          <w:lang w:val="en-US" w:eastAsia="zh-CN"/>
        </w:rPr>
        <w:t>720.36</w:t>
      </w:r>
      <w:r>
        <w:rPr>
          <w:rFonts w:ascii="仿宋" w:hAnsi="仿宋" w:eastAsia="仿宋"/>
          <w:sz w:val="32"/>
          <w:szCs w:val="32"/>
          <w:highlight w:val="none"/>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val="en-US" w:eastAsia="zh-CN"/>
        </w:rPr>
        <w:t>2021年财政下拨指标归还财政借款。</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highlight w:val="yellow"/>
        </w:rPr>
      </w:pP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highlight w:val="yellow"/>
        </w:rPr>
      </w:pPr>
    </w:p>
    <w:p>
      <w:pPr>
        <w:pStyle w:val="2"/>
        <w:rPr>
          <w:rFonts w:ascii="仿宋" w:hAnsi="仿宋" w:eastAsia="仿宋"/>
          <w:sz w:val="32"/>
          <w:szCs w:val="32"/>
          <w:highlight w:val="yellow"/>
        </w:rPr>
      </w:pPr>
      <w:r>
        <w:drawing>
          <wp:inline distT="0" distB="0" distL="114300" distR="114300">
            <wp:extent cx="4819650" cy="2835275"/>
            <wp:effectExtent l="4445" t="4445" r="14605" b="1778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highlight w:val="none"/>
        </w:rPr>
      </w:pPr>
      <w:bookmarkStart w:id="35" w:name="_Toc15377211"/>
      <w:r>
        <w:rPr>
          <w:rFonts w:hint="eastAsia" w:ascii="仿宋" w:hAnsi="仿宋" w:eastAsia="仿宋"/>
          <w:b/>
          <w:sz w:val="32"/>
          <w:szCs w:val="32"/>
          <w:highlight w:val="none"/>
        </w:rPr>
        <w:t>（二）一般公共预算财政拨款支出决算结构情况</w:t>
      </w:r>
      <w:bookmarkEnd w:id="35"/>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2021年一般公共预算财政拨款支出</w:t>
      </w:r>
      <w:r>
        <w:rPr>
          <w:rFonts w:hint="eastAsia" w:ascii="仿宋_GB2312" w:hAnsi="仿宋_GB2312" w:eastAsia="仿宋_GB2312" w:cs="仿宋_GB2312"/>
          <w:b w:val="0"/>
          <w:bCs w:val="0"/>
          <w:sz w:val="32"/>
          <w:szCs w:val="32"/>
          <w:highlight w:val="none"/>
          <w:lang w:val="en-US" w:eastAsia="zh-CN"/>
        </w:rPr>
        <w:t>2972.34</w:t>
      </w:r>
      <w:r>
        <w:rPr>
          <w:rFonts w:hint="eastAsia" w:ascii="仿宋_GB2312" w:hAnsi="仿宋_GB2312" w:eastAsia="仿宋_GB2312" w:cs="仿宋_GB2312"/>
          <w:b w:val="0"/>
          <w:bCs w:val="0"/>
          <w:sz w:val="32"/>
          <w:szCs w:val="32"/>
          <w:highlight w:val="none"/>
        </w:rPr>
        <w:t>万元，主要用于以下方面:社会保障和就业（类）支出</w:t>
      </w:r>
      <w:r>
        <w:rPr>
          <w:rFonts w:hint="eastAsia" w:ascii="仿宋_GB2312" w:hAnsi="仿宋_GB2312" w:eastAsia="仿宋_GB2312" w:cs="仿宋_GB2312"/>
          <w:b w:val="0"/>
          <w:bCs w:val="0"/>
          <w:sz w:val="32"/>
          <w:szCs w:val="32"/>
          <w:highlight w:val="none"/>
          <w:lang w:val="en-US" w:eastAsia="zh-CN"/>
        </w:rPr>
        <w:t>31.26</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1.05</w:t>
      </w:r>
      <w:r>
        <w:rPr>
          <w:rFonts w:hint="eastAsia" w:ascii="仿宋_GB2312" w:hAnsi="仿宋_GB2312" w:eastAsia="仿宋_GB2312" w:cs="仿宋_GB2312"/>
          <w:b w:val="0"/>
          <w:bCs w:val="0"/>
          <w:sz w:val="32"/>
          <w:szCs w:val="32"/>
          <w:highlight w:val="none"/>
        </w:rPr>
        <w:t>%；卫生健康支出</w:t>
      </w:r>
      <w:r>
        <w:rPr>
          <w:rFonts w:hint="eastAsia" w:ascii="仿宋_GB2312" w:hAnsi="仿宋_GB2312" w:eastAsia="仿宋_GB2312" w:cs="仿宋_GB2312"/>
          <w:b w:val="0"/>
          <w:bCs w:val="0"/>
          <w:sz w:val="32"/>
          <w:szCs w:val="32"/>
          <w:highlight w:val="none"/>
          <w:lang w:val="en-US" w:eastAsia="zh-CN"/>
        </w:rPr>
        <w:t>7.45</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0.25</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城乡社区支出</w:t>
      </w:r>
      <w:r>
        <w:rPr>
          <w:rFonts w:hint="eastAsia" w:ascii="仿宋_GB2312" w:hAnsi="仿宋_GB2312" w:eastAsia="仿宋_GB2312" w:cs="仿宋_GB2312"/>
          <w:b w:val="0"/>
          <w:bCs w:val="0"/>
          <w:sz w:val="32"/>
          <w:szCs w:val="32"/>
          <w:highlight w:val="none"/>
          <w:lang w:val="en-US" w:eastAsia="zh-CN"/>
        </w:rPr>
        <w:t>2897.85万元，</w:t>
      </w:r>
      <w:r>
        <w:rPr>
          <w:rFonts w:hint="eastAsia" w:ascii="仿宋_GB2312" w:hAnsi="仿宋_GB2312" w:eastAsia="仿宋_GB2312" w:cs="仿宋_GB2312"/>
          <w:b w:val="0"/>
          <w:bCs w:val="0"/>
          <w:sz w:val="32"/>
          <w:szCs w:val="32"/>
          <w:highlight w:val="none"/>
        </w:rPr>
        <w:t>占</w:t>
      </w:r>
      <w:r>
        <w:rPr>
          <w:rFonts w:hint="eastAsia" w:ascii="仿宋_GB2312" w:hAnsi="仿宋_GB2312" w:eastAsia="仿宋_GB2312" w:cs="仿宋_GB2312"/>
          <w:b w:val="0"/>
          <w:bCs w:val="0"/>
          <w:sz w:val="32"/>
          <w:szCs w:val="32"/>
          <w:highlight w:val="none"/>
          <w:lang w:val="en-US" w:eastAsia="zh-CN"/>
        </w:rPr>
        <w:t>97.5</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农林水支出</w:t>
      </w:r>
      <w:r>
        <w:rPr>
          <w:rFonts w:hint="eastAsia" w:ascii="仿宋_GB2312" w:hAnsi="仿宋_GB2312" w:eastAsia="仿宋_GB2312" w:cs="仿宋_GB2312"/>
          <w:b w:val="0"/>
          <w:bCs w:val="0"/>
          <w:sz w:val="32"/>
          <w:szCs w:val="32"/>
          <w:highlight w:val="none"/>
          <w:lang w:val="en-US" w:eastAsia="zh-CN"/>
        </w:rPr>
        <w:t>1万元</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占</w:t>
      </w:r>
      <w:r>
        <w:rPr>
          <w:rFonts w:hint="eastAsia" w:ascii="仿宋_GB2312" w:hAnsi="仿宋_GB2312" w:eastAsia="仿宋_GB2312" w:cs="仿宋_GB2312"/>
          <w:b w:val="0"/>
          <w:bCs w:val="0"/>
          <w:sz w:val="32"/>
          <w:szCs w:val="32"/>
          <w:highlight w:val="none"/>
          <w:lang w:val="en-US" w:eastAsia="zh-CN"/>
        </w:rPr>
        <w:t>0.03</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资源勘探工业信息等支出</w:t>
      </w:r>
      <w:r>
        <w:rPr>
          <w:rFonts w:hint="eastAsia" w:ascii="仿宋_GB2312" w:hAnsi="仿宋_GB2312" w:eastAsia="仿宋_GB2312" w:cs="仿宋_GB2312"/>
          <w:b w:val="0"/>
          <w:bCs w:val="0"/>
          <w:sz w:val="32"/>
          <w:szCs w:val="32"/>
          <w:highlight w:val="none"/>
          <w:lang w:val="en-US" w:eastAsia="zh-CN"/>
        </w:rPr>
        <w:t>8.17万元，</w:t>
      </w:r>
      <w:r>
        <w:rPr>
          <w:rFonts w:hint="eastAsia" w:ascii="仿宋_GB2312" w:hAnsi="仿宋_GB2312" w:eastAsia="仿宋_GB2312" w:cs="仿宋_GB2312"/>
          <w:b w:val="0"/>
          <w:bCs w:val="0"/>
          <w:sz w:val="32"/>
          <w:szCs w:val="32"/>
          <w:highlight w:val="none"/>
        </w:rPr>
        <w:t>占</w:t>
      </w:r>
      <w:r>
        <w:rPr>
          <w:rFonts w:hint="eastAsia" w:ascii="仿宋_GB2312" w:hAnsi="仿宋_GB2312" w:eastAsia="仿宋_GB2312" w:cs="仿宋_GB2312"/>
          <w:b w:val="0"/>
          <w:bCs w:val="0"/>
          <w:sz w:val="32"/>
          <w:szCs w:val="32"/>
          <w:highlight w:val="none"/>
          <w:lang w:val="en-US" w:eastAsia="zh-CN"/>
        </w:rPr>
        <w:t>0.28</w:t>
      </w:r>
      <w:r>
        <w:rPr>
          <w:rFonts w:hint="eastAsia" w:ascii="仿宋_GB2312" w:hAnsi="仿宋_GB2312" w:eastAsia="仿宋_GB2312" w:cs="仿宋_GB2312"/>
          <w:b w:val="0"/>
          <w:bCs w:val="0"/>
          <w:sz w:val="32"/>
          <w:szCs w:val="32"/>
          <w:highlight w:val="none"/>
        </w:rPr>
        <w:t>%；住房保障支出</w:t>
      </w:r>
      <w:r>
        <w:rPr>
          <w:rFonts w:hint="eastAsia" w:ascii="仿宋_GB2312" w:hAnsi="仿宋_GB2312" w:eastAsia="仿宋_GB2312" w:cs="仿宋_GB2312"/>
          <w:b w:val="0"/>
          <w:bCs w:val="0"/>
          <w:sz w:val="32"/>
          <w:szCs w:val="32"/>
          <w:highlight w:val="none"/>
          <w:lang w:val="en-US" w:eastAsia="zh-CN"/>
        </w:rPr>
        <w:t>26.61</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0.89</w:t>
      </w:r>
      <w:r>
        <w:rPr>
          <w:rFonts w:hint="eastAsia" w:ascii="仿宋_GB2312" w:hAnsi="仿宋_GB2312" w:eastAsia="仿宋_GB2312" w:cs="仿宋_GB2312"/>
          <w:b w:val="0"/>
          <w:bCs w:val="0"/>
          <w:sz w:val="32"/>
          <w:szCs w:val="32"/>
          <w:highlight w:val="none"/>
        </w:rPr>
        <w:t>%。</w:t>
      </w:r>
    </w:p>
    <w:p>
      <w:pPr>
        <w:pStyle w:val="2"/>
        <w:rPr>
          <w:rFonts w:hint="eastAsia" w:ascii="仿宋_GB2312" w:hAnsi="仿宋_GB2312" w:eastAsia="仿宋_GB2312" w:cs="仿宋_GB2312"/>
          <w:b w:val="0"/>
          <w:bCs w:val="0"/>
          <w:sz w:val="32"/>
          <w:szCs w:val="32"/>
          <w:highlight w:val="none"/>
        </w:rPr>
      </w:pPr>
      <w:r>
        <w:drawing>
          <wp:inline distT="0" distB="0" distL="114300" distR="114300">
            <wp:extent cx="4572000" cy="2743200"/>
            <wp:effectExtent l="4445" t="4445" r="14605"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rPr>
          <w:rFonts w:hint="eastAsia"/>
        </w:rPr>
      </w:pPr>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sz w:val="32"/>
          <w:szCs w:val="32"/>
          <w:highlight w:val="none"/>
        </w:rPr>
      </w:pPr>
      <w:bookmarkStart w:id="36" w:name="_Toc15377212"/>
      <w:r>
        <w:rPr>
          <w:rFonts w:hint="eastAsia" w:ascii="楷体_GB2312" w:hAnsi="楷体_GB2312" w:eastAsia="楷体_GB2312" w:cs="楷体_GB2312"/>
          <w:b w:val="0"/>
          <w:bCs/>
          <w:sz w:val="32"/>
          <w:szCs w:val="32"/>
          <w:highlight w:val="none"/>
        </w:rPr>
        <w:t>（三）一般公共预算财政拨款支出决算具体情况</w:t>
      </w:r>
      <w:bookmarkEnd w:id="36"/>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仿宋_GB2312" w:hAnsi="仿宋_GB2312" w:eastAsia="仿宋_GB2312" w:cs="仿宋_GB2312"/>
          <w:b w:val="0"/>
          <w:bCs/>
          <w:sz w:val="32"/>
          <w:szCs w:val="32"/>
          <w:highlight w:val="none"/>
        </w:rPr>
      </w:pPr>
      <w:bookmarkStart w:id="37" w:name="_Toc15377444"/>
      <w:bookmarkStart w:id="38" w:name="_Toc15378460"/>
      <w:bookmarkStart w:id="39" w:name="_Toc15377213"/>
      <w:r>
        <w:rPr>
          <w:rFonts w:hint="eastAsia" w:ascii="仿宋_GB2312" w:hAnsi="仿宋_GB2312" w:eastAsia="仿宋_GB2312" w:cs="仿宋_GB2312"/>
          <w:b w:val="0"/>
          <w:bCs/>
          <w:sz w:val="32"/>
          <w:szCs w:val="32"/>
          <w:highlight w:val="none"/>
        </w:rPr>
        <w:t>2021年一般公共预算支出决算数为</w:t>
      </w:r>
      <w:r>
        <w:rPr>
          <w:rFonts w:hint="eastAsia" w:ascii="仿宋_GB2312" w:hAnsi="仿宋_GB2312" w:eastAsia="仿宋_GB2312" w:cs="仿宋_GB2312"/>
          <w:b w:val="0"/>
          <w:bCs/>
          <w:sz w:val="32"/>
          <w:szCs w:val="32"/>
          <w:highlight w:val="none"/>
          <w:lang w:val="en-US" w:eastAsia="zh-CN"/>
        </w:rPr>
        <w:t>2972.34</w:t>
      </w:r>
      <w:r>
        <w:rPr>
          <w:rFonts w:hint="eastAsia" w:ascii="仿宋_GB2312" w:hAnsi="仿宋_GB2312" w:eastAsia="仿宋_GB2312" w:cs="仿宋_GB2312"/>
          <w:b w:val="0"/>
          <w:bCs/>
          <w:sz w:val="32"/>
          <w:szCs w:val="32"/>
          <w:highlight w:val="none"/>
        </w:rPr>
        <w:t>，</w:t>
      </w:r>
      <w:r>
        <w:rPr>
          <w:rStyle w:val="15"/>
          <w:rFonts w:hint="eastAsia" w:ascii="仿宋_GB2312" w:hAnsi="仿宋_GB2312" w:eastAsia="仿宋_GB2312" w:cs="仿宋_GB2312"/>
          <w:b w:val="0"/>
          <w:bCs/>
          <w:sz w:val="32"/>
          <w:szCs w:val="32"/>
          <w:highlight w:val="none"/>
        </w:rPr>
        <w:t>完成预算</w:t>
      </w:r>
      <w:r>
        <w:rPr>
          <w:rStyle w:val="15"/>
          <w:rFonts w:hint="eastAsia" w:ascii="仿宋_GB2312" w:hAnsi="仿宋_GB2312" w:eastAsia="仿宋_GB2312" w:cs="仿宋_GB2312"/>
          <w:b w:val="0"/>
          <w:bCs/>
          <w:sz w:val="32"/>
          <w:szCs w:val="32"/>
          <w:highlight w:val="none"/>
          <w:lang w:val="en-US" w:eastAsia="zh-CN"/>
        </w:rPr>
        <w:t>99.84</w:t>
      </w:r>
      <w:r>
        <w:rPr>
          <w:rStyle w:val="15"/>
          <w:rFonts w:hint="eastAsia" w:ascii="仿宋_GB2312" w:hAnsi="仿宋_GB2312" w:eastAsia="仿宋_GB2312" w:cs="仿宋_GB2312"/>
          <w:b w:val="0"/>
          <w:bCs/>
          <w:sz w:val="32"/>
          <w:szCs w:val="32"/>
          <w:highlight w:val="none"/>
        </w:rPr>
        <w:t>%。其中：</w:t>
      </w:r>
      <w:bookmarkEnd w:id="37"/>
      <w:bookmarkEnd w:id="38"/>
      <w:bookmarkEnd w:id="39"/>
    </w:p>
    <w:p>
      <w:pPr>
        <w:keepNext w:val="0"/>
        <w:keepLines w:val="0"/>
        <w:pageBreakBefore w:val="0"/>
        <w:kinsoku/>
        <w:wordWrap/>
        <w:overflowPunct/>
        <w:topLinePunct w:val="0"/>
        <w:bidi w:val="0"/>
        <w:spacing w:line="600" w:lineRule="exact"/>
        <w:ind w:firstLine="640" w:firstLineChars="200"/>
        <w:textAlignment w:val="auto"/>
        <w:rPr>
          <w:rStyle w:val="15"/>
          <w:rFonts w:hint="eastAsia" w:ascii="仿宋_GB2312" w:hAnsi="仿宋_GB2312" w:eastAsia="仿宋_GB2312" w:cs="仿宋_GB2312"/>
          <w:b w:val="0"/>
          <w:bCs/>
          <w:sz w:val="32"/>
          <w:szCs w:val="32"/>
          <w:highlight w:val="yellow"/>
        </w:rPr>
      </w:pPr>
      <w:r>
        <w:rPr>
          <w:rStyle w:val="15"/>
          <w:rFonts w:hint="eastAsia" w:ascii="仿宋_GB2312" w:hAnsi="仿宋_GB2312" w:eastAsia="仿宋_GB2312" w:cs="仿宋_GB2312"/>
          <w:b w:val="0"/>
          <w:bCs/>
          <w:sz w:val="32"/>
          <w:szCs w:val="32"/>
          <w:highlight w:val="none"/>
          <w:lang w:val="en-US" w:eastAsia="zh-CN"/>
        </w:rPr>
        <w:t>1.</w:t>
      </w:r>
      <w:r>
        <w:rPr>
          <w:rStyle w:val="15"/>
          <w:rFonts w:hint="eastAsia" w:ascii="仿宋_GB2312" w:hAnsi="仿宋_GB2312" w:eastAsia="仿宋_GB2312" w:cs="仿宋_GB2312"/>
          <w:b w:val="0"/>
          <w:bCs/>
          <w:sz w:val="32"/>
          <w:szCs w:val="32"/>
          <w:highlight w:val="none"/>
          <w:lang w:eastAsia="zh-CN"/>
        </w:rPr>
        <w:t>社会保障和就业支出</w:t>
      </w:r>
      <w:r>
        <w:rPr>
          <w:rStyle w:val="15"/>
          <w:rFonts w:hint="eastAsia" w:ascii="仿宋_GB2312" w:hAnsi="仿宋_GB2312" w:eastAsia="仿宋_GB2312" w:cs="仿宋_GB2312"/>
          <w:b w:val="0"/>
          <w:bCs/>
          <w:sz w:val="32"/>
          <w:szCs w:val="32"/>
          <w:highlight w:val="none"/>
        </w:rPr>
        <w:t>（类）</w:t>
      </w:r>
      <w:r>
        <w:rPr>
          <w:rStyle w:val="15"/>
          <w:rFonts w:hint="eastAsia" w:ascii="仿宋_GB2312" w:hAnsi="仿宋_GB2312" w:eastAsia="仿宋_GB2312" w:cs="仿宋_GB2312"/>
          <w:b w:val="0"/>
          <w:bCs/>
          <w:sz w:val="32"/>
          <w:szCs w:val="32"/>
          <w:highlight w:val="none"/>
          <w:lang w:eastAsia="zh-CN"/>
        </w:rPr>
        <w:t>行政事业单位养老支出</w:t>
      </w:r>
      <w:r>
        <w:rPr>
          <w:rStyle w:val="15"/>
          <w:rFonts w:hint="eastAsia" w:ascii="仿宋_GB2312" w:hAnsi="仿宋_GB2312" w:eastAsia="仿宋_GB2312" w:cs="仿宋_GB2312"/>
          <w:b w:val="0"/>
          <w:bCs/>
          <w:sz w:val="32"/>
          <w:szCs w:val="32"/>
          <w:highlight w:val="none"/>
        </w:rPr>
        <w:t>（款）</w:t>
      </w:r>
      <w:r>
        <w:rPr>
          <w:rStyle w:val="15"/>
          <w:rFonts w:hint="eastAsia" w:ascii="仿宋_GB2312" w:hAnsi="仿宋_GB2312" w:eastAsia="仿宋_GB2312" w:cs="仿宋_GB2312"/>
          <w:b w:val="0"/>
          <w:bCs/>
          <w:sz w:val="32"/>
          <w:szCs w:val="32"/>
          <w:highlight w:val="none"/>
          <w:lang w:eastAsia="zh-CN"/>
        </w:rPr>
        <w:t>机关事业单位基本养老保险缴费支出</w:t>
      </w:r>
      <w:r>
        <w:rPr>
          <w:rStyle w:val="15"/>
          <w:rFonts w:hint="eastAsia" w:ascii="仿宋_GB2312" w:hAnsi="仿宋_GB2312" w:eastAsia="仿宋_GB2312" w:cs="仿宋_GB2312"/>
          <w:b w:val="0"/>
          <w:bCs/>
          <w:sz w:val="32"/>
          <w:szCs w:val="32"/>
          <w:highlight w:val="none"/>
        </w:rPr>
        <w:t>（项）: 支出决算为</w:t>
      </w:r>
      <w:r>
        <w:rPr>
          <w:rStyle w:val="15"/>
          <w:rFonts w:hint="eastAsia" w:ascii="仿宋_GB2312" w:hAnsi="仿宋_GB2312" w:eastAsia="仿宋_GB2312" w:cs="仿宋_GB2312"/>
          <w:b w:val="0"/>
          <w:bCs/>
          <w:sz w:val="32"/>
          <w:szCs w:val="32"/>
          <w:highlight w:val="none"/>
          <w:lang w:val="en-US" w:eastAsia="zh-CN"/>
        </w:rPr>
        <w:t>18.85</w:t>
      </w:r>
      <w:r>
        <w:rPr>
          <w:rStyle w:val="15"/>
          <w:rFonts w:hint="eastAsia" w:ascii="仿宋_GB2312" w:hAnsi="仿宋_GB2312" w:eastAsia="仿宋_GB2312" w:cs="仿宋_GB2312"/>
          <w:b w:val="0"/>
          <w:bCs/>
          <w:sz w:val="32"/>
          <w:szCs w:val="32"/>
          <w:highlight w:val="none"/>
        </w:rPr>
        <w:t>万元，完成预算</w:t>
      </w:r>
      <w:r>
        <w:rPr>
          <w:rStyle w:val="15"/>
          <w:rFonts w:hint="eastAsia" w:ascii="仿宋_GB2312" w:hAnsi="仿宋_GB2312" w:eastAsia="仿宋_GB2312" w:cs="仿宋_GB2312"/>
          <w:b w:val="0"/>
          <w:bCs/>
          <w:sz w:val="32"/>
          <w:szCs w:val="32"/>
          <w:highlight w:val="none"/>
          <w:lang w:val="en-US" w:eastAsia="zh-CN"/>
        </w:rPr>
        <w:t>100</w:t>
      </w:r>
      <w:r>
        <w:rPr>
          <w:rStyle w:val="15"/>
          <w:rFonts w:hint="eastAsia" w:ascii="仿宋_GB2312" w:hAnsi="仿宋_GB2312" w:eastAsia="仿宋_GB2312" w:cs="仿宋_GB2312"/>
          <w:b w:val="0"/>
          <w:bCs/>
          <w:sz w:val="32"/>
          <w:szCs w:val="32"/>
          <w:highlight w:val="none"/>
        </w:rPr>
        <w:t>%，决算数等于预算数。</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sz w:val="32"/>
          <w:szCs w:val="32"/>
          <w:highlight w:val="yellow"/>
        </w:rPr>
      </w:pPr>
      <w:r>
        <w:rPr>
          <w:rStyle w:val="15"/>
          <w:rFonts w:hint="eastAsia" w:ascii="仿宋_GB2312" w:hAnsi="仿宋_GB2312" w:eastAsia="仿宋_GB2312" w:cs="仿宋_GB2312"/>
          <w:b w:val="0"/>
          <w:bCs/>
          <w:sz w:val="32"/>
          <w:szCs w:val="32"/>
          <w:highlight w:val="none"/>
          <w:lang w:val="en-US" w:eastAsia="zh-CN"/>
        </w:rPr>
        <w:t>2</w:t>
      </w:r>
      <w:r>
        <w:rPr>
          <w:rStyle w:val="15"/>
          <w:rFonts w:hint="eastAsia" w:ascii="仿宋_GB2312" w:hAnsi="仿宋_GB2312" w:eastAsia="仿宋_GB2312" w:cs="仿宋_GB2312"/>
          <w:b w:val="0"/>
          <w:bCs/>
          <w:sz w:val="32"/>
          <w:szCs w:val="32"/>
          <w:highlight w:val="none"/>
          <w:lang w:eastAsia="zh-CN"/>
        </w:rPr>
        <w:t>.社会保障和就业支出</w:t>
      </w:r>
      <w:r>
        <w:rPr>
          <w:rStyle w:val="15"/>
          <w:rFonts w:hint="eastAsia" w:ascii="仿宋_GB2312" w:hAnsi="仿宋_GB2312" w:eastAsia="仿宋_GB2312" w:cs="仿宋_GB2312"/>
          <w:b w:val="0"/>
          <w:bCs/>
          <w:sz w:val="32"/>
          <w:szCs w:val="32"/>
          <w:highlight w:val="none"/>
        </w:rPr>
        <w:t>（类）</w:t>
      </w:r>
      <w:r>
        <w:rPr>
          <w:rStyle w:val="15"/>
          <w:rFonts w:hint="eastAsia" w:ascii="仿宋_GB2312" w:hAnsi="仿宋_GB2312" w:eastAsia="仿宋_GB2312" w:cs="仿宋_GB2312"/>
          <w:b w:val="0"/>
          <w:bCs/>
          <w:sz w:val="32"/>
          <w:szCs w:val="32"/>
          <w:highlight w:val="none"/>
          <w:lang w:eastAsia="zh-CN"/>
        </w:rPr>
        <w:t>行政事业单位养老支出</w:t>
      </w:r>
      <w:r>
        <w:rPr>
          <w:rStyle w:val="15"/>
          <w:rFonts w:hint="eastAsia" w:ascii="仿宋_GB2312" w:hAnsi="仿宋_GB2312" w:eastAsia="仿宋_GB2312" w:cs="仿宋_GB2312"/>
          <w:b w:val="0"/>
          <w:bCs/>
          <w:sz w:val="32"/>
          <w:szCs w:val="32"/>
          <w:highlight w:val="none"/>
        </w:rPr>
        <w:t>（款）</w:t>
      </w:r>
      <w:r>
        <w:rPr>
          <w:rStyle w:val="15"/>
          <w:rFonts w:hint="eastAsia" w:ascii="仿宋_GB2312" w:hAnsi="仿宋_GB2312" w:eastAsia="仿宋_GB2312" w:cs="仿宋_GB2312"/>
          <w:b w:val="0"/>
          <w:bCs/>
          <w:sz w:val="32"/>
          <w:szCs w:val="32"/>
          <w:highlight w:val="none"/>
          <w:lang w:eastAsia="zh-CN"/>
        </w:rPr>
        <w:t>机关事业单位职业年金缴费支出</w:t>
      </w:r>
      <w:r>
        <w:rPr>
          <w:rStyle w:val="15"/>
          <w:rFonts w:hint="eastAsia" w:ascii="仿宋_GB2312" w:hAnsi="仿宋_GB2312" w:eastAsia="仿宋_GB2312" w:cs="仿宋_GB2312"/>
          <w:b w:val="0"/>
          <w:bCs/>
          <w:sz w:val="32"/>
          <w:szCs w:val="32"/>
          <w:highlight w:val="none"/>
        </w:rPr>
        <w:t>（项）: 支出决算为</w:t>
      </w:r>
      <w:r>
        <w:rPr>
          <w:rStyle w:val="15"/>
          <w:rFonts w:hint="eastAsia" w:ascii="仿宋_GB2312" w:hAnsi="仿宋_GB2312" w:eastAsia="仿宋_GB2312" w:cs="仿宋_GB2312"/>
          <w:b w:val="0"/>
          <w:bCs/>
          <w:sz w:val="32"/>
          <w:szCs w:val="32"/>
          <w:highlight w:val="none"/>
          <w:lang w:val="en-US" w:eastAsia="zh-CN"/>
        </w:rPr>
        <w:t>9.43</w:t>
      </w:r>
      <w:r>
        <w:rPr>
          <w:rStyle w:val="15"/>
          <w:rFonts w:hint="eastAsia" w:ascii="仿宋_GB2312" w:hAnsi="仿宋_GB2312" w:eastAsia="仿宋_GB2312" w:cs="仿宋_GB2312"/>
          <w:b w:val="0"/>
          <w:bCs/>
          <w:sz w:val="32"/>
          <w:szCs w:val="32"/>
          <w:highlight w:val="none"/>
        </w:rPr>
        <w:t>万元，完成预算</w:t>
      </w:r>
      <w:r>
        <w:rPr>
          <w:rStyle w:val="15"/>
          <w:rFonts w:hint="eastAsia" w:ascii="仿宋_GB2312" w:hAnsi="仿宋_GB2312" w:eastAsia="仿宋_GB2312" w:cs="仿宋_GB2312"/>
          <w:b w:val="0"/>
          <w:bCs/>
          <w:sz w:val="32"/>
          <w:szCs w:val="32"/>
          <w:highlight w:val="none"/>
          <w:lang w:val="en-US" w:eastAsia="zh-CN"/>
        </w:rPr>
        <w:t>100</w:t>
      </w:r>
      <w:r>
        <w:rPr>
          <w:rStyle w:val="15"/>
          <w:rFonts w:hint="eastAsia" w:ascii="仿宋_GB2312" w:hAnsi="仿宋_GB2312" w:eastAsia="仿宋_GB2312" w:cs="仿宋_GB2312"/>
          <w:b w:val="0"/>
          <w:bCs/>
          <w:sz w:val="32"/>
          <w:szCs w:val="32"/>
          <w:highlight w:val="none"/>
        </w:rPr>
        <w:t>%，决算数等于预算数。</w:t>
      </w:r>
    </w:p>
    <w:p>
      <w:pPr>
        <w:keepNext w:val="0"/>
        <w:keepLines w:val="0"/>
        <w:pageBreakBefore w:val="0"/>
        <w:kinsoku/>
        <w:wordWrap/>
        <w:overflowPunct/>
        <w:topLinePunct w:val="0"/>
        <w:bidi w:val="0"/>
        <w:spacing w:line="600" w:lineRule="exact"/>
        <w:ind w:firstLine="420" w:firstLineChars="200"/>
        <w:textAlignment w:val="auto"/>
        <w:rPr>
          <w:rFonts w:hint="eastAsia" w:ascii="仿宋_GB2312" w:hAnsi="仿宋_GB2312" w:eastAsia="仿宋_GB2312" w:cs="仿宋_GB2312"/>
          <w:b w:val="0"/>
          <w:bCs/>
          <w:sz w:val="32"/>
          <w:szCs w:val="32"/>
          <w:highlight w:val="yellow"/>
        </w:rPr>
      </w:pPr>
      <w:r>
        <w:rPr>
          <w:rFonts w:hint="eastAsia"/>
          <w:lang w:val="en-US" w:eastAsia="zh-CN"/>
        </w:rPr>
        <w:t xml:space="preserve">  </w:t>
      </w:r>
      <w:r>
        <w:rPr>
          <w:rFonts w:hint="eastAsia"/>
          <w:highlight w:val="none"/>
          <w:lang w:val="en-US" w:eastAsia="zh-CN"/>
        </w:rPr>
        <w:t xml:space="preserve"> </w:t>
      </w:r>
      <w:r>
        <w:rPr>
          <w:rStyle w:val="15"/>
          <w:rFonts w:hint="eastAsia" w:ascii="仿宋_GB2312" w:hAnsi="仿宋_GB2312" w:eastAsia="仿宋_GB2312" w:cs="仿宋_GB2312"/>
          <w:b w:val="0"/>
          <w:bCs/>
          <w:sz w:val="32"/>
          <w:szCs w:val="32"/>
          <w:highlight w:val="none"/>
          <w:lang w:val="en-US" w:eastAsia="zh-CN"/>
        </w:rPr>
        <w:t>3</w:t>
      </w:r>
      <w:r>
        <w:rPr>
          <w:rStyle w:val="15"/>
          <w:rFonts w:hint="eastAsia" w:ascii="仿宋_GB2312" w:hAnsi="仿宋_GB2312" w:eastAsia="仿宋_GB2312" w:cs="仿宋_GB2312"/>
          <w:b w:val="0"/>
          <w:bCs/>
          <w:sz w:val="32"/>
          <w:szCs w:val="32"/>
          <w:highlight w:val="none"/>
          <w:lang w:eastAsia="zh-CN"/>
        </w:rPr>
        <w:t>.社会保障和就业支出</w:t>
      </w:r>
      <w:r>
        <w:rPr>
          <w:rStyle w:val="15"/>
          <w:rFonts w:hint="eastAsia" w:ascii="仿宋_GB2312" w:hAnsi="仿宋_GB2312" w:eastAsia="仿宋_GB2312" w:cs="仿宋_GB2312"/>
          <w:b w:val="0"/>
          <w:bCs/>
          <w:sz w:val="32"/>
          <w:szCs w:val="32"/>
          <w:highlight w:val="none"/>
        </w:rPr>
        <w:t>（类）</w:t>
      </w:r>
      <w:r>
        <w:rPr>
          <w:rStyle w:val="15"/>
          <w:rFonts w:hint="eastAsia" w:ascii="仿宋_GB2312" w:hAnsi="仿宋_GB2312" w:eastAsia="仿宋_GB2312" w:cs="仿宋_GB2312"/>
          <w:b w:val="0"/>
          <w:bCs/>
          <w:sz w:val="32"/>
          <w:szCs w:val="32"/>
          <w:highlight w:val="none"/>
          <w:lang w:eastAsia="zh-CN"/>
        </w:rPr>
        <w:t>其他社会保障和就业支出</w:t>
      </w:r>
      <w:r>
        <w:rPr>
          <w:rStyle w:val="15"/>
          <w:rFonts w:hint="eastAsia" w:ascii="仿宋_GB2312" w:hAnsi="仿宋_GB2312" w:eastAsia="仿宋_GB2312" w:cs="仿宋_GB2312"/>
          <w:b w:val="0"/>
          <w:bCs/>
          <w:sz w:val="32"/>
          <w:szCs w:val="32"/>
          <w:highlight w:val="none"/>
        </w:rPr>
        <w:t>（款）</w:t>
      </w:r>
      <w:r>
        <w:rPr>
          <w:rStyle w:val="15"/>
          <w:rFonts w:hint="eastAsia" w:ascii="仿宋_GB2312" w:hAnsi="仿宋_GB2312" w:eastAsia="仿宋_GB2312" w:cs="仿宋_GB2312"/>
          <w:b w:val="0"/>
          <w:bCs/>
          <w:sz w:val="32"/>
          <w:szCs w:val="32"/>
          <w:highlight w:val="none"/>
          <w:lang w:eastAsia="zh-CN"/>
        </w:rPr>
        <w:t>其他社会保障和就业支出</w:t>
      </w:r>
      <w:r>
        <w:rPr>
          <w:rStyle w:val="15"/>
          <w:rFonts w:hint="eastAsia" w:ascii="仿宋_GB2312" w:hAnsi="仿宋_GB2312" w:eastAsia="仿宋_GB2312" w:cs="仿宋_GB2312"/>
          <w:b w:val="0"/>
          <w:bCs/>
          <w:sz w:val="32"/>
          <w:szCs w:val="32"/>
          <w:highlight w:val="none"/>
        </w:rPr>
        <w:t>（项）: 支出决算为</w:t>
      </w:r>
      <w:r>
        <w:rPr>
          <w:rStyle w:val="15"/>
          <w:rFonts w:hint="eastAsia" w:ascii="仿宋_GB2312" w:hAnsi="仿宋_GB2312" w:eastAsia="仿宋_GB2312" w:cs="仿宋_GB2312"/>
          <w:b w:val="0"/>
          <w:bCs/>
          <w:sz w:val="32"/>
          <w:szCs w:val="32"/>
          <w:highlight w:val="none"/>
          <w:lang w:val="en-US" w:eastAsia="zh-CN"/>
        </w:rPr>
        <w:t>2.98</w:t>
      </w:r>
      <w:r>
        <w:rPr>
          <w:rStyle w:val="15"/>
          <w:rFonts w:hint="eastAsia" w:ascii="仿宋_GB2312" w:hAnsi="仿宋_GB2312" w:eastAsia="仿宋_GB2312" w:cs="仿宋_GB2312"/>
          <w:b w:val="0"/>
          <w:bCs/>
          <w:sz w:val="32"/>
          <w:szCs w:val="32"/>
          <w:highlight w:val="none"/>
        </w:rPr>
        <w:t>万元，完成预算</w:t>
      </w:r>
      <w:r>
        <w:rPr>
          <w:rStyle w:val="15"/>
          <w:rFonts w:hint="eastAsia" w:ascii="仿宋_GB2312" w:hAnsi="仿宋_GB2312" w:eastAsia="仿宋_GB2312" w:cs="仿宋_GB2312"/>
          <w:b w:val="0"/>
          <w:bCs/>
          <w:sz w:val="32"/>
          <w:szCs w:val="32"/>
          <w:highlight w:val="none"/>
          <w:lang w:val="en-US" w:eastAsia="zh-CN"/>
        </w:rPr>
        <w:t>100</w:t>
      </w:r>
      <w:r>
        <w:rPr>
          <w:rStyle w:val="15"/>
          <w:rFonts w:hint="eastAsia" w:ascii="仿宋_GB2312" w:hAnsi="仿宋_GB2312" w:eastAsia="仿宋_GB2312" w:cs="仿宋_GB2312"/>
          <w:b w:val="0"/>
          <w:bCs/>
          <w:sz w:val="32"/>
          <w:szCs w:val="32"/>
          <w:highlight w:val="none"/>
        </w:rPr>
        <w:t>%，决算数等于预算数。</w:t>
      </w:r>
    </w:p>
    <w:p>
      <w:pPr>
        <w:keepNext w:val="0"/>
        <w:keepLines w:val="0"/>
        <w:pageBreakBefore w:val="0"/>
        <w:kinsoku/>
        <w:wordWrap/>
        <w:overflowPunct/>
        <w:topLinePunct w:val="0"/>
        <w:bidi w:val="0"/>
        <w:spacing w:line="600" w:lineRule="exact"/>
        <w:ind w:firstLine="420" w:firstLineChars="200"/>
        <w:textAlignment w:val="auto"/>
        <w:rPr>
          <w:rFonts w:hint="eastAsia" w:ascii="仿宋_GB2312" w:hAnsi="仿宋_GB2312" w:eastAsia="仿宋_GB2312" w:cs="仿宋_GB2312"/>
          <w:b w:val="0"/>
          <w:bCs/>
          <w:sz w:val="32"/>
          <w:szCs w:val="32"/>
          <w:highlight w:val="yellow"/>
        </w:rPr>
      </w:pPr>
      <w:r>
        <w:rPr>
          <w:rFonts w:hint="eastAsia"/>
          <w:highlight w:val="none"/>
          <w:lang w:val="en-US" w:eastAsia="zh-CN"/>
        </w:rPr>
        <w:t xml:space="preserve"> </w:t>
      </w:r>
      <w:r>
        <w:rPr>
          <w:rStyle w:val="15"/>
          <w:rFonts w:hint="eastAsia" w:ascii="仿宋_GB2312" w:hAnsi="仿宋_GB2312" w:eastAsia="仿宋_GB2312" w:cs="仿宋_GB2312"/>
          <w:b w:val="0"/>
          <w:bCs/>
          <w:sz w:val="32"/>
          <w:szCs w:val="32"/>
          <w:highlight w:val="none"/>
          <w:lang w:val="en-US" w:eastAsia="zh-CN"/>
        </w:rPr>
        <w:t>4</w:t>
      </w:r>
      <w:r>
        <w:rPr>
          <w:rStyle w:val="15"/>
          <w:rFonts w:hint="eastAsia" w:ascii="仿宋_GB2312" w:hAnsi="仿宋_GB2312" w:eastAsia="仿宋_GB2312" w:cs="仿宋_GB2312"/>
          <w:b w:val="0"/>
          <w:bCs/>
          <w:sz w:val="32"/>
          <w:szCs w:val="32"/>
          <w:highlight w:val="none"/>
          <w:lang w:eastAsia="zh-CN"/>
        </w:rPr>
        <w:t>.卫生健康支出</w:t>
      </w:r>
      <w:r>
        <w:rPr>
          <w:rStyle w:val="15"/>
          <w:rFonts w:hint="eastAsia" w:ascii="仿宋_GB2312" w:hAnsi="仿宋_GB2312" w:eastAsia="仿宋_GB2312" w:cs="仿宋_GB2312"/>
          <w:b w:val="0"/>
          <w:bCs/>
          <w:sz w:val="32"/>
          <w:szCs w:val="32"/>
          <w:highlight w:val="none"/>
        </w:rPr>
        <w:t>（类）</w:t>
      </w:r>
      <w:r>
        <w:rPr>
          <w:rStyle w:val="15"/>
          <w:rFonts w:hint="eastAsia" w:ascii="仿宋_GB2312" w:hAnsi="仿宋_GB2312" w:eastAsia="仿宋_GB2312" w:cs="仿宋_GB2312"/>
          <w:b w:val="0"/>
          <w:bCs/>
          <w:sz w:val="32"/>
          <w:szCs w:val="32"/>
          <w:highlight w:val="none"/>
          <w:lang w:eastAsia="zh-CN"/>
        </w:rPr>
        <w:t>行政事业单位医疗</w:t>
      </w:r>
      <w:r>
        <w:rPr>
          <w:rStyle w:val="15"/>
          <w:rFonts w:hint="eastAsia" w:ascii="仿宋_GB2312" w:hAnsi="仿宋_GB2312" w:eastAsia="仿宋_GB2312" w:cs="仿宋_GB2312"/>
          <w:b w:val="0"/>
          <w:bCs/>
          <w:sz w:val="32"/>
          <w:szCs w:val="32"/>
          <w:highlight w:val="none"/>
        </w:rPr>
        <w:t>（款）</w:t>
      </w:r>
      <w:r>
        <w:rPr>
          <w:rStyle w:val="15"/>
          <w:rFonts w:hint="eastAsia" w:ascii="仿宋_GB2312" w:hAnsi="仿宋_GB2312" w:eastAsia="仿宋_GB2312" w:cs="仿宋_GB2312"/>
          <w:b w:val="0"/>
          <w:bCs/>
          <w:sz w:val="32"/>
          <w:szCs w:val="32"/>
          <w:highlight w:val="none"/>
          <w:lang w:eastAsia="zh-CN"/>
        </w:rPr>
        <w:t>行政单位医疗</w:t>
      </w:r>
      <w:r>
        <w:rPr>
          <w:rStyle w:val="15"/>
          <w:rFonts w:hint="eastAsia" w:ascii="仿宋_GB2312" w:hAnsi="仿宋_GB2312" w:eastAsia="仿宋_GB2312" w:cs="仿宋_GB2312"/>
          <w:b w:val="0"/>
          <w:bCs/>
          <w:sz w:val="32"/>
          <w:szCs w:val="32"/>
          <w:highlight w:val="none"/>
        </w:rPr>
        <w:t>（项）: 支出决算为</w:t>
      </w:r>
      <w:r>
        <w:rPr>
          <w:rStyle w:val="15"/>
          <w:rFonts w:hint="eastAsia" w:ascii="仿宋_GB2312" w:hAnsi="仿宋_GB2312" w:eastAsia="仿宋_GB2312" w:cs="仿宋_GB2312"/>
          <w:b w:val="0"/>
          <w:bCs/>
          <w:sz w:val="32"/>
          <w:szCs w:val="32"/>
          <w:highlight w:val="none"/>
          <w:lang w:val="en-US" w:eastAsia="zh-CN"/>
        </w:rPr>
        <w:t>7.45</w:t>
      </w:r>
      <w:r>
        <w:rPr>
          <w:rStyle w:val="15"/>
          <w:rFonts w:hint="eastAsia" w:ascii="仿宋_GB2312" w:hAnsi="仿宋_GB2312" w:eastAsia="仿宋_GB2312" w:cs="仿宋_GB2312"/>
          <w:b w:val="0"/>
          <w:bCs/>
          <w:sz w:val="32"/>
          <w:szCs w:val="32"/>
          <w:highlight w:val="none"/>
        </w:rPr>
        <w:t>万元，完成预算</w:t>
      </w:r>
      <w:r>
        <w:rPr>
          <w:rStyle w:val="15"/>
          <w:rFonts w:hint="eastAsia" w:ascii="仿宋_GB2312" w:hAnsi="仿宋_GB2312" w:eastAsia="仿宋_GB2312" w:cs="仿宋_GB2312"/>
          <w:b w:val="0"/>
          <w:bCs/>
          <w:sz w:val="32"/>
          <w:szCs w:val="32"/>
          <w:highlight w:val="none"/>
          <w:lang w:val="en-US" w:eastAsia="zh-CN"/>
        </w:rPr>
        <w:t>100</w:t>
      </w:r>
      <w:r>
        <w:rPr>
          <w:rStyle w:val="15"/>
          <w:rFonts w:hint="eastAsia" w:ascii="仿宋_GB2312" w:hAnsi="仿宋_GB2312" w:eastAsia="仿宋_GB2312" w:cs="仿宋_GB2312"/>
          <w:b w:val="0"/>
          <w:bCs/>
          <w:sz w:val="32"/>
          <w:szCs w:val="32"/>
          <w:highlight w:val="none"/>
        </w:rPr>
        <w:t>%，决算数等于预算数。</w:t>
      </w:r>
    </w:p>
    <w:p>
      <w:pPr>
        <w:keepNext w:val="0"/>
        <w:keepLines w:val="0"/>
        <w:pageBreakBefore w:val="0"/>
        <w:kinsoku/>
        <w:wordWrap/>
        <w:overflowPunct/>
        <w:topLinePunct w:val="0"/>
        <w:bidi w:val="0"/>
        <w:spacing w:line="600" w:lineRule="exact"/>
        <w:ind w:firstLine="420" w:firstLineChars="200"/>
        <w:textAlignment w:val="auto"/>
        <w:rPr>
          <w:rFonts w:hint="eastAsia" w:ascii="仿宋_GB2312" w:hAnsi="仿宋_GB2312" w:eastAsia="仿宋_GB2312" w:cs="仿宋_GB2312"/>
          <w:b w:val="0"/>
          <w:bCs/>
          <w:sz w:val="32"/>
          <w:szCs w:val="32"/>
          <w:highlight w:val="yellow"/>
        </w:rPr>
      </w:pPr>
      <w:r>
        <w:rPr>
          <w:rFonts w:hint="eastAsia"/>
          <w:highlight w:val="none"/>
          <w:lang w:val="en-US" w:eastAsia="zh-CN"/>
        </w:rPr>
        <w:t xml:space="preserve"> </w:t>
      </w:r>
      <w:r>
        <w:rPr>
          <w:rStyle w:val="15"/>
          <w:rFonts w:hint="eastAsia" w:ascii="仿宋_GB2312" w:hAnsi="仿宋_GB2312" w:eastAsia="仿宋_GB2312" w:cs="仿宋_GB2312"/>
          <w:b w:val="0"/>
          <w:bCs/>
          <w:sz w:val="32"/>
          <w:szCs w:val="32"/>
          <w:highlight w:val="none"/>
          <w:lang w:val="en-US" w:eastAsia="zh-CN"/>
        </w:rPr>
        <w:t>5</w:t>
      </w:r>
      <w:r>
        <w:rPr>
          <w:rStyle w:val="15"/>
          <w:rFonts w:hint="eastAsia" w:ascii="仿宋_GB2312" w:hAnsi="仿宋_GB2312" w:eastAsia="仿宋_GB2312" w:cs="仿宋_GB2312"/>
          <w:b w:val="0"/>
          <w:bCs/>
          <w:sz w:val="32"/>
          <w:szCs w:val="32"/>
          <w:highlight w:val="none"/>
          <w:lang w:eastAsia="zh-CN"/>
        </w:rPr>
        <w:t>.城乡社区支出</w:t>
      </w:r>
      <w:r>
        <w:rPr>
          <w:rStyle w:val="15"/>
          <w:rFonts w:hint="eastAsia" w:ascii="仿宋_GB2312" w:hAnsi="仿宋_GB2312" w:eastAsia="仿宋_GB2312" w:cs="仿宋_GB2312"/>
          <w:b w:val="0"/>
          <w:bCs/>
          <w:sz w:val="32"/>
          <w:szCs w:val="32"/>
          <w:highlight w:val="none"/>
        </w:rPr>
        <w:t>（类）</w:t>
      </w:r>
      <w:r>
        <w:rPr>
          <w:rStyle w:val="15"/>
          <w:rFonts w:hint="eastAsia" w:ascii="仿宋_GB2312" w:hAnsi="仿宋_GB2312" w:eastAsia="仿宋_GB2312" w:cs="仿宋_GB2312"/>
          <w:b w:val="0"/>
          <w:bCs/>
          <w:sz w:val="32"/>
          <w:szCs w:val="32"/>
          <w:highlight w:val="none"/>
          <w:lang w:eastAsia="zh-CN"/>
        </w:rPr>
        <w:t>城乡社区管理事务</w:t>
      </w:r>
      <w:r>
        <w:rPr>
          <w:rStyle w:val="15"/>
          <w:rFonts w:hint="eastAsia" w:ascii="仿宋_GB2312" w:hAnsi="仿宋_GB2312" w:eastAsia="仿宋_GB2312" w:cs="仿宋_GB2312"/>
          <w:b w:val="0"/>
          <w:bCs/>
          <w:sz w:val="32"/>
          <w:szCs w:val="32"/>
          <w:highlight w:val="none"/>
        </w:rPr>
        <w:t>（款）</w:t>
      </w:r>
      <w:r>
        <w:rPr>
          <w:rStyle w:val="15"/>
          <w:rFonts w:hint="eastAsia" w:ascii="仿宋_GB2312" w:hAnsi="仿宋_GB2312" w:eastAsia="仿宋_GB2312" w:cs="仿宋_GB2312"/>
          <w:b w:val="0"/>
          <w:bCs/>
          <w:sz w:val="32"/>
          <w:szCs w:val="32"/>
          <w:highlight w:val="none"/>
          <w:lang w:eastAsia="zh-CN"/>
        </w:rPr>
        <w:t>行政运行</w:t>
      </w:r>
      <w:r>
        <w:rPr>
          <w:rStyle w:val="15"/>
          <w:rFonts w:hint="eastAsia" w:ascii="仿宋_GB2312" w:hAnsi="仿宋_GB2312" w:eastAsia="仿宋_GB2312" w:cs="仿宋_GB2312"/>
          <w:b w:val="0"/>
          <w:bCs/>
          <w:sz w:val="32"/>
          <w:szCs w:val="32"/>
          <w:highlight w:val="none"/>
        </w:rPr>
        <w:t>（项）: 支出决算为</w:t>
      </w:r>
      <w:r>
        <w:rPr>
          <w:rStyle w:val="15"/>
          <w:rFonts w:hint="eastAsia" w:ascii="仿宋_GB2312" w:hAnsi="仿宋_GB2312" w:eastAsia="仿宋_GB2312" w:cs="仿宋_GB2312"/>
          <w:b w:val="0"/>
          <w:bCs/>
          <w:sz w:val="32"/>
          <w:szCs w:val="32"/>
          <w:highlight w:val="none"/>
          <w:lang w:val="en-US" w:eastAsia="zh-CN"/>
        </w:rPr>
        <w:t>252.33</w:t>
      </w:r>
      <w:r>
        <w:rPr>
          <w:rStyle w:val="15"/>
          <w:rFonts w:hint="eastAsia" w:ascii="仿宋_GB2312" w:hAnsi="仿宋_GB2312" w:eastAsia="仿宋_GB2312" w:cs="仿宋_GB2312"/>
          <w:b w:val="0"/>
          <w:bCs/>
          <w:sz w:val="32"/>
          <w:szCs w:val="32"/>
          <w:highlight w:val="none"/>
        </w:rPr>
        <w:t>万元，完成预算</w:t>
      </w:r>
      <w:r>
        <w:rPr>
          <w:rStyle w:val="15"/>
          <w:rFonts w:hint="eastAsia" w:ascii="仿宋_GB2312" w:hAnsi="仿宋_GB2312" w:eastAsia="仿宋_GB2312" w:cs="仿宋_GB2312"/>
          <w:b w:val="0"/>
          <w:bCs/>
          <w:sz w:val="32"/>
          <w:szCs w:val="32"/>
          <w:highlight w:val="none"/>
          <w:lang w:val="en-US" w:eastAsia="zh-CN"/>
        </w:rPr>
        <w:t>100</w:t>
      </w:r>
      <w:r>
        <w:rPr>
          <w:rStyle w:val="15"/>
          <w:rFonts w:hint="eastAsia" w:ascii="仿宋_GB2312" w:hAnsi="仿宋_GB2312" w:eastAsia="仿宋_GB2312" w:cs="仿宋_GB2312"/>
          <w:b w:val="0"/>
          <w:bCs/>
          <w:sz w:val="32"/>
          <w:szCs w:val="32"/>
          <w:highlight w:val="none"/>
        </w:rPr>
        <w:t>%，决算数等于预算数。</w:t>
      </w:r>
    </w:p>
    <w:p>
      <w:pPr>
        <w:keepNext w:val="0"/>
        <w:keepLines w:val="0"/>
        <w:pageBreakBefore w:val="0"/>
        <w:kinsoku/>
        <w:wordWrap/>
        <w:overflowPunct/>
        <w:topLinePunct w:val="0"/>
        <w:bidi w:val="0"/>
        <w:spacing w:line="600" w:lineRule="exact"/>
        <w:ind w:firstLine="420" w:firstLineChars="200"/>
        <w:textAlignment w:val="auto"/>
        <w:rPr>
          <w:rFonts w:hint="eastAsia" w:ascii="仿宋_GB2312" w:hAnsi="仿宋_GB2312" w:eastAsia="仿宋_GB2312" w:cs="仿宋_GB2312"/>
          <w:b w:val="0"/>
          <w:bCs/>
          <w:sz w:val="32"/>
          <w:szCs w:val="32"/>
          <w:highlight w:val="none"/>
        </w:rPr>
      </w:pPr>
      <w:r>
        <w:rPr>
          <w:rFonts w:hint="eastAsia"/>
          <w:highlight w:val="none"/>
          <w:lang w:val="en-US" w:eastAsia="zh-CN"/>
        </w:rPr>
        <w:t xml:space="preserve"> </w:t>
      </w:r>
      <w:r>
        <w:rPr>
          <w:rStyle w:val="15"/>
          <w:rFonts w:hint="eastAsia" w:ascii="仿宋_GB2312" w:hAnsi="仿宋_GB2312" w:eastAsia="仿宋_GB2312" w:cs="仿宋_GB2312"/>
          <w:b w:val="0"/>
          <w:bCs/>
          <w:sz w:val="32"/>
          <w:szCs w:val="32"/>
          <w:highlight w:val="none"/>
          <w:lang w:val="en-US" w:eastAsia="zh-CN"/>
        </w:rPr>
        <w:t>6</w:t>
      </w:r>
      <w:r>
        <w:rPr>
          <w:rStyle w:val="15"/>
          <w:rFonts w:hint="eastAsia" w:ascii="仿宋_GB2312" w:hAnsi="仿宋_GB2312" w:eastAsia="仿宋_GB2312" w:cs="仿宋_GB2312"/>
          <w:b w:val="0"/>
          <w:bCs/>
          <w:sz w:val="32"/>
          <w:szCs w:val="32"/>
          <w:highlight w:val="none"/>
          <w:lang w:eastAsia="zh-CN"/>
        </w:rPr>
        <w:t>.城乡社区支出</w:t>
      </w:r>
      <w:r>
        <w:rPr>
          <w:rStyle w:val="15"/>
          <w:rFonts w:hint="eastAsia" w:ascii="仿宋_GB2312" w:hAnsi="仿宋_GB2312" w:eastAsia="仿宋_GB2312" w:cs="仿宋_GB2312"/>
          <w:b w:val="0"/>
          <w:bCs/>
          <w:sz w:val="32"/>
          <w:szCs w:val="32"/>
          <w:highlight w:val="none"/>
        </w:rPr>
        <w:t>（类）</w:t>
      </w:r>
      <w:r>
        <w:rPr>
          <w:rStyle w:val="15"/>
          <w:rFonts w:hint="eastAsia" w:ascii="仿宋_GB2312" w:hAnsi="仿宋_GB2312" w:eastAsia="仿宋_GB2312" w:cs="仿宋_GB2312"/>
          <w:b w:val="0"/>
          <w:bCs/>
          <w:sz w:val="32"/>
          <w:szCs w:val="32"/>
          <w:highlight w:val="none"/>
          <w:lang w:eastAsia="zh-CN"/>
        </w:rPr>
        <w:t>城乡社区管理事务</w:t>
      </w:r>
      <w:r>
        <w:rPr>
          <w:rStyle w:val="15"/>
          <w:rFonts w:hint="eastAsia" w:ascii="仿宋_GB2312" w:hAnsi="仿宋_GB2312" w:eastAsia="仿宋_GB2312" w:cs="仿宋_GB2312"/>
          <w:b w:val="0"/>
          <w:bCs/>
          <w:sz w:val="32"/>
          <w:szCs w:val="32"/>
          <w:highlight w:val="none"/>
        </w:rPr>
        <w:t>（款）</w:t>
      </w:r>
      <w:r>
        <w:rPr>
          <w:rStyle w:val="15"/>
          <w:rFonts w:hint="eastAsia" w:ascii="仿宋_GB2312" w:hAnsi="仿宋_GB2312" w:eastAsia="仿宋_GB2312" w:cs="仿宋_GB2312"/>
          <w:b w:val="0"/>
          <w:bCs/>
          <w:sz w:val="32"/>
          <w:szCs w:val="32"/>
          <w:highlight w:val="none"/>
          <w:lang w:eastAsia="zh-CN"/>
        </w:rPr>
        <w:t>一般行政管理事务</w:t>
      </w:r>
      <w:r>
        <w:rPr>
          <w:rStyle w:val="15"/>
          <w:rFonts w:hint="eastAsia" w:ascii="仿宋_GB2312" w:hAnsi="仿宋_GB2312" w:eastAsia="仿宋_GB2312" w:cs="仿宋_GB2312"/>
          <w:b w:val="0"/>
          <w:bCs/>
          <w:sz w:val="32"/>
          <w:szCs w:val="32"/>
          <w:highlight w:val="none"/>
        </w:rPr>
        <w:t>（项）: 支出决算为</w:t>
      </w:r>
      <w:r>
        <w:rPr>
          <w:rStyle w:val="15"/>
          <w:rFonts w:hint="eastAsia" w:ascii="仿宋_GB2312" w:hAnsi="仿宋_GB2312" w:eastAsia="仿宋_GB2312" w:cs="仿宋_GB2312"/>
          <w:b w:val="0"/>
          <w:bCs/>
          <w:sz w:val="32"/>
          <w:szCs w:val="32"/>
          <w:highlight w:val="none"/>
          <w:lang w:val="en-US" w:eastAsia="zh-CN"/>
        </w:rPr>
        <w:t>80.52</w:t>
      </w:r>
      <w:r>
        <w:rPr>
          <w:rStyle w:val="15"/>
          <w:rFonts w:hint="eastAsia" w:ascii="仿宋_GB2312" w:hAnsi="仿宋_GB2312" w:eastAsia="仿宋_GB2312" w:cs="仿宋_GB2312"/>
          <w:b w:val="0"/>
          <w:bCs/>
          <w:sz w:val="32"/>
          <w:szCs w:val="32"/>
          <w:highlight w:val="none"/>
        </w:rPr>
        <w:t>万元，完成预算</w:t>
      </w:r>
      <w:r>
        <w:rPr>
          <w:rStyle w:val="15"/>
          <w:rFonts w:hint="eastAsia" w:ascii="仿宋_GB2312" w:hAnsi="仿宋_GB2312" w:eastAsia="仿宋_GB2312" w:cs="仿宋_GB2312"/>
          <w:b w:val="0"/>
          <w:bCs/>
          <w:sz w:val="32"/>
          <w:szCs w:val="32"/>
          <w:highlight w:val="none"/>
          <w:lang w:val="en-US" w:eastAsia="zh-CN"/>
        </w:rPr>
        <w:t>94.3</w:t>
      </w:r>
      <w:r>
        <w:rPr>
          <w:rStyle w:val="15"/>
          <w:rFonts w:hint="eastAsia" w:ascii="仿宋_GB2312" w:hAnsi="仿宋_GB2312" w:eastAsia="仿宋_GB2312" w:cs="仿宋_GB2312"/>
          <w:b w:val="0"/>
          <w:bCs/>
          <w:sz w:val="32"/>
          <w:szCs w:val="32"/>
          <w:highlight w:val="none"/>
        </w:rPr>
        <w:t>%，决算数小于预算数的主要原因是48585.87</w:t>
      </w:r>
      <w:r>
        <w:rPr>
          <w:rStyle w:val="15"/>
          <w:rFonts w:hint="eastAsia" w:ascii="仿宋_GB2312" w:hAnsi="仿宋_GB2312" w:eastAsia="仿宋_GB2312" w:cs="仿宋_GB2312"/>
          <w:b w:val="0"/>
          <w:bCs/>
          <w:sz w:val="32"/>
          <w:szCs w:val="32"/>
          <w:highlight w:val="none"/>
          <w:lang w:eastAsia="zh-CN"/>
        </w:rPr>
        <w:t>元为年初结转结余</w:t>
      </w:r>
      <w:r>
        <w:rPr>
          <w:rStyle w:val="15"/>
          <w:rFonts w:hint="eastAsia" w:ascii="仿宋_GB2312" w:hAnsi="仿宋_GB2312" w:eastAsia="仿宋_GB2312" w:cs="仿宋_GB2312"/>
          <w:b w:val="0"/>
          <w:bCs/>
          <w:sz w:val="32"/>
          <w:szCs w:val="32"/>
          <w:highlight w:val="none"/>
        </w:rPr>
        <w:t>。</w:t>
      </w:r>
    </w:p>
    <w:p>
      <w:pPr>
        <w:keepNext w:val="0"/>
        <w:keepLines w:val="0"/>
        <w:pageBreakBefore w:val="0"/>
        <w:kinsoku/>
        <w:wordWrap/>
        <w:overflowPunct/>
        <w:topLinePunct w:val="0"/>
        <w:bidi w:val="0"/>
        <w:spacing w:line="600" w:lineRule="exact"/>
        <w:ind w:firstLine="420" w:firstLineChars="200"/>
        <w:textAlignment w:val="auto"/>
        <w:rPr>
          <w:rFonts w:hint="eastAsia" w:ascii="仿宋_GB2312" w:hAnsi="仿宋_GB2312" w:eastAsia="仿宋_GB2312" w:cs="仿宋_GB2312"/>
          <w:b w:val="0"/>
          <w:bCs/>
          <w:sz w:val="32"/>
          <w:szCs w:val="32"/>
          <w:highlight w:val="yellow"/>
        </w:rPr>
      </w:pPr>
      <w:r>
        <w:rPr>
          <w:rFonts w:hint="eastAsia"/>
          <w:highlight w:val="none"/>
          <w:lang w:val="en-US" w:eastAsia="zh-CN"/>
        </w:rPr>
        <w:t xml:space="preserve"> </w:t>
      </w:r>
      <w:r>
        <w:rPr>
          <w:rStyle w:val="15"/>
          <w:rFonts w:hint="eastAsia" w:ascii="仿宋_GB2312" w:hAnsi="仿宋_GB2312" w:eastAsia="仿宋_GB2312" w:cs="仿宋_GB2312"/>
          <w:b w:val="0"/>
          <w:bCs/>
          <w:sz w:val="32"/>
          <w:szCs w:val="32"/>
          <w:highlight w:val="none"/>
          <w:lang w:val="en-US" w:eastAsia="zh-CN"/>
        </w:rPr>
        <w:t>7</w:t>
      </w:r>
      <w:r>
        <w:rPr>
          <w:rStyle w:val="15"/>
          <w:rFonts w:hint="eastAsia" w:ascii="仿宋_GB2312" w:hAnsi="仿宋_GB2312" w:eastAsia="仿宋_GB2312" w:cs="仿宋_GB2312"/>
          <w:b w:val="0"/>
          <w:bCs/>
          <w:sz w:val="32"/>
          <w:szCs w:val="32"/>
          <w:highlight w:val="none"/>
          <w:lang w:eastAsia="zh-CN"/>
        </w:rPr>
        <w:t>.城乡社区支出</w:t>
      </w:r>
      <w:r>
        <w:rPr>
          <w:rStyle w:val="15"/>
          <w:rFonts w:hint="eastAsia" w:ascii="仿宋_GB2312" w:hAnsi="仿宋_GB2312" w:eastAsia="仿宋_GB2312" w:cs="仿宋_GB2312"/>
          <w:b w:val="0"/>
          <w:bCs/>
          <w:sz w:val="32"/>
          <w:szCs w:val="32"/>
          <w:highlight w:val="none"/>
        </w:rPr>
        <w:t>（类）</w:t>
      </w:r>
      <w:r>
        <w:rPr>
          <w:rStyle w:val="15"/>
          <w:rFonts w:hint="eastAsia" w:ascii="仿宋_GB2312" w:hAnsi="仿宋_GB2312" w:eastAsia="仿宋_GB2312" w:cs="仿宋_GB2312"/>
          <w:b w:val="0"/>
          <w:bCs/>
          <w:sz w:val="32"/>
          <w:szCs w:val="32"/>
          <w:highlight w:val="none"/>
          <w:lang w:eastAsia="zh-CN"/>
        </w:rPr>
        <w:t>其他城乡社区支出</w:t>
      </w:r>
      <w:r>
        <w:rPr>
          <w:rStyle w:val="15"/>
          <w:rFonts w:hint="eastAsia" w:ascii="仿宋_GB2312" w:hAnsi="仿宋_GB2312" w:eastAsia="仿宋_GB2312" w:cs="仿宋_GB2312"/>
          <w:b w:val="0"/>
          <w:bCs/>
          <w:sz w:val="32"/>
          <w:szCs w:val="32"/>
          <w:highlight w:val="none"/>
        </w:rPr>
        <w:t>（款）</w:t>
      </w:r>
      <w:r>
        <w:rPr>
          <w:rStyle w:val="15"/>
          <w:rFonts w:hint="eastAsia" w:ascii="仿宋_GB2312" w:hAnsi="仿宋_GB2312" w:eastAsia="仿宋_GB2312" w:cs="仿宋_GB2312"/>
          <w:b w:val="0"/>
          <w:bCs/>
          <w:sz w:val="32"/>
          <w:szCs w:val="32"/>
          <w:highlight w:val="none"/>
          <w:lang w:eastAsia="zh-CN"/>
        </w:rPr>
        <w:t>其他城乡社区支出</w:t>
      </w:r>
      <w:r>
        <w:rPr>
          <w:rStyle w:val="15"/>
          <w:rFonts w:hint="eastAsia" w:ascii="仿宋_GB2312" w:hAnsi="仿宋_GB2312" w:eastAsia="仿宋_GB2312" w:cs="仿宋_GB2312"/>
          <w:b w:val="0"/>
          <w:bCs/>
          <w:sz w:val="32"/>
          <w:szCs w:val="32"/>
          <w:highlight w:val="none"/>
        </w:rPr>
        <w:t>（项）: 支出决算为</w:t>
      </w:r>
      <w:r>
        <w:rPr>
          <w:rStyle w:val="15"/>
          <w:rFonts w:hint="eastAsia" w:ascii="仿宋_GB2312" w:hAnsi="仿宋_GB2312" w:eastAsia="仿宋_GB2312" w:cs="仿宋_GB2312"/>
          <w:b w:val="0"/>
          <w:bCs/>
          <w:sz w:val="32"/>
          <w:szCs w:val="32"/>
          <w:highlight w:val="none"/>
          <w:lang w:val="en-US" w:eastAsia="zh-CN"/>
        </w:rPr>
        <w:t>2565</w:t>
      </w:r>
      <w:r>
        <w:rPr>
          <w:rStyle w:val="15"/>
          <w:rFonts w:hint="eastAsia" w:ascii="仿宋_GB2312" w:hAnsi="仿宋_GB2312" w:eastAsia="仿宋_GB2312" w:cs="仿宋_GB2312"/>
          <w:b w:val="0"/>
          <w:bCs/>
          <w:sz w:val="32"/>
          <w:szCs w:val="32"/>
          <w:highlight w:val="none"/>
        </w:rPr>
        <w:t>万元，完成预算</w:t>
      </w:r>
      <w:r>
        <w:rPr>
          <w:rStyle w:val="15"/>
          <w:rFonts w:hint="eastAsia" w:ascii="仿宋_GB2312" w:hAnsi="仿宋_GB2312" w:eastAsia="仿宋_GB2312" w:cs="仿宋_GB2312"/>
          <w:b w:val="0"/>
          <w:bCs/>
          <w:sz w:val="32"/>
          <w:szCs w:val="32"/>
          <w:highlight w:val="none"/>
          <w:lang w:val="en-US" w:eastAsia="zh-CN"/>
        </w:rPr>
        <w:t>100</w:t>
      </w:r>
      <w:r>
        <w:rPr>
          <w:rStyle w:val="15"/>
          <w:rFonts w:hint="eastAsia" w:ascii="仿宋_GB2312" w:hAnsi="仿宋_GB2312" w:eastAsia="仿宋_GB2312" w:cs="仿宋_GB2312"/>
          <w:b w:val="0"/>
          <w:bCs/>
          <w:sz w:val="32"/>
          <w:szCs w:val="32"/>
          <w:highlight w:val="none"/>
        </w:rPr>
        <w:t>%，决算数等于预算数。</w:t>
      </w:r>
    </w:p>
    <w:p>
      <w:pPr>
        <w:keepNext w:val="0"/>
        <w:keepLines w:val="0"/>
        <w:pageBreakBefore w:val="0"/>
        <w:kinsoku/>
        <w:wordWrap/>
        <w:overflowPunct/>
        <w:topLinePunct w:val="0"/>
        <w:bidi w:val="0"/>
        <w:spacing w:line="600" w:lineRule="exact"/>
        <w:ind w:firstLine="420" w:firstLineChars="200"/>
        <w:textAlignment w:val="auto"/>
        <w:rPr>
          <w:rFonts w:hint="eastAsia" w:ascii="仿宋_GB2312" w:hAnsi="仿宋_GB2312" w:eastAsia="仿宋_GB2312" w:cs="仿宋_GB2312"/>
          <w:b w:val="0"/>
          <w:bCs/>
          <w:sz w:val="32"/>
          <w:szCs w:val="32"/>
          <w:highlight w:val="yellow"/>
        </w:rPr>
      </w:pPr>
      <w:r>
        <w:rPr>
          <w:rFonts w:hint="eastAsia"/>
          <w:lang w:val="en-US" w:eastAsia="zh-CN"/>
        </w:rPr>
        <w:t xml:space="preserve"> </w:t>
      </w:r>
      <w:r>
        <w:rPr>
          <w:rStyle w:val="15"/>
          <w:rFonts w:hint="eastAsia" w:ascii="仿宋_GB2312" w:hAnsi="仿宋_GB2312" w:eastAsia="仿宋_GB2312" w:cs="仿宋_GB2312"/>
          <w:b w:val="0"/>
          <w:bCs/>
          <w:sz w:val="32"/>
          <w:szCs w:val="32"/>
          <w:highlight w:val="none"/>
          <w:lang w:val="en-US" w:eastAsia="zh-CN"/>
        </w:rPr>
        <w:t>8</w:t>
      </w:r>
      <w:r>
        <w:rPr>
          <w:rStyle w:val="15"/>
          <w:rFonts w:hint="eastAsia" w:ascii="仿宋_GB2312" w:hAnsi="仿宋_GB2312" w:eastAsia="仿宋_GB2312" w:cs="仿宋_GB2312"/>
          <w:b w:val="0"/>
          <w:bCs/>
          <w:sz w:val="32"/>
          <w:szCs w:val="32"/>
          <w:highlight w:val="none"/>
          <w:lang w:eastAsia="zh-CN"/>
        </w:rPr>
        <w:t>.农林水支出</w:t>
      </w:r>
      <w:r>
        <w:rPr>
          <w:rStyle w:val="15"/>
          <w:rFonts w:hint="eastAsia" w:ascii="仿宋_GB2312" w:hAnsi="仿宋_GB2312" w:eastAsia="仿宋_GB2312" w:cs="仿宋_GB2312"/>
          <w:b w:val="0"/>
          <w:bCs/>
          <w:sz w:val="32"/>
          <w:szCs w:val="32"/>
          <w:highlight w:val="none"/>
        </w:rPr>
        <w:t>（类）</w:t>
      </w:r>
      <w:r>
        <w:rPr>
          <w:rStyle w:val="15"/>
          <w:rFonts w:hint="eastAsia" w:ascii="仿宋_GB2312" w:hAnsi="仿宋_GB2312" w:eastAsia="仿宋_GB2312" w:cs="仿宋_GB2312"/>
          <w:b w:val="0"/>
          <w:bCs/>
          <w:sz w:val="32"/>
          <w:szCs w:val="32"/>
          <w:highlight w:val="none"/>
          <w:lang w:eastAsia="zh-CN"/>
        </w:rPr>
        <w:t>扶贫</w:t>
      </w:r>
      <w:r>
        <w:rPr>
          <w:rStyle w:val="15"/>
          <w:rFonts w:hint="eastAsia" w:ascii="仿宋_GB2312" w:hAnsi="仿宋_GB2312" w:eastAsia="仿宋_GB2312" w:cs="仿宋_GB2312"/>
          <w:b w:val="0"/>
          <w:bCs/>
          <w:sz w:val="32"/>
          <w:szCs w:val="32"/>
          <w:highlight w:val="none"/>
        </w:rPr>
        <w:t>（款）</w:t>
      </w:r>
      <w:r>
        <w:rPr>
          <w:rStyle w:val="15"/>
          <w:rFonts w:hint="eastAsia" w:ascii="仿宋_GB2312" w:hAnsi="仿宋_GB2312" w:eastAsia="仿宋_GB2312" w:cs="仿宋_GB2312"/>
          <w:b w:val="0"/>
          <w:bCs/>
          <w:sz w:val="32"/>
          <w:szCs w:val="32"/>
          <w:highlight w:val="none"/>
          <w:lang w:eastAsia="zh-CN"/>
        </w:rPr>
        <w:t>其他扶贫支出</w:t>
      </w:r>
      <w:r>
        <w:rPr>
          <w:rStyle w:val="15"/>
          <w:rFonts w:hint="eastAsia" w:ascii="仿宋_GB2312" w:hAnsi="仿宋_GB2312" w:eastAsia="仿宋_GB2312" w:cs="仿宋_GB2312"/>
          <w:b w:val="0"/>
          <w:bCs/>
          <w:sz w:val="32"/>
          <w:szCs w:val="32"/>
          <w:highlight w:val="none"/>
        </w:rPr>
        <w:t>（项）: 支出决算为</w:t>
      </w:r>
      <w:r>
        <w:rPr>
          <w:rStyle w:val="15"/>
          <w:rFonts w:hint="eastAsia" w:ascii="仿宋_GB2312" w:hAnsi="仿宋_GB2312" w:eastAsia="仿宋_GB2312" w:cs="仿宋_GB2312"/>
          <w:b w:val="0"/>
          <w:bCs/>
          <w:sz w:val="32"/>
          <w:szCs w:val="32"/>
          <w:highlight w:val="none"/>
          <w:lang w:val="en-US" w:eastAsia="zh-CN"/>
        </w:rPr>
        <w:t>1</w:t>
      </w:r>
      <w:r>
        <w:rPr>
          <w:rStyle w:val="15"/>
          <w:rFonts w:hint="eastAsia" w:ascii="仿宋_GB2312" w:hAnsi="仿宋_GB2312" w:eastAsia="仿宋_GB2312" w:cs="仿宋_GB2312"/>
          <w:b w:val="0"/>
          <w:bCs/>
          <w:sz w:val="32"/>
          <w:szCs w:val="32"/>
          <w:highlight w:val="none"/>
        </w:rPr>
        <w:t>万元，完成预算</w:t>
      </w:r>
      <w:r>
        <w:rPr>
          <w:rStyle w:val="15"/>
          <w:rFonts w:hint="eastAsia" w:ascii="仿宋_GB2312" w:hAnsi="仿宋_GB2312" w:eastAsia="仿宋_GB2312" w:cs="仿宋_GB2312"/>
          <w:b w:val="0"/>
          <w:bCs/>
          <w:sz w:val="32"/>
          <w:szCs w:val="32"/>
          <w:highlight w:val="none"/>
          <w:lang w:val="en-US" w:eastAsia="zh-CN"/>
        </w:rPr>
        <w:t>100</w:t>
      </w:r>
      <w:r>
        <w:rPr>
          <w:rStyle w:val="15"/>
          <w:rFonts w:hint="eastAsia" w:ascii="仿宋_GB2312" w:hAnsi="仿宋_GB2312" w:eastAsia="仿宋_GB2312" w:cs="仿宋_GB2312"/>
          <w:b w:val="0"/>
          <w:bCs/>
          <w:sz w:val="32"/>
          <w:szCs w:val="32"/>
          <w:highlight w:val="none"/>
        </w:rPr>
        <w:t>%，决算数等于预算数。</w:t>
      </w:r>
    </w:p>
    <w:p>
      <w:pPr>
        <w:keepNext w:val="0"/>
        <w:keepLines w:val="0"/>
        <w:pageBreakBefore w:val="0"/>
        <w:kinsoku/>
        <w:wordWrap/>
        <w:overflowPunct/>
        <w:topLinePunct w:val="0"/>
        <w:bidi w:val="0"/>
        <w:spacing w:line="600" w:lineRule="exact"/>
        <w:ind w:firstLine="420" w:firstLineChars="200"/>
        <w:textAlignment w:val="auto"/>
        <w:rPr>
          <w:rFonts w:hint="eastAsia" w:ascii="仿宋_GB2312" w:hAnsi="仿宋_GB2312" w:eastAsia="仿宋_GB2312" w:cs="仿宋_GB2312"/>
          <w:b w:val="0"/>
          <w:bCs/>
          <w:sz w:val="32"/>
          <w:szCs w:val="32"/>
          <w:highlight w:val="none"/>
        </w:rPr>
      </w:pPr>
      <w:r>
        <w:rPr>
          <w:rFonts w:hint="eastAsia"/>
          <w:highlight w:val="none"/>
          <w:lang w:val="en-US" w:eastAsia="zh-CN"/>
        </w:rPr>
        <w:t xml:space="preserve"> </w:t>
      </w:r>
      <w:r>
        <w:rPr>
          <w:rStyle w:val="15"/>
          <w:rFonts w:hint="eastAsia" w:ascii="仿宋_GB2312" w:hAnsi="仿宋_GB2312" w:eastAsia="仿宋_GB2312" w:cs="仿宋_GB2312"/>
          <w:b w:val="0"/>
          <w:bCs/>
          <w:sz w:val="32"/>
          <w:szCs w:val="32"/>
          <w:highlight w:val="none"/>
          <w:lang w:val="en-US" w:eastAsia="zh-CN"/>
        </w:rPr>
        <w:t>9</w:t>
      </w:r>
      <w:r>
        <w:rPr>
          <w:rStyle w:val="15"/>
          <w:rFonts w:hint="eastAsia" w:ascii="仿宋_GB2312" w:hAnsi="仿宋_GB2312" w:eastAsia="仿宋_GB2312" w:cs="仿宋_GB2312"/>
          <w:b w:val="0"/>
          <w:bCs/>
          <w:sz w:val="32"/>
          <w:szCs w:val="32"/>
          <w:highlight w:val="none"/>
          <w:lang w:eastAsia="zh-CN"/>
        </w:rPr>
        <w:t>.资源勘探工业信息等支出</w:t>
      </w:r>
      <w:r>
        <w:rPr>
          <w:rStyle w:val="15"/>
          <w:rFonts w:hint="eastAsia" w:ascii="仿宋_GB2312" w:hAnsi="仿宋_GB2312" w:eastAsia="仿宋_GB2312" w:cs="仿宋_GB2312"/>
          <w:b w:val="0"/>
          <w:bCs/>
          <w:sz w:val="32"/>
          <w:szCs w:val="32"/>
          <w:highlight w:val="none"/>
        </w:rPr>
        <w:t>（类）</w:t>
      </w:r>
      <w:r>
        <w:rPr>
          <w:rStyle w:val="15"/>
          <w:rFonts w:hint="eastAsia" w:ascii="仿宋_GB2312" w:hAnsi="仿宋_GB2312" w:eastAsia="仿宋_GB2312" w:cs="仿宋_GB2312"/>
          <w:b w:val="0"/>
          <w:bCs/>
          <w:sz w:val="32"/>
          <w:szCs w:val="32"/>
          <w:highlight w:val="none"/>
          <w:lang w:eastAsia="zh-CN"/>
        </w:rPr>
        <w:t>支持中小企业发展和管理支出</w:t>
      </w:r>
      <w:r>
        <w:rPr>
          <w:rStyle w:val="15"/>
          <w:rFonts w:hint="eastAsia" w:ascii="仿宋_GB2312" w:hAnsi="仿宋_GB2312" w:eastAsia="仿宋_GB2312" w:cs="仿宋_GB2312"/>
          <w:b w:val="0"/>
          <w:bCs/>
          <w:sz w:val="32"/>
          <w:szCs w:val="32"/>
          <w:highlight w:val="none"/>
        </w:rPr>
        <w:t>（款）</w:t>
      </w:r>
      <w:r>
        <w:rPr>
          <w:rStyle w:val="15"/>
          <w:rFonts w:hint="eastAsia" w:ascii="仿宋_GB2312" w:hAnsi="仿宋_GB2312" w:eastAsia="仿宋_GB2312" w:cs="仿宋_GB2312"/>
          <w:b w:val="0"/>
          <w:bCs/>
          <w:sz w:val="32"/>
          <w:szCs w:val="32"/>
          <w:highlight w:val="none"/>
          <w:lang w:eastAsia="zh-CN"/>
        </w:rPr>
        <w:t>其他支持中小企业发展和管理支出</w:t>
      </w:r>
      <w:r>
        <w:rPr>
          <w:rStyle w:val="15"/>
          <w:rFonts w:hint="eastAsia" w:ascii="仿宋_GB2312" w:hAnsi="仿宋_GB2312" w:eastAsia="仿宋_GB2312" w:cs="仿宋_GB2312"/>
          <w:b w:val="0"/>
          <w:bCs/>
          <w:sz w:val="32"/>
          <w:szCs w:val="32"/>
          <w:highlight w:val="none"/>
        </w:rPr>
        <w:t>（项）: 支出决算为</w:t>
      </w:r>
      <w:r>
        <w:rPr>
          <w:rStyle w:val="15"/>
          <w:rFonts w:hint="eastAsia" w:ascii="仿宋_GB2312" w:hAnsi="仿宋_GB2312" w:eastAsia="仿宋_GB2312" w:cs="仿宋_GB2312"/>
          <w:b w:val="0"/>
          <w:bCs/>
          <w:sz w:val="32"/>
          <w:szCs w:val="32"/>
          <w:highlight w:val="none"/>
          <w:lang w:val="en-US" w:eastAsia="zh-CN"/>
        </w:rPr>
        <w:t>8.17</w:t>
      </w:r>
      <w:r>
        <w:rPr>
          <w:rStyle w:val="15"/>
          <w:rFonts w:hint="eastAsia" w:ascii="仿宋_GB2312" w:hAnsi="仿宋_GB2312" w:eastAsia="仿宋_GB2312" w:cs="仿宋_GB2312"/>
          <w:b w:val="0"/>
          <w:bCs/>
          <w:sz w:val="32"/>
          <w:szCs w:val="32"/>
          <w:highlight w:val="none"/>
        </w:rPr>
        <w:t>万元，完成预算</w:t>
      </w:r>
      <w:r>
        <w:rPr>
          <w:rStyle w:val="15"/>
          <w:rFonts w:hint="eastAsia" w:ascii="仿宋_GB2312" w:hAnsi="仿宋_GB2312" w:eastAsia="仿宋_GB2312" w:cs="仿宋_GB2312"/>
          <w:b w:val="0"/>
          <w:bCs/>
          <w:sz w:val="32"/>
          <w:szCs w:val="32"/>
          <w:highlight w:val="none"/>
          <w:lang w:val="en-US" w:eastAsia="zh-CN"/>
        </w:rPr>
        <w:t>100</w:t>
      </w:r>
      <w:r>
        <w:rPr>
          <w:rStyle w:val="15"/>
          <w:rFonts w:hint="eastAsia" w:ascii="仿宋_GB2312" w:hAnsi="仿宋_GB2312" w:eastAsia="仿宋_GB2312" w:cs="仿宋_GB2312"/>
          <w:b w:val="0"/>
          <w:bCs/>
          <w:sz w:val="32"/>
          <w:szCs w:val="32"/>
          <w:highlight w:val="none"/>
        </w:rPr>
        <w:t>%，决算数等于预算数。</w:t>
      </w:r>
    </w:p>
    <w:p>
      <w:pPr>
        <w:keepNext w:val="0"/>
        <w:keepLines w:val="0"/>
        <w:pageBreakBefore w:val="0"/>
        <w:kinsoku/>
        <w:wordWrap/>
        <w:overflowPunct/>
        <w:topLinePunct w:val="0"/>
        <w:bidi w:val="0"/>
        <w:spacing w:line="600" w:lineRule="exact"/>
        <w:ind w:firstLine="420" w:firstLineChars="200"/>
        <w:textAlignment w:val="auto"/>
        <w:rPr>
          <w:rFonts w:hint="eastAsia" w:ascii="仿宋_GB2312" w:hAnsi="仿宋_GB2312" w:eastAsia="仿宋_GB2312" w:cs="仿宋_GB2312"/>
          <w:b w:val="0"/>
          <w:bCs/>
          <w:sz w:val="32"/>
          <w:szCs w:val="32"/>
          <w:highlight w:val="yellow"/>
        </w:rPr>
      </w:pPr>
      <w:r>
        <w:rPr>
          <w:rFonts w:hint="eastAsia"/>
          <w:highlight w:val="none"/>
          <w:lang w:val="en-US" w:eastAsia="zh-CN"/>
        </w:rPr>
        <w:t xml:space="preserve"> </w:t>
      </w:r>
      <w:r>
        <w:rPr>
          <w:rStyle w:val="15"/>
          <w:rFonts w:hint="eastAsia" w:ascii="仿宋_GB2312" w:hAnsi="仿宋_GB2312" w:eastAsia="仿宋_GB2312" w:cs="仿宋_GB2312"/>
          <w:b w:val="0"/>
          <w:bCs/>
          <w:sz w:val="32"/>
          <w:szCs w:val="32"/>
          <w:highlight w:val="none"/>
          <w:lang w:val="en-US" w:eastAsia="zh-CN"/>
        </w:rPr>
        <w:t>10</w:t>
      </w:r>
      <w:r>
        <w:rPr>
          <w:rStyle w:val="15"/>
          <w:rFonts w:hint="eastAsia" w:ascii="仿宋_GB2312" w:hAnsi="仿宋_GB2312" w:eastAsia="仿宋_GB2312" w:cs="仿宋_GB2312"/>
          <w:b w:val="0"/>
          <w:bCs/>
          <w:sz w:val="32"/>
          <w:szCs w:val="32"/>
          <w:highlight w:val="none"/>
          <w:lang w:eastAsia="zh-CN"/>
        </w:rPr>
        <w:t>.住房保障支出</w:t>
      </w:r>
      <w:r>
        <w:rPr>
          <w:rStyle w:val="15"/>
          <w:rFonts w:hint="eastAsia" w:ascii="仿宋_GB2312" w:hAnsi="仿宋_GB2312" w:eastAsia="仿宋_GB2312" w:cs="仿宋_GB2312"/>
          <w:b w:val="0"/>
          <w:bCs/>
          <w:sz w:val="32"/>
          <w:szCs w:val="32"/>
          <w:highlight w:val="none"/>
        </w:rPr>
        <w:t>（类）</w:t>
      </w:r>
      <w:r>
        <w:rPr>
          <w:rStyle w:val="15"/>
          <w:rFonts w:hint="eastAsia" w:ascii="仿宋_GB2312" w:hAnsi="仿宋_GB2312" w:eastAsia="仿宋_GB2312" w:cs="仿宋_GB2312"/>
          <w:b w:val="0"/>
          <w:bCs/>
          <w:sz w:val="32"/>
          <w:szCs w:val="32"/>
          <w:highlight w:val="none"/>
          <w:lang w:eastAsia="zh-CN"/>
        </w:rPr>
        <w:t>住房改革支出</w:t>
      </w:r>
      <w:r>
        <w:rPr>
          <w:rStyle w:val="15"/>
          <w:rFonts w:hint="eastAsia" w:ascii="仿宋_GB2312" w:hAnsi="仿宋_GB2312" w:eastAsia="仿宋_GB2312" w:cs="仿宋_GB2312"/>
          <w:b w:val="0"/>
          <w:bCs/>
          <w:sz w:val="32"/>
          <w:szCs w:val="32"/>
          <w:highlight w:val="none"/>
        </w:rPr>
        <w:t>（款）</w:t>
      </w:r>
      <w:r>
        <w:rPr>
          <w:rStyle w:val="15"/>
          <w:rFonts w:hint="eastAsia" w:ascii="仿宋_GB2312" w:hAnsi="仿宋_GB2312" w:eastAsia="仿宋_GB2312" w:cs="仿宋_GB2312"/>
          <w:b w:val="0"/>
          <w:bCs/>
          <w:sz w:val="32"/>
          <w:szCs w:val="32"/>
          <w:highlight w:val="none"/>
          <w:lang w:eastAsia="zh-CN"/>
        </w:rPr>
        <w:t>住房公积金</w:t>
      </w:r>
      <w:r>
        <w:rPr>
          <w:rStyle w:val="15"/>
          <w:rFonts w:hint="eastAsia" w:ascii="仿宋_GB2312" w:hAnsi="仿宋_GB2312" w:eastAsia="仿宋_GB2312" w:cs="仿宋_GB2312"/>
          <w:b w:val="0"/>
          <w:bCs/>
          <w:sz w:val="32"/>
          <w:szCs w:val="32"/>
          <w:highlight w:val="none"/>
        </w:rPr>
        <w:t>（项）: 支出决算为</w:t>
      </w:r>
      <w:r>
        <w:rPr>
          <w:rStyle w:val="15"/>
          <w:rFonts w:hint="eastAsia" w:ascii="仿宋_GB2312" w:hAnsi="仿宋_GB2312" w:eastAsia="仿宋_GB2312" w:cs="仿宋_GB2312"/>
          <w:b w:val="0"/>
          <w:bCs/>
          <w:sz w:val="32"/>
          <w:szCs w:val="32"/>
          <w:highlight w:val="none"/>
          <w:lang w:val="en-US" w:eastAsia="zh-CN"/>
        </w:rPr>
        <w:t>26.61</w:t>
      </w:r>
      <w:r>
        <w:rPr>
          <w:rStyle w:val="15"/>
          <w:rFonts w:hint="eastAsia" w:ascii="仿宋_GB2312" w:hAnsi="仿宋_GB2312" w:eastAsia="仿宋_GB2312" w:cs="仿宋_GB2312"/>
          <w:b w:val="0"/>
          <w:bCs/>
          <w:sz w:val="32"/>
          <w:szCs w:val="32"/>
          <w:highlight w:val="none"/>
        </w:rPr>
        <w:t>万元，完成预算</w:t>
      </w:r>
      <w:r>
        <w:rPr>
          <w:rStyle w:val="15"/>
          <w:rFonts w:hint="eastAsia" w:ascii="仿宋_GB2312" w:hAnsi="仿宋_GB2312" w:eastAsia="仿宋_GB2312" w:cs="仿宋_GB2312"/>
          <w:b w:val="0"/>
          <w:bCs/>
          <w:sz w:val="32"/>
          <w:szCs w:val="32"/>
          <w:highlight w:val="none"/>
          <w:lang w:val="en-US" w:eastAsia="zh-CN"/>
        </w:rPr>
        <w:t>100</w:t>
      </w:r>
      <w:r>
        <w:rPr>
          <w:rStyle w:val="15"/>
          <w:rFonts w:hint="eastAsia" w:ascii="仿宋_GB2312" w:hAnsi="仿宋_GB2312" w:eastAsia="仿宋_GB2312" w:cs="仿宋_GB2312"/>
          <w:b w:val="0"/>
          <w:bCs/>
          <w:sz w:val="32"/>
          <w:szCs w:val="32"/>
          <w:highlight w:val="none"/>
        </w:rPr>
        <w:t>%，决算数等于预算数。</w:t>
      </w:r>
    </w:p>
    <w:p>
      <w:pPr>
        <w:keepNext w:val="0"/>
        <w:keepLines w:val="0"/>
        <w:pageBreakBefore w:val="0"/>
        <w:tabs>
          <w:tab w:val="right" w:pos="8306"/>
        </w:tabs>
        <w:kinsoku/>
        <w:wordWrap/>
        <w:overflowPunct/>
        <w:topLinePunct w:val="0"/>
        <w:bidi w:val="0"/>
        <w:spacing w:line="600" w:lineRule="exact"/>
        <w:ind w:firstLine="640"/>
        <w:textAlignment w:val="auto"/>
        <w:outlineLvl w:val="1"/>
        <w:rPr>
          <w:rStyle w:val="26"/>
          <w:highlight w:val="none"/>
        </w:rPr>
      </w:pPr>
      <w:bookmarkStart w:id="40" w:name="_Toc15377214"/>
      <w:bookmarkStart w:id="41" w:name="_Toc15396608"/>
      <w:r>
        <w:rPr>
          <w:rFonts w:hint="eastAsia" w:ascii="黑体" w:eastAsia="黑体"/>
          <w:sz w:val="32"/>
          <w:szCs w:val="32"/>
          <w:highlight w:val="none"/>
        </w:rPr>
        <w:t>六</w:t>
      </w:r>
      <w:r>
        <w:rPr>
          <w:rFonts w:hint="eastAsia" w:ascii="黑体" w:eastAsia="黑体"/>
          <w:b/>
          <w:sz w:val="32"/>
          <w:szCs w:val="32"/>
          <w:highlight w:val="none"/>
        </w:rPr>
        <w:t>、</w:t>
      </w:r>
      <w:r>
        <w:rPr>
          <w:rFonts w:hint="eastAsia" w:ascii="黑体" w:hAnsi="黑体" w:eastAsia="黑体"/>
          <w:b/>
          <w:sz w:val="32"/>
          <w:szCs w:val="32"/>
          <w:highlight w:val="none"/>
        </w:rPr>
        <w:t>一</w:t>
      </w:r>
      <w:r>
        <w:rPr>
          <w:rStyle w:val="26"/>
          <w:rFonts w:hint="eastAsia" w:ascii="黑体" w:hAnsi="黑体" w:eastAsia="黑体"/>
          <w:b w:val="0"/>
          <w:highlight w:val="none"/>
        </w:rPr>
        <w:t>般公共预算财政拨款基本支出决算情况说明</w:t>
      </w:r>
      <w:bookmarkEnd w:id="40"/>
      <w:bookmarkEnd w:id="41"/>
      <w:r>
        <w:rPr>
          <w:rStyle w:val="26"/>
          <w:rFonts w:ascii="黑体" w:hAnsi="黑体" w:eastAsia="黑体"/>
          <w:b w:val="0"/>
          <w:highlight w:val="none"/>
        </w:rPr>
        <w:tab/>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2021年一般公共预算财政拨款基本支出</w:t>
      </w:r>
      <w:r>
        <w:rPr>
          <w:rFonts w:hint="eastAsia" w:ascii="仿宋_GB2312" w:hAnsi="仿宋_GB2312" w:eastAsia="仿宋_GB2312" w:cs="仿宋_GB2312"/>
          <w:b w:val="0"/>
          <w:bCs w:val="0"/>
          <w:sz w:val="32"/>
          <w:szCs w:val="32"/>
          <w:highlight w:val="none"/>
          <w:lang w:val="en-US" w:eastAsia="zh-CN"/>
        </w:rPr>
        <w:t>315.61</w:t>
      </w:r>
      <w:r>
        <w:rPr>
          <w:rFonts w:hint="eastAsia" w:ascii="仿宋_GB2312" w:hAnsi="仿宋_GB2312" w:eastAsia="仿宋_GB2312" w:cs="仿宋_GB2312"/>
          <w:b w:val="0"/>
          <w:bCs w:val="0"/>
          <w:sz w:val="32"/>
          <w:szCs w:val="32"/>
          <w:highlight w:val="none"/>
        </w:rPr>
        <w:t>万元，其中：</w:t>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人员经费</w:t>
      </w:r>
      <w:r>
        <w:rPr>
          <w:rFonts w:hint="eastAsia" w:ascii="仿宋_GB2312" w:hAnsi="仿宋_GB2312" w:eastAsia="仿宋_GB2312" w:cs="仿宋_GB2312"/>
          <w:b w:val="0"/>
          <w:bCs w:val="0"/>
          <w:sz w:val="32"/>
          <w:szCs w:val="32"/>
          <w:highlight w:val="none"/>
          <w:lang w:val="en-US" w:eastAsia="zh-CN"/>
        </w:rPr>
        <w:t>272.03</w:t>
      </w:r>
      <w:r>
        <w:rPr>
          <w:rFonts w:hint="eastAsia" w:ascii="仿宋_GB2312" w:hAnsi="仿宋_GB2312" w:eastAsia="仿宋_GB2312" w:cs="仿宋_GB2312"/>
          <w:b w:val="0"/>
          <w:bCs w:val="0"/>
          <w:sz w:val="32"/>
          <w:szCs w:val="32"/>
          <w:highlight w:val="none"/>
        </w:rPr>
        <w:t>万元，主要包括：基本工资、津贴补贴、奖金、伙食补助费、机关事业单位基本养老保险缴费、职业年金缴费、</w:t>
      </w:r>
      <w:r>
        <w:rPr>
          <w:rFonts w:hint="eastAsia" w:ascii="仿宋_GB2312" w:hAnsi="仿宋_GB2312" w:eastAsia="仿宋_GB2312" w:cs="仿宋_GB2312"/>
          <w:b w:val="0"/>
          <w:bCs w:val="0"/>
          <w:sz w:val="32"/>
          <w:szCs w:val="32"/>
          <w:highlight w:val="none"/>
          <w:lang w:eastAsia="zh-CN"/>
        </w:rPr>
        <w:t>职工基本医疗保险缴费、</w:t>
      </w:r>
      <w:r>
        <w:rPr>
          <w:rFonts w:hint="eastAsia" w:ascii="仿宋_GB2312" w:hAnsi="仿宋_GB2312" w:eastAsia="仿宋_GB2312" w:cs="仿宋_GB2312"/>
          <w:b w:val="0"/>
          <w:bCs w:val="0"/>
          <w:sz w:val="32"/>
          <w:szCs w:val="32"/>
          <w:highlight w:val="none"/>
        </w:rPr>
        <w:t>其他社会保障缴费、</w:t>
      </w:r>
      <w:r>
        <w:rPr>
          <w:rFonts w:hint="eastAsia" w:ascii="仿宋_GB2312" w:hAnsi="仿宋_GB2312" w:eastAsia="仿宋_GB2312" w:cs="仿宋_GB2312"/>
          <w:b w:val="0"/>
          <w:bCs w:val="0"/>
          <w:sz w:val="32"/>
          <w:szCs w:val="32"/>
          <w:highlight w:val="none"/>
          <w:lang w:eastAsia="zh-CN"/>
        </w:rPr>
        <w:t>住房公积金、</w:t>
      </w:r>
      <w:r>
        <w:rPr>
          <w:rFonts w:hint="eastAsia" w:ascii="仿宋_GB2312" w:hAnsi="仿宋_GB2312" w:eastAsia="仿宋_GB2312" w:cs="仿宋_GB2312"/>
          <w:b w:val="0"/>
          <w:bCs w:val="0"/>
          <w:sz w:val="32"/>
          <w:szCs w:val="32"/>
          <w:highlight w:val="none"/>
        </w:rPr>
        <w:t>生活补助、</w:t>
      </w:r>
      <w:r>
        <w:rPr>
          <w:rFonts w:hint="eastAsia" w:ascii="仿宋_GB2312" w:hAnsi="仿宋_GB2312" w:eastAsia="仿宋_GB2312" w:cs="仿宋_GB2312"/>
          <w:b w:val="0"/>
          <w:bCs w:val="0"/>
          <w:sz w:val="32"/>
          <w:szCs w:val="32"/>
          <w:highlight w:val="none"/>
          <w:lang w:eastAsia="zh-CN"/>
        </w:rPr>
        <w:t>救济费</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rPr>
        <w:br w:type="textWrapping"/>
      </w:r>
      <w:r>
        <w:rPr>
          <w:rFonts w:hint="eastAsia" w:ascii="仿宋_GB2312" w:hAnsi="仿宋_GB2312" w:eastAsia="仿宋_GB2312" w:cs="仿宋_GB2312"/>
          <w:b w:val="0"/>
          <w:bCs w:val="0"/>
          <w:sz w:val="32"/>
          <w:szCs w:val="32"/>
          <w:highlight w:val="none"/>
        </w:rPr>
        <w:t>　　公用经费</w:t>
      </w:r>
      <w:r>
        <w:rPr>
          <w:rFonts w:hint="eastAsia" w:ascii="仿宋_GB2312" w:hAnsi="仿宋_GB2312" w:eastAsia="仿宋_GB2312" w:cs="仿宋_GB2312"/>
          <w:b w:val="0"/>
          <w:bCs w:val="0"/>
          <w:sz w:val="32"/>
          <w:szCs w:val="32"/>
          <w:highlight w:val="none"/>
          <w:lang w:val="en-US" w:eastAsia="zh-CN"/>
        </w:rPr>
        <w:t>43.58</w:t>
      </w:r>
      <w:r>
        <w:rPr>
          <w:rFonts w:hint="eastAsia" w:ascii="仿宋_GB2312" w:hAnsi="仿宋_GB2312" w:eastAsia="仿宋_GB2312" w:cs="仿宋_GB2312"/>
          <w:b w:val="0"/>
          <w:bCs w:val="0"/>
          <w:sz w:val="32"/>
          <w:szCs w:val="32"/>
          <w:highlight w:val="none"/>
        </w:rPr>
        <w:t>万元，主要包括：办公费、手续费、水费、电费、邮电费、差旅费、劳务费、委托业务费、工会经费、福利费、其他交通费、税金及附加费用、其他商品和服务支出、办公设备购置。</w:t>
      </w:r>
    </w:p>
    <w:p>
      <w:pPr>
        <w:keepNext w:val="0"/>
        <w:keepLines w:val="0"/>
        <w:pageBreakBefore w:val="0"/>
        <w:kinsoku/>
        <w:wordWrap/>
        <w:overflowPunct/>
        <w:topLinePunct w:val="0"/>
        <w:bidi w:val="0"/>
        <w:spacing w:line="600" w:lineRule="exact"/>
        <w:ind w:firstLine="640"/>
        <w:textAlignment w:val="auto"/>
        <w:outlineLvl w:val="1"/>
        <w:rPr>
          <w:rFonts w:hint="eastAsia" w:ascii="黑体" w:eastAsia="黑体"/>
          <w:sz w:val="32"/>
          <w:szCs w:val="32"/>
          <w:highlight w:val="none"/>
        </w:rPr>
      </w:pPr>
      <w:bookmarkStart w:id="42" w:name="_Toc15377215"/>
      <w:bookmarkStart w:id="43" w:name="_Toc15396609"/>
    </w:p>
    <w:p>
      <w:pPr>
        <w:keepNext w:val="0"/>
        <w:keepLines w:val="0"/>
        <w:pageBreakBefore w:val="0"/>
        <w:kinsoku/>
        <w:wordWrap/>
        <w:overflowPunct/>
        <w:topLinePunct w:val="0"/>
        <w:bidi w:val="0"/>
        <w:spacing w:line="600" w:lineRule="exact"/>
        <w:ind w:firstLine="640"/>
        <w:textAlignment w:val="auto"/>
        <w:outlineLvl w:val="1"/>
        <w:rPr>
          <w:rStyle w:val="26"/>
          <w:rFonts w:ascii="黑体" w:hAnsi="黑体" w:eastAsia="黑体"/>
          <w:b w:val="0"/>
          <w:highlight w:val="none"/>
        </w:rPr>
      </w:pPr>
      <w:r>
        <w:rPr>
          <w:rFonts w:hint="eastAsia" w:ascii="黑体" w:eastAsia="黑体"/>
          <w:sz w:val="32"/>
          <w:szCs w:val="32"/>
          <w:highlight w:val="none"/>
        </w:rPr>
        <w:t>七、</w:t>
      </w:r>
      <w:r>
        <w:rPr>
          <w:rStyle w:val="26"/>
          <w:rFonts w:hint="eastAsia" w:ascii="黑体" w:hAnsi="黑体" w:eastAsia="黑体"/>
          <w:highlight w:val="none"/>
        </w:rPr>
        <w:t>“</w:t>
      </w:r>
      <w:r>
        <w:rPr>
          <w:rStyle w:val="26"/>
          <w:rFonts w:hint="eastAsia" w:ascii="黑体" w:hAnsi="黑体" w:eastAsia="黑体"/>
          <w:b w:val="0"/>
          <w:highlight w:val="none"/>
        </w:rPr>
        <w:t>三公”经费财政拨款支出决算情况说明</w:t>
      </w:r>
      <w:bookmarkEnd w:id="42"/>
      <w:bookmarkEnd w:id="43"/>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highlight w:val="none"/>
        </w:rPr>
      </w:pPr>
      <w:bookmarkStart w:id="44" w:name="_Toc15377216"/>
      <w:r>
        <w:rPr>
          <w:rFonts w:hint="eastAsia" w:ascii="楷体_GB2312" w:hAnsi="楷体_GB2312" w:eastAsia="楷体_GB2312" w:cs="楷体_GB2312"/>
          <w:b w:val="0"/>
          <w:bCs/>
          <w:sz w:val="32"/>
          <w:szCs w:val="32"/>
          <w:highlight w:val="none"/>
        </w:rPr>
        <w:t>（一）“三公”经费财政拨款支出决算总体情况说明</w:t>
      </w:r>
      <w:bookmarkEnd w:id="44"/>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2021年“三公”经费财政拨款支出决算为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万元，完成预算</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%，决算数与预算数持平。</w:t>
      </w:r>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highlight w:val="none"/>
        </w:rPr>
      </w:pPr>
      <w:bookmarkStart w:id="45" w:name="_Toc15377217"/>
      <w:r>
        <w:rPr>
          <w:rFonts w:hint="eastAsia" w:ascii="楷体_GB2312" w:hAnsi="楷体_GB2312" w:eastAsia="楷体_GB2312" w:cs="楷体_GB2312"/>
          <w:b w:val="0"/>
          <w:bCs/>
          <w:sz w:val="32"/>
          <w:szCs w:val="32"/>
          <w:highlight w:val="none"/>
        </w:rPr>
        <w:t>（二）“三公”经费财政拨款支出决算具体情况说明</w:t>
      </w:r>
      <w:bookmarkEnd w:id="45"/>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2021年“三公”经费财政拨款支出决算中，因公出国（境）费支出决算</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%；公务用车购置及运行维护费支出决算</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%；公务接待费支出决算</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万元，占</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%。具体情况如下：</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highlight w:val="none"/>
        </w:rPr>
      </w:pPr>
    </w:p>
    <w:p>
      <w:pPr>
        <w:pStyle w:val="6"/>
        <w:rPr>
          <w:rFonts w:hint="eastAsia" w:ascii="仿宋_GB2312" w:hAnsi="仿宋_GB2312" w:eastAsia="仿宋_GB2312" w:cs="仿宋_GB2312"/>
          <w:b w:val="0"/>
          <w:bCs w:val="0"/>
          <w:sz w:val="32"/>
          <w:szCs w:val="32"/>
          <w:highlight w:val="none"/>
        </w:rPr>
      </w:pPr>
      <w:r>
        <w:drawing>
          <wp:inline distT="0" distB="0" distL="114300" distR="114300">
            <wp:extent cx="5219065" cy="2819400"/>
            <wp:effectExtent l="4445" t="4445" r="15240"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1．因公出国（境）经费支出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w:t>
      </w:r>
      <w:r>
        <w:rPr>
          <w:rStyle w:val="15"/>
          <w:rFonts w:hint="eastAsia" w:ascii="仿宋_GB2312" w:hAnsi="仿宋_GB2312" w:eastAsia="仿宋_GB2312" w:cs="仿宋_GB2312"/>
          <w:b w:val="0"/>
          <w:bCs w:val="0"/>
          <w:sz w:val="32"/>
          <w:szCs w:val="32"/>
          <w:highlight w:val="none"/>
        </w:rPr>
        <w:t>完成预算</w:t>
      </w:r>
      <w:r>
        <w:rPr>
          <w:rStyle w:val="15"/>
          <w:rFonts w:hint="eastAsia" w:ascii="仿宋_GB2312" w:hAnsi="仿宋_GB2312" w:eastAsia="仿宋_GB2312" w:cs="仿宋_GB2312"/>
          <w:b w:val="0"/>
          <w:bCs w:val="0"/>
          <w:sz w:val="32"/>
          <w:szCs w:val="32"/>
          <w:highlight w:val="none"/>
          <w:lang w:val="en-US" w:eastAsia="zh-CN"/>
        </w:rPr>
        <w:t>0</w:t>
      </w:r>
      <w:r>
        <w:rPr>
          <w:rStyle w:val="15"/>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rPr>
        <w:t>全年安排因公出国（境）团组</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次，出国（境）</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人。因公出国（境）支出决算比2020年增加/减少</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万元，增长/下降</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%。主要原因是</w:t>
      </w:r>
      <w:r>
        <w:rPr>
          <w:rFonts w:hint="eastAsia" w:ascii="仿宋_GB2312" w:hAnsi="仿宋_GB2312" w:eastAsia="仿宋_GB2312" w:cs="仿宋_GB2312"/>
          <w:b w:val="0"/>
          <w:bCs w:val="0"/>
          <w:sz w:val="32"/>
          <w:szCs w:val="32"/>
          <w:highlight w:val="none"/>
          <w:lang w:eastAsia="zh-CN"/>
        </w:rPr>
        <w:t>未发生因公出国出境费用</w:t>
      </w:r>
      <w:r>
        <w:rPr>
          <w:rFonts w:hint="eastAsia" w:ascii="仿宋_GB2312" w:hAnsi="仿宋_GB2312" w:eastAsia="仿宋_GB2312" w:cs="仿宋_GB2312"/>
          <w:b w:val="0"/>
          <w:bCs w:val="0"/>
          <w:sz w:val="32"/>
          <w:szCs w:val="32"/>
          <w:highlight w:val="none"/>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开支内容包括：</w:t>
      </w:r>
      <w:r>
        <w:rPr>
          <w:rFonts w:hint="eastAsia" w:ascii="仿宋_GB2312" w:hAnsi="仿宋_GB2312" w:eastAsia="仿宋_GB2312" w:cs="仿宋_GB2312"/>
          <w:b w:val="0"/>
          <w:bCs w:val="0"/>
          <w:sz w:val="32"/>
          <w:szCs w:val="32"/>
          <w:highlight w:val="none"/>
          <w:lang w:eastAsia="zh-CN"/>
        </w:rPr>
        <w:t>未发生因公出国出境费用</w:t>
      </w:r>
      <w:r>
        <w:rPr>
          <w:rFonts w:hint="eastAsia" w:ascii="仿宋_GB2312" w:hAnsi="仿宋_GB2312" w:eastAsia="仿宋_GB2312" w:cs="仿宋_GB2312"/>
          <w:b w:val="0"/>
          <w:bCs w:val="0"/>
          <w:sz w:val="32"/>
          <w:szCs w:val="32"/>
          <w:highlight w:val="none"/>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2．公务用车购置及运行维护费支出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w:t>
      </w:r>
      <w:r>
        <w:rPr>
          <w:rStyle w:val="15"/>
          <w:rFonts w:hint="eastAsia" w:ascii="仿宋_GB2312" w:hAnsi="仿宋_GB2312" w:eastAsia="仿宋_GB2312" w:cs="仿宋_GB2312"/>
          <w:b w:val="0"/>
          <w:bCs w:val="0"/>
          <w:sz w:val="32"/>
          <w:szCs w:val="32"/>
          <w:highlight w:val="none"/>
        </w:rPr>
        <w:t>完成预算</w:t>
      </w:r>
      <w:r>
        <w:rPr>
          <w:rStyle w:val="15"/>
          <w:rFonts w:hint="eastAsia" w:ascii="仿宋_GB2312" w:hAnsi="仿宋_GB2312" w:eastAsia="仿宋_GB2312" w:cs="仿宋_GB2312"/>
          <w:b w:val="0"/>
          <w:bCs w:val="0"/>
          <w:sz w:val="32"/>
          <w:szCs w:val="32"/>
          <w:highlight w:val="none"/>
          <w:lang w:val="en-US" w:eastAsia="zh-CN"/>
        </w:rPr>
        <w:t>0</w:t>
      </w:r>
      <w:r>
        <w:rPr>
          <w:rStyle w:val="15"/>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rPr>
        <w:t>公务用车购置及运行维护费支出决算比2020年增加/减少</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万元，增长/下降</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%。主要原因是</w:t>
      </w:r>
      <w:r>
        <w:rPr>
          <w:rFonts w:hint="eastAsia" w:ascii="仿宋_GB2312" w:hAnsi="仿宋_GB2312" w:eastAsia="仿宋_GB2312" w:cs="仿宋_GB2312"/>
          <w:b w:val="0"/>
          <w:bCs w:val="0"/>
          <w:sz w:val="32"/>
          <w:szCs w:val="32"/>
          <w:highlight w:val="none"/>
          <w:lang w:eastAsia="zh-CN"/>
        </w:rPr>
        <w:t>我单位目前有一辆公务用车为公车办统一管理并支付相关费用</w:t>
      </w:r>
      <w:r>
        <w:rPr>
          <w:rFonts w:hint="eastAsia" w:ascii="仿宋_GB2312" w:hAnsi="仿宋_GB2312" w:eastAsia="仿宋_GB2312" w:cs="仿宋_GB2312"/>
          <w:b w:val="0"/>
          <w:bCs w:val="0"/>
          <w:sz w:val="32"/>
          <w:szCs w:val="32"/>
          <w:highlight w:val="none"/>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其中：公务用车购置支出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万元。全年按规定更新购置公务用车</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辆，其中：轿车</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辆、金额</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万元，越野车</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辆、金额</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万元，载客汽车</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辆、金额</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万元。截至2021年12月底，单位共有公务用车</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辆，其中：轿车</w:t>
      </w: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辆、越野车</w:t>
      </w: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rPr>
        <w:t>辆、载客汽车</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辆。</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公务用车运行维护费支出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万元。主要用于</w:t>
      </w:r>
      <w:r>
        <w:rPr>
          <w:rFonts w:hint="eastAsia" w:ascii="仿宋_GB2312" w:hAnsi="仿宋_GB2312" w:eastAsia="仿宋_GB2312" w:cs="仿宋_GB2312"/>
          <w:b w:val="0"/>
          <w:bCs w:val="0"/>
          <w:sz w:val="32"/>
          <w:szCs w:val="32"/>
          <w:highlight w:val="none"/>
          <w:lang w:eastAsia="zh-CN"/>
        </w:rPr>
        <w:t>园区走访企业</w:t>
      </w:r>
      <w:r>
        <w:rPr>
          <w:rFonts w:hint="eastAsia" w:ascii="仿宋_GB2312" w:hAnsi="仿宋_GB2312" w:eastAsia="仿宋_GB2312" w:cs="仿宋_GB2312"/>
          <w:b w:val="0"/>
          <w:bCs w:val="0"/>
          <w:sz w:val="32"/>
          <w:szCs w:val="32"/>
          <w:highlight w:val="none"/>
        </w:rPr>
        <w:t>等所需的公务用车燃料费、维修费、过路过桥费、保险费等支出。</w:t>
      </w:r>
      <w:r>
        <w:rPr>
          <w:rFonts w:hint="eastAsia" w:ascii="仿宋_GB2312" w:hAnsi="仿宋_GB2312" w:eastAsia="仿宋_GB2312" w:cs="仿宋_GB2312"/>
          <w:b w:val="0"/>
          <w:bCs w:val="0"/>
          <w:sz w:val="32"/>
          <w:szCs w:val="32"/>
          <w:highlight w:val="none"/>
          <w:lang w:eastAsia="zh-CN"/>
        </w:rPr>
        <w:t>我单位轿车一辆为公车办统一管理使用，并统一支付相关费用；越野车一辆实际由老干局使用。</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3．公务接待费支出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w:t>
      </w:r>
      <w:r>
        <w:rPr>
          <w:rStyle w:val="15"/>
          <w:rFonts w:hint="eastAsia" w:ascii="仿宋_GB2312" w:hAnsi="仿宋_GB2312" w:eastAsia="仿宋_GB2312" w:cs="仿宋_GB2312"/>
          <w:b w:val="0"/>
          <w:bCs w:val="0"/>
          <w:sz w:val="32"/>
          <w:szCs w:val="32"/>
          <w:highlight w:val="none"/>
        </w:rPr>
        <w:t>完成预算</w:t>
      </w:r>
      <w:r>
        <w:rPr>
          <w:rStyle w:val="15"/>
          <w:rFonts w:hint="eastAsia" w:ascii="仿宋_GB2312" w:hAnsi="仿宋_GB2312" w:eastAsia="仿宋_GB2312" w:cs="仿宋_GB2312"/>
          <w:b w:val="0"/>
          <w:bCs w:val="0"/>
          <w:sz w:val="32"/>
          <w:szCs w:val="32"/>
          <w:highlight w:val="none"/>
          <w:lang w:val="en-US" w:eastAsia="zh-CN"/>
        </w:rPr>
        <w:t>0</w:t>
      </w:r>
      <w:r>
        <w:rPr>
          <w:rStyle w:val="15"/>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rPr>
        <w:t>公务接待费支出决算比2020年减少</w:t>
      </w:r>
      <w:r>
        <w:rPr>
          <w:rFonts w:hint="eastAsia" w:ascii="仿宋_GB2312" w:hAnsi="仿宋_GB2312" w:eastAsia="仿宋_GB2312" w:cs="仿宋_GB2312"/>
          <w:b w:val="0"/>
          <w:bCs w:val="0"/>
          <w:sz w:val="32"/>
          <w:szCs w:val="32"/>
          <w:highlight w:val="none"/>
          <w:lang w:val="en-US" w:eastAsia="zh-CN"/>
        </w:rPr>
        <w:t>0.31</w:t>
      </w:r>
      <w:r>
        <w:rPr>
          <w:rFonts w:hint="eastAsia" w:ascii="仿宋_GB2312" w:hAnsi="仿宋_GB2312" w:eastAsia="仿宋_GB2312" w:cs="仿宋_GB2312"/>
          <w:b w:val="0"/>
          <w:bCs w:val="0"/>
          <w:sz w:val="32"/>
          <w:szCs w:val="32"/>
          <w:highlight w:val="none"/>
        </w:rPr>
        <w:t>万元，增长/下降</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%。主要原因是</w:t>
      </w:r>
      <w:r>
        <w:rPr>
          <w:rFonts w:hint="eastAsia" w:ascii="仿宋_GB2312" w:hAnsi="仿宋_GB2312" w:eastAsia="仿宋_GB2312" w:cs="仿宋_GB2312"/>
          <w:b w:val="0"/>
          <w:bCs w:val="0"/>
          <w:sz w:val="32"/>
          <w:szCs w:val="32"/>
          <w:highlight w:val="none"/>
          <w:lang w:val="en-US" w:eastAsia="zh-CN"/>
        </w:rPr>
        <w:t>2021年未发生公务接待费</w:t>
      </w:r>
      <w:r>
        <w:rPr>
          <w:rFonts w:hint="eastAsia" w:ascii="仿宋_GB2312" w:hAnsi="仿宋_GB2312" w:eastAsia="仿宋_GB2312" w:cs="仿宋_GB2312"/>
          <w:b w:val="0"/>
          <w:bCs w:val="0"/>
          <w:sz w:val="32"/>
          <w:szCs w:val="32"/>
          <w:highlight w:val="none"/>
        </w:rPr>
        <w:t>。其中：</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国内公务接待支出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万元，主要用于</w:t>
      </w:r>
      <w:r>
        <w:rPr>
          <w:rFonts w:hint="eastAsia" w:ascii="仿宋_GB2312" w:hAnsi="仿宋_GB2312" w:eastAsia="仿宋_GB2312" w:cs="仿宋_GB2312"/>
          <w:b w:val="0"/>
          <w:bCs w:val="0"/>
          <w:sz w:val="32"/>
          <w:szCs w:val="32"/>
          <w:highlight w:val="none"/>
          <w:lang w:eastAsia="zh-CN"/>
        </w:rPr>
        <w:t>经开区</w:t>
      </w:r>
      <w:r>
        <w:rPr>
          <w:rFonts w:hint="eastAsia" w:ascii="仿宋_GB2312" w:hAnsi="仿宋_GB2312" w:eastAsia="仿宋_GB2312" w:cs="仿宋_GB2312"/>
          <w:b w:val="0"/>
          <w:bCs w:val="0"/>
          <w:sz w:val="32"/>
          <w:szCs w:val="32"/>
          <w:highlight w:val="none"/>
        </w:rPr>
        <w:t>执行公务、开展业务活动开支的交通费、住宿费、用餐费等。国内公务接待</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批次，</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人次（不包括陪同人员），共计支出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万元，具体内容包括：</w:t>
      </w:r>
      <w:r>
        <w:rPr>
          <w:rFonts w:hint="eastAsia" w:ascii="仿宋_GB2312" w:hAnsi="仿宋_GB2312" w:eastAsia="仿宋_GB2312" w:cs="仿宋_GB2312"/>
          <w:b w:val="0"/>
          <w:bCs w:val="0"/>
          <w:sz w:val="32"/>
          <w:szCs w:val="32"/>
          <w:highlight w:val="none"/>
          <w:lang w:eastAsia="zh-CN"/>
        </w:rPr>
        <w:t>未发生公务接待费</w:t>
      </w:r>
      <w:r>
        <w:rPr>
          <w:rFonts w:hint="eastAsia" w:ascii="仿宋_GB2312" w:hAnsi="仿宋_GB2312" w:eastAsia="仿宋_GB2312" w:cs="仿宋_GB2312"/>
          <w:b w:val="0"/>
          <w:bCs w:val="0"/>
          <w:sz w:val="32"/>
          <w:szCs w:val="32"/>
          <w:highlight w:val="none"/>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外事接待支出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万元，外事接待</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批次，</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人，共计支出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w:t>
      </w:r>
    </w:p>
    <w:p>
      <w:pPr>
        <w:keepNext w:val="0"/>
        <w:keepLines w:val="0"/>
        <w:pageBreakBefore w:val="0"/>
        <w:kinsoku/>
        <w:wordWrap/>
        <w:overflowPunct/>
        <w:topLinePunct w:val="0"/>
        <w:bidi w:val="0"/>
        <w:spacing w:line="600" w:lineRule="exact"/>
        <w:ind w:firstLine="640"/>
        <w:textAlignment w:val="auto"/>
        <w:outlineLvl w:val="1"/>
        <w:rPr>
          <w:rFonts w:hint="eastAsia" w:ascii="仿宋_GB2312" w:hAnsi="仿宋_GB2312" w:eastAsia="仿宋_GB2312" w:cs="仿宋_GB2312"/>
          <w:b w:val="0"/>
          <w:bCs w:val="0"/>
          <w:sz w:val="32"/>
          <w:szCs w:val="32"/>
          <w:highlight w:val="yellow"/>
        </w:rPr>
      </w:pPr>
      <w:bookmarkStart w:id="46" w:name="_Toc15396610"/>
      <w:bookmarkStart w:id="47" w:name="_Toc15377218"/>
    </w:p>
    <w:p>
      <w:pPr>
        <w:keepNext w:val="0"/>
        <w:keepLines w:val="0"/>
        <w:pageBreakBefore w:val="0"/>
        <w:kinsoku/>
        <w:wordWrap/>
        <w:overflowPunct/>
        <w:topLinePunct w:val="0"/>
        <w:bidi w:val="0"/>
        <w:spacing w:line="600" w:lineRule="exact"/>
        <w:ind w:firstLine="640"/>
        <w:textAlignment w:val="auto"/>
        <w:outlineLvl w:val="1"/>
        <w:rPr>
          <w:rStyle w:val="26"/>
          <w:rFonts w:ascii="黑体" w:hAnsi="黑体" w:eastAsia="黑体"/>
          <w:highlight w:val="none"/>
        </w:rPr>
      </w:pPr>
      <w:r>
        <w:rPr>
          <w:rFonts w:hint="eastAsia" w:ascii="黑体" w:eastAsia="黑体"/>
          <w:sz w:val="32"/>
          <w:szCs w:val="32"/>
          <w:highlight w:val="none"/>
        </w:rPr>
        <w:t>八、</w:t>
      </w:r>
      <w:r>
        <w:rPr>
          <w:rStyle w:val="26"/>
          <w:rFonts w:hint="eastAsia" w:ascii="黑体" w:hAnsi="黑体" w:eastAsia="黑体"/>
          <w:b w:val="0"/>
          <w:highlight w:val="none"/>
        </w:rPr>
        <w:t>政府性基金预算支出决算情况说明</w:t>
      </w:r>
      <w:bookmarkEnd w:id="46"/>
      <w:bookmarkEnd w:id="47"/>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21年政府性基金预算财政拨款支出</w:t>
      </w:r>
      <w:r>
        <w:rPr>
          <w:rFonts w:hint="eastAsia" w:ascii="仿宋_GB2312" w:eastAsia="仿宋_GB2312"/>
          <w:sz w:val="32"/>
          <w:szCs w:val="32"/>
          <w:highlight w:val="none"/>
          <w:lang w:val="en-US" w:eastAsia="zh-CN"/>
        </w:rPr>
        <w:t>3145.08</w:t>
      </w:r>
      <w:r>
        <w:rPr>
          <w:rFonts w:hint="eastAsia" w:ascii="仿宋_GB2312" w:eastAsia="仿宋_GB2312"/>
          <w:sz w:val="32"/>
          <w:szCs w:val="32"/>
          <w:highlight w:val="none"/>
        </w:rPr>
        <w:t>万元。</w:t>
      </w:r>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highlight w:val="none"/>
        </w:rPr>
      </w:pPr>
    </w:p>
    <w:p>
      <w:pPr>
        <w:keepNext w:val="0"/>
        <w:keepLines w:val="0"/>
        <w:pageBreakBefore w:val="0"/>
        <w:numPr>
          <w:ilvl w:val="0"/>
          <w:numId w:val="2"/>
        </w:numPr>
        <w:kinsoku/>
        <w:wordWrap/>
        <w:overflowPunct/>
        <w:topLinePunct w:val="0"/>
        <w:bidi w:val="0"/>
        <w:spacing w:line="600" w:lineRule="exact"/>
        <w:ind w:firstLine="640"/>
        <w:textAlignment w:val="auto"/>
        <w:outlineLvl w:val="1"/>
        <w:rPr>
          <w:rStyle w:val="26"/>
          <w:rFonts w:ascii="黑体" w:hAnsi="黑体" w:eastAsia="黑体"/>
          <w:b w:val="0"/>
          <w:highlight w:val="none"/>
        </w:rPr>
      </w:pPr>
      <w:bookmarkStart w:id="48" w:name="_Toc15377219"/>
      <w:bookmarkStart w:id="49" w:name="_Toc15396611"/>
      <w:r>
        <w:rPr>
          <w:rStyle w:val="26"/>
          <w:rFonts w:hint="eastAsia" w:ascii="黑体" w:hAnsi="黑体" w:eastAsia="黑体"/>
          <w:b w:val="0"/>
          <w:highlight w:val="none"/>
        </w:rPr>
        <w:t>国有资本经营预算支出决算情况说明</w:t>
      </w:r>
      <w:bookmarkEnd w:id="48"/>
      <w:bookmarkEnd w:id="49"/>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highlight w:val="none"/>
        </w:rPr>
      </w:pPr>
      <w:r>
        <w:rPr>
          <w:rFonts w:ascii="仿宋_GB2312" w:eastAsia="仿宋_GB2312"/>
          <w:sz w:val="32"/>
          <w:szCs w:val="32"/>
          <w:highlight w:val="none"/>
        </w:rPr>
        <w:t>20</w:t>
      </w:r>
      <w:r>
        <w:rPr>
          <w:rFonts w:hint="eastAsia" w:ascii="仿宋_GB2312" w:eastAsia="仿宋_GB2312"/>
          <w:sz w:val="32"/>
          <w:szCs w:val="32"/>
          <w:highlight w:val="none"/>
        </w:rPr>
        <w:t>21年国有资本经营预算财政拨款支出</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万元。</w:t>
      </w:r>
    </w:p>
    <w:p>
      <w:pPr>
        <w:keepNext w:val="0"/>
        <w:keepLines w:val="0"/>
        <w:pageBreakBefore w:val="0"/>
        <w:kinsoku/>
        <w:wordWrap/>
        <w:overflowPunct/>
        <w:topLinePunct w:val="0"/>
        <w:bidi w:val="0"/>
        <w:spacing w:line="600" w:lineRule="exact"/>
        <w:jc w:val="center"/>
        <w:textAlignment w:val="auto"/>
        <w:rPr>
          <w:rFonts w:ascii="方正小标宋简体" w:hAnsi="方正小标宋简体" w:eastAsia="方正小标宋简体" w:cs="方正小标宋简体"/>
          <w:sz w:val="44"/>
          <w:szCs w:val="44"/>
          <w:highlight w:val="none"/>
        </w:rPr>
      </w:pPr>
    </w:p>
    <w:p>
      <w:pPr>
        <w:keepNext w:val="0"/>
        <w:keepLines w:val="0"/>
        <w:pageBreakBefore w:val="0"/>
        <w:numPr>
          <w:ilvl w:val="0"/>
          <w:numId w:val="2"/>
        </w:numPr>
        <w:kinsoku/>
        <w:wordWrap/>
        <w:overflowPunct/>
        <w:topLinePunct w:val="0"/>
        <w:bidi w:val="0"/>
        <w:spacing w:line="600" w:lineRule="exact"/>
        <w:ind w:firstLine="640"/>
        <w:textAlignment w:val="auto"/>
        <w:outlineLvl w:val="1"/>
        <w:rPr>
          <w:rStyle w:val="26"/>
          <w:rFonts w:ascii="黑体" w:hAnsi="黑体" w:eastAsia="黑体"/>
          <w:b w:val="0"/>
          <w:highlight w:val="none"/>
        </w:rPr>
      </w:pPr>
      <w:bookmarkStart w:id="50" w:name="_Toc15396612"/>
      <w:bookmarkStart w:id="51" w:name="_Toc15377221"/>
      <w:r>
        <w:rPr>
          <w:rStyle w:val="26"/>
          <w:rFonts w:hint="eastAsia" w:ascii="黑体" w:hAnsi="黑体" w:eastAsia="黑体"/>
          <w:b w:val="0"/>
          <w:highlight w:val="none"/>
        </w:rPr>
        <w:t>其他重要事项的情况说明</w:t>
      </w:r>
      <w:bookmarkEnd w:id="50"/>
      <w:bookmarkEnd w:id="51"/>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sz w:val="32"/>
          <w:szCs w:val="32"/>
          <w:highlight w:val="none"/>
        </w:rPr>
      </w:pPr>
      <w:bookmarkStart w:id="52" w:name="_Toc15377222"/>
      <w:r>
        <w:rPr>
          <w:rFonts w:hint="eastAsia" w:ascii="楷体_GB2312" w:hAnsi="楷体_GB2312" w:eastAsia="楷体_GB2312" w:cs="楷体_GB2312"/>
          <w:b w:val="0"/>
          <w:bCs/>
          <w:sz w:val="32"/>
          <w:szCs w:val="32"/>
          <w:highlight w:val="none"/>
        </w:rPr>
        <w:t>（一）机关运行经费支出情况</w:t>
      </w:r>
      <w:bookmarkEnd w:id="52"/>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2021年，</w:t>
      </w:r>
      <w:r>
        <w:rPr>
          <w:rFonts w:hint="eastAsia" w:ascii="仿宋_GB2312" w:hAnsi="仿宋_GB2312" w:eastAsia="仿宋_GB2312" w:cs="仿宋_GB2312"/>
          <w:b w:val="0"/>
          <w:bCs w:val="0"/>
          <w:sz w:val="32"/>
          <w:szCs w:val="32"/>
          <w:highlight w:val="none"/>
          <w:lang w:eastAsia="zh-CN"/>
        </w:rPr>
        <w:t>经开区</w:t>
      </w:r>
      <w:r>
        <w:rPr>
          <w:rFonts w:hint="eastAsia" w:ascii="仿宋_GB2312" w:hAnsi="仿宋_GB2312" w:eastAsia="仿宋_GB2312" w:cs="仿宋_GB2312"/>
          <w:b w:val="0"/>
          <w:bCs w:val="0"/>
          <w:sz w:val="32"/>
          <w:szCs w:val="32"/>
          <w:highlight w:val="none"/>
        </w:rPr>
        <w:t>机关运行经费支出</w:t>
      </w:r>
      <w:r>
        <w:rPr>
          <w:rFonts w:hint="eastAsia" w:ascii="仿宋_GB2312" w:hAnsi="仿宋_GB2312" w:eastAsia="仿宋_GB2312" w:cs="仿宋_GB2312"/>
          <w:b w:val="0"/>
          <w:bCs w:val="0"/>
          <w:sz w:val="32"/>
          <w:szCs w:val="32"/>
          <w:highlight w:val="none"/>
          <w:lang w:val="en-US" w:eastAsia="zh-CN"/>
        </w:rPr>
        <w:t>43.58</w:t>
      </w:r>
      <w:r>
        <w:rPr>
          <w:rFonts w:hint="eastAsia" w:ascii="仿宋_GB2312" w:hAnsi="仿宋_GB2312" w:eastAsia="仿宋_GB2312" w:cs="仿宋_GB2312"/>
          <w:b w:val="0"/>
          <w:bCs w:val="0"/>
          <w:sz w:val="32"/>
          <w:szCs w:val="32"/>
          <w:highlight w:val="none"/>
        </w:rPr>
        <w:t>万元，比2020年</w:t>
      </w:r>
      <w:r>
        <w:rPr>
          <w:rFonts w:hint="eastAsia" w:ascii="仿宋_GB2312" w:hAnsi="仿宋_GB2312" w:eastAsia="仿宋_GB2312" w:cs="仿宋_GB2312"/>
          <w:b w:val="0"/>
          <w:bCs w:val="0"/>
          <w:sz w:val="32"/>
          <w:szCs w:val="32"/>
          <w:highlight w:val="none"/>
          <w:lang w:eastAsia="zh-CN"/>
        </w:rPr>
        <w:t>减少</w:t>
      </w:r>
      <w:r>
        <w:rPr>
          <w:rFonts w:hint="eastAsia" w:ascii="仿宋_GB2312" w:hAnsi="仿宋_GB2312" w:eastAsia="仿宋_GB2312" w:cs="仿宋_GB2312"/>
          <w:b w:val="0"/>
          <w:bCs w:val="0"/>
          <w:sz w:val="32"/>
          <w:szCs w:val="32"/>
          <w:highlight w:val="none"/>
          <w:lang w:val="en-US" w:eastAsia="zh-CN"/>
        </w:rPr>
        <w:t>0.74</w:t>
      </w:r>
      <w:r>
        <w:rPr>
          <w:rFonts w:hint="eastAsia" w:ascii="仿宋_GB2312" w:hAnsi="仿宋_GB2312" w:eastAsia="仿宋_GB2312" w:cs="仿宋_GB2312"/>
          <w:b w:val="0"/>
          <w:bCs w:val="0"/>
          <w:sz w:val="32"/>
          <w:szCs w:val="32"/>
          <w:highlight w:val="none"/>
        </w:rPr>
        <w:t>万元，</w:t>
      </w:r>
      <w:r>
        <w:rPr>
          <w:rFonts w:hint="eastAsia" w:ascii="仿宋_GB2312" w:hAnsi="仿宋_GB2312" w:eastAsia="仿宋_GB2312" w:cs="仿宋_GB2312"/>
          <w:b w:val="0"/>
          <w:bCs w:val="0"/>
          <w:sz w:val="32"/>
          <w:szCs w:val="32"/>
          <w:highlight w:val="none"/>
          <w:lang w:eastAsia="zh-CN"/>
        </w:rPr>
        <w:t>减少</w:t>
      </w:r>
      <w:r>
        <w:rPr>
          <w:rFonts w:hint="eastAsia" w:ascii="仿宋_GB2312" w:hAnsi="仿宋_GB2312" w:eastAsia="仿宋_GB2312" w:cs="仿宋_GB2312"/>
          <w:b w:val="0"/>
          <w:bCs w:val="0"/>
          <w:sz w:val="32"/>
          <w:szCs w:val="32"/>
          <w:highlight w:val="none"/>
          <w:lang w:val="en-US" w:eastAsia="zh-CN"/>
        </w:rPr>
        <w:t>1.7</w:t>
      </w:r>
      <w:r>
        <w:rPr>
          <w:rFonts w:hint="eastAsia" w:ascii="仿宋_GB2312" w:hAnsi="仿宋_GB2312" w:eastAsia="仿宋_GB2312" w:cs="仿宋_GB2312"/>
          <w:b w:val="0"/>
          <w:bCs w:val="0"/>
          <w:sz w:val="32"/>
          <w:szCs w:val="32"/>
          <w:highlight w:val="none"/>
        </w:rPr>
        <w:t>%。主要原因是</w:t>
      </w:r>
      <w:r>
        <w:rPr>
          <w:rFonts w:hint="eastAsia" w:ascii="仿宋_GB2312" w:hAnsi="仿宋_GB2312" w:eastAsia="仿宋_GB2312" w:cs="仿宋_GB2312"/>
          <w:b w:val="0"/>
          <w:bCs w:val="0"/>
          <w:sz w:val="32"/>
          <w:szCs w:val="32"/>
          <w:highlight w:val="none"/>
          <w:lang w:eastAsia="zh-CN"/>
        </w:rPr>
        <w:t>厉行节约，缩减开支。</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highlight w:val="none"/>
        </w:rPr>
      </w:pPr>
      <w:bookmarkStart w:id="53" w:name="_Toc15377223"/>
      <w:r>
        <w:rPr>
          <w:rFonts w:hint="eastAsia" w:ascii="楷体_GB2312" w:hAnsi="楷体_GB2312" w:eastAsia="楷体_GB2312" w:cs="楷体_GB2312"/>
          <w:b w:val="0"/>
          <w:bCs/>
          <w:sz w:val="32"/>
          <w:szCs w:val="32"/>
          <w:highlight w:val="none"/>
        </w:rPr>
        <w:t>（二）政府采购支出情况</w:t>
      </w:r>
      <w:bookmarkEnd w:id="53"/>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2021年，</w:t>
      </w:r>
      <w:r>
        <w:rPr>
          <w:rFonts w:hint="eastAsia" w:ascii="仿宋_GB2312" w:hAnsi="仿宋_GB2312" w:eastAsia="仿宋_GB2312" w:cs="仿宋_GB2312"/>
          <w:b w:val="0"/>
          <w:bCs w:val="0"/>
          <w:sz w:val="32"/>
          <w:szCs w:val="32"/>
          <w:highlight w:val="none"/>
          <w:lang w:eastAsia="zh-CN"/>
        </w:rPr>
        <w:t>经开区</w:t>
      </w:r>
      <w:r>
        <w:rPr>
          <w:rFonts w:hint="eastAsia" w:ascii="仿宋_GB2312" w:hAnsi="仿宋_GB2312" w:eastAsia="仿宋_GB2312" w:cs="仿宋_GB2312"/>
          <w:b w:val="0"/>
          <w:bCs w:val="0"/>
          <w:sz w:val="32"/>
          <w:szCs w:val="32"/>
          <w:highlight w:val="none"/>
        </w:rPr>
        <w:t>政府采购支出总额</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万元，其中：政府采购货物支出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万元、政府采购工程支出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万元、政府采购服务支出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万元。授予中小企业合同金额</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万元，占政府采购支出总额的</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%，其中：授予小微企业合同金额</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万元，占政府采购支出总额的</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highlight w:val="none"/>
        </w:rPr>
      </w:pPr>
      <w:bookmarkStart w:id="54" w:name="_Toc15377224"/>
      <w:r>
        <w:rPr>
          <w:rFonts w:hint="eastAsia" w:ascii="楷体_GB2312" w:hAnsi="楷体_GB2312" w:eastAsia="楷体_GB2312" w:cs="楷体_GB2312"/>
          <w:b w:val="0"/>
          <w:bCs/>
          <w:sz w:val="32"/>
          <w:szCs w:val="32"/>
          <w:highlight w:val="none"/>
        </w:rPr>
        <w:t>（三）国有资产占有使用情况</w:t>
      </w:r>
      <w:bookmarkEnd w:id="54"/>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截至2021年12月31日，</w:t>
      </w:r>
      <w:r>
        <w:rPr>
          <w:rFonts w:hint="eastAsia" w:ascii="仿宋_GB2312" w:hAnsi="仿宋_GB2312" w:eastAsia="仿宋_GB2312" w:cs="仿宋_GB2312"/>
          <w:b w:val="0"/>
          <w:bCs w:val="0"/>
          <w:sz w:val="32"/>
          <w:szCs w:val="32"/>
          <w:highlight w:val="none"/>
          <w:lang w:eastAsia="zh-CN"/>
        </w:rPr>
        <w:t>经开区</w:t>
      </w:r>
      <w:r>
        <w:rPr>
          <w:rFonts w:hint="eastAsia" w:ascii="仿宋_GB2312" w:hAnsi="仿宋_GB2312" w:eastAsia="仿宋_GB2312" w:cs="仿宋_GB2312"/>
          <w:b w:val="0"/>
          <w:bCs w:val="0"/>
          <w:sz w:val="32"/>
          <w:szCs w:val="32"/>
          <w:highlight w:val="none"/>
        </w:rPr>
        <w:t>共有车辆</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辆，其中：主要领导干部用车</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辆、机要通信用车</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辆、应急保障用车</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辆、其他用车</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辆</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其他用车主要是用于</w:t>
      </w:r>
      <w:r>
        <w:rPr>
          <w:rFonts w:hint="eastAsia" w:ascii="仿宋_GB2312" w:hAnsi="仿宋_GB2312" w:eastAsia="仿宋_GB2312" w:cs="仿宋_GB2312"/>
          <w:b w:val="0"/>
          <w:bCs w:val="0"/>
          <w:sz w:val="32"/>
          <w:szCs w:val="32"/>
          <w:highlight w:val="none"/>
          <w:lang w:eastAsia="zh-CN"/>
        </w:rPr>
        <w:t>经开区园区企业走访等工作（我单位实际使用</w:t>
      </w:r>
      <w:r>
        <w:rPr>
          <w:rFonts w:hint="eastAsia" w:ascii="仿宋_GB2312" w:hAnsi="仿宋_GB2312" w:eastAsia="仿宋_GB2312" w:cs="仿宋_GB2312"/>
          <w:b w:val="0"/>
          <w:bCs w:val="0"/>
          <w:sz w:val="32"/>
          <w:szCs w:val="32"/>
          <w:highlight w:val="none"/>
          <w:lang w:val="en-US" w:eastAsia="zh-CN"/>
        </w:rPr>
        <w:t>1辆车，由公车办统一管理；另一辆实际由老干局使用</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单价50万元以上通用设备</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台（套），单价100万元以上专用设备</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台（套）。</w:t>
      </w:r>
    </w:p>
    <w:p>
      <w:pPr>
        <w:keepNext w:val="0"/>
        <w:keepLines w:val="0"/>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sz w:val="32"/>
          <w:szCs w:val="32"/>
          <w:highlight w:val="none"/>
        </w:rPr>
      </w:pPr>
      <w:r>
        <w:rPr>
          <w:rFonts w:hint="eastAsia" w:ascii="仿宋" w:hAnsi="仿宋" w:eastAsia="仿宋"/>
          <w:b/>
          <w:sz w:val="32"/>
          <w:szCs w:val="32"/>
          <w:highlight w:val="none"/>
        </w:rPr>
        <w:t>（四）预算绩效管理情况</w:t>
      </w:r>
    </w:p>
    <w:p>
      <w:pPr>
        <w:keepNext w:val="0"/>
        <w:keepLines w:val="0"/>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根据预算绩效管理要求，本部门在2021年度预算编制阶段，组织对</w:t>
      </w:r>
      <w:r>
        <w:rPr>
          <w:rFonts w:hint="eastAsia" w:ascii="仿宋_GB2312" w:hAnsi="仿宋_GB2312" w:eastAsia="仿宋_GB2312" w:cs="仿宋_GB2312"/>
          <w:sz w:val="32"/>
          <w:szCs w:val="32"/>
          <w:highlight w:val="none"/>
          <w:lang w:eastAsia="zh-CN"/>
        </w:rPr>
        <w:t>创客梦工厂运营经费</w:t>
      </w:r>
      <w:r>
        <w:rPr>
          <w:rFonts w:hint="eastAsia" w:ascii="仿宋_GB2312" w:hAnsi="仿宋_GB2312" w:eastAsia="仿宋_GB2312" w:cs="仿宋_GB2312"/>
          <w:sz w:val="32"/>
          <w:szCs w:val="32"/>
          <w:highlight w:val="none"/>
        </w:rPr>
        <w:t>项目（项目名称）等</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个项目开展了预算事前绩效评估，对</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个项目编制了绩效目标，预算执行过程中，选取</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个项目开展绩效监控，年终执行完毕后，对</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个项目开展了绩效自评。同时，本部门对2021年部门整体开展绩效自评，《2021年</w:t>
      </w:r>
      <w:r>
        <w:rPr>
          <w:rFonts w:hint="eastAsia" w:ascii="仿宋_GB2312" w:hAnsi="仿宋_GB2312" w:eastAsia="仿宋_GB2312" w:cs="仿宋_GB2312"/>
          <w:sz w:val="32"/>
          <w:szCs w:val="32"/>
          <w:highlight w:val="none"/>
          <w:lang w:eastAsia="zh-CN"/>
        </w:rPr>
        <w:t>四川峨眉山经济开发区管理委员会</w:t>
      </w:r>
      <w:r>
        <w:rPr>
          <w:rFonts w:hint="eastAsia" w:ascii="仿宋_GB2312" w:hAnsi="仿宋_GB2312" w:eastAsia="仿宋_GB2312" w:cs="仿宋_GB2312"/>
          <w:sz w:val="32"/>
          <w:szCs w:val="32"/>
          <w:highlight w:val="none"/>
        </w:rPr>
        <w:t>部门整体绩效评价报告》见附件（第四部分）。</w:t>
      </w:r>
    </w:p>
    <w:p>
      <w:pPr>
        <w:keepNext w:val="0"/>
        <w:keepLines w:val="0"/>
        <w:pageBreakBefore w:val="0"/>
        <w:widowControl/>
        <w:kinsoku/>
        <w:wordWrap/>
        <w:overflowPunct/>
        <w:topLinePunct w:val="0"/>
        <w:bidi w:val="0"/>
        <w:spacing w:line="600" w:lineRule="exact"/>
        <w:jc w:val="left"/>
        <w:textAlignment w:val="auto"/>
        <w:rPr>
          <w:rFonts w:ascii="仿宋_GB2312" w:eastAsia="仿宋_GB2312"/>
          <w:b/>
          <w:sz w:val="32"/>
          <w:szCs w:val="32"/>
          <w:highlight w:val="none"/>
        </w:rPr>
      </w:pPr>
      <w:r>
        <w:rPr>
          <w:rFonts w:ascii="仿宋_GB2312" w:eastAsia="仿宋_GB2312"/>
          <w:b/>
          <w:sz w:val="32"/>
          <w:szCs w:val="32"/>
          <w:highlight w:val="none"/>
        </w:rPr>
        <w:br w:type="page"/>
      </w:r>
    </w:p>
    <w:p>
      <w:pPr>
        <w:keepNext w:val="0"/>
        <w:keepLines w:val="0"/>
        <w:pageBreakBefore w:val="0"/>
        <w:numPr>
          <w:ilvl w:val="0"/>
          <w:numId w:val="0"/>
        </w:numPr>
        <w:kinsoku/>
        <w:wordWrap/>
        <w:overflowPunct/>
        <w:topLinePunct w:val="0"/>
        <w:bidi w:val="0"/>
        <w:spacing w:line="600" w:lineRule="exact"/>
        <w:jc w:val="center"/>
        <w:textAlignment w:val="auto"/>
        <w:outlineLvl w:val="0"/>
        <w:rPr>
          <w:rStyle w:val="25"/>
          <w:rFonts w:hint="eastAsia" w:ascii="方正小标宋_GBK" w:hAnsi="方正小标宋_GBK" w:eastAsia="方正小标宋_GBK" w:cs="方正小标宋_GBK"/>
          <w:b w:val="0"/>
          <w:highlight w:val="none"/>
        </w:rPr>
      </w:pPr>
      <w:bookmarkStart w:id="55" w:name="_Toc15377225"/>
      <w:bookmarkStart w:id="56" w:name="_Toc15396613"/>
      <w:r>
        <w:rPr>
          <w:rFonts w:hint="eastAsia" w:ascii="方正小标宋_GBK" w:hAnsi="方正小标宋_GBK" w:eastAsia="方正小标宋_GBK" w:cs="方正小标宋_GBK"/>
          <w:sz w:val="44"/>
          <w:szCs w:val="44"/>
          <w:highlight w:val="none"/>
          <w:lang w:eastAsia="zh-CN"/>
        </w:rPr>
        <w:t>第三部分</w:t>
      </w:r>
      <w:r>
        <w:rPr>
          <w:rFonts w:hint="eastAsia" w:ascii="方正小标宋_GBK" w:hAnsi="方正小标宋_GBK" w:eastAsia="方正小标宋_GBK" w:cs="方正小标宋_GBK"/>
          <w:sz w:val="44"/>
          <w:szCs w:val="44"/>
          <w:highlight w:val="none"/>
          <w:lang w:val="en-US" w:eastAsia="zh-CN"/>
        </w:rPr>
        <w:t xml:space="preserve"> </w:t>
      </w:r>
      <w:r>
        <w:rPr>
          <w:rFonts w:hint="eastAsia" w:ascii="方正小标宋_GBK" w:hAnsi="方正小标宋_GBK" w:eastAsia="方正小标宋_GBK" w:cs="方正小标宋_GBK"/>
          <w:sz w:val="44"/>
          <w:szCs w:val="44"/>
          <w:highlight w:val="none"/>
        </w:rPr>
        <w:t>名</w:t>
      </w:r>
      <w:r>
        <w:rPr>
          <w:rStyle w:val="25"/>
          <w:rFonts w:hint="eastAsia" w:ascii="方正小标宋_GBK" w:hAnsi="方正小标宋_GBK" w:eastAsia="方正小标宋_GBK" w:cs="方正小标宋_GBK"/>
          <w:b w:val="0"/>
          <w:highlight w:val="none"/>
        </w:rPr>
        <w:t>词解释</w:t>
      </w:r>
      <w:bookmarkEnd w:id="55"/>
      <w:bookmarkEnd w:id="56"/>
    </w:p>
    <w:p>
      <w:pPr>
        <w:keepNext w:val="0"/>
        <w:keepLines w:val="0"/>
        <w:pageBreakBefore w:val="0"/>
        <w:kinsoku/>
        <w:wordWrap/>
        <w:overflowPunct/>
        <w:topLinePunct w:val="0"/>
        <w:bidi w:val="0"/>
        <w:spacing w:line="600" w:lineRule="exact"/>
        <w:jc w:val="left"/>
        <w:textAlignment w:val="auto"/>
        <w:rPr>
          <w:rFonts w:ascii="宋体"/>
          <w:b/>
          <w:sz w:val="44"/>
          <w:szCs w:val="44"/>
          <w:highlight w:val="none"/>
        </w:rPr>
      </w:pPr>
    </w:p>
    <w:p>
      <w:pPr>
        <w:pStyle w:val="23"/>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一、</w:t>
      </w:r>
      <w:r>
        <w:rPr>
          <w:rFonts w:hint="eastAsia" w:ascii="仿宋_GB2312" w:eastAsia="仿宋_GB2312"/>
          <w:color w:val="auto"/>
          <w:sz w:val="32"/>
          <w:szCs w:val="32"/>
          <w:highlight w:val="none"/>
        </w:rPr>
        <w:t>财政拨款收入：指单位从同级财政部门取得的财政预算资金。</w:t>
      </w:r>
    </w:p>
    <w:p>
      <w:pPr>
        <w:pStyle w:val="23"/>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事业收入：指事业单位开展专业业务活动及辅助活动取得的收入。</w:t>
      </w:r>
    </w:p>
    <w:p>
      <w:pPr>
        <w:pStyle w:val="23"/>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3"/>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四、</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3"/>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五、</w:t>
      </w:r>
      <w:r>
        <w:rPr>
          <w:rFonts w:hint="eastAsia" w:ascii="仿宋_GB2312" w:eastAsia="仿宋_GB2312"/>
          <w:color w:val="auto"/>
          <w:sz w:val="32"/>
          <w:szCs w:val="32"/>
          <w:highlight w:val="none"/>
        </w:rPr>
        <w:t>使用非财政拨款结余：指事业单位使用以前年度积累的非财政拨款结余弥补当年收支差额的金额。</w:t>
      </w:r>
      <w:r>
        <w:rPr>
          <w:rFonts w:ascii="仿宋_GB2312" w:eastAsia="仿宋_GB2312"/>
          <w:color w:val="auto"/>
          <w:sz w:val="32"/>
          <w:szCs w:val="32"/>
          <w:highlight w:val="none"/>
        </w:rPr>
        <w:t xml:space="preserve"> </w:t>
      </w:r>
    </w:p>
    <w:p>
      <w:pPr>
        <w:pStyle w:val="23"/>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六、</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七、</w:t>
      </w:r>
      <w:r>
        <w:rPr>
          <w:rFonts w:hint="eastAsia" w:ascii="仿宋_GB2312" w:eastAsia="仿宋_GB2312"/>
          <w:color w:val="auto"/>
          <w:sz w:val="32"/>
          <w:szCs w:val="32"/>
          <w:highlight w:val="none"/>
        </w:rPr>
        <w:t>结余分配：指事业单位按照会计制度规定缴纳的所得税、提取的专用结余以及转入非财政拨款结余的金额等。</w:t>
      </w:r>
    </w:p>
    <w:p>
      <w:pPr>
        <w:pStyle w:val="23"/>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八、</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九、</w:t>
      </w:r>
      <w:r>
        <w:rPr>
          <w:rFonts w:hint="eastAsia" w:ascii="仿宋_GB2312" w:eastAsia="仿宋_GB2312"/>
          <w:color w:val="000000"/>
          <w:sz w:val="32"/>
          <w:szCs w:val="32"/>
        </w:rPr>
        <w:t>社会保障和就业支出（类）其他社会保障和就业支出（款）其他社会保障和就业支出（项）：指反映上述以外其他用于社会保障和就业方面的支出。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十、</w:t>
      </w:r>
      <w:r>
        <w:rPr>
          <w:rFonts w:hint="eastAsia" w:ascii="仿宋_GB2312" w:eastAsia="仿宋_GB2312"/>
          <w:color w:val="000000"/>
          <w:sz w:val="32"/>
          <w:szCs w:val="32"/>
        </w:rPr>
        <w:t>社会保障和就业支出（类）行政事业单位养老支出（款） 机关事业单位基本养老保险缴费支出（项）：</w:t>
      </w:r>
      <w:r>
        <w:rPr>
          <w:rFonts w:hint="eastAsia" w:ascii="仿宋_GB2312" w:hAnsi="Calibri" w:eastAsia="仿宋_GB2312" w:cs="仿宋"/>
          <w:color w:val="000000"/>
          <w:kern w:val="0"/>
          <w:sz w:val="32"/>
          <w:szCs w:val="32"/>
        </w:rPr>
        <w:t>指反映机关事业单位实施养老保险制度由单位缴纳的基本养老保险支出。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十一、</w:t>
      </w:r>
      <w:r>
        <w:rPr>
          <w:rFonts w:hint="eastAsia" w:ascii="仿宋_GB2312" w:eastAsia="仿宋_GB2312"/>
          <w:color w:val="000000"/>
          <w:sz w:val="32"/>
          <w:szCs w:val="32"/>
        </w:rPr>
        <w:t>社会保障和就业支出（类）行政事业单位养老支出（款）机关事业单位职业年金缴费支出（项）：</w:t>
      </w:r>
      <w:r>
        <w:rPr>
          <w:rFonts w:hint="eastAsia" w:ascii="仿宋_GB2312" w:hAnsi="Calibri" w:eastAsia="仿宋_GB2312" w:cs="仿宋"/>
          <w:color w:val="000000"/>
          <w:kern w:val="0"/>
          <w:sz w:val="32"/>
          <w:szCs w:val="32"/>
        </w:rPr>
        <w:t>指反映机关事业单位实施养老保险制度由单位缴纳的职业年金支出</w:t>
      </w:r>
      <w:r>
        <w:rPr>
          <w:rFonts w:hint="eastAsia" w:ascii="仿宋_GB2312" w:eastAsia="仿宋_GB2312"/>
          <w:color w:val="000000"/>
          <w:sz w:val="32"/>
          <w:szCs w:val="32"/>
        </w:rPr>
        <w:t>。</w:t>
      </w:r>
    </w:p>
    <w:p>
      <w:pPr>
        <w:spacing w:line="600" w:lineRule="exact"/>
        <w:ind w:firstLine="640" w:firstLineChars="200"/>
        <w:rPr>
          <w:rFonts w:hint="eastAsia" w:ascii="仿宋_GB2312" w:hAnsi="Calibri" w:eastAsia="仿宋_GB2312" w:cs="仿宋"/>
          <w:color w:val="000000"/>
          <w:kern w:val="0"/>
          <w:sz w:val="32"/>
          <w:szCs w:val="32"/>
        </w:rPr>
      </w:pPr>
      <w:r>
        <w:rPr>
          <w:rFonts w:hint="eastAsia" w:ascii="仿宋_GB2312" w:eastAsia="仿宋_GB2312"/>
          <w:color w:val="000000"/>
          <w:sz w:val="32"/>
          <w:szCs w:val="32"/>
          <w:lang w:eastAsia="zh-CN"/>
        </w:rPr>
        <w:t>十二、</w:t>
      </w:r>
      <w:r>
        <w:rPr>
          <w:rFonts w:hint="eastAsia" w:ascii="仿宋_GB2312" w:eastAsia="仿宋_GB2312"/>
          <w:color w:val="000000"/>
          <w:sz w:val="32"/>
          <w:szCs w:val="32"/>
        </w:rPr>
        <w:t>卫生健康支出（类）行政事业单位医疗（款）行政单位医疗（项）：</w:t>
      </w:r>
      <w:r>
        <w:rPr>
          <w:rFonts w:hint="eastAsia" w:ascii="仿宋_GB2312" w:hAnsi="Calibri" w:eastAsia="仿宋_GB2312" w:cs="仿宋"/>
          <w:color w:val="000000"/>
          <w:kern w:val="0"/>
          <w:sz w:val="32"/>
          <w:szCs w:val="32"/>
        </w:rPr>
        <w:t>指</w:t>
      </w:r>
      <w:r>
        <w:rPr>
          <w:rFonts w:hint="eastAsia" w:ascii="仿宋_GB2312" w:eastAsia="仿宋_GB2312"/>
          <w:bCs/>
          <w:color w:val="000000"/>
          <w:sz w:val="32"/>
          <w:szCs w:val="32"/>
        </w:rPr>
        <w:t>反映财政部门安排的行政单位（包括实行公务员管理的事业单位）基本医疗保险缴费经费，未参加医疗保险的行政单位的公费医疗经费，按国家规定享受离休人员、红军老战士待遇人员的医疗经费。</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十三、</w:t>
      </w:r>
      <w:r>
        <w:rPr>
          <w:rFonts w:hint="eastAsia" w:ascii="仿宋_GB2312" w:eastAsia="仿宋_GB2312"/>
          <w:color w:val="000000"/>
          <w:sz w:val="32"/>
          <w:szCs w:val="32"/>
        </w:rPr>
        <w:t>城乡社区支出（类）城乡社区管理事务（款）行政运行（项）：指反应行政单位（包括实行公务员管理的事业单位）的基本支出。</w:t>
      </w:r>
    </w:p>
    <w:p>
      <w:pPr>
        <w:spacing w:line="600" w:lineRule="exact"/>
        <w:ind w:firstLine="640" w:firstLineChars="200"/>
        <w:rPr>
          <w:rFonts w:hint="eastAsia" w:ascii="仿宋_GB2312" w:hAnsi="Calibri" w:eastAsia="仿宋_GB2312" w:cs="仿宋"/>
          <w:color w:val="000000"/>
          <w:kern w:val="0"/>
          <w:sz w:val="32"/>
          <w:szCs w:val="32"/>
          <w:highlight w:val="none"/>
        </w:rPr>
      </w:pPr>
      <w:r>
        <w:rPr>
          <w:rFonts w:hint="eastAsia" w:ascii="仿宋_GB2312" w:eastAsia="仿宋_GB2312"/>
          <w:color w:val="000000"/>
          <w:sz w:val="32"/>
          <w:szCs w:val="32"/>
          <w:highlight w:val="none"/>
          <w:lang w:eastAsia="zh-CN"/>
        </w:rPr>
        <w:t>十四、</w:t>
      </w:r>
      <w:r>
        <w:rPr>
          <w:rFonts w:hint="eastAsia" w:ascii="仿宋_GB2312" w:eastAsia="仿宋_GB2312"/>
          <w:color w:val="000000"/>
          <w:sz w:val="32"/>
          <w:szCs w:val="32"/>
          <w:highlight w:val="none"/>
        </w:rPr>
        <w:t>城乡社区支出（类）城乡社区管理事务（款）一般行政管理事务（项）：指反应行政单位（包括实行公务员管理的事业单位）未单独设置项级科目的其他项目支出</w:t>
      </w:r>
      <w:r>
        <w:rPr>
          <w:rFonts w:hint="eastAsia" w:ascii="仿宋_GB2312" w:hAnsi="Calibri" w:eastAsia="仿宋_GB2312" w:cs="仿宋"/>
          <w:color w:val="000000"/>
          <w:kern w:val="0"/>
          <w:sz w:val="32"/>
          <w:szCs w:val="32"/>
          <w:highlight w:val="none"/>
        </w:rPr>
        <w:t>。</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color w:val="000000"/>
          <w:sz w:val="32"/>
          <w:szCs w:val="32"/>
          <w:highlight w:val="none"/>
          <w:lang w:eastAsia="zh-CN"/>
        </w:rPr>
        <w:t>十五、</w:t>
      </w:r>
      <w:r>
        <w:rPr>
          <w:rFonts w:hint="eastAsia" w:ascii="仿宋_GB2312" w:eastAsia="仿宋_GB2312"/>
          <w:color w:val="000000"/>
          <w:sz w:val="32"/>
          <w:szCs w:val="32"/>
          <w:highlight w:val="none"/>
        </w:rPr>
        <w:t>城乡社区支出（类）国有土地使用权出让收入安排的支出（款）土地开发支出（项）：指反映新疆生产建设兵团和地方政府用于前期土地开发性支出以及前期土地开发相关的费用等支出。</w:t>
      </w:r>
    </w:p>
    <w:p>
      <w:pPr>
        <w:spacing w:line="600" w:lineRule="exact"/>
        <w:ind w:firstLine="640" w:firstLineChars="200"/>
        <w:rPr>
          <w:highlight w:val="none"/>
        </w:rPr>
      </w:pPr>
      <w:r>
        <w:rPr>
          <w:rFonts w:hint="eastAsia" w:ascii="仿宋_GB2312" w:eastAsia="仿宋_GB2312"/>
          <w:color w:val="000000"/>
          <w:sz w:val="32"/>
          <w:szCs w:val="32"/>
          <w:highlight w:val="none"/>
          <w:lang w:eastAsia="zh-CN"/>
        </w:rPr>
        <w:t>十六、</w:t>
      </w:r>
      <w:r>
        <w:rPr>
          <w:rFonts w:hint="eastAsia" w:ascii="仿宋_GB2312" w:eastAsia="仿宋_GB2312"/>
          <w:color w:val="000000"/>
          <w:sz w:val="32"/>
          <w:szCs w:val="32"/>
          <w:highlight w:val="none"/>
        </w:rPr>
        <w:t>城乡社区支出（类）国有土地使用权出让收入安排的支出（款）其他国有土地使用权出让收入安排的支出（项）：指反映</w:t>
      </w:r>
      <w:r>
        <w:rPr>
          <w:rFonts w:hint="eastAsia" w:ascii="仿宋_GB2312" w:eastAsia="仿宋_GB2312"/>
          <w:sz w:val="32"/>
          <w:szCs w:val="32"/>
          <w:highlight w:val="none"/>
        </w:rPr>
        <w:t>指反映土地出让收入用于其他方面的支出，不包括市县级政府当年按规定用土地出让收入向中央和省级政府缴纳的新增建设用地土地有偿使用费的支出。</w:t>
      </w:r>
    </w:p>
    <w:p>
      <w:pPr>
        <w:ind w:firstLine="640" w:firstLineChars="200"/>
        <w:rPr>
          <w:rFonts w:hint="eastAsia"/>
        </w:rPr>
      </w:pPr>
      <w:r>
        <w:rPr>
          <w:rFonts w:hint="eastAsia" w:ascii="仿宋_GB2312" w:eastAsia="仿宋_GB2312"/>
          <w:color w:val="000000"/>
          <w:sz w:val="32"/>
          <w:szCs w:val="32"/>
          <w:lang w:eastAsia="zh-CN"/>
        </w:rPr>
        <w:t>十七、</w:t>
      </w:r>
      <w:r>
        <w:rPr>
          <w:rFonts w:hint="eastAsia" w:ascii="仿宋_GB2312" w:eastAsia="仿宋_GB2312"/>
          <w:color w:val="000000"/>
          <w:sz w:val="32"/>
          <w:szCs w:val="32"/>
        </w:rPr>
        <w:t>城乡社区支出（类）</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城乡社区</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城乡社区</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（项）：</w:t>
      </w:r>
      <w:r>
        <w:rPr>
          <w:rFonts w:hint="eastAsia" w:ascii="仿宋_GB2312" w:eastAsia="仿宋_GB2312"/>
          <w:color w:val="000000"/>
          <w:sz w:val="32"/>
          <w:szCs w:val="32"/>
          <w:highlight w:val="none"/>
        </w:rPr>
        <w:t>指反映除上述项目以外其他用于城乡社区公方面的支出。</w:t>
      </w:r>
    </w:p>
    <w:p>
      <w:pPr>
        <w:ind w:firstLine="640" w:firstLineChars="20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eastAsia="zh-CN"/>
        </w:rPr>
        <w:t>十八、</w:t>
      </w:r>
      <w:r>
        <w:rPr>
          <w:rFonts w:hint="eastAsia" w:ascii="仿宋_GB2312" w:eastAsia="仿宋_GB2312"/>
          <w:color w:val="000000"/>
          <w:sz w:val="32"/>
          <w:szCs w:val="32"/>
          <w:highlight w:val="none"/>
        </w:rPr>
        <w:t>农林水支出（类）扶贫（款）其他扶贫支出（项）：指反映除上述以外其他用于扶贫方面的支出。</w:t>
      </w:r>
    </w:p>
    <w:p>
      <w:pPr>
        <w:ind w:firstLine="640" w:firstLineChars="200"/>
        <w:rPr>
          <w:rFonts w:hint="eastAsia"/>
          <w:highlight w:val="none"/>
        </w:rPr>
      </w:pPr>
      <w:r>
        <w:rPr>
          <w:rFonts w:hint="eastAsia" w:ascii="仿宋_GB2312" w:eastAsia="仿宋_GB2312"/>
          <w:color w:val="000000"/>
          <w:sz w:val="32"/>
          <w:szCs w:val="32"/>
          <w:highlight w:val="none"/>
          <w:lang w:eastAsia="zh-CN"/>
        </w:rPr>
        <w:t>十九、</w:t>
      </w:r>
      <w:r>
        <w:rPr>
          <w:rFonts w:hint="eastAsia" w:ascii="仿宋_GB2312" w:eastAsia="仿宋_GB2312"/>
          <w:color w:val="000000"/>
          <w:sz w:val="32"/>
          <w:szCs w:val="32"/>
          <w:highlight w:val="none"/>
        </w:rPr>
        <w:t>资源勘探工业信息等支出（类）支持中小企业发展和管理支出（款）行政运行（项）：指反映行政单位（包括实行公务员管理的事业单位）的基本支出。</w:t>
      </w:r>
    </w:p>
    <w:p>
      <w:pPr>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lang w:eastAsia="zh-CN"/>
        </w:rPr>
        <w:t>二十、</w:t>
      </w:r>
      <w:r>
        <w:rPr>
          <w:rFonts w:hint="eastAsia" w:ascii="仿宋_GB2312" w:eastAsia="仿宋_GB2312"/>
          <w:color w:val="000000"/>
          <w:sz w:val="32"/>
          <w:szCs w:val="32"/>
          <w:highlight w:val="none"/>
        </w:rPr>
        <w:t>资源勘探工业信息等支出（类）支持中小企业发展和管理支出（款）其他支持中小企业发展和管理支出（项）：</w:t>
      </w:r>
      <w:r>
        <w:rPr>
          <w:rFonts w:hint="eastAsia" w:ascii="仿宋_GB2312" w:hAnsi="Calibri" w:eastAsia="仿宋_GB2312" w:cs="仿宋"/>
          <w:color w:val="000000"/>
          <w:kern w:val="0"/>
          <w:sz w:val="32"/>
          <w:szCs w:val="32"/>
          <w:highlight w:val="none"/>
        </w:rPr>
        <w:t>指</w:t>
      </w:r>
      <w:r>
        <w:rPr>
          <w:rFonts w:hint="eastAsia" w:ascii="仿宋_GB2312" w:eastAsia="仿宋_GB2312"/>
          <w:color w:val="000000"/>
          <w:sz w:val="32"/>
          <w:szCs w:val="32"/>
          <w:highlight w:val="none"/>
        </w:rPr>
        <w:t>反应除上述项目以外其他用于支持中小企业发展和管理方面的支出</w:t>
      </w:r>
      <w:r>
        <w:rPr>
          <w:rFonts w:hint="eastAsia" w:ascii="仿宋_GB2312" w:hAnsi="Calibri" w:eastAsia="仿宋_GB2312" w:cs="仿宋"/>
          <w:color w:val="000000"/>
          <w:kern w:val="0"/>
          <w:sz w:val="32"/>
          <w:szCs w:val="32"/>
          <w:highlight w:val="none"/>
        </w:rPr>
        <w:t>。</w:t>
      </w:r>
    </w:p>
    <w:p>
      <w:pPr>
        <w:spacing w:line="600" w:lineRule="exact"/>
        <w:ind w:firstLine="640" w:firstLineChars="200"/>
        <w:rPr>
          <w:rFonts w:hint="eastAsia" w:ascii="仿宋_GB2312" w:hAnsi="Calibri" w:eastAsia="仿宋_GB2312" w:cs="仿宋"/>
          <w:kern w:val="0"/>
          <w:sz w:val="32"/>
          <w:szCs w:val="32"/>
          <w:highlight w:val="none"/>
        </w:rPr>
      </w:pPr>
      <w:r>
        <w:rPr>
          <w:rFonts w:hint="eastAsia" w:ascii="仿宋_GB2312" w:eastAsia="仿宋_GB2312"/>
          <w:color w:val="000000"/>
          <w:sz w:val="32"/>
          <w:szCs w:val="32"/>
          <w:highlight w:val="none"/>
          <w:lang w:eastAsia="zh-CN"/>
        </w:rPr>
        <w:t>二十一、</w:t>
      </w:r>
      <w:r>
        <w:rPr>
          <w:rFonts w:hint="eastAsia" w:ascii="仿宋_GB2312" w:eastAsia="仿宋_GB2312"/>
          <w:color w:val="000000"/>
          <w:sz w:val="32"/>
          <w:szCs w:val="32"/>
          <w:highlight w:val="none"/>
        </w:rPr>
        <w:t>住房保障支出（类）住房改革支出（款）住房公积金（项）：</w:t>
      </w:r>
      <w:r>
        <w:rPr>
          <w:rFonts w:hint="eastAsia" w:ascii="仿宋_GB2312" w:hAnsi="Calibri" w:eastAsia="仿宋_GB2312" w:cs="仿宋"/>
          <w:kern w:val="0"/>
          <w:sz w:val="32"/>
          <w:szCs w:val="32"/>
          <w:highlight w:val="none"/>
        </w:rPr>
        <w:t>指</w:t>
      </w:r>
      <w:r>
        <w:rPr>
          <w:rFonts w:hint="eastAsia" w:ascii="仿宋_GB2312" w:eastAsia="仿宋_GB2312"/>
          <w:sz w:val="32"/>
          <w:szCs w:val="32"/>
          <w:highlight w:val="none"/>
        </w:rPr>
        <w:t>反应行政事业单位按人力资源和社会保障部、财政部规定的基本工资和津贴补贴以及规定比例为职工缴纳的住房公积金</w:t>
      </w:r>
      <w:r>
        <w:rPr>
          <w:rFonts w:hint="eastAsia" w:ascii="仿宋_GB2312" w:hAnsi="Calibri" w:eastAsia="仿宋_GB2312" w:cs="仿宋"/>
          <w:kern w:val="0"/>
          <w:sz w:val="32"/>
          <w:szCs w:val="32"/>
          <w:highlight w:val="none"/>
        </w:rPr>
        <w:t>。</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二十二、</w:t>
      </w:r>
      <w:r>
        <w:rPr>
          <w:rFonts w:hint="eastAsia" w:ascii="仿宋_GB2312" w:eastAsia="仿宋_GB2312"/>
          <w:sz w:val="32"/>
          <w:szCs w:val="32"/>
          <w:highlight w:val="none"/>
        </w:rPr>
        <w:t>基本支出：指为保障机构正常运转、完成日常工作任务而发生的人员支出和公用支出。</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二十三、</w:t>
      </w:r>
      <w:r>
        <w:rPr>
          <w:rFonts w:hint="eastAsia" w:ascii="仿宋_GB2312" w:eastAsia="仿宋_GB2312"/>
          <w:sz w:val="32"/>
          <w:szCs w:val="32"/>
          <w:highlight w:val="none"/>
        </w:rPr>
        <w:t>项目支出：指在基本支出之外为完成特定行政任务和事业发展目标所发生的支出。</w:t>
      </w:r>
      <w:r>
        <w:rPr>
          <w:rFonts w:ascii="仿宋_GB2312" w:eastAsia="仿宋_GB2312"/>
          <w:sz w:val="32"/>
          <w:szCs w:val="32"/>
          <w:highlight w:val="none"/>
        </w:rPr>
        <w:t xml:space="preserve"> </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二十四、</w:t>
      </w:r>
      <w:r>
        <w:rPr>
          <w:rFonts w:hint="eastAsia" w:ascii="仿宋_GB2312" w:eastAsia="仿宋_GB2312"/>
          <w:sz w:val="32"/>
          <w:szCs w:val="32"/>
          <w:highlight w:val="none"/>
        </w:rPr>
        <w:t>经营支出：指事业单位在专业业务活动及其辅助活动之外开展非独立核算经营活动发生的支出。</w:t>
      </w:r>
    </w:p>
    <w:p>
      <w:pPr>
        <w:pStyle w:val="23"/>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二十五、</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二十六、</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w:t>
      </w:r>
      <w:r>
        <w:rPr>
          <w:rFonts w:hint="eastAsia" w:ascii="仿宋_GB2312" w:eastAsia="仿宋_GB2312"/>
          <w:color w:val="auto"/>
          <w:sz w:val="32"/>
          <w:szCs w:val="32"/>
          <w:highlight w:val="none"/>
          <w:lang w:eastAsia="zh-CN"/>
        </w:rPr>
        <w:t>手续费、水费、电费、</w:t>
      </w:r>
      <w:r>
        <w:rPr>
          <w:rFonts w:hint="eastAsia" w:ascii="仿宋_GB2312" w:eastAsia="仿宋_GB2312"/>
          <w:color w:val="auto"/>
          <w:sz w:val="32"/>
          <w:szCs w:val="32"/>
          <w:highlight w:val="none"/>
        </w:rPr>
        <w:t>邮电费、差旅费、会议费、</w:t>
      </w:r>
      <w:r>
        <w:rPr>
          <w:rFonts w:hint="eastAsia" w:ascii="仿宋_GB2312" w:eastAsia="仿宋_GB2312"/>
          <w:color w:val="auto"/>
          <w:sz w:val="32"/>
          <w:szCs w:val="32"/>
          <w:highlight w:val="none"/>
          <w:lang w:eastAsia="zh-CN"/>
        </w:rPr>
        <w:t>劳务费、委托业务费、工会经费、</w:t>
      </w:r>
      <w:r>
        <w:rPr>
          <w:rFonts w:hint="eastAsia" w:ascii="仿宋_GB2312" w:eastAsia="仿宋_GB2312"/>
          <w:color w:val="auto"/>
          <w:sz w:val="32"/>
          <w:szCs w:val="32"/>
          <w:highlight w:val="none"/>
        </w:rPr>
        <w:t>福利费、</w:t>
      </w:r>
      <w:r>
        <w:rPr>
          <w:rFonts w:hint="eastAsia" w:ascii="仿宋_GB2312" w:eastAsia="仿宋_GB2312"/>
          <w:color w:val="auto"/>
          <w:sz w:val="32"/>
          <w:szCs w:val="32"/>
          <w:highlight w:val="none"/>
          <w:lang w:eastAsia="zh-CN"/>
        </w:rPr>
        <w:t>其他交通费、税金及附加费用、其他商品服务支出</w:t>
      </w:r>
      <w:r>
        <w:rPr>
          <w:rFonts w:hint="eastAsia" w:ascii="仿宋_GB2312" w:eastAsia="仿宋_GB2312"/>
          <w:color w:val="auto"/>
          <w:sz w:val="32"/>
          <w:szCs w:val="32"/>
          <w:highlight w:val="none"/>
        </w:rPr>
        <w:t>以及其他费用。</w:t>
      </w:r>
    </w:p>
    <w:p>
      <w:pPr>
        <w:keepNext w:val="0"/>
        <w:keepLines w:val="0"/>
        <w:pageBreakBefore w:val="0"/>
        <w:kinsoku/>
        <w:wordWrap/>
        <w:overflowPunct/>
        <w:topLinePunct w:val="0"/>
        <w:bidi w:val="0"/>
        <w:spacing w:line="600" w:lineRule="exact"/>
        <w:jc w:val="center"/>
        <w:textAlignment w:val="auto"/>
        <w:outlineLvl w:val="0"/>
        <w:rPr>
          <w:rStyle w:val="25"/>
          <w:rFonts w:hint="eastAsia" w:ascii="方正小标宋_GBK" w:hAnsi="方正小标宋_GBK" w:eastAsia="方正小标宋_GBK" w:cs="方正小标宋_GBK"/>
          <w:b w:val="0"/>
          <w:bCs w:val="0"/>
          <w:highlight w:val="none"/>
        </w:rPr>
      </w:pPr>
      <w:bookmarkStart w:id="57" w:name="_Toc15377226"/>
      <w:r>
        <w:rPr>
          <w:rFonts w:ascii="宋体"/>
          <w:b/>
          <w:sz w:val="44"/>
          <w:szCs w:val="44"/>
          <w:highlight w:val="yellow"/>
        </w:rPr>
        <w:br w:type="page"/>
      </w:r>
      <w:bookmarkStart w:id="58" w:name="_Toc15396614"/>
      <w:r>
        <w:rPr>
          <w:rFonts w:hint="eastAsia" w:ascii="方正小标宋_GBK" w:hAnsi="方正小标宋_GBK" w:eastAsia="方正小标宋_GBK" w:cs="方正小标宋_GBK"/>
          <w:b w:val="0"/>
          <w:bCs w:val="0"/>
          <w:sz w:val="44"/>
          <w:szCs w:val="44"/>
          <w:highlight w:val="none"/>
        </w:rPr>
        <w:t>第</w:t>
      </w:r>
      <w:r>
        <w:rPr>
          <w:rStyle w:val="25"/>
          <w:rFonts w:hint="eastAsia" w:ascii="方正小标宋_GBK" w:hAnsi="方正小标宋_GBK" w:eastAsia="方正小标宋_GBK" w:cs="方正小标宋_GBK"/>
          <w:b w:val="0"/>
          <w:bCs w:val="0"/>
          <w:highlight w:val="none"/>
        </w:rPr>
        <w:t>四部分 附件</w:t>
      </w:r>
      <w:bookmarkEnd w:id="58"/>
    </w:p>
    <w:p>
      <w:pPr>
        <w:keepNext w:val="0"/>
        <w:keepLines w:val="0"/>
        <w:pageBreakBefore w:val="0"/>
        <w:kinsoku/>
        <w:wordWrap/>
        <w:overflowPunct/>
        <w:topLinePunct w:val="0"/>
        <w:bidi w:val="0"/>
        <w:spacing w:line="600" w:lineRule="exact"/>
        <w:jc w:val="left"/>
        <w:textAlignment w:val="auto"/>
        <w:outlineLvl w:val="0"/>
        <w:rPr>
          <w:rFonts w:ascii="方正小标宋简体" w:hAnsi="方正小标宋简体" w:eastAsia="方正小标宋简体" w:cs="方正小标宋简体"/>
          <w:sz w:val="44"/>
          <w:szCs w:val="44"/>
          <w:highlight w:val="none"/>
        </w:rPr>
      </w:pPr>
      <w:r>
        <w:rPr>
          <w:rFonts w:hint="eastAsia" w:ascii="黑体" w:hAnsi="黑体" w:eastAsia="黑体" w:cs="黑体"/>
          <w:sz w:val="32"/>
          <w:szCs w:val="32"/>
          <w:highlight w:val="none"/>
        </w:rPr>
        <w:t>附件</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kern w:val="0"/>
          <w:sz w:val="44"/>
          <w:szCs w:val="44"/>
          <w:highlight w:val="none"/>
          <w:lang w:eastAsia="zh-CN"/>
        </w:rPr>
      </w:pPr>
      <w:r>
        <w:rPr>
          <w:rFonts w:hint="eastAsia" w:ascii="方正小标宋_GBK" w:hAnsi="方正小标宋_GBK" w:eastAsia="方正小标宋_GBK" w:cs="方正小标宋_GBK"/>
          <w:kern w:val="0"/>
          <w:sz w:val="44"/>
          <w:szCs w:val="44"/>
          <w:highlight w:val="none"/>
        </w:rPr>
        <w:t>2021年</w:t>
      </w:r>
      <w:r>
        <w:rPr>
          <w:rFonts w:hint="eastAsia" w:ascii="方正小标宋_GBK" w:hAnsi="方正小标宋_GBK" w:eastAsia="方正小标宋_GBK" w:cs="方正小标宋_GBK"/>
          <w:kern w:val="0"/>
          <w:sz w:val="44"/>
          <w:szCs w:val="44"/>
          <w:highlight w:val="none"/>
          <w:lang w:eastAsia="zh-CN"/>
        </w:rPr>
        <w:t>四川峨眉山经济开发区管理委会</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kern w:val="0"/>
          <w:sz w:val="44"/>
          <w:szCs w:val="44"/>
          <w:highlight w:val="none"/>
          <w:lang w:val="zh-CN"/>
        </w:rPr>
      </w:pPr>
      <w:r>
        <w:rPr>
          <w:rFonts w:hint="eastAsia" w:ascii="方正小标宋_GBK" w:hAnsi="方正小标宋_GBK" w:eastAsia="方正小标宋_GBK" w:cs="方正小标宋_GBK"/>
          <w:kern w:val="0"/>
          <w:sz w:val="44"/>
          <w:szCs w:val="44"/>
          <w:highlight w:val="none"/>
        </w:rPr>
        <w:t>部门整体绩效评价报告</w:t>
      </w:r>
    </w:p>
    <w:p>
      <w:pPr>
        <w:keepNext w:val="0"/>
        <w:keepLines w:val="0"/>
        <w:pageBreakBefore w:val="0"/>
        <w:widowControl/>
        <w:kinsoku/>
        <w:wordWrap/>
        <w:overflowPunct/>
        <w:topLinePunct w:val="0"/>
        <w:bidi w:val="0"/>
        <w:spacing w:line="600" w:lineRule="exact"/>
        <w:ind w:firstLine="640" w:firstLineChars="200"/>
        <w:contextualSpacing/>
        <w:jc w:val="center"/>
        <w:textAlignment w:val="auto"/>
        <w:rPr>
          <w:rFonts w:hint="eastAsia" w:ascii="楷体_GB2312" w:hAnsi="楷体_GB2312" w:eastAsia="楷体_GB2312" w:cs="楷体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（报告范围包括机关和下属单位）</w:t>
      </w:r>
    </w:p>
    <w:p>
      <w:pPr>
        <w:keepNext w:val="0"/>
        <w:keepLines w:val="0"/>
        <w:pageBreakBefore w:val="0"/>
        <w:widowControl/>
        <w:kinsoku/>
        <w:wordWrap/>
        <w:overflowPunct/>
        <w:topLinePunct w:val="0"/>
        <w:bidi w:val="0"/>
        <w:adjustRightInd w:val="0"/>
        <w:snapToGrid w:val="0"/>
        <w:spacing w:line="600" w:lineRule="exact"/>
        <w:ind w:firstLine="480" w:firstLineChars="200"/>
        <w:contextualSpacing/>
        <w:jc w:val="left"/>
        <w:textAlignment w:val="auto"/>
        <w:rPr>
          <w:rFonts w:ascii="黑体" w:hAnsi="宋体" w:eastAsia="黑体" w:cs="宋体"/>
          <w:kern w:val="0"/>
          <w:sz w:val="24"/>
          <w:szCs w:val="32"/>
          <w:highlight w:val="none"/>
          <w:shd w:val="clear" w:color="auto" w:fill="FFFFFF"/>
        </w:rPr>
      </w:pP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highlight w:val="none"/>
          <w:shd w:val="clear" w:color="auto" w:fill="FFFFFF"/>
          <w:lang w:val="zh-CN"/>
        </w:rPr>
      </w:pPr>
      <w:r>
        <w:rPr>
          <w:rFonts w:hint="eastAsia" w:ascii="黑体" w:hAnsi="宋体" w:eastAsia="黑体" w:cs="宋体"/>
          <w:kern w:val="0"/>
          <w:sz w:val="32"/>
          <w:szCs w:val="32"/>
          <w:highlight w:val="none"/>
          <w:shd w:val="clear" w:color="auto" w:fill="FFFFFF"/>
        </w:rPr>
        <w:t>一、</w:t>
      </w:r>
      <w:r>
        <w:rPr>
          <w:rFonts w:hint="eastAsia" w:ascii="黑体" w:hAnsi="宋体" w:eastAsia="黑体" w:cs="宋体"/>
          <w:kern w:val="0"/>
          <w:sz w:val="32"/>
          <w:szCs w:val="32"/>
          <w:highlight w:val="none"/>
          <w:shd w:val="clear" w:color="auto" w:fill="FFFFFF"/>
          <w:lang w:val="zh-CN"/>
        </w:rPr>
        <w:t>部门（单位）概况</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（一）机构组成</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我单位下属二级预算单位0个，其中行政单位0个，参照公务员法管理的事业单位0个，其他事业单位0个。</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en-US" w:eastAsia="zh-CN"/>
        </w:rPr>
        <w:t>下设股室包含：办公室、党群工作部、安全生产股、环境保护股、经济发展股五个内设科室。</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机构职能</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1、贯彻落实国家、省、乐山市和峨眉山市经济与社会发展的方针、政策、法规，研究经济开发区发展目标任务及建设发展的重大问题。</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2、组织编制经济开发区总体规划、控制性详细规划、安全生产整体评价、规划环境影响评价和年度工作计划，经批准后组织实施；负责经济开发区企业经济运行统计分析工作。</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3、统筹协调经济开发区投资和重点项目建设。</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4、负责经济开发区企业要素保障和协调服务工作，配合相关部门做好经济开发区科技创新、招商引资、绿色发展、知识产权保护、工业高质量发展及民营经济发展等工作。</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5、协调指导经济开发区企业开展品牌创建、项目申报工作。</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6、负责建立经济开发区应急处置机制，制定完善应急预案。负责职责范围内的安全生产和职业健康、生态环境保护等工作；负责园区企业不稳定因素化解和稳控、法制园区建设等工作。</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en-US" w:eastAsia="zh-CN"/>
        </w:rPr>
        <w:t>7、承担乐山市政府、峨眉山市政府交办的其他事项</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（三）人员概况</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en-US" w:eastAsia="zh-CN"/>
        </w:rPr>
        <w:t>2021年我单位在职人员17人。</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highlight w:val="none"/>
          <w:shd w:val="clear" w:color="auto" w:fill="FFFFFF"/>
        </w:rPr>
      </w:pPr>
      <w:r>
        <w:rPr>
          <w:rFonts w:hint="eastAsia" w:ascii="黑体" w:hAnsi="宋体" w:eastAsia="黑体" w:cs="宋体"/>
          <w:kern w:val="0"/>
          <w:sz w:val="32"/>
          <w:szCs w:val="32"/>
          <w:highlight w:val="none"/>
          <w:shd w:val="clear" w:color="auto" w:fill="FFFFFF"/>
        </w:rPr>
        <w:t>二、部门财政资金收支情况</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（一）部门财政资金收入情况</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en-US" w:eastAsia="zh-CN"/>
        </w:rPr>
        <w:t>2021年财政拨款收入合计552.11万元。其中一般公共预算财政拨款收入407.03万元；政府性基金预算财政拨款收入145.08万元。</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（二）部门财政资金支出情况</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2021年财政拨款支出合计6117.44万元。其中基本支出315.62万元；项目支出5801.82万元。</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en-US" w:eastAsia="zh-CN"/>
        </w:rPr>
        <w:t>支出大于收入原因为：2021年财政下指标归还财政借款共计5565万元。</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黑体" w:hAnsi="宋体" w:eastAsia="黑体" w:cs="宋体"/>
          <w:kern w:val="0"/>
          <w:sz w:val="32"/>
          <w:szCs w:val="32"/>
          <w:highlight w:val="none"/>
          <w:shd w:val="clear" w:color="auto" w:fill="FFFFFF"/>
        </w:rPr>
      </w:pPr>
      <w:r>
        <w:rPr>
          <w:rFonts w:hint="eastAsia" w:ascii="黑体" w:hAnsi="宋体" w:eastAsia="黑体" w:cs="宋体"/>
          <w:kern w:val="0"/>
          <w:sz w:val="32"/>
          <w:szCs w:val="32"/>
          <w:highlight w:val="none"/>
          <w:shd w:val="clear" w:color="auto" w:fill="FFFFFF"/>
        </w:rPr>
        <w:t>三、部门整体预算绩效管理情况</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（一）部门预算项目绩效管理</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1、绩效目标制定</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根据预算绩效管理要求，本部门（单位）在年初预算编制阶段，对</w:t>
      </w:r>
      <w:r>
        <w:rPr>
          <w:rFonts w:hint="eastAsia" w:ascii="仿宋_GB2312" w:hAnsi="仿宋" w:eastAsia="仿宋_GB2312"/>
          <w:sz w:val="32"/>
          <w:szCs w:val="32"/>
          <w:highlight w:val="none"/>
          <w:lang w:val="en-US" w:eastAsia="zh-CN"/>
        </w:rPr>
        <w:t>6个</w:t>
      </w:r>
      <w:r>
        <w:rPr>
          <w:rFonts w:hint="eastAsia" w:ascii="仿宋_GB2312" w:hAnsi="仿宋" w:eastAsia="仿宋_GB2312"/>
          <w:sz w:val="32"/>
          <w:szCs w:val="32"/>
          <w:highlight w:val="none"/>
          <w:lang w:val="zh-CN" w:eastAsia="zh-CN"/>
        </w:rPr>
        <w:t>项目编制了绩效目标，年终执行完毕后，对</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lang w:val="zh-CN" w:eastAsia="zh-CN"/>
        </w:rPr>
        <w:t>个项目开展了绩效目标完成情况自评。</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6个项目共计291.05万元（涉及创客梦工厂运营经费170万元；信访维稳经费30万元；宇强电机组租金25.05万元；安全生产及环境保护等日常管理应急费用26万元；园区基础设施维护、绿化维护等费用20万元；招商引资项目落地相关费用20万元）。绩效目标的制定均按照量指标、质量指标、园区企业满意度、持续性发展等指标进行细化量化。</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2、绩效目标实现</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人员类：完成17个在职人员以及2名聘用人员工资社保支付工作，保障职工的基本权利。</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运转类：保障了经开区2021年正常运行，保障办公区水电费等日常支出；保障园区企业正常运转、维护园区环境绿化，定期走访园区企业，排查企业经营情况，园区企业满意度较高。</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3、支出控制与绩效监控处置情况</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 xml:space="preserve"> 我单位支出严格执行国家财经纪律、财务制度和相关开支标准和范围。期中，对项目执行情况进行监控管理。我委2021年项目执行率较低，主要原因为资金紧缺，我委缩减开支。导致与年初预算相比执行率较低。</w:t>
      </w:r>
    </w:p>
    <w:p>
      <w:pPr>
        <w:snapToGrid w:val="0"/>
        <w:spacing w:line="580" w:lineRule="exact"/>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我委基本支出的范围和主要用途包括人员经费和日常公用经费，2021年基本支出决算数为315.61万元，其中人员经费272.03万元，日常公用经费43.58万元。</w:t>
      </w:r>
    </w:p>
    <w:p>
      <w:pPr>
        <w:snapToGrid w:val="0"/>
        <w:spacing w:line="58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机关厉行节约，2021年无因公出国出境，无公务用车维护费，无公务接待费，无会议费培训费。</w:t>
      </w:r>
    </w:p>
    <w:p>
      <w:pPr>
        <w:snapToGrid w:val="0"/>
        <w:spacing w:line="58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4、预算完成情况及违规记录情况</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我单位</w:t>
      </w:r>
      <w:r>
        <w:rPr>
          <w:rFonts w:hint="eastAsia" w:ascii="仿宋_GB2312" w:hAnsi="仿宋" w:eastAsia="仿宋_GB2312"/>
          <w:sz w:val="32"/>
          <w:szCs w:val="32"/>
          <w:highlight w:val="none"/>
          <w:lang w:val="en-US" w:eastAsia="zh-CN"/>
        </w:rPr>
        <w:t>2021年预算完成情况良好。保障了园区正常运转，维护了园区稳定，为企业的发展提供了稳定的环境。因财政资金紧张，项目预算执行率较低。其中创客梦工厂运行经费预算执行率为39.87%，宇强电机组租金执行率为100%，园区基础设施、绿化、环境整治等维护费执行率为5.4%，招商引资协调项目落地业务费执行率为22.65%，园区维稳费执行率为65.06%，安全环保日常管理应急经费执行率为31.42%。</w:t>
      </w:r>
      <w:r>
        <w:rPr>
          <w:rFonts w:hint="eastAsia" w:ascii="仿宋_GB2312" w:hAnsi="仿宋" w:eastAsia="仿宋_GB2312"/>
          <w:sz w:val="32"/>
          <w:szCs w:val="32"/>
          <w:highlight w:val="none"/>
          <w:lang w:val="zh-CN" w:eastAsia="zh-CN"/>
        </w:rPr>
        <w:t>按照文件精神要求，结合年初工作计划及财政预算，我</w:t>
      </w:r>
      <w:r>
        <w:rPr>
          <w:rFonts w:hint="eastAsia" w:ascii="仿宋_GB2312" w:hAnsi="仿宋" w:eastAsia="仿宋_GB2312"/>
          <w:sz w:val="32"/>
          <w:szCs w:val="32"/>
          <w:highlight w:val="none"/>
          <w:lang w:val="en-US" w:eastAsia="zh-CN"/>
        </w:rPr>
        <w:t>委</w:t>
      </w:r>
      <w:r>
        <w:rPr>
          <w:rFonts w:hint="eastAsia" w:ascii="仿宋_GB2312" w:hAnsi="仿宋" w:eastAsia="仿宋_GB2312"/>
          <w:sz w:val="32"/>
          <w:szCs w:val="32"/>
          <w:highlight w:val="none"/>
          <w:lang w:val="zh-CN" w:eastAsia="zh-CN"/>
        </w:rPr>
        <w:t>着力加强绩效管理自评工作，通过自查、领导小组督查、文件资料检查等方式加强对支出绩效，特别是资金量较大的财政支出的评价工作。经自查，我</w:t>
      </w:r>
      <w:r>
        <w:rPr>
          <w:rFonts w:hint="eastAsia" w:ascii="仿宋_GB2312" w:hAnsi="仿宋" w:eastAsia="仿宋_GB2312"/>
          <w:sz w:val="32"/>
          <w:szCs w:val="32"/>
          <w:highlight w:val="none"/>
          <w:lang w:val="en-US" w:eastAsia="zh-CN"/>
        </w:rPr>
        <w:t>委</w:t>
      </w:r>
      <w:r>
        <w:rPr>
          <w:rFonts w:hint="eastAsia" w:ascii="仿宋_GB2312" w:hAnsi="仿宋" w:eastAsia="仿宋_GB2312"/>
          <w:sz w:val="32"/>
          <w:szCs w:val="32"/>
          <w:highlight w:val="none"/>
          <w:lang w:val="zh-CN" w:eastAsia="zh-CN"/>
        </w:rPr>
        <w:t>在财政资金的管理使用中严格按照财政资金拨付流程和审批程序进行，不存在违法违纪行为。</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（二）结果应用情况</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根据预算执行率，对项目支出进行调整，及时对接财政，保障年初预算绩效目标顺利完成。对于出现的问题进行及时整改。</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自评质量</w:t>
      </w:r>
    </w:p>
    <w:p>
      <w:pPr>
        <w:snapToGrid w:val="0"/>
        <w:spacing w:line="58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绩效自评根据项目支出实际情况，以及绩效目标完成情况开展。自评内容有待于进一步细化。</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四、评价结论及建议</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（一）评价结论。</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各项目基本完成年初预算绩效目标。预算支出中不存在违法违纪行为，按要求完成了基础工作制度，做到年初有计划、年中有回顾、年终有总结，会计按月及时记账并装订账簿，按时并保质保量的完成年终部门决算工作、财政资金的对账工作、资产的登记、以及日常的报表及资料的报送工作。本部门还自行组织了1个项目支出绩效评价，从评价情况来看基本完成年初计划。</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存在问题。</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en-US" w:eastAsia="zh-CN"/>
        </w:rPr>
        <w:t>业务股室对绩效评价等知识培训了解不够，预算不够细化</w:t>
      </w:r>
      <w:r>
        <w:rPr>
          <w:rFonts w:hint="eastAsia" w:ascii="仿宋_GB2312" w:hAnsi="仿宋" w:eastAsia="仿宋_GB2312"/>
          <w:sz w:val="32"/>
          <w:szCs w:val="32"/>
          <w:highlight w:val="none"/>
          <w:lang w:val="zh-CN" w:eastAsia="zh-CN"/>
        </w:rPr>
        <w:t>。</w:t>
      </w:r>
    </w:p>
    <w:p>
      <w:pPr>
        <w:snapToGrid w:val="0"/>
        <w:spacing w:line="580" w:lineRule="exact"/>
        <w:ind w:firstLine="640" w:firstLineChars="200"/>
        <w:rPr>
          <w:rFonts w:hint="eastAsia" w:ascii="仿宋_GB2312" w:hAnsi="仿宋" w:eastAsia="仿宋_GB2312"/>
          <w:sz w:val="32"/>
          <w:szCs w:val="32"/>
          <w:highlight w:val="none"/>
          <w:lang w:val="zh-CN" w:eastAsia="zh-CN"/>
        </w:rPr>
      </w:pPr>
      <w:r>
        <w:rPr>
          <w:rFonts w:hint="eastAsia" w:ascii="仿宋_GB2312" w:hAnsi="仿宋" w:eastAsia="仿宋_GB2312"/>
          <w:sz w:val="32"/>
          <w:szCs w:val="32"/>
          <w:highlight w:val="none"/>
          <w:lang w:val="zh-CN" w:eastAsia="zh-CN"/>
        </w:rPr>
        <w:t>（三）改进建议。</w:t>
      </w:r>
    </w:p>
    <w:p>
      <w:pPr>
        <w:snapToGrid w:val="0"/>
        <w:spacing w:line="580" w:lineRule="exact"/>
        <w:ind w:firstLine="640" w:firstLineChars="200"/>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加强业务股室及财务人员共同学习绩效管理相关文件，加强目标绩效的精准性。</w:t>
      </w:r>
    </w:p>
    <w:p>
      <w:pPr>
        <w:snapToGrid w:val="0"/>
        <w:spacing w:line="580" w:lineRule="exact"/>
        <w:ind w:firstLine="640" w:firstLineChars="200"/>
        <w:rPr>
          <w:rFonts w:hint="eastAsia" w:ascii="仿宋_GB2312" w:hAnsi="仿宋" w:eastAsia="仿宋_GB2312"/>
          <w:sz w:val="32"/>
          <w:szCs w:val="32"/>
          <w:highlight w:val="none"/>
          <w:lang w:val="zh-CN" w:eastAsia="zh-CN"/>
        </w:rPr>
      </w:pPr>
    </w:p>
    <w:p>
      <w:pPr>
        <w:snapToGrid w:val="0"/>
        <w:spacing w:line="580" w:lineRule="exact"/>
        <w:ind w:firstLine="640" w:firstLineChars="200"/>
        <w:rPr>
          <w:rFonts w:hint="eastAsia" w:ascii="仿宋_GB2312" w:hAnsi="仿宋" w:eastAsia="仿宋_GB2312"/>
          <w:sz w:val="32"/>
          <w:szCs w:val="32"/>
          <w:highlight w:val="none"/>
          <w:lang w:val="zh-CN" w:eastAsia="zh-CN"/>
        </w:rPr>
      </w:pPr>
    </w:p>
    <w:p>
      <w:pPr>
        <w:snapToGrid w:val="0"/>
        <w:spacing w:line="580" w:lineRule="exact"/>
        <w:ind w:firstLine="640" w:firstLineChars="200"/>
        <w:rPr>
          <w:rFonts w:hint="eastAsia" w:ascii="仿宋_GB2312" w:hAnsi="仿宋" w:eastAsia="仿宋_GB2312"/>
          <w:sz w:val="32"/>
          <w:szCs w:val="32"/>
          <w:highlight w:val="none"/>
          <w:lang w:val="zh-CN" w:eastAsia="zh-CN"/>
        </w:rPr>
      </w:pPr>
    </w:p>
    <w:p>
      <w:pPr>
        <w:snapToGrid w:val="0"/>
        <w:spacing w:line="580" w:lineRule="exact"/>
        <w:ind w:firstLine="640" w:firstLineChars="200"/>
        <w:rPr>
          <w:rFonts w:hint="eastAsia" w:ascii="仿宋_GB2312" w:hAnsi="仿宋" w:eastAsia="仿宋_GB2312"/>
          <w:sz w:val="32"/>
          <w:szCs w:val="32"/>
          <w:highlight w:val="none"/>
          <w:lang w:val="zh-CN" w:eastAsia="zh-CN"/>
        </w:rPr>
      </w:pPr>
    </w:p>
    <w:p>
      <w:pPr>
        <w:snapToGrid w:val="0"/>
        <w:spacing w:line="580" w:lineRule="exact"/>
        <w:ind w:firstLine="640" w:firstLineChars="200"/>
        <w:rPr>
          <w:rFonts w:hint="eastAsia" w:ascii="仿宋_GB2312" w:hAnsi="仿宋" w:eastAsia="仿宋_GB2312"/>
          <w:sz w:val="32"/>
          <w:szCs w:val="32"/>
          <w:highlight w:val="none"/>
          <w:lang w:val="zh-CN" w:eastAsia="zh-CN"/>
        </w:rPr>
      </w:pPr>
    </w:p>
    <w:p>
      <w:pPr>
        <w:snapToGrid w:val="0"/>
        <w:spacing w:line="580" w:lineRule="exact"/>
        <w:ind w:firstLine="640" w:firstLineChars="200"/>
        <w:rPr>
          <w:rFonts w:hint="eastAsia" w:ascii="仿宋_GB2312" w:hAnsi="仿宋" w:eastAsia="仿宋_GB2312"/>
          <w:sz w:val="32"/>
          <w:szCs w:val="32"/>
          <w:highlight w:val="none"/>
          <w:lang w:val="zh-CN" w:eastAsia="zh-CN"/>
        </w:rPr>
      </w:pPr>
    </w:p>
    <w:p>
      <w:pPr>
        <w:snapToGrid w:val="0"/>
        <w:spacing w:line="580" w:lineRule="exact"/>
        <w:ind w:firstLine="640" w:firstLineChars="200"/>
        <w:rPr>
          <w:rFonts w:hint="eastAsia" w:ascii="仿宋_GB2312" w:hAnsi="仿宋" w:eastAsia="仿宋_GB2312"/>
          <w:sz w:val="32"/>
          <w:szCs w:val="32"/>
          <w:highlight w:val="none"/>
          <w:lang w:val="zh-CN" w:eastAsia="zh-CN"/>
        </w:rPr>
      </w:pP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highlight w:val="none"/>
          <w:shd w:val="clear" w:color="auto" w:fill="FFFFFF"/>
          <w:lang w:val="zh-CN"/>
        </w:rPr>
      </w:pP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highlight w:val="none"/>
          <w:shd w:val="clear" w:color="auto" w:fill="FFFFFF"/>
          <w:lang w:val="zh-CN"/>
        </w:rPr>
      </w:pP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highlight w:val="none"/>
          <w:shd w:val="clear" w:color="auto" w:fill="FFFFFF"/>
          <w:lang w:val="zh-CN"/>
        </w:rPr>
      </w:pP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highlight w:val="none"/>
          <w:shd w:val="clear" w:color="auto" w:fill="FFFFFF"/>
          <w:lang w:val="zh-CN"/>
        </w:rPr>
      </w:pPr>
      <w:r>
        <w:rPr>
          <w:rFonts w:hint="eastAsia" w:ascii="黑体" w:hAnsi="黑体" w:eastAsia="黑体" w:cs="黑体"/>
          <w:sz w:val="32"/>
          <w:szCs w:val="32"/>
          <w:highlight w:val="none"/>
          <w:shd w:val="clear" w:color="auto" w:fill="FFFFFF"/>
          <w:lang w:val="zh-CN"/>
        </w:rPr>
        <w:t>附件</w:t>
      </w:r>
    </w:p>
    <w:p>
      <w:pPr>
        <w:pStyle w:val="6"/>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highlight w:val="none"/>
          <w:shd w:val="clear" w:color="auto" w:fill="FFFFFF"/>
          <w:lang w:val="zh-CN"/>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highlight w:val="none"/>
          <w:lang w:val="zh-CN"/>
        </w:rPr>
      </w:pPr>
      <w:r>
        <w:rPr>
          <w:rFonts w:hint="eastAsia" w:ascii="方正小标宋_GBK" w:hAnsi="方正小标宋_GBK" w:eastAsia="方正小标宋_GBK" w:cs="方正小标宋_GBK"/>
          <w:sz w:val="44"/>
          <w:szCs w:val="44"/>
          <w:highlight w:val="none"/>
        </w:rPr>
        <w:t>2021年</w:t>
      </w:r>
      <w:r>
        <w:rPr>
          <w:rFonts w:hint="eastAsia" w:ascii="方正小标宋_GBK" w:hAnsi="方正小标宋_GBK" w:eastAsia="方正小标宋_GBK" w:cs="方正小标宋_GBK"/>
          <w:sz w:val="44"/>
          <w:szCs w:val="44"/>
          <w:highlight w:val="none"/>
          <w:lang w:val="zh-CN"/>
        </w:rPr>
        <w:t>专项预算项目支出绩效自评报告</w:t>
      </w:r>
    </w:p>
    <w:p>
      <w:pPr>
        <w:keepNext w:val="0"/>
        <w:keepLines w:val="0"/>
        <w:pageBreakBefore w:val="0"/>
        <w:kinsoku/>
        <w:wordWrap/>
        <w:overflowPunct/>
        <w:topLinePunct w:val="0"/>
        <w:bidi w:val="0"/>
        <w:spacing w:line="600" w:lineRule="exact"/>
        <w:ind w:firstLine="883"/>
        <w:jc w:val="center"/>
        <w:textAlignment w:val="auto"/>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（创客梦工厂项目）</w:t>
      </w:r>
    </w:p>
    <w:p>
      <w:pPr>
        <w:keepNext w:val="0"/>
        <w:keepLines w:val="0"/>
        <w:pageBreakBefore w:val="0"/>
        <w:kinsoku/>
        <w:wordWrap/>
        <w:overflowPunct/>
        <w:topLinePunct w:val="0"/>
        <w:bidi w:val="0"/>
        <w:spacing w:line="600" w:lineRule="exact"/>
        <w:ind w:firstLine="640"/>
        <w:jc w:val="center"/>
        <w:textAlignment w:val="auto"/>
        <w:rPr>
          <w:rFonts w:ascii="宋体" w:hAnsi="宋体"/>
          <w:sz w:val="32"/>
          <w:szCs w:val="32"/>
          <w:highlight w:val="none"/>
          <w:lang w:val="zh-CN"/>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highlight w:val="none"/>
          <w:lang w:val="zh-CN"/>
        </w:rPr>
      </w:pPr>
      <w:r>
        <w:rPr>
          <w:rFonts w:hint="eastAsia" w:ascii="楷体_GB2312" w:hAnsi="宋体" w:eastAsia="楷体_GB2312"/>
          <w:b w:val="0"/>
          <w:bCs/>
          <w:sz w:val="32"/>
          <w:szCs w:val="32"/>
          <w:highlight w:val="none"/>
          <w:lang w:val="zh-CN"/>
        </w:rPr>
        <w:t>（一）项目基本情况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1．说明项目主管部门（单位）在该项目管理中的职能。</w:t>
      </w:r>
    </w:p>
    <w:p>
      <w:pPr>
        <w:adjustRightInd w:val="0"/>
        <w:snapToGrid w:val="0"/>
        <w:spacing w:line="600" w:lineRule="exact"/>
        <w:ind w:left="319" w:leftChars="152" w:firstLine="774" w:firstLineChars="242"/>
        <w:rPr>
          <w:highlight w:val="none"/>
          <w:lang w:val="zh-CN"/>
        </w:rPr>
      </w:pPr>
      <w:r>
        <w:rPr>
          <w:rFonts w:hint="eastAsia" w:ascii="仿宋_GB2312" w:hAnsi="宋体" w:eastAsia="仿宋_GB2312"/>
          <w:sz w:val="32"/>
          <w:szCs w:val="32"/>
          <w:highlight w:val="none"/>
          <w:lang w:val="zh-CN"/>
        </w:rPr>
        <w:t>我单位在该项目管理中的职能是维护维持创客梦工厂全年的正常运行。</w:t>
      </w:r>
    </w:p>
    <w:p>
      <w:pPr>
        <w:keepNext w:val="0"/>
        <w:keepLines w:val="0"/>
        <w:pageBreakBefore w:val="0"/>
        <w:numPr>
          <w:ilvl w:val="0"/>
          <w:numId w:val="3"/>
        </w:numPr>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项目立项、资金申报的依据。</w:t>
      </w:r>
    </w:p>
    <w:p>
      <w:pPr>
        <w:adjustRightInd w:val="0"/>
        <w:snapToGrid w:val="0"/>
        <w:spacing w:line="600" w:lineRule="exact"/>
        <w:ind w:left="319" w:leftChars="152" w:firstLine="774" w:firstLineChars="242"/>
        <w:rPr>
          <w:lang w:val="zh-CN"/>
        </w:rPr>
      </w:pPr>
      <w:r>
        <w:rPr>
          <w:rFonts w:hint="eastAsia" w:ascii="仿宋_GB2312" w:hAnsi="宋体" w:eastAsia="仿宋_GB2312"/>
          <w:sz w:val="32"/>
          <w:szCs w:val="32"/>
          <w:highlight w:val="none"/>
          <w:lang w:val="zh-CN"/>
        </w:rPr>
        <w:t>峨眉山市创客梦工厂是峨眉山市委、政府为落实“</w:t>
      </w:r>
      <w:r>
        <w:rPr>
          <w:rFonts w:hint="eastAsia" w:ascii="仿宋_GB2312" w:hAnsi="宋体" w:eastAsia="仿宋_GB2312"/>
          <w:sz w:val="32"/>
          <w:szCs w:val="32"/>
          <w:lang w:val="zh-CN"/>
        </w:rPr>
        <w:t>大众创业，万众创新”国家战略，适应经济发展新常态，打造经济发展新引擎，利用闲置资源打造的一个“大众创业、万众创新”的重要阵地和创新创业人才的聚集高地。2015年9月投运以来，园区始终坚持“政府引导、企业主体、市场化运营”的管理思路，将运营管理经费列入财政预算，推动我市“双创”生态圈以“创客梦工厂”为核心悄然成形。该项目符合相关资金管理办法。</w:t>
      </w:r>
    </w:p>
    <w:p>
      <w:pPr>
        <w:keepNext w:val="0"/>
        <w:keepLines w:val="0"/>
        <w:pageBreakBefore w:val="0"/>
        <w:numPr>
          <w:ilvl w:val="0"/>
          <w:numId w:val="3"/>
        </w:numPr>
        <w:kinsoku/>
        <w:wordWrap/>
        <w:overflowPunct/>
        <w:topLinePunct w:val="0"/>
        <w:bidi w:val="0"/>
        <w:adjustRightInd w:val="0"/>
        <w:snapToGrid w:val="0"/>
        <w:spacing w:line="600" w:lineRule="exact"/>
        <w:ind w:left="0" w:leftChars="0" w:firstLine="720" w:firstLineChars="0"/>
        <w:textAlignment w:val="auto"/>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资金管理办法制定情况，资金支持具体项目的条件、范围与支持方式概况。</w:t>
      </w:r>
    </w:p>
    <w:p>
      <w:pPr>
        <w:adjustRightInd w:val="0"/>
        <w:snapToGrid w:val="0"/>
        <w:spacing w:line="600" w:lineRule="exact"/>
        <w:ind w:firstLine="720"/>
        <w:rPr>
          <w:lang w:val="zh-CN"/>
        </w:rPr>
      </w:pPr>
      <w:r>
        <w:rPr>
          <w:rFonts w:hint="eastAsia" w:ascii="仿宋_GB2312" w:hAnsi="宋体" w:eastAsia="仿宋_GB2312"/>
          <w:sz w:val="32"/>
          <w:szCs w:val="32"/>
          <w:highlight w:val="none"/>
          <w:lang w:val="zh-CN"/>
        </w:rPr>
        <w:t>创客梦工厂相关财务管理制度健全，我单位严格</w:t>
      </w:r>
      <w:r>
        <w:rPr>
          <w:rFonts w:hint="eastAsia" w:ascii="仿宋_GB2312" w:hAnsi="宋体" w:eastAsia="仿宋_GB2312"/>
          <w:sz w:val="32"/>
          <w:szCs w:val="32"/>
          <w:lang w:val="zh-CN"/>
        </w:rPr>
        <w:t>执行财务管理制度。资金支持创客梦的范围，围绕创客梦园区日常管理运行。</w:t>
      </w:r>
    </w:p>
    <w:p>
      <w:pPr>
        <w:keepNext w:val="0"/>
        <w:keepLines w:val="0"/>
        <w:pageBreakBefore w:val="0"/>
        <w:numPr>
          <w:ilvl w:val="0"/>
          <w:numId w:val="3"/>
        </w:numPr>
        <w:kinsoku/>
        <w:wordWrap/>
        <w:overflowPunct/>
        <w:topLinePunct w:val="0"/>
        <w:bidi w:val="0"/>
        <w:adjustRightInd w:val="0"/>
        <w:snapToGrid w:val="0"/>
        <w:spacing w:line="600" w:lineRule="exact"/>
        <w:ind w:left="0" w:leftChars="0" w:firstLine="720" w:firstLineChars="0"/>
        <w:textAlignment w:val="auto"/>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资金分配的原则及考虑因素。</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highlight w:val="none"/>
          <w:lang w:val="zh-CN"/>
        </w:rPr>
        <w:t>资金分配按照年初预算进行合理分配。具体涉及创客</w:t>
      </w:r>
      <w:r>
        <w:rPr>
          <w:rFonts w:hint="eastAsia" w:ascii="仿宋_GB2312" w:hAnsi="宋体" w:eastAsia="仿宋_GB2312"/>
          <w:sz w:val="32"/>
          <w:szCs w:val="32"/>
          <w:lang w:val="zh-CN"/>
        </w:rPr>
        <w:t>梦运行经费、创客梦全年水电费、电梯年检、园区除草等相关费用。</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highlight w:val="none"/>
          <w:lang w:val="zh-CN"/>
        </w:rPr>
      </w:pPr>
      <w:r>
        <w:rPr>
          <w:rFonts w:hint="eastAsia" w:ascii="楷体_GB2312" w:hAnsi="宋体" w:eastAsia="楷体_GB2312"/>
          <w:b w:val="0"/>
          <w:bCs/>
          <w:sz w:val="32"/>
          <w:szCs w:val="32"/>
          <w:highlight w:val="none"/>
          <w:lang w:val="zh-CN"/>
        </w:rPr>
        <w:t>（二）项目绩效目标</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1．项目主要内容。</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为切实推进创客梦工厂工作，打造国家级创新创业园区，四川峨眉山经济开发区管理委员会按照政府引导、市场主导的原则，通过购买服务的方式聘请峨眉山市智创菁汇孵化器管理有限公司作为创客梦工厂的运营管理机构，提供日常管理、招商等服务。</w:t>
      </w:r>
    </w:p>
    <w:p>
      <w:pPr>
        <w:keepNext w:val="0"/>
        <w:keepLines w:val="0"/>
        <w:pageBreakBefore w:val="0"/>
        <w:numPr>
          <w:ilvl w:val="0"/>
          <w:numId w:val="4"/>
        </w:numPr>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项目应实现的具体绩效目标，包括目标的量化、细化情况以及项目实施进度计划等。</w:t>
      </w:r>
    </w:p>
    <w:p>
      <w:pPr>
        <w:adjustRightInd w:val="0"/>
        <w:snapToGrid w:val="0"/>
        <w:spacing w:line="600" w:lineRule="exact"/>
        <w:ind w:firstLine="720"/>
        <w:rPr>
          <w:rFonts w:hint="eastAsia" w:ascii="楷体_GB2312" w:hAnsi="宋体" w:eastAsia="楷体_GB2312"/>
          <w:bCs/>
          <w:highlight w:val="none"/>
          <w:lang w:val="zh-CN"/>
        </w:rPr>
      </w:pP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年预计</w:t>
      </w:r>
      <w:r>
        <w:rPr>
          <w:rFonts w:hint="eastAsia" w:ascii="仿宋_GB2312" w:hAnsi="宋体" w:eastAsia="仿宋_GB2312"/>
          <w:sz w:val="32"/>
          <w:szCs w:val="32"/>
          <w:highlight w:val="none"/>
          <w:lang w:val="zh-CN"/>
        </w:rPr>
        <w:t>对外交流（考察交流）省内3次、省外1次，包含科研院所、产业园区、行业企业等。园区运营</w:t>
      </w:r>
      <w:r>
        <w:rPr>
          <w:rFonts w:hint="eastAsia" w:ascii="仿宋_GB2312" w:hAnsi="宋体" w:eastAsia="仿宋_GB2312"/>
          <w:sz w:val="32"/>
          <w:szCs w:val="32"/>
          <w:highlight w:val="none"/>
        </w:rPr>
        <w:t>:1、</w:t>
      </w:r>
      <w:r>
        <w:rPr>
          <w:rFonts w:hint="eastAsia" w:ascii="仿宋_GB2312" w:hAnsi="宋体" w:eastAsia="仿宋_GB2312"/>
          <w:sz w:val="32"/>
          <w:szCs w:val="32"/>
          <w:highlight w:val="none"/>
          <w:lang w:val="zh-CN"/>
        </w:rPr>
        <w:t>平台宣传维护网站、微信、园区信息化管理平台、网络宣传等平台维护</w:t>
      </w:r>
      <w:r>
        <w:rPr>
          <w:rFonts w:hint="eastAsia" w:ascii="仿宋_GB2312" w:hAnsi="宋体" w:eastAsia="仿宋_GB2312"/>
          <w:sz w:val="32"/>
          <w:szCs w:val="32"/>
          <w:highlight w:val="none"/>
          <w:lang w:val="en-US" w:eastAsia="zh-CN"/>
        </w:rPr>
        <w:t>，其中园区网站、微信工作号内容每月发布、每月更新不少于8</w:t>
      </w:r>
      <w:r>
        <w:rPr>
          <w:rFonts w:hint="eastAsia" w:ascii="仿宋_GB2312" w:hAnsi="宋体" w:eastAsia="仿宋_GB2312"/>
          <w:sz w:val="32"/>
          <w:szCs w:val="32"/>
          <w:highlight w:val="none"/>
          <w:lang w:val="zh-CN"/>
        </w:rPr>
        <w:t>次。</w:t>
      </w:r>
      <w:r>
        <w:rPr>
          <w:rFonts w:hint="eastAsia" w:ascii="仿宋_GB2312" w:hAnsi="宋体" w:eastAsia="仿宋_GB2312"/>
          <w:sz w:val="32"/>
          <w:szCs w:val="32"/>
          <w:highlight w:val="none"/>
        </w:rPr>
        <w:t>2、</w:t>
      </w:r>
      <w:r>
        <w:rPr>
          <w:rFonts w:hint="eastAsia" w:ascii="仿宋_GB2312" w:hAnsi="宋体" w:eastAsia="仿宋_GB2312"/>
          <w:sz w:val="32"/>
          <w:szCs w:val="32"/>
          <w:highlight w:val="none"/>
          <w:lang w:val="zh-CN"/>
        </w:rPr>
        <w:t>活动开展</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zh-CN"/>
        </w:rPr>
        <w:t>参加各部门组织的创业大赛，每年6次以上；企业/项目招引、评估、诊断、孵化活动，全年不少于20次；每月主题活动，全年不少于12次；进高校等宣讲、沙龙活动，全年不少于10次；园区、企业帮扶、扶贫活动，全年不少于10次；其他园区日常秩序管理事项</w:t>
      </w:r>
      <w:r>
        <w:rPr>
          <w:rFonts w:hint="eastAsia" w:ascii="楷体_GB2312" w:hAnsi="宋体" w:eastAsia="楷体_GB2312"/>
          <w:bCs/>
          <w:highlight w:val="none"/>
          <w:lang w:val="zh-CN"/>
        </w:rPr>
        <w:t>。</w:t>
      </w:r>
    </w:p>
    <w:p>
      <w:pPr>
        <w:adjustRightInd w:val="0"/>
        <w:snapToGrid w:val="0"/>
        <w:spacing w:line="600" w:lineRule="exact"/>
        <w:ind w:firstLine="720"/>
        <w:rPr>
          <w:highlight w:val="none"/>
          <w:lang w:val="zh-CN"/>
        </w:rPr>
      </w:pPr>
      <w:r>
        <w:rPr>
          <w:rFonts w:hint="eastAsia" w:ascii="仿宋_GB2312" w:hAnsi="宋体" w:eastAsia="仿宋_GB2312"/>
          <w:sz w:val="32"/>
          <w:szCs w:val="32"/>
          <w:highlight w:val="none"/>
          <w:lang w:val="zh-CN"/>
        </w:rPr>
        <w:t>项目实施按202</w:t>
      </w: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lang w:val="zh-CN"/>
        </w:rPr>
        <w:t>年3月签订的《创客梦工厂孵化运营管理协议》要求进度进行。</w:t>
      </w:r>
    </w:p>
    <w:p>
      <w:pPr>
        <w:keepNext w:val="0"/>
        <w:keepLines w:val="0"/>
        <w:pageBreakBefore w:val="0"/>
        <w:numPr>
          <w:ilvl w:val="0"/>
          <w:numId w:val="4"/>
        </w:numPr>
        <w:kinsoku/>
        <w:wordWrap/>
        <w:overflowPunct/>
        <w:topLinePunct w:val="0"/>
        <w:bidi w:val="0"/>
        <w:adjustRightInd w:val="0"/>
        <w:snapToGrid w:val="0"/>
        <w:spacing w:line="600" w:lineRule="exact"/>
        <w:ind w:left="0" w:leftChars="0" w:firstLine="720" w:firstLineChars="0"/>
        <w:textAlignment w:val="auto"/>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分析评价申报内容是否与实际相符，申报目标是否合理可行。</w:t>
      </w:r>
    </w:p>
    <w:p>
      <w:pPr>
        <w:adjustRightInd w:val="0"/>
        <w:snapToGrid w:val="0"/>
        <w:spacing w:line="600" w:lineRule="exact"/>
        <w:ind w:firstLine="720"/>
        <w:rPr>
          <w:lang w:val="zh-CN"/>
        </w:rPr>
      </w:pPr>
      <w:r>
        <w:rPr>
          <w:rFonts w:hint="eastAsia" w:ascii="仿宋_GB2312" w:hAnsi="宋体" w:eastAsia="仿宋_GB2312"/>
          <w:sz w:val="32"/>
          <w:szCs w:val="32"/>
          <w:lang w:val="zh-CN"/>
        </w:rPr>
        <w:t>申报内容与实际相符，均按照创客梦每年实际发生支出进行预计申报，申报目标合理可行。</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highlight w:val="none"/>
          <w:lang w:val="zh-CN"/>
        </w:rPr>
      </w:pPr>
      <w:r>
        <w:rPr>
          <w:rFonts w:hint="eastAsia" w:ascii="楷体_GB2312" w:hAnsi="宋体" w:eastAsia="楷体_GB2312"/>
          <w:b w:val="0"/>
          <w:bCs/>
          <w:sz w:val="32"/>
          <w:szCs w:val="32"/>
          <w:highlight w:val="none"/>
          <w:lang w:val="zh-CN"/>
        </w:rPr>
        <w:t>（三）项目自评步骤及方法</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我单位对创客梦工厂运行项目自评的方法主要有，对预算执行率进行测算，对支付情况进行严格审查，定期走访园区企业，听取企业需求。</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highlight w:val="none"/>
        </w:rPr>
      </w:pPr>
      <w:r>
        <w:rPr>
          <w:rFonts w:hint="eastAsia" w:ascii="黑体" w:hAnsi="宋体" w:eastAsia="黑体"/>
          <w:sz w:val="32"/>
          <w:szCs w:val="32"/>
          <w:highlight w:val="none"/>
        </w:rPr>
        <w:t>二、项目资金申报及使用情况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highlight w:val="none"/>
          <w:lang w:val="zh-CN"/>
        </w:rPr>
      </w:pPr>
      <w:r>
        <w:rPr>
          <w:rFonts w:hint="eastAsia" w:ascii="楷体_GB2312" w:hAnsi="宋体" w:eastAsia="楷体_GB2312"/>
          <w:b w:val="0"/>
          <w:bCs/>
          <w:sz w:val="32"/>
          <w:szCs w:val="32"/>
          <w:highlight w:val="none"/>
          <w:lang w:val="zh-CN"/>
        </w:rPr>
        <w:t>（一）项目资金申报及批复情况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创客梦工厂为</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年预算内资金，我单位根据创客梦实际支付项目，对创客梦工厂预算资金进行预算，并上报财政局。</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b w:val="0"/>
          <w:bCs/>
          <w:sz w:val="32"/>
          <w:szCs w:val="32"/>
          <w:highlight w:val="none"/>
          <w:lang w:val="zh-CN"/>
        </w:rPr>
      </w:pPr>
      <w:r>
        <w:rPr>
          <w:rFonts w:hint="eastAsia" w:ascii="楷体_GB2312" w:hAnsi="宋体" w:eastAsia="楷体_GB2312"/>
          <w:b w:val="0"/>
          <w:bCs/>
          <w:sz w:val="32"/>
          <w:szCs w:val="32"/>
          <w:highlight w:val="none"/>
          <w:lang w:val="zh-CN"/>
        </w:rPr>
        <w:t>（二）资金计划、到位及使用情况（可用表格形式反映）</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sz w:val="32"/>
          <w:szCs w:val="32"/>
          <w:highlight w:val="none"/>
          <w:lang w:val="zh-CN"/>
        </w:rPr>
      </w:pPr>
      <w:r>
        <w:rPr>
          <w:rFonts w:hint="eastAsia" w:ascii="楷体_GB2312" w:hAnsi="宋体" w:eastAsia="楷体_GB2312"/>
          <w:sz w:val="32"/>
          <w:szCs w:val="32"/>
          <w:highlight w:val="none"/>
          <w:lang w:val="zh-CN"/>
        </w:rPr>
        <w:t>1．资金计划。</w:t>
      </w:r>
    </w:p>
    <w:p>
      <w:pPr>
        <w:adjustRightInd w:val="0"/>
        <w:snapToGrid w:val="0"/>
        <w:spacing w:line="600" w:lineRule="exact"/>
        <w:ind w:firstLine="720"/>
        <w:rPr>
          <w:rFonts w:ascii="仿宋_GB2312" w:hAnsi="宋体" w:eastAsia="仿宋_GB2312"/>
          <w:sz w:val="32"/>
          <w:szCs w:val="32"/>
          <w:highlight w:val="none"/>
        </w:rPr>
      </w:pPr>
      <w:r>
        <w:rPr>
          <w:rFonts w:hint="eastAsia" w:ascii="仿宋_GB2312" w:hAnsi="宋体" w:eastAsia="仿宋_GB2312"/>
          <w:sz w:val="32"/>
          <w:szCs w:val="32"/>
          <w:highlight w:val="none"/>
          <w:lang w:val="zh-CN"/>
        </w:rPr>
        <w:t>创客梦工厂资金为预算内财政资金。</w:t>
      </w: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rPr>
        <w:t>年预算金额为</w:t>
      </w:r>
      <w:r>
        <w:rPr>
          <w:rFonts w:hint="eastAsia" w:ascii="仿宋_GB2312" w:hAnsi="宋体" w:eastAsia="仿宋_GB2312"/>
          <w:sz w:val="32"/>
          <w:szCs w:val="32"/>
          <w:highlight w:val="none"/>
          <w:lang w:val="en-US" w:eastAsia="zh-CN"/>
        </w:rPr>
        <w:t>170</w:t>
      </w:r>
      <w:r>
        <w:rPr>
          <w:rFonts w:hint="eastAsia" w:ascii="仿宋_GB2312" w:hAnsi="宋体" w:eastAsia="仿宋_GB2312"/>
          <w:sz w:val="32"/>
          <w:szCs w:val="32"/>
          <w:highlight w:val="none"/>
        </w:rPr>
        <w:t>万元。</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楷体_GB2312" w:hAnsi="宋体" w:eastAsia="楷体_GB2312"/>
          <w:sz w:val="32"/>
          <w:szCs w:val="32"/>
          <w:highlight w:val="none"/>
          <w:lang w:val="zh-CN"/>
        </w:rPr>
        <w:t>2．资金到位。</w:t>
      </w:r>
      <w:r>
        <w:rPr>
          <w:rFonts w:hint="eastAsia" w:ascii="仿宋_GB2312" w:hAnsi="宋体" w:eastAsia="仿宋_GB2312"/>
          <w:sz w:val="32"/>
          <w:szCs w:val="32"/>
          <w:highlight w:val="none"/>
          <w:lang w:val="zh-CN"/>
        </w:rPr>
        <w:t>创客梦工厂资金为预算内财政资金。</w:t>
      </w: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lang w:val="zh-CN"/>
        </w:rPr>
        <w:t>年初财政下达创客梦工厂运营经费</w:t>
      </w:r>
      <w:r>
        <w:rPr>
          <w:rFonts w:hint="eastAsia" w:ascii="仿宋_GB2312" w:hAnsi="宋体" w:eastAsia="仿宋_GB2312"/>
          <w:sz w:val="32"/>
          <w:szCs w:val="32"/>
          <w:highlight w:val="none"/>
          <w:lang w:val="en-US" w:eastAsia="zh-CN"/>
        </w:rPr>
        <w:t>170万元指标</w:t>
      </w:r>
      <w:r>
        <w:rPr>
          <w:rFonts w:hint="eastAsia" w:ascii="仿宋_GB2312" w:hAnsi="宋体" w:eastAsia="仿宋_GB2312"/>
          <w:sz w:val="32"/>
          <w:szCs w:val="32"/>
          <w:highlight w:val="none"/>
          <w:lang w:val="zh-CN"/>
        </w:rPr>
        <w:t>。</w:t>
      </w:r>
    </w:p>
    <w:p>
      <w:pPr>
        <w:adjustRightInd w:val="0"/>
        <w:snapToGrid w:val="0"/>
        <w:spacing w:line="600" w:lineRule="exact"/>
        <w:ind w:firstLine="720"/>
        <w:rPr>
          <w:rFonts w:ascii="仿宋_GB2312" w:hAnsi="宋体" w:eastAsia="仿宋_GB2312"/>
          <w:sz w:val="32"/>
          <w:szCs w:val="32"/>
          <w:highlight w:val="none"/>
          <w:lang w:val="zh-CN"/>
        </w:rPr>
      </w:pPr>
      <w:r>
        <w:rPr>
          <w:rFonts w:hint="eastAsia" w:ascii="楷体_GB2312" w:hAnsi="宋体" w:eastAsia="楷体_GB2312"/>
          <w:sz w:val="32"/>
          <w:szCs w:val="32"/>
          <w:highlight w:val="none"/>
          <w:lang w:val="zh-CN"/>
        </w:rPr>
        <w:t>3．资金使用。</w:t>
      </w:r>
      <w:r>
        <w:rPr>
          <w:rFonts w:hint="eastAsia" w:ascii="仿宋_GB2312" w:hAnsi="宋体" w:eastAsia="仿宋_GB2312"/>
          <w:sz w:val="32"/>
          <w:szCs w:val="32"/>
          <w:highlight w:val="none"/>
          <w:lang w:val="zh-CN"/>
        </w:rPr>
        <w:t>该笔资金年初预算数为</w:t>
      </w:r>
      <w:r>
        <w:rPr>
          <w:rFonts w:hint="eastAsia" w:ascii="仿宋_GB2312" w:hAnsi="宋体" w:eastAsia="仿宋_GB2312"/>
          <w:sz w:val="32"/>
          <w:szCs w:val="32"/>
          <w:highlight w:val="none"/>
          <w:lang w:val="en-US" w:eastAsia="zh-CN"/>
        </w:rPr>
        <w:t>170</w:t>
      </w:r>
      <w:r>
        <w:rPr>
          <w:rFonts w:hint="eastAsia" w:ascii="仿宋_GB2312" w:hAnsi="宋体" w:eastAsia="仿宋_GB2312"/>
          <w:sz w:val="32"/>
          <w:szCs w:val="32"/>
          <w:highlight w:val="none"/>
        </w:rPr>
        <w:t>万元，实际使用</w:t>
      </w:r>
      <w:r>
        <w:rPr>
          <w:rFonts w:hint="eastAsia" w:ascii="仿宋_GB2312" w:hAnsi="宋体" w:eastAsia="仿宋_GB2312"/>
          <w:sz w:val="32"/>
          <w:szCs w:val="32"/>
          <w:highlight w:val="none"/>
          <w:lang w:val="en-US" w:eastAsia="zh-CN"/>
        </w:rPr>
        <w:t>67.7954</w:t>
      </w:r>
      <w:r>
        <w:rPr>
          <w:rFonts w:hint="eastAsia" w:ascii="仿宋_GB2312" w:hAnsi="宋体" w:eastAsia="仿宋_GB2312"/>
          <w:sz w:val="32"/>
          <w:szCs w:val="32"/>
          <w:highlight w:val="none"/>
        </w:rPr>
        <w:t>万元</w:t>
      </w:r>
      <w:r>
        <w:rPr>
          <w:rFonts w:hint="eastAsia" w:ascii="仿宋_GB2312" w:hAnsi="宋体" w:eastAsia="仿宋_GB2312"/>
          <w:sz w:val="32"/>
          <w:szCs w:val="32"/>
          <w:highlight w:val="none"/>
          <w:lang w:val="zh-CN"/>
        </w:rPr>
        <w:t>。资金使用范围围绕创客梦相关事宜支出，支付依据合规合法，资金支付与预算相符。</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highlight w:val="none"/>
          <w:lang w:val="zh-CN"/>
        </w:rPr>
      </w:pPr>
      <w:r>
        <w:rPr>
          <w:rFonts w:hint="eastAsia" w:ascii="楷体_GB2312" w:hAnsi="宋体" w:eastAsia="楷体_GB2312"/>
          <w:b w:val="0"/>
          <w:bCs/>
          <w:sz w:val="32"/>
          <w:szCs w:val="32"/>
          <w:highlight w:val="none"/>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创客梦工厂相关财务管理制度健全，我单位严格执行财务管理制度，及时处理账务，会计核算符合规范。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highlight w:val="none"/>
        </w:rPr>
      </w:pPr>
      <w:r>
        <w:rPr>
          <w:rFonts w:hint="eastAsia" w:ascii="黑体" w:hAnsi="宋体" w:eastAsia="黑体"/>
          <w:sz w:val="32"/>
          <w:szCs w:val="32"/>
          <w:highlight w:val="none"/>
        </w:rPr>
        <w:t>三、项目实施及管理情况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highlight w:val="none"/>
          <w:lang w:val="zh-CN"/>
        </w:rPr>
      </w:pPr>
      <w:r>
        <w:rPr>
          <w:rFonts w:hint="eastAsia" w:ascii="楷体_GB2312" w:hAnsi="宋体" w:eastAsia="楷体_GB2312"/>
          <w:b w:val="0"/>
          <w:bCs/>
          <w:sz w:val="32"/>
          <w:szCs w:val="32"/>
          <w:highlight w:val="none"/>
          <w:lang w:val="zh-CN"/>
        </w:rPr>
        <w:t>（一）项目组织架构及实施流程</w:t>
      </w:r>
    </w:p>
    <w:p>
      <w:pPr>
        <w:adjustRightInd w:val="0"/>
        <w:snapToGrid w:val="0"/>
        <w:spacing w:line="600" w:lineRule="exact"/>
        <w:ind w:firstLine="720"/>
        <w:rPr>
          <w:lang w:val="zh-CN"/>
        </w:rPr>
      </w:pPr>
      <w:r>
        <w:rPr>
          <w:rFonts w:hint="eastAsia" w:ascii="仿宋_GB2312" w:hAnsi="宋体" w:eastAsia="仿宋_GB2312"/>
          <w:sz w:val="32"/>
          <w:szCs w:val="32"/>
          <w:lang w:val="zh-CN"/>
        </w:rPr>
        <w:t>创客梦工厂运行维护费包含运行管理费用、创客梦相关企业水电气费、创客梦内电梯维修年检费、创客梦园区内除草及园区维护维修等费用。</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highlight w:val="none"/>
          <w:lang w:val="zh-CN"/>
        </w:rPr>
      </w:pPr>
      <w:r>
        <w:rPr>
          <w:rFonts w:hint="eastAsia" w:ascii="楷体_GB2312" w:hAnsi="宋体" w:eastAsia="楷体_GB2312"/>
          <w:b w:val="0"/>
          <w:bCs/>
          <w:sz w:val="32"/>
          <w:szCs w:val="32"/>
          <w:highlight w:val="none"/>
          <w:lang w:val="zh-CN"/>
        </w:rPr>
        <w:t>（二）项目管理情况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单位严格执行相关法律法规及项目管理制度。</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highlight w:val="none"/>
          <w:lang w:val="zh-CN"/>
        </w:rPr>
      </w:pPr>
      <w:r>
        <w:rPr>
          <w:rFonts w:hint="eastAsia" w:ascii="楷体_GB2312" w:hAnsi="宋体" w:eastAsia="楷体_GB2312"/>
          <w:b w:val="0"/>
          <w:bCs/>
          <w:sz w:val="32"/>
          <w:szCs w:val="32"/>
          <w:highlight w:val="none"/>
          <w:lang w:val="zh-CN"/>
        </w:rPr>
        <w:t>（三）项目监管情况</w:t>
      </w:r>
    </w:p>
    <w:p>
      <w:pPr>
        <w:adjustRightInd w:val="0"/>
        <w:snapToGrid w:val="0"/>
        <w:spacing w:line="600" w:lineRule="exact"/>
        <w:ind w:left="720"/>
        <w:rPr>
          <w:rFonts w:hint="eastAsia" w:ascii="仿宋_GB2312" w:hAnsi="宋体" w:eastAsia="仿宋_GB2312"/>
          <w:sz w:val="32"/>
          <w:szCs w:val="32"/>
          <w:highlight w:val="yellow"/>
          <w:lang w:val="zh-CN"/>
        </w:rPr>
      </w:pPr>
      <w:r>
        <w:rPr>
          <w:rFonts w:hint="eastAsia" w:ascii="仿宋_GB2312" w:hAnsi="宋体" w:eastAsia="仿宋_GB2312"/>
          <w:sz w:val="32"/>
          <w:szCs w:val="32"/>
          <w:lang w:val="zh-CN"/>
        </w:rPr>
        <w:t>单位内部定期对项目资金使用情况进行督查。</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highlight w:val="none"/>
          <w:lang w:val="zh-CN"/>
        </w:rPr>
      </w:pPr>
      <w:r>
        <w:rPr>
          <w:rFonts w:hint="eastAsia" w:ascii="黑体" w:hAnsi="宋体" w:eastAsia="黑体"/>
          <w:sz w:val="32"/>
          <w:szCs w:val="32"/>
          <w:highlight w:val="none"/>
        </w:rPr>
        <w:t>四、项目绩效情况</w:t>
      </w:r>
      <w:r>
        <w:rPr>
          <w:rFonts w:hint="eastAsia" w:ascii="仿宋_GB2312" w:hAnsi="宋体" w:eastAsia="仿宋_GB2312"/>
          <w:sz w:val="32"/>
          <w:szCs w:val="32"/>
          <w:highlight w:val="none"/>
          <w:lang w:val="zh-CN"/>
        </w:rPr>
        <w:tab/>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目前项目运营良好，入住率达到预期效果。目前项目按照进度逐步完成。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202</w:t>
            </w:r>
            <w:r>
              <w:rPr>
                <w:rFonts w:hint="eastAsia" w:ascii="仿宋_GB2312" w:hAnsi="宋体" w:eastAsia="仿宋_GB2312"/>
                <w:sz w:val="32"/>
                <w:szCs w:val="32"/>
                <w:highlight w:val="none"/>
                <w:lang w:val="en-US" w:eastAsia="zh-CN"/>
              </w:rPr>
              <w:t>1</w:t>
            </w:r>
            <w:r>
              <w:rPr>
                <w:rFonts w:hint="eastAsia" w:ascii="仿宋_GB2312" w:hAnsi="宋体" w:eastAsia="仿宋_GB2312"/>
                <w:sz w:val="32"/>
                <w:szCs w:val="32"/>
                <w:highlight w:val="none"/>
                <w:lang w:val="zh-CN"/>
              </w:rPr>
              <w:t>年考核指标完成情况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adjustRightInd w:val="0"/>
              <w:snapToGrid w:val="0"/>
              <w:spacing w:line="600" w:lineRule="exact"/>
              <w:ind w:firstLine="720"/>
              <w:jc w:val="center"/>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项目</w:t>
            </w:r>
          </w:p>
        </w:tc>
        <w:tc>
          <w:tcPr>
            <w:tcW w:w="2130" w:type="dxa"/>
            <w:noWrap w:val="0"/>
            <w:vAlign w:val="top"/>
          </w:tcPr>
          <w:p>
            <w:pPr>
              <w:adjustRightInd w:val="0"/>
              <w:snapToGrid w:val="0"/>
              <w:spacing w:line="600" w:lineRule="exact"/>
              <w:ind w:firstLine="720"/>
              <w:jc w:val="center"/>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任务量</w:t>
            </w:r>
          </w:p>
        </w:tc>
        <w:tc>
          <w:tcPr>
            <w:tcW w:w="2131" w:type="dxa"/>
            <w:noWrap w:val="0"/>
            <w:vAlign w:val="top"/>
          </w:tcPr>
          <w:p>
            <w:pPr>
              <w:adjustRightInd w:val="0"/>
              <w:snapToGrid w:val="0"/>
              <w:spacing w:line="600" w:lineRule="exact"/>
              <w:ind w:firstLine="720"/>
              <w:jc w:val="center"/>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完成</w:t>
            </w:r>
          </w:p>
        </w:tc>
        <w:tc>
          <w:tcPr>
            <w:tcW w:w="2131" w:type="dxa"/>
            <w:noWrap w:val="0"/>
            <w:vAlign w:val="top"/>
          </w:tcPr>
          <w:p>
            <w:pPr>
              <w:adjustRightInd w:val="0"/>
              <w:snapToGrid w:val="0"/>
              <w:spacing w:line="600" w:lineRule="exact"/>
              <w:jc w:val="center"/>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完成占比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adjustRightInd w:val="0"/>
              <w:snapToGrid w:val="0"/>
              <w:spacing w:line="600" w:lineRule="exact"/>
              <w:jc w:val="center"/>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考察交流</w:t>
            </w:r>
          </w:p>
        </w:tc>
        <w:tc>
          <w:tcPr>
            <w:tcW w:w="2130"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4</w:t>
            </w:r>
          </w:p>
        </w:tc>
        <w:tc>
          <w:tcPr>
            <w:tcW w:w="2131"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lang w:val="en-US" w:eastAsia="zh-CN"/>
              </w:rPr>
              <w:t>3</w:t>
            </w:r>
          </w:p>
        </w:tc>
        <w:tc>
          <w:tcPr>
            <w:tcW w:w="2131"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en-US" w:eastAsia="zh-CN"/>
              </w:rPr>
              <w:t>75</w:t>
            </w:r>
            <w:r>
              <w:rPr>
                <w:rFonts w:hint="eastAsia" w:ascii="仿宋_GB2312" w:hAnsi="宋体" w:eastAsia="仿宋_GB2312"/>
                <w:sz w:val="32"/>
                <w:szCs w:val="32"/>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adjustRightInd w:val="0"/>
              <w:snapToGrid w:val="0"/>
              <w:spacing w:line="600" w:lineRule="exact"/>
              <w:jc w:val="center"/>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宣传维护</w:t>
            </w:r>
          </w:p>
        </w:tc>
        <w:tc>
          <w:tcPr>
            <w:tcW w:w="2130"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zh-CN"/>
              </w:rPr>
              <w:t>≥</w:t>
            </w:r>
            <w:r>
              <w:rPr>
                <w:rFonts w:hint="eastAsia" w:ascii="仿宋_GB2312" w:hAnsi="宋体" w:eastAsia="仿宋_GB2312"/>
                <w:sz w:val="32"/>
                <w:szCs w:val="32"/>
                <w:highlight w:val="none"/>
                <w:lang w:val="en-US" w:eastAsia="zh-CN"/>
              </w:rPr>
              <w:t>8次</w:t>
            </w:r>
          </w:p>
        </w:tc>
        <w:tc>
          <w:tcPr>
            <w:tcW w:w="2131"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w:t>
            </w:r>
            <w:r>
              <w:rPr>
                <w:rFonts w:hint="eastAsia" w:ascii="仿宋_GB2312" w:hAnsi="宋体" w:eastAsia="仿宋_GB2312"/>
                <w:sz w:val="32"/>
                <w:szCs w:val="32"/>
                <w:highlight w:val="none"/>
                <w:lang w:val="en-US" w:eastAsia="zh-CN"/>
              </w:rPr>
              <w:t>8次</w:t>
            </w:r>
          </w:p>
        </w:tc>
        <w:tc>
          <w:tcPr>
            <w:tcW w:w="2131"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en-US" w:eastAsia="zh-CN"/>
              </w:rPr>
              <w:t>100</w:t>
            </w:r>
            <w:r>
              <w:rPr>
                <w:rFonts w:hint="eastAsia" w:ascii="仿宋_GB2312" w:hAnsi="宋体" w:eastAsia="仿宋_GB2312"/>
                <w:sz w:val="32"/>
                <w:szCs w:val="32"/>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adjustRightInd w:val="0"/>
              <w:snapToGrid w:val="0"/>
              <w:spacing w:line="600" w:lineRule="exact"/>
              <w:jc w:val="center"/>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创业大赛</w:t>
            </w:r>
          </w:p>
        </w:tc>
        <w:tc>
          <w:tcPr>
            <w:tcW w:w="2130"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6</w:t>
            </w:r>
          </w:p>
        </w:tc>
        <w:tc>
          <w:tcPr>
            <w:tcW w:w="2131"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eastAsia="zh-CN"/>
              </w:rPr>
            </w:pPr>
            <w:r>
              <w:rPr>
                <w:rFonts w:hint="eastAsia" w:ascii="仿宋_GB2312" w:hAnsi="宋体" w:eastAsia="仿宋_GB2312"/>
                <w:sz w:val="32"/>
                <w:szCs w:val="32"/>
                <w:highlight w:val="none"/>
                <w:lang w:val="en-US" w:eastAsia="zh-CN"/>
              </w:rPr>
              <w:t>8</w:t>
            </w:r>
          </w:p>
        </w:tc>
        <w:tc>
          <w:tcPr>
            <w:tcW w:w="2131"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adjustRightInd w:val="0"/>
              <w:snapToGrid w:val="0"/>
              <w:spacing w:line="600" w:lineRule="exact"/>
              <w:jc w:val="center"/>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孵化活动</w:t>
            </w:r>
          </w:p>
        </w:tc>
        <w:tc>
          <w:tcPr>
            <w:tcW w:w="2130"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20</w:t>
            </w:r>
          </w:p>
        </w:tc>
        <w:tc>
          <w:tcPr>
            <w:tcW w:w="2131" w:type="dxa"/>
            <w:noWrap w:val="0"/>
            <w:vAlign w:val="top"/>
          </w:tcPr>
          <w:p>
            <w:pPr>
              <w:adjustRightInd w:val="0"/>
              <w:snapToGrid w:val="0"/>
              <w:spacing w:line="600" w:lineRule="exact"/>
              <w:ind w:firstLine="72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20</w:t>
            </w:r>
          </w:p>
        </w:tc>
        <w:tc>
          <w:tcPr>
            <w:tcW w:w="2131"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10</w:t>
            </w:r>
            <w:r>
              <w:rPr>
                <w:rFonts w:hint="eastAsia" w:ascii="仿宋_GB2312" w:hAnsi="宋体" w:eastAsia="仿宋_GB2312"/>
                <w:sz w:val="32"/>
                <w:szCs w:val="32"/>
                <w:highlight w:val="none"/>
                <w:lang w:val="en-US" w:eastAsia="zh-CN"/>
              </w:rPr>
              <w:t>0</w:t>
            </w:r>
            <w:r>
              <w:rPr>
                <w:rFonts w:hint="eastAsia" w:ascii="仿宋_GB2312" w:hAnsi="宋体" w:eastAsia="仿宋_GB2312"/>
                <w:sz w:val="32"/>
                <w:szCs w:val="32"/>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adjustRightInd w:val="0"/>
              <w:snapToGrid w:val="0"/>
              <w:spacing w:line="600" w:lineRule="exact"/>
              <w:jc w:val="center"/>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主题活动</w:t>
            </w:r>
          </w:p>
        </w:tc>
        <w:tc>
          <w:tcPr>
            <w:tcW w:w="2130"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12</w:t>
            </w:r>
          </w:p>
        </w:tc>
        <w:tc>
          <w:tcPr>
            <w:tcW w:w="2131" w:type="dxa"/>
            <w:noWrap w:val="0"/>
            <w:vAlign w:val="top"/>
          </w:tcPr>
          <w:p>
            <w:pPr>
              <w:adjustRightInd w:val="0"/>
              <w:snapToGrid w:val="0"/>
              <w:spacing w:line="600" w:lineRule="exact"/>
              <w:ind w:firstLine="72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20</w:t>
            </w:r>
          </w:p>
        </w:tc>
        <w:tc>
          <w:tcPr>
            <w:tcW w:w="2131"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adjustRightInd w:val="0"/>
              <w:snapToGrid w:val="0"/>
              <w:spacing w:line="600" w:lineRule="exact"/>
              <w:jc w:val="center"/>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进高校等活动</w:t>
            </w:r>
          </w:p>
        </w:tc>
        <w:tc>
          <w:tcPr>
            <w:tcW w:w="2130"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10</w:t>
            </w:r>
          </w:p>
        </w:tc>
        <w:tc>
          <w:tcPr>
            <w:tcW w:w="2131" w:type="dxa"/>
            <w:noWrap w:val="0"/>
            <w:vAlign w:val="top"/>
          </w:tcPr>
          <w:p>
            <w:pPr>
              <w:adjustRightInd w:val="0"/>
              <w:snapToGrid w:val="0"/>
              <w:spacing w:line="600" w:lineRule="exact"/>
              <w:ind w:firstLine="72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11</w:t>
            </w:r>
          </w:p>
        </w:tc>
        <w:tc>
          <w:tcPr>
            <w:tcW w:w="2131"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adjustRightInd w:val="0"/>
              <w:snapToGrid w:val="0"/>
              <w:spacing w:line="600" w:lineRule="exact"/>
              <w:jc w:val="center"/>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帮扶/扶贫</w:t>
            </w:r>
          </w:p>
        </w:tc>
        <w:tc>
          <w:tcPr>
            <w:tcW w:w="2130"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10</w:t>
            </w:r>
          </w:p>
        </w:tc>
        <w:tc>
          <w:tcPr>
            <w:tcW w:w="2131" w:type="dxa"/>
            <w:noWrap w:val="0"/>
            <w:vAlign w:val="top"/>
          </w:tcPr>
          <w:p>
            <w:pPr>
              <w:adjustRightInd w:val="0"/>
              <w:snapToGrid w:val="0"/>
              <w:spacing w:line="600" w:lineRule="exact"/>
              <w:ind w:firstLine="72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17</w:t>
            </w:r>
          </w:p>
        </w:tc>
        <w:tc>
          <w:tcPr>
            <w:tcW w:w="2131" w:type="dxa"/>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adjustRightInd w:val="0"/>
              <w:snapToGrid w:val="0"/>
              <w:spacing w:line="600" w:lineRule="exact"/>
              <w:jc w:val="center"/>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其他管理服务</w:t>
            </w:r>
          </w:p>
        </w:tc>
        <w:tc>
          <w:tcPr>
            <w:tcW w:w="6392" w:type="dxa"/>
            <w:gridSpan w:val="3"/>
            <w:noWrap w:val="0"/>
            <w:vAlign w:val="top"/>
          </w:tcPr>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en-US" w:eastAsia="zh-CN"/>
              </w:rPr>
              <w:t>285</w:t>
            </w:r>
            <w:r>
              <w:rPr>
                <w:rFonts w:hint="eastAsia" w:ascii="仿宋_GB2312" w:hAnsi="宋体" w:eastAsia="仿宋_GB2312"/>
                <w:sz w:val="32"/>
                <w:szCs w:val="32"/>
                <w:highlight w:val="none"/>
                <w:lang w:val="zh-CN"/>
              </w:rPr>
              <w:t>项</w:t>
            </w:r>
          </w:p>
        </w:tc>
      </w:tr>
    </w:tbl>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因疫情因素影响，除省外考察交流指标外，其余项目各项指标性工作皆按照进度逐步完成，完成情况良好，项目日常运营工作有序开展。</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highlight w:val="none"/>
          <w:lang w:val="zh-CN"/>
        </w:rPr>
      </w:pPr>
      <w:r>
        <w:rPr>
          <w:rFonts w:hint="eastAsia" w:ascii="楷体_GB2312" w:hAnsi="宋体" w:eastAsia="楷体_GB2312"/>
          <w:b w:val="0"/>
          <w:bCs/>
          <w:sz w:val="32"/>
          <w:szCs w:val="32"/>
          <w:highlight w:val="none"/>
          <w:lang w:val="zh-CN"/>
        </w:rPr>
        <w:t>（二）项目效益情况</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宋体" w:eastAsia="仿宋_GB2312" w:cs="Times New Roman"/>
          <w:kern w:val="2"/>
          <w:sz w:val="32"/>
          <w:szCs w:val="32"/>
          <w:highlight w:val="none"/>
          <w:lang w:val="zh-CN" w:eastAsia="zh-CN" w:bidi="ar-SA"/>
        </w:rPr>
      </w:pPr>
      <w:r>
        <w:rPr>
          <w:rFonts w:hint="eastAsia" w:ascii="仿宋_GB2312" w:hAnsi="宋体" w:eastAsia="仿宋_GB2312" w:cs="Times New Roman"/>
          <w:kern w:val="2"/>
          <w:sz w:val="32"/>
          <w:szCs w:val="32"/>
          <w:highlight w:val="none"/>
          <w:lang w:val="zh-CN" w:eastAsia="zh-CN" w:bidi="ar-SA"/>
        </w:rPr>
        <w:t>截至目前，园区合计进驻企业达115家，总产值2.7亿，纳税总额759万；其中厂房使用企业新增2家，新增厂房使用面积7291平方米，厂房使用率超过39%，厂房企业新增资产250万元，厂房企业资产总计近一亿元，实现销售收入9500万元。返乡农民工、退役军人、大学生重点创业帮扶群体分别占创业企业总数的22.6%、6%、7.8%。</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Times New Roman"/>
          <w:kern w:val="2"/>
          <w:sz w:val="32"/>
          <w:szCs w:val="32"/>
          <w:highlight w:val="none"/>
          <w:lang w:val="zh-CN" w:eastAsia="zh-CN" w:bidi="ar-SA"/>
        </w:rPr>
      </w:pPr>
      <w:r>
        <w:rPr>
          <w:rFonts w:hint="eastAsia" w:ascii="仿宋_GB2312" w:hAnsi="宋体" w:eastAsia="仿宋_GB2312" w:cs="Times New Roman"/>
          <w:kern w:val="2"/>
          <w:sz w:val="32"/>
          <w:szCs w:val="32"/>
          <w:highlight w:val="none"/>
          <w:lang w:val="zh-CN" w:eastAsia="zh-CN" w:bidi="ar-SA"/>
        </w:rPr>
        <w:t>围绕文旅康养、食品饮料、绿色建材与轻工产业，园区吸纳培育相关企业的聚集度进一步提高，食品及相关企业聚集度约达34%，文旅康养相关企业聚集度约达15%，绿色建材与轻工产业相关企业集中度约达5%。</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宋体" w:eastAsia="仿宋_GB2312" w:cs="Times New Roman"/>
          <w:kern w:val="2"/>
          <w:sz w:val="32"/>
          <w:szCs w:val="32"/>
          <w:highlight w:val="none"/>
          <w:lang w:val="zh-CN" w:eastAsia="zh-CN" w:bidi="ar-SA"/>
        </w:rPr>
      </w:pPr>
      <w:r>
        <w:rPr>
          <w:rFonts w:hint="eastAsia" w:ascii="仿宋_GB2312" w:hAnsi="宋体" w:eastAsia="仿宋_GB2312" w:cs="Times New Roman"/>
          <w:kern w:val="2"/>
          <w:sz w:val="32"/>
          <w:szCs w:val="32"/>
          <w:highlight w:val="none"/>
          <w:lang w:val="zh-CN" w:eastAsia="zh-CN" w:bidi="ar-SA"/>
        </w:rPr>
        <w:t>园区共开展各类活动79次，包括同行业考察交流3次，组织园区企业参加创业大赛8次，开展各类型孵化活动共计20次,其中企业/项目招引5次、路演评估活动5次、企业诊断2家次、资源搭接6次、金融活动2次，主题活动20次，开展进高校等活动11次，帮扶、扶贫活动17次。发布创新创业孵化宣传推文429篇次。</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highlight w:val="none"/>
        </w:rPr>
      </w:pPr>
      <w:r>
        <w:rPr>
          <w:rFonts w:hint="eastAsia" w:ascii="黑体" w:hAnsi="宋体" w:eastAsia="黑体"/>
          <w:sz w:val="32"/>
          <w:szCs w:val="32"/>
          <w:highlight w:val="none"/>
        </w:rPr>
        <w:t>五、评价结论及建议</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highlight w:val="none"/>
          <w:lang w:val="zh-CN"/>
        </w:rPr>
      </w:pPr>
      <w:r>
        <w:rPr>
          <w:rFonts w:hint="eastAsia" w:ascii="楷体_GB2312" w:hAnsi="宋体" w:eastAsia="楷体_GB2312"/>
          <w:b w:val="0"/>
          <w:bCs/>
          <w:sz w:val="32"/>
          <w:szCs w:val="32"/>
          <w:highlight w:val="none"/>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该项目总体上完成年初绩效预估。</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highlight w:val="none"/>
          <w:lang w:val="zh-CN"/>
        </w:rPr>
      </w:pPr>
      <w:r>
        <w:rPr>
          <w:rFonts w:hint="eastAsia" w:ascii="楷体_GB2312" w:hAnsi="宋体" w:eastAsia="楷体_GB2312"/>
          <w:b w:val="0"/>
          <w:bCs/>
          <w:sz w:val="32"/>
          <w:szCs w:val="32"/>
          <w:highlight w:val="none"/>
          <w:lang w:val="zh-CN"/>
        </w:rPr>
        <w:t>（二）存在的问题</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单位应加强对绩效评价相关政策的进一步学习。</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highlight w:val="none"/>
          <w:lang w:val="zh-CN"/>
        </w:rPr>
      </w:pPr>
      <w:r>
        <w:rPr>
          <w:rFonts w:hint="eastAsia" w:ascii="楷体_GB2312" w:hAnsi="宋体" w:eastAsia="楷体_GB2312"/>
          <w:b w:val="0"/>
          <w:bCs/>
          <w:sz w:val="32"/>
          <w:szCs w:val="32"/>
          <w:highlight w:val="none"/>
          <w:lang w:val="zh-CN"/>
        </w:rPr>
        <w:t>（三）相关建议</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下一步，我单位应进一步提高预算准确率。</w:t>
      </w:r>
    </w:p>
    <w:p>
      <w:pPr>
        <w:pStyle w:val="6"/>
        <w:keepNext w:val="0"/>
        <w:keepLines w:val="0"/>
        <w:pageBreakBefore w:val="0"/>
        <w:kinsoku/>
        <w:wordWrap/>
        <w:overflowPunct/>
        <w:topLinePunct w:val="0"/>
        <w:bidi w:val="0"/>
        <w:spacing w:before="93" w:line="600" w:lineRule="exact"/>
        <w:textAlignment w:val="auto"/>
        <w:rPr>
          <w:highlight w:val="none"/>
          <w:lang w:val="zh-CN"/>
        </w:rPr>
      </w:pPr>
    </w:p>
    <w:p>
      <w:pPr>
        <w:pStyle w:val="6"/>
        <w:keepNext w:val="0"/>
        <w:keepLines w:val="0"/>
        <w:pageBreakBefore w:val="0"/>
        <w:kinsoku/>
        <w:wordWrap/>
        <w:overflowPunct/>
        <w:topLinePunct w:val="0"/>
        <w:bidi w:val="0"/>
        <w:spacing w:before="93" w:line="600" w:lineRule="exact"/>
        <w:textAlignment w:val="auto"/>
        <w:rPr>
          <w:highlight w:val="none"/>
          <w:lang w:val="zh-CN"/>
        </w:rPr>
      </w:pPr>
    </w:p>
    <w:p>
      <w:pPr>
        <w:pStyle w:val="6"/>
        <w:keepNext w:val="0"/>
        <w:keepLines w:val="0"/>
        <w:pageBreakBefore w:val="0"/>
        <w:kinsoku/>
        <w:wordWrap/>
        <w:overflowPunct/>
        <w:topLinePunct w:val="0"/>
        <w:bidi w:val="0"/>
        <w:spacing w:before="93" w:line="600" w:lineRule="exact"/>
        <w:textAlignment w:val="auto"/>
        <w:rPr>
          <w:highlight w:val="none"/>
          <w:lang w:val="zh-CN"/>
        </w:rPr>
      </w:pPr>
    </w:p>
    <w:p>
      <w:pPr>
        <w:pStyle w:val="6"/>
        <w:spacing w:before="93"/>
        <w:rPr>
          <w:highlight w:val="none"/>
          <w:lang w:val="zh-CN"/>
        </w:rPr>
      </w:pPr>
    </w:p>
    <w:p>
      <w:pPr>
        <w:pStyle w:val="6"/>
        <w:spacing w:before="93"/>
        <w:rPr>
          <w:highlight w:val="none"/>
          <w:lang w:val="zh-CN"/>
        </w:rPr>
      </w:pPr>
    </w:p>
    <w:p>
      <w:pPr>
        <w:pStyle w:val="6"/>
        <w:spacing w:before="93"/>
        <w:rPr>
          <w:highlight w:val="none"/>
          <w:lang w:val="zh-CN"/>
        </w:rPr>
      </w:pPr>
    </w:p>
    <w:p>
      <w:pPr>
        <w:pStyle w:val="6"/>
        <w:spacing w:before="93"/>
        <w:rPr>
          <w:highlight w:val="none"/>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highlight w:val="none"/>
          <w:shd w:val="clear" w:color="auto" w:fill="FFFFFF"/>
          <w:lang w:val="zh-CN"/>
        </w:rPr>
      </w:pPr>
      <w:r>
        <w:rPr>
          <w:rFonts w:hint="eastAsia" w:ascii="黑体" w:hAnsi="黑体" w:eastAsia="黑体" w:cs="黑体"/>
          <w:kern w:val="0"/>
          <w:sz w:val="32"/>
          <w:szCs w:val="32"/>
          <w:highlight w:val="none"/>
          <w:shd w:val="clear" w:color="auto" w:fill="FFFFFF"/>
          <w:lang w:val="zh-CN"/>
        </w:rPr>
        <w:t>附表</w:t>
      </w:r>
    </w:p>
    <w:p>
      <w:pPr>
        <w:pStyle w:val="6"/>
        <w:keepNext w:val="0"/>
        <w:keepLines w:val="0"/>
        <w:pageBreakBefore w:val="0"/>
        <w:kinsoku/>
        <w:wordWrap/>
        <w:overflowPunct/>
        <w:topLinePunct w:val="0"/>
        <w:autoSpaceDE/>
        <w:autoSpaceDN/>
        <w:bidi w:val="0"/>
        <w:spacing w:line="600" w:lineRule="exact"/>
        <w:textAlignment w:val="auto"/>
        <w:rPr>
          <w:rFonts w:hint="eastAsia" w:ascii="宋体" w:hAnsi="宋体" w:cs="宋体"/>
          <w:b/>
          <w:sz w:val="32"/>
          <w:szCs w:val="32"/>
          <w:highlight w:val="none"/>
        </w:rPr>
      </w:pP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highlight w:val="none"/>
        </w:rPr>
      </w:pPr>
      <w:r>
        <w:rPr>
          <w:rFonts w:hint="eastAsia" w:ascii="方正小标宋_GBK" w:hAnsi="方正小标宋_GBK" w:eastAsia="方正小标宋_GBK" w:cs="方正小标宋_GBK"/>
          <w:b/>
          <w:sz w:val="44"/>
          <w:szCs w:val="44"/>
          <w:highlight w:val="none"/>
        </w:rPr>
        <w:t>2021年</w:t>
      </w:r>
      <w:r>
        <w:rPr>
          <w:rFonts w:hint="eastAsia" w:ascii="方正小标宋_GBK" w:hAnsi="方正小标宋_GBK" w:eastAsia="方正小标宋_GBK" w:cs="方正小标宋_GBK"/>
          <w:b/>
          <w:sz w:val="44"/>
          <w:szCs w:val="44"/>
          <w:highlight w:val="none"/>
          <w:lang w:eastAsia="zh-CN"/>
        </w:rPr>
        <w:t>创客梦工厂运营经费</w:t>
      </w:r>
      <w:r>
        <w:rPr>
          <w:rFonts w:hint="eastAsia" w:ascii="方正小标宋_GBK" w:hAnsi="方正小标宋_GBK" w:eastAsia="方正小标宋_GBK" w:cs="方正小标宋_GBK"/>
          <w:b/>
          <w:sz w:val="44"/>
          <w:szCs w:val="44"/>
          <w:highlight w:val="none"/>
        </w:rPr>
        <w:t>绩效</w:t>
      </w: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highlight w:val="none"/>
          <w:lang w:val="zh-CN"/>
        </w:rPr>
      </w:pPr>
      <w:r>
        <w:rPr>
          <w:rFonts w:hint="eastAsia" w:ascii="方正小标宋_GBK" w:hAnsi="方正小标宋_GBK" w:eastAsia="方正小标宋_GBK" w:cs="方正小标宋_GBK"/>
          <w:b/>
          <w:sz w:val="44"/>
          <w:szCs w:val="44"/>
          <w:highlight w:val="none"/>
        </w:rPr>
        <w:t>目标自评</w:t>
      </w:r>
    </w:p>
    <w:tbl>
      <w:tblPr>
        <w:tblStyle w:val="13"/>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1717"/>
        <w:gridCol w:w="1546"/>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eastAsia="zh-CN" w:bidi="ar"/>
              </w:rPr>
              <w:t>四川峨眉山经济开发区管理业委会</w:t>
            </w:r>
            <w:r>
              <w:rPr>
                <w:rFonts w:hint="eastAsia" w:ascii="仿宋_GB2312" w:hAnsi="仿宋_GB2312" w:eastAsia="仿宋_GB2312" w:cs="仿宋_GB2312"/>
                <w:kern w:val="0"/>
                <w:sz w:val="28"/>
                <w:szCs w:val="28"/>
                <w:lang w:val="en-US" w:eastAsia="zh-CN" w:bidi="ar"/>
              </w:rPr>
              <w:t>611001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eastAsia="zh-CN" w:bidi="ar"/>
              </w:rPr>
              <w:t>四川峨眉山经济开发区管理业委会</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预算数：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170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67.8</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财政拨款</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170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67.8</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其他资金</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帮扶企业发展保障创客梦工厂202</w:t>
            </w:r>
            <w:r>
              <w:rPr>
                <w:rFonts w:hint="eastAsia" w:ascii="仿宋_GB2312" w:hAnsi="仿宋_GB2312" w:eastAsia="仿宋_GB2312" w:cs="仿宋_GB2312"/>
                <w:kern w:val="0"/>
                <w:sz w:val="28"/>
                <w:szCs w:val="28"/>
                <w:lang w:val="en-US" w:eastAsia="zh-CN" w:bidi="ar"/>
              </w:rPr>
              <w:t>1</w:t>
            </w:r>
            <w:r>
              <w:rPr>
                <w:rFonts w:hint="eastAsia" w:ascii="仿宋_GB2312" w:hAnsi="仿宋_GB2312" w:eastAsia="仿宋_GB2312" w:cs="仿宋_GB2312"/>
                <w:kern w:val="0"/>
                <w:sz w:val="28"/>
                <w:szCs w:val="28"/>
                <w:lang w:bidi="ar"/>
              </w:rPr>
              <w:t>年基本运行，园区基础设施，园区环境卫生维护。</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保障创客梦工厂202</w:t>
            </w:r>
            <w:r>
              <w:rPr>
                <w:rFonts w:hint="eastAsia" w:ascii="仿宋_GB2312" w:hAnsi="仿宋_GB2312" w:eastAsia="仿宋_GB2312" w:cs="仿宋_GB2312"/>
                <w:kern w:val="0"/>
                <w:sz w:val="28"/>
                <w:szCs w:val="28"/>
                <w:lang w:val="en-US" w:eastAsia="zh-CN" w:bidi="ar"/>
              </w:rPr>
              <w:t>1</w:t>
            </w:r>
            <w:r>
              <w:rPr>
                <w:rFonts w:hint="eastAsia" w:ascii="仿宋_GB2312" w:hAnsi="仿宋_GB2312" w:eastAsia="仿宋_GB2312" w:cs="仿宋_GB2312"/>
                <w:kern w:val="0"/>
                <w:sz w:val="28"/>
                <w:szCs w:val="28"/>
                <w:lang w:bidi="ar"/>
              </w:rPr>
              <w:t>年基本运行，园区基础设施，园区环境卫生维护。</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数量指标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eastAsia="zh-CN" w:bidi="ar"/>
              </w:rPr>
              <w:t>宣传维护</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eastAsia="zh-CN" w:bidi="ar"/>
              </w:rPr>
              <w:t>》</w:t>
            </w:r>
            <w:r>
              <w:rPr>
                <w:rFonts w:hint="eastAsia" w:ascii="仿宋_GB2312" w:hAnsi="仿宋_GB2312" w:eastAsia="仿宋_GB2312" w:cs="仿宋_GB2312"/>
                <w:kern w:val="0"/>
                <w:sz w:val="28"/>
                <w:szCs w:val="28"/>
                <w:lang w:val="en-US" w:eastAsia="zh-CN" w:bidi="ar"/>
              </w:rPr>
              <w:t>8次</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eastAsia="zh-CN" w:bidi="ar"/>
              </w:rPr>
              <w:t>》</w:t>
            </w:r>
            <w:r>
              <w:rPr>
                <w:rFonts w:hint="eastAsia" w:ascii="仿宋_GB2312" w:hAnsi="仿宋_GB2312" w:eastAsia="仿宋_GB2312" w:cs="仿宋_GB2312"/>
                <w:kern w:val="0"/>
                <w:sz w:val="28"/>
                <w:szCs w:val="28"/>
                <w:lang w:val="en-US" w:eastAsia="zh-CN" w:bidi="ar"/>
              </w:rPr>
              <w:t>8次</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营造良好的园区发展环境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eastAsia="zh-CN" w:bidi="ar"/>
              </w:rPr>
              <w:t>显著</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eastAsia="zh-CN" w:bidi="ar"/>
              </w:rPr>
              <w:t>完成</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时效指标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长期开展园区管理企业帮扶工作。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显著</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eastAsia="zh-CN" w:bidi="ar"/>
              </w:rPr>
              <w:t>我单位定期对创客梦工厂企业进行走访，对园区企业进行帮扶</w:t>
            </w: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成本指标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经济效益指标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社会效益指标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eastAsia="zh-CN" w:bidi="ar"/>
              </w:rPr>
              <w:t>增加就业机会、维护社会稳定</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eastAsia="zh-CN" w:bidi="ar"/>
              </w:rPr>
              <w:t>显著</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eastAsia="zh-CN" w:bidi="ar"/>
              </w:rPr>
              <w:t>基本完成</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确保园区企业正常生产，提升园区影响力</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提升园区影响力</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完成</w:t>
            </w: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园区企业满意度高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》90%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eastAsia="zh-CN" w:bidi="ar"/>
              </w:rPr>
              <w:t>完成</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highlight w:val="none"/>
        </w:rPr>
      </w:pP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highlight w:val="none"/>
          <w:lang w:val="zh-CN"/>
        </w:rPr>
      </w:pPr>
      <w:r>
        <w:rPr>
          <w:rFonts w:hint="eastAsia" w:ascii="方正小标宋_GBK" w:hAnsi="方正小标宋_GBK" w:eastAsia="方正小标宋_GBK" w:cs="方正小标宋_GBK"/>
          <w:b/>
          <w:sz w:val="44"/>
          <w:szCs w:val="44"/>
          <w:highlight w:val="none"/>
        </w:rPr>
        <w:t>2021年园区基础设施、绿化、环境整治等维护费绩效目标自评</w:t>
      </w:r>
    </w:p>
    <w:tbl>
      <w:tblPr>
        <w:tblStyle w:val="13"/>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1462"/>
        <w:gridCol w:w="180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四川峨眉山经济开发区管理业委会</w:t>
            </w:r>
            <w:r>
              <w:rPr>
                <w:rFonts w:hint="eastAsia" w:ascii="仿宋_GB2312" w:hAnsi="仿宋_GB2312" w:eastAsia="仿宋_GB2312" w:cs="仿宋_GB2312"/>
                <w:sz w:val="28"/>
                <w:szCs w:val="28"/>
                <w:lang w:val="en-US" w:eastAsia="zh-CN"/>
              </w:rPr>
              <w:t>611001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四川峨眉山经济开发区管理业委会</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1.08</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1.08</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1585"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对园区基础设施维护，道路绿化、环境卫生整治维护，保障园区基础设施正常运行，道路绿化、环境卫生整治维护工作顺利开</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保障了园区基础设施正常运行。</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数量指标</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园区基础设施维护，道路绿化、环境卫生整治维护</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仓储物流加工园符溪、胜利、新平片区和乐九建材产业园</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完成园区基础设施维护</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时效指标</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成本指标</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经济效益指标</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社会效益指标</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营造良好的园区发展环境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显著</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生态效益指标</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可持续影响指标</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确保园区企业正常生产，提升园区影响力</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提升园区影响力</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完成</w:t>
            </w: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top"/>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园区企业正常生产，企业职工高高兴兴上班</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企业职工高高兴兴上班</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园区生产正常</w:t>
            </w:r>
          </w:p>
        </w:tc>
      </w:tr>
    </w:tbl>
    <w:p>
      <w:pPr>
        <w:widowControl/>
        <w:spacing w:line="320" w:lineRule="exact"/>
        <w:jc w:val="center"/>
        <w:textAlignment w:val="top"/>
        <w:rPr>
          <w:rFonts w:hint="eastAsia" w:ascii="仿宋_GB2312" w:hAnsi="仿宋_GB2312" w:eastAsia="仿宋_GB2312" w:cs="仿宋_GB2312"/>
          <w:kern w:val="0"/>
          <w:sz w:val="28"/>
          <w:szCs w:val="28"/>
          <w:lang w:bidi="ar"/>
        </w:rPr>
      </w:pPr>
    </w:p>
    <w:p>
      <w:pPr>
        <w:pStyle w:val="6"/>
        <w:keepNext w:val="0"/>
        <w:keepLines w:val="0"/>
        <w:pageBreakBefore w:val="0"/>
        <w:kinsoku/>
        <w:wordWrap/>
        <w:overflowPunct/>
        <w:topLinePunct w:val="0"/>
        <w:autoSpaceDE/>
        <w:autoSpaceDN/>
        <w:bidi w:val="0"/>
        <w:spacing w:line="600" w:lineRule="exact"/>
        <w:jc w:val="both"/>
        <w:textAlignment w:val="auto"/>
        <w:rPr>
          <w:rFonts w:hint="eastAsia" w:ascii="方正小标宋_GBK" w:hAnsi="方正小标宋_GBK" w:eastAsia="方正小标宋_GBK" w:cs="方正小标宋_GBK"/>
          <w:b/>
          <w:sz w:val="44"/>
          <w:szCs w:val="44"/>
          <w:highlight w:val="none"/>
        </w:rPr>
      </w:pP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highlight w:val="none"/>
        </w:rPr>
      </w:pP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highlight w:val="none"/>
        </w:rPr>
      </w:pP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highlight w:val="none"/>
        </w:rPr>
      </w:pP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highlight w:val="none"/>
        </w:rPr>
      </w:pP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highlight w:val="none"/>
        </w:rPr>
      </w:pP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sz w:val="44"/>
          <w:szCs w:val="44"/>
          <w:highlight w:val="none"/>
        </w:rPr>
      </w:pP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highlight w:val="none"/>
          <w:lang w:val="zh-CN"/>
        </w:rPr>
      </w:pPr>
      <w:r>
        <w:rPr>
          <w:rFonts w:hint="eastAsia" w:ascii="方正小标宋_GBK" w:hAnsi="方正小标宋_GBK" w:eastAsia="方正小标宋_GBK" w:cs="方正小标宋_GBK"/>
          <w:b/>
          <w:sz w:val="44"/>
          <w:szCs w:val="44"/>
          <w:highlight w:val="none"/>
        </w:rPr>
        <w:t>2021年招商引资协调项目落地及入园企业等业务费绩效目标自评</w:t>
      </w:r>
    </w:p>
    <w:tbl>
      <w:tblPr>
        <w:tblStyle w:val="13"/>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四川峨眉山经济开发区管理业委会</w:t>
            </w:r>
            <w:r>
              <w:rPr>
                <w:rFonts w:hint="eastAsia" w:ascii="仿宋_GB2312" w:hAnsi="仿宋_GB2312" w:eastAsia="仿宋_GB2312" w:cs="仿宋_GB2312"/>
                <w:sz w:val="28"/>
                <w:szCs w:val="28"/>
                <w:lang w:val="en-US" w:eastAsia="zh-CN"/>
              </w:rPr>
              <w:t>611001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四川峨眉山经济开发区管理业委会</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4.54</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4.54</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园区招商引资协调项目落地及入园企业等工作，保障园区招商引资以及协调项目落地入园工作顺利开展</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保障园区企业招商引资顺利开展</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加优质企业的入园，打造峨眉经开区</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显著</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成功升级为省级开发区</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营造良好的园区投资环境，促进园区企业稳定健康发展</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显著</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创造了良好的园区招商氛围</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长期开展园区管理企业帮扶工作</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每月走访企业不少于一次</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完成</w:t>
            </w: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加大就业岗位，解决就业问题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显著</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完成</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为企业项目落地提供协调服务，营造良好招商引资环境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显著</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创造了良好的园区招商氛围</w:t>
            </w: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园区企业正常生产，企业职工高高兴兴上班</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企业职工高高兴兴上班</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园区生产正常</w:t>
            </w:r>
          </w:p>
        </w:tc>
      </w:tr>
    </w:tbl>
    <w:p>
      <w:pPr>
        <w:widowControl/>
        <w:spacing w:line="320" w:lineRule="exact"/>
        <w:jc w:val="center"/>
        <w:textAlignment w:val="center"/>
        <w:rPr>
          <w:rFonts w:hint="eastAsia" w:ascii="仿宋_GB2312" w:hAnsi="仿宋_GB2312" w:eastAsia="仿宋_GB2312" w:cs="仿宋_GB2312"/>
          <w:kern w:val="0"/>
          <w:sz w:val="28"/>
          <w:szCs w:val="28"/>
          <w:lang w:bidi="ar"/>
        </w:rPr>
      </w:pP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highlight w:val="none"/>
          <w:lang w:val="zh-CN"/>
        </w:rPr>
      </w:pPr>
      <w:r>
        <w:rPr>
          <w:rFonts w:hint="eastAsia" w:ascii="方正小标宋_GBK" w:hAnsi="方正小标宋_GBK" w:eastAsia="方正小标宋_GBK" w:cs="方正小标宋_GBK"/>
          <w:b/>
          <w:sz w:val="44"/>
          <w:szCs w:val="44"/>
          <w:highlight w:val="none"/>
        </w:rPr>
        <w:t>2021年安全生产及环保宣传、日常管理、应急等园区工作经费绩效目标自评</w:t>
      </w:r>
    </w:p>
    <w:tbl>
      <w:tblPr>
        <w:tblStyle w:val="13"/>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四川峨眉山经济开发区管理业委会</w:t>
            </w:r>
            <w:r>
              <w:rPr>
                <w:rFonts w:hint="eastAsia" w:ascii="仿宋_GB2312" w:hAnsi="仿宋_GB2312" w:eastAsia="仿宋_GB2312" w:cs="仿宋_GB2312"/>
                <w:sz w:val="28"/>
                <w:szCs w:val="28"/>
                <w:lang w:val="en-US" w:eastAsia="zh-CN"/>
              </w:rPr>
              <w:t>611001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四川峨眉山经济开发区管理业委会</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8.17</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8.17</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对园区企业开展安全环保生产法律法规等相关知识的宣传、培训、日常管理工作</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完成对园区企业安全环保生产法律法规等相关知识的宣传、培训、日常管理工作</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按照峨眉山安委办的要求</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班子成员每月安全环保检查不少于一次</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完成</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及时了解园区生态环境变化情况</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发现问题及时处理</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完成</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及时了解园区企业依法生产，依法排污情况。</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及时处理，园区安全生产形势和生态环境稳中向好。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完成</w:t>
            </w: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安全的园区大环境促使更多企业入园，解决就业，增加税收。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税收待统计</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完成</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加大就业岗位，解决就业问题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显著</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完成</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为企业项目落地提供协调服务，营造良好招商引资环境</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显著</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创造了良好的园区招商氛围</w:t>
            </w: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园区企业正常生产，企业职工高高兴兴上班</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企业职工高高兴兴上班</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bidi="ar"/>
              </w:rPr>
              <w:t>园区生产正常</w:t>
            </w:r>
          </w:p>
        </w:tc>
      </w:tr>
    </w:tbl>
    <w:p>
      <w:pPr>
        <w:widowControl/>
        <w:spacing w:line="320" w:lineRule="exact"/>
        <w:jc w:val="center"/>
        <w:textAlignment w:val="center"/>
        <w:rPr>
          <w:rFonts w:hint="eastAsia" w:ascii="仿宋_GB2312" w:hAnsi="仿宋_GB2312" w:eastAsia="仿宋_GB2312" w:cs="仿宋_GB2312"/>
          <w:kern w:val="0"/>
          <w:sz w:val="28"/>
          <w:szCs w:val="28"/>
          <w:lang w:bidi="ar"/>
        </w:rPr>
      </w:pPr>
    </w:p>
    <w:p>
      <w:pPr>
        <w:widowControl/>
        <w:spacing w:line="320" w:lineRule="exact"/>
        <w:jc w:val="center"/>
        <w:textAlignment w:val="center"/>
        <w:rPr>
          <w:rFonts w:hint="eastAsia" w:ascii="仿宋_GB2312" w:hAnsi="仿宋_GB2312" w:eastAsia="仿宋_GB2312" w:cs="仿宋_GB2312"/>
          <w:kern w:val="0"/>
          <w:sz w:val="28"/>
          <w:szCs w:val="28"/>
          <w:lang w:bidi="ar"/>
        </w:rPr>
      </w:pPr>
    </w:p>
    <w:p>
      <w:pPr>
        <w:widowControl/>
        <w:spacing w:line="320" w:lineRule="exact"/>
        <w:jc w:val="center"/>
        <w:textAlignment w:val="center"/>
        <w:rPr>
          <w:rFonts w:hint="eastAsia" w:ascii="仿宋_GB2312" w:hAnsi="仿宋_GB2312" w:eastAsia="仿宋_GB2312" w:cs="仿宋_GB2312"/>
          <w:kern w:val="0"/>
          <w:sz w:val="28"/>
          <w:szCs w:val="28"/>
          <w:lang w:bidi="ar"/>
        </w:rPr>
      </w:pPr>
    </w:p>
    <w:p>
      <w:pPr>
        <w:pStyle w:val="6"/>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highlight w:val="none"/>
          <w:lang w:val="zh-CN"/>
        </w:rPr>
      </w:pPr>
      <w:r>
        <w:rPr>
          <w:rFonts w:hint="eastAsia" w:ascii="方正小标宋_GBK" w:hAnsi="方正小标宋_GBK" w:eastAsia="方正小标宋_GBK" w:cs="方正小标宋_GBK"/>
          <w:b/>
          <w:sz w:val="44"/>
          <w:szCs w:val="44"/>
          <w:highlight w:val="none"/>
        </w:rPr>
        <w:t>2021年宇强电机组租地经费绩效目标自评</w:t>
      </w:r>
    </w:p>
    <w:tbl>
      <w:tblPr>
        <w:tblStyle w:val="13"/>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815"/>
        <w:gridCol w:w="1068"/>
        <w:gridCol w:w="2232"/>
        <w:gridCol w:w="1031"/>
        <w:gridCol w:w="1369"/>
        <w:gridCol w:w="1534"/>
      </w:tblGrid>
      <w:tr>
        <w:tblPrEx>
          <w:tblCellMar>
            <w:top w:w="0" w:type="dxa"/>
            <w:left w:w="108" w:type="dxa"/>
            <w:bottom w:w="0" w:type="dxa"/>
            <w:right w:w="108" w:type="dxa"/>
          </w:tblCellMar>
        </w:tblPrEx>
        <w:trPr>
          <w:trHeight w:val="254" w:hRule="atLeast"/>
          <w:jc w:val="center"/>
        </w:trPr>
        <w:tc>
          <w:tcPr>
            <w:tcW w:w="2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四川峨眉山经济开发区管理业委会</w:t>
            </w:r>
            <w:r>
              <w:rPr>
                <w:rFonts w:hint="eastAsia" w:ascii="仿宋_GB2312" w:hAnsi="仿宋_GB2312" w:eastAsia="仿宋_GB2312" w:cs="仿宋_GB2312"/>
                <w:sz w:val="28"/>
                <w:szCs w:val="28"/>
                <w:lang w:val="en-US" w:eastAsia="zh-CN"/>
              </w:rPr>
              <w:t>611001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四川峨眉山经济开发区管理业委会</w:t>
            </w:r>
          </w:p>
        </w:tc>
      </w:tr>
      <w:tr>
        <w:tblPrEx>
          <w:tblCellMar>
            <w:top w:w="0" w:type="dxa"/>
            <w:left w:w="108" w:type="dxa"/>
            <w:bottom w:w="0" w:type="dxa"/>
            <w:right w:w="108" w:type="dxa"/>
          </w:tblCellMar>
        </w:tblPrEx>
        <w:trPr>
          <w:trHeight w:val="341" w:hRule="atLeast"/>
          <w:jc w:val="center"/>
        </w:trPr>
        <w:tc>
          <w:tcPr>
            <w:tcW w:w="2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25.05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25.05</w:t>
            </w:r>
          </w:p>
        </w:tc>
      </w:tr>
      <w:tr>
        <w:tblPrEx>
          <w:tblCellMar>
            <w:top w:w="0" w:type="dxa"/>
            <w:left w:w="108" w:type="dxa"/>
            <w:bottom w:w="0" w:type="dxa"/>
            <w:right w:w="108" w:type="dxa"/>
          </w:tblCellMar>
        </w:tblPrEx>
        <w:trPr>
          <w:trHeight w:val="555"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25.05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25.05</w:t>
            </w:r>
          </w:p>
        </w:tc>
      </w:tr>
      <w:tr>
        <w:tblPrEx>
          <w:tblCellMar>
            <w:top w:w="0" w:type="dxa"/>
            <w:left w:w="108" w:type="dxa"/>
            <w:bottom w:w="0" w:type="dxa"/>
            <w:right w:w="108" w:type="dxa"/>
          </w:tblCellMar>
        </w:tblPrEx>
        <w:trPr>
          <w:trHeight w:val="341" w:hRule="atLeast"/>
          <w:jc w:val="center"/>
        </w:trPr>
        <w:tc>
          <w:tcPr>
            <w:tcW w:w="28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43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支付园区企业宇强电机租用土地租金，按照相关会议纪要和土地租用合同约定每年10月底前支付</w:t>
            </w:r>
          </w:p>
        </w:tc>
        <w:tc>
          <w:tcPr>
            <w:tcW w:w="2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支付完成</w:t>
            </w:r>
          </w:p>
        </w:tc>
      </w:tr>
      <w:tr>
        <w:tblPrEx>
          <w:tblCellMar>
            <w:top w:w="0" w:type="dxa"/>
            <w:left w:w="108" w:type="dxa"/>
            <w:bottom w:w="0" w:type="dxa"/>
            <w:right w:w="108" w:type="dxa"/>
          </w:tblCellMar>
        </w:tblPrEx>
        <w:trPr>
          <w:trHeight w:val="693" w:hRule="atLeast"/>
          <w:jc w:val="center"/>
        </w:trPr>
        <w:tc>
          <w:tcPr>
            <w:tcW w:w="181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年度绩效指标完成情况</w:t>
            </w:r>
          </w:p>
        </w:tc>
        <w:tc>
          <w:tcPr>
            <w:tcW w:w="10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一级</w:t>
            </w:r>
          </w:p>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二级</w:t>
            </w:r>
          </w:p>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三级</w:t>
            </w:r>
          </w:p>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实际完成指标值</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完成</w:t>
            </w:r>
          </w:p>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数量指标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按照相关会议纪要和土地租用合同约定</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每年年底前支付支付250500元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支付完毕</w:t>
            </w: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质量指标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p>
        </w:tc>
      </w:tr>
      <w:tr>
        <w:tblPrEx>
          <w:tblCellMar>
            <w:top w:w="0" w:type="dxa"/>
            <w:left w:w="108" w:type="dxa"/>
            <w:bottom w:w="0" w:type="dxa"/>
            <w:right w:w="108" w:type="dxa"/>
          </w:tblCellMar>
        </w:tblPrEx>
        <w:trPr>
          <w:trHeight w:val="41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时效指标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年底之前支付完成</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支付完成</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支付完成</w:t>
            </w:r>
          </w:p>
        </w:tc>
      </w:tr>
      <w:tr>
        <w:tblPrEx>
          <w:tblCellMar>
            <w:top w:w="0" w:type="dxa"/>
            <w:left w:w="108" w:type="dxa"/>
            <w:bottom w:w="0" w:type="dxa"/>
            <w:right w:w="108" w:type="dxa"/>
          </w:tblCellMar>
        </w:tblPrEx>
        <w:trPr>
          <w:trHeight w:val="355"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成本指标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按照相关会议纪要和土地租用合同约定</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支付250500元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支付</w:t>
            </w:r>
            <w:r>
              <w:rPr>
                <w:rFonts w:hint="eastAsia" w:ascii="仿宋_GB2312" w:hAnsi="仿宋_GB2312" w:eastAsia="仿宋_GB2312" w:cs="仿宋_GB2312"/>
                <w:sz w:val="28"/>
                <w:szCs w:val="28"/>
                <w:lang w:val="en-US" w:eastAsia="zh-CN"/>
              </w:rPr>
              <w:t>250500元</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效益</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sz w:val="28"/>
                <w:szCs w:val="28"/>
                <w:lang w:eastAsia="zh-CN"/>
              </w:rPr>
              <w:t>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经济效益指标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安全的园区大环境促使更多企业入园，解决就业，增加税收。</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税收待统计</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完成</w:t>
            </w: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社会效益指标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采取土地租用，解决企业用地指标难的问题</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显著</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完成</w:t>
            </w:r>
          </w:p>
        </w:tc>
      </w:tr>
      <w:tr>
        <w:tblPrEx>
          <w:tblCellMar>
            <w:top w:w="0" w:type="dxa"/>
            <w:left w:w="108" w:type="dxa"/>
            <w:bottom w:w="0" w:type="dxa"/>
            <w:right w:w="108" w:type="dxa"/>
          </w:tblCellMar>
        </w:tblPrEx>
        <w:trPr>
          <w:trHeight w:val="577"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生态效益指标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r>
      <w:tr>
        <w:tblPrEx>
          <w:tblCellMar>
            <w:top w:w="0" w:type="dxa"/>
            <w:left w:w="108" w:type="dxa"/>
            <w:bottom w:w="0" w:type="dxa"/>
            <w:right w:w="108" w:type="dxa"/>
          </w:tblCellMar>
        </w:tblPrEx>
        <w:trPr>
          <w:trHeight w:val="480" w:hRule="atLeast"/>
          <w:jc w:val="center"/>
        </w:trPr>
        <w:tc>
          <w:tcPr>
            <w:tcW w:w="1815" w:type="dxa"/>
            <w:vMerge w:val="continue"/>
            <w:tcBorders>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可持续影响指标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促进园区稳定健康发展</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完成</w:t>
            </w:r>
          </w:p>
        </w:tc>
      </w:tr>
      <w:tr>
        <w:tblPrEx>
          <w:tblCellMar>
            <w:top w:w="0" w:type="dxa"/>
            <w:left w:w="108" w:type="dxa"/>
            <w:bottom w:w="0" w:type="dxa"/>
            <w:right w:w="108" w:type="dxa"/>
          </w:tblCellMar>
        </w:tblPrEx>
        <w:trPr>
          <w:trHeight w:val="530" w:hRule="atLeast"/>
          <w:jc w:val="center"/>
        </w:trPr>
        <w:tc>
          <w:tcPr>
            <w:tcW w:w="181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满意度指标</w:t>
            </w:r>
          </w:p>
        </w:tc>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满意度</w:t>
            </w:r>
          </w:p>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指标</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园区企业正常生产，企业职工高高兴兴上班</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企业职工高高兴兴上班</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园区生产正常</w:t>
            </w:r>
          </w:p>
        </w:tc>
      </w:tr>
    </w:tbl>
    <w:p>
      <w:pPr>
        <w:widowControl/>
        <w:spacing w:line="320" w:lineRule="exact"/>
        <w:jc w:val="center"/>
        <w:textAlignment w:val="center"/>
        <w:rPr>
          <w:rFonts w:hint="eastAsia" w:ascii="仿宋_GB2312" w:hAnsi="仿宋_GB2312" w:eastAsia="仿宋_GB2312" w:cs="仿宋_GB2312"/>
          <w:sz w:val="28"/>
          <w:szCs w:val="28"/>
          <w:lang w:eastAsia="zh-CN"/>
        </w:rPr>
      </w:pPr>
    </w:p>
    <w:p>
      <w:pPr>
        <w:pStyle w:val="2"/>
        <w:ind w:left="0" w:leftChars="0" w:firstLine="0" w:firstLineChars="0"/>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jc w:val="center"/>
        <w:textAlignment w:val="auto"/>
        <w:outlineLvl w:val="0"/>
        <w:rPr>
          <w:rStyle w:val="25"/>
          <w:rFonts w:hint="eastAsia" w:ascii="方正小标宋_GBK" w:hAnsi="方正小标宋_GBK" w:eastAsia="方正小标宋_GBK" w:cs="方正小标宋_GBK"/>
          <w:b w:val="0"/>
          <w:sz w:val="44"/>
          <w:szCs w:val="44"/>
        </w:rPr>
      </w:pPr>
      <w:bookmarkStart w:id="59" w:name="_Toc15396618"/>
      <w:r>
        <w:rPr>
          <w:rStyle w:val="25"/>
          <w:rFonts w:hint="eastAsia" w:ascii="方正小标宋_GBK" w:hAnsi="方正小标宋_GBK" w:eastAsia="方正小标宋_GBK" w:cs="方正小标宋_GBK"/>
          <w:b w:val="0"/>
          <w:sz w:val="44"/>
          <w:szCs w:val="44"/>
        </w:rPr>
        <w:t>附表</w:t>
      </w:r>
      <w:bookmarkEnd w:id="57"/>
      <w:bookmarkEnd w:id="59"/>
      <w:bookmarkStart w:id="60" w:name="_Toc15396619"/>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6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1" w:name="_Toc15396620"/>
      <w:r>
        <w:rPr>
          <w:rFonts w:hint="eastAsia" w:ascii="仿宋_GB2312" w:hAnsi="仿宋_GB2312" w:eastAsia="仿宋_GB2312" w:cs="仿宋_GB2312"/>
          <w:sz w:val="32"/>
          <w:szCs w:val="32"/>
        </w:rPr>
        <w:t>二、收入决算表</w:t>
      </w:r>
      <w:bookmarkEnd w:id="6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2" w:name="_Toc15396621"/>
      <w:r>
        <w:rPr>
          <w:rFonts w:hint="eastAsia" w:ascii="仿宋_GB2312" w:hAnsi="仿宋_GB2312" w:eastAsia="仿宋_GB2312" w:cs="仿宋_GB2312"/>
          <w:sz w:val="32"/>
          <w:szCs w:val="32"/>
        </w:rPr>
        <w:t>三、支出决算表</w:t>
      </w:r>
      <w:bookmarkEnd w:id="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3" w:name="_Toc15396622"/>
      <w:r>
        <w:rPr>
          <w:rFonts w:hint="eastAsia" w:ascii="仿宋_GB2312" w:hAnsi="仿宋_GB2312" w:eastAsia="仿宋_GB2312" w:cs="仿宋_GB2312"/>
          <w:sz w:val="32"/>
          <w:szCs w:val="32"/>
        </w:rPr>
        <w:t>四、财政拨款收入支出决算总表</w:t>
      </w:r>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4" w:name="_Toc15396623"/>
      <w:r>
        <w:rPr>
          <w:rFonts w:hint="eastAsia" w:ascii="仿宋_GB2312" w:hAnsi="仿宋_GB2312" w:eastAsia="仿宋_GB2312" w:cs="仿宋_GB2312"/>
          <w:sz w:val="32"/>
          <w:szCs w:val="32"/>
        </w:rPr>
        <w:t>五、财政拨款支出决算明细表</w:t>
      </w:r>
      <w:bookmarkEnd w:id="64"/>
      <w:bookmarkStart w:id="65"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6" w:name="_Toc15396625"/>
      <w:r>
        <w:rPr>
          <w:rFonts w:hint="eastAsia" w:ascii="仿宋_GB2312" w:hAnsi="仿宋_GB2312" w:eastAsia="仿宋_GB2312" w:cs="仿宋_GB2312"/>
          <w:sz w:val="32"/>
          <w:szCs w:val="32"/>
        </w:rPr>
        <w:t>七、一般公共预算财政拨款支出决算明细表</w:t>
      </w:r>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7" w:name="_Toc15396626"/>
      <w:r>
        <w:rPr>
          <w:rFonts w:hint="eastAsia" w:ascii="仿宋_GB2312" w:hAnsi="仿宋_GB2312" w:eastAsia="仿宋_GB2312" w:cs="仿宋_GB2312"/>
          <w:sz w:val="32"/>
          <w:szCs w:val="32"/>
        </w:rPr>
        <w:t>八、一般公共预算财政拨款基本支出决算表</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8" w:name="_Toc15396627"/>
      <w:r>
        <w:rPr>
          <w:rFonts w:hint="eastAsia" w:ascii="仿宋_GB2312" w:hAnsi="仿宋_GB2312" w:eastAsia="仿宋_GB2312" w:cs="仿宋_GB2312"/>
          <w:sz w:val="32"/>
          <w:szCs w:val="32"/>
        </w:rPr>
        <w:t>九、一般公共预算财政拨款项目支出决算表</w:t>
      </w:r>
      <w:bookmarkEnd w:id="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9" w:name="_Toc15396628"/>
      <w:r>
        <w:rPr>
          <w:rFonts w:hint="eastAsia" w:ascii="仿宋_GB2312" w:hAnsi="仿宋_GB2312" w:eastAsia="仿宋_GB2312" w:cs="仿宋_GB2312"/>
          <w:sz w:val="32"/>
          <w:szCs w:val="32"/>
        </w:rPr>
        <w:t>十、一般公共预算财政拨款“三公”经费支出决算表</w:t>
      </w:r>
      <w:bookmarkEnd w:id="6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0" w:name="_Toc15396629"/>
      <w:r>
        <w:rPr>
          <w:rFonts w:hint="eastAsia" w:ascii="仿宋_GB2312" w:hAnsi="仿宋_GB2312" w:eastAsia="仿宋_GB2312" w:cs="仿宋_GB2312"/>
          <w:sz w:val="32"/>
          <w:szCs w:val="32"/>
        </w:rPr>
        <w:t>十一、政府性基金预算财政拨款收入支出决算表</w:t>
      </w:r>
      <w:bookmarkEnd w:id="7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1" w:name="_Toc15396630"/>
      <w:r>
        <w:rPr>
          <w:rFonts w:hint="eastAsia" w:ascii="仿宋_GB2312" w:hAnsi="仿宋_GB2312" w:eastAsia="仿宋_GB2312" w:cs="仿宋_GB2312"/>
          <w:sz w:val="32"/>
          <w:szCs w:val="32"/>
        </w:rPr>
        <w:t>十二、政府性基金预算财政拨款“三公”经费支出决算表</w:t>
      </w:r>
      <w:bookmarkEnd w:id="7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2" w:name="_Toc15396631"/>
      <w:r>
        <w:rPr>
          <w:rFonts w:hint="eastAsia" w:ascii="仿宋_GB2312" w:hAnsi="仿宋_GB2312" w:eastAsia="仿宋_GB2312" w:cs="仿宋_GB2312"/>
          <w:sz w:val="32"/>
          <w:szCs w:val="32"/>
        </w:rPr>
        <w:t>十三、国有资本经营预算财政拨款收入支出决算表</w:t>
      </w:r>
      <w:bookmarkEnd w:id="7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-113665</wp:posOffset>
              </wp:positionV>
              <wp:extent cx="1112520"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252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95pt;height:20.45pt;width:87.6pt;mso-position-horizontal:center;mso-position-horizontal-relative:margin;z-index:251659264;mso-width-relative:page;mso-height-relative:page;" filled="f" stroked="f" coordsize="21600,21600" o:gfxdata="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NMbeTWAAAABwEAAA8AAAAAAAAAAQAgAAAAIgAAAGRycy9kb3ducmV2&#10;LnhtbFBLAQIUABQAAAAIAIdO4kDYFj38NwIAAGIEAAAOAAAAAAAAAAEAIAAAACUBAABkcnMvZTJv&#10;RG9jLnhtbFBLBQYAAAAABgAGAFkBAADOBQAAAAA=&#10;">
              <v:fill on="f" focussize="0,0"/>
              <v:stroke on="f" weight="0.5pt"/>
              <v:imagedata o:title=""/>
              <o:lock v:ext="edit" aspectratio="f"/>
              <v:textbox inset="0mm,0mm,0mm,0mm">
                <w:txbxContent>
                  <w:p>
                    <w:pPr>
                      <w:pStyle w:val="9"/>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-113665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95pt;height:144pt;width:144pt;mso-position-horizontal:center;mso-position-horizontal-relative:margin;mso-wrap-style:none;z-index:251660288;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p/yzd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D3DD6"/>
    <w:multiLevelType w:val="singleLevel"/>
    <w:tmpl w:val="AB8D3DD6"/>
    <w:lvl w:ilvl="0" w:tentative="0">
      <w:start w:val="2"/>
      <w:numFmt w:val="decimal"/>
      <w:suff w:val="nothing"/>
      <w:lvlText w:val="%1．"/>
      <w:lvlJc w:val="left"/>
    </w:lvl>
  </w:abstractNum>
  <w:abstractNum w:abstractNumId="1">
    <w:nsid w:val="B621CA78"/>
    <w:multiLevelType w:val="singleLevel"/>
    <w:tmpl w:val="B621CA78"/>
    <w:lvl w:ilvl="0" w:tentative="0">
      <w:start w:val="2"/>
      <w:numFmt w:val="decimal"/>
      <w:suff w:val="nothing"/>
      <w:lvlText w:val="%1．"/>
      <w:lvlJc w:val="left"/>
    </w:lvl>
  </w:abstractNum>
  <w:abstractNum w:abstractNumId="2">
    <w:nsid w:val="CF438C2A"/>
    <w:multiLevelType w:val="singleLevel"/>
    <w:tmpl w:val="CF438C2A"/>
    <w:lvl w:ilvl="0" w:tentative="0">
      <w:start w:val="5"/>
      <w:numFmt w:val="chineseCounting"/>
      <w:suff w:val="space"/>
      <w:lvlText w:val="第%1部分"/>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3F71"/>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A31DE"/>
    <w:rsid w:val="002B2613"/>
    <w:rsid w:val="002D6D05"/>
    <w:rsid w:val="002F1818"/>
    <w:rsid w:val="002F567B"/>
    <w:rsid w:val="003216A9"/>
    <w:rsid w:val="00335A74"/>
    <w:rsid w:val="0036561B"/>
    <w:rsid w:val="0037013F"/>
    <w:rsid w:val="00380C92"/>
    <w:rsid w:val="0039187E"/>
    <w:rsid w:val="0039341A"/>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197D"/>
    <w:rsid w:val="005664BB"/>
    <w:rsid w:val="00566FFA"/>
    <w:rsid w:val="0057481D"/>
    <w:rsid w:val="0058486E"/>
    <w:rsid w:val="00585B33"/>
    <w:rsid w:val="00586F97"/>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F020C"/>
    <w:rsid w:val="00701C3B"/>
    <w:rsid w:val="007127B7"/>
    <w:rsid w:val="0071798E"/>
    <w:rsid w:val="007416B6"/>
    <w:rsid w:val="00746F48"/>
    <w:rsid w:val="0075404D"/>
    <w:rsid w:val="0076182A"/>
    <w:rsid w:val="00767B7E"/>
    <w:rsid w:val="007770C3"/>
    <w:rsid w:val="00784D24"/>
    <w:rsid w:val="00785FBA"/>
    <w:rsid w:val="00786E4A"/>
    <w:rsid w:val="007875EB"/>
    <w:rsid w:val="0079426B"/>
    <w:rsid w:val="007A632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6D6D"/>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594"/>
    <w:rsid w:val="00CE44F6"/>
    <w:rsid w:val="00CE49DA"/>
    <w:rsid w:val="00CE7B61"/>
    <w:rsid w:val="00D00095"/>
    <w:rsid w:val="00D114F0"/>
    <w:rsid w:val="00D20620"/>
    <w:rsid w:val="00D254F7"/>
    <w:rsid w:val="00D26091"/>
    <w:rsid w:val="00D2685C"/>
    <w:rsid w:val="00D34E7C"/>
    <w:rsid w:val="00D35489"/>
    <w:rsid w:val="00D36AFE"/>
    <w:rsid w:val="00D51276"/>
    <w:rsid w:val="00D52214"/>
    <w:rsid w:val="00D7035F"/>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4558"/>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620C91"/>
    <w:rsid w:val="020229F7"/>
    <w:rsid w:val="024D5FE9"/>
    <w:rsid w:val="02757FEC"/>
    <w:rsid w:val="028446B9"/>
    <w:rsid w:val="029E78E3"/>
    <w:rsid w:val="030E347D"/>
    <w:rsid w:val="03395BBB"/>
    <w:rsid w:val="033A625B"/>
    <w:rsid w:val="0365441F"/>
    <w:rsid w:val="03EA797F"/>
    <w:rsid w:val="04C7740D"/>
    <w:rsid w:val="04DD5732"/>
    <w:rsid w:val="04E8356F"/>
    <w:rsid w:val="04F144A8"/>
    <w:rsid w:val="0500542D"/>
    <w:rsid w:val="0526356D"/>
    <w:rsid w:val="05360ADA"/>
    <w:rsid w:val="05566DF0"/>
    <w:rsid w:val="05787942"/>
    <w:rsid w:val="057D62BB"/>
    <w:rsid w:val="058B41EB"/>
    <w:rsid w:val="05C77F74"/>
    <w:rsid w:val="05EA4A02"/>
    <w:rsid w:val="0659509A"/>
    <w:rsid w:val="066E0107"/>
    <w:rsid w:val="074C67F3"/>
    <w:rsid w:val="079246FF"/>
    <w:rsid w:val="07996F6E"/>
    <w:rsid w:val="07B32F2C"/>
    <w:rsid w:val="082C5C50"/>
    <w:rsid w:val="084C5E88"/>
    <w:rsid w:val="08975335"/>
    <w:rsid w:val="08B7655D"/>
    <w:rsid w:val="093232D6"/>
    <w:rsid w:val="0948012D"/>
    <w:rsid w:val="09704386"/>
    <w:rsid w:val="09D918BB"/>
    <w:rsid w:val="0A2032A3"/>
    <w:rsid w:val="0A387D10"/>
    <w:rsid w:val="0B1F0176"/>
    <w:rsid w:val="0B8F2B90"/>
    <w:rsid w:val="0BFA317C"/>
    <w:rsid w:val="0D60785B"/>
    <w:rsid w:val="0EE566E0"/>
    <w:rsid w:val="0F0223D3"/>
    <w:rsid w:val="101860EC"/>
    <w:rsid w:val="10194206"/>
    <w:rsid w:val="1089327C"/>
    <w:rsid w:val="108D2546"/>
    <w:rsid w:val="109D2F9F"/>
    <w:rsid w:val="10C055FF"/>
    <w:rsid w:val="118107EC"/>
    <w:rsid w:val="11AD4CE9"/>
    <w:rsid w:val="11EF14BD"/>
    <w:rsid w:val="1263196E"/>
    <w:rsid w:val="1267193F"/>
    <w:rsid w:val="12F16354"/>
    <w:rsid w:val="130A3260"/>
    <w:rsid w:val="132D0D85"/>
    <w:rsid w:val="13D50BC4"/>
    <w:rsid w:val="147C2C20"/>
    <w:rsid w:val="14A46B54"/>
    <w:rsid w:val="14C85015"/>
    <w:rsid w:val="15936ECB"/>
    <w:rsid w:val="15982838"/>
    <w:rsid w:val="15A26CCA"/>
    <w:rsid w:val="15CA25CF"/>
    <w:rsid w:val="160B219E"/>
    <w:rsid w:val="16150295"/>
    <w:rsid w:val="16BB723D"/>
    <w:rsid w:val="178033FF"/>
    <w:rsid w:val="179942E7"/>
    <w:rsid w:val="17BF5CE0"/>
    <w:rsid w:val="17D012EB"/>
    <w:rsid w:val="18126300"/>
    <w:rsid w:val="181A3589"/>
    <w:rsid w:val="187F1CA7"/>
    <w:rsid w:val="18BE09DC"/>
    <w:rsid w:val="1900565E"/>
    <w:rsid w:val="19AC6D76"/>
    <w:rsid w:val="1A4144CE"/>
    <w:rsid w:val="1A4C0708"/>
    <w:rsid w:val="1B360968"/>
    <w:rsid w:val="1B402799"/>
    <w:rsid w:val="1B595AC6"/>
    <w:rsid w:val="1B8175B2"/>
    <w:rsid w:val="1B874653"/>
    <w:rsid w:val="1BE8440E"/>
    <w:rsid w:val="1BF91D4B"/>
    <w:rsid w:val="1C02354C"/>
    <w:rsid w:val="1C126623"/>
    <w:rsid w:val="1D155CEE"/>
    <w:rsid w:val="1D49375E"/>
    <w:rsid w:val="1D5766A3"/>
    <w:rsid w:val="1E11371A"/>
    <w:rsid w:val="1E3C1D04"/>
    <w:rsid w:val="1E4B2DB3"/>
    <w:rsid w:val="1E614A17"/>
    <w:rsid w:val="1EEC6B77"/>
    <w:rsid w:val="1F062DF3"/>
    <w:rsid w:val="1F934978"/>
    <w:rsid w:val="1FC4068D"/>
    <w:rsid w:val="20136C0D"/>
    <w:rsid w:val="202350B2"/>
    <w:rsid w:val="20C77EB3"/>
    <w:rsid w:val="20F80348"/>
    <w:rsid w:val="21084F3F"/>
    <w:rsid w:val="21781EEE"/>
    <w:rsid w:val="21E57A1D"/>
    <w:rsid w:val="229131D5"/>
    <w:rsid w:val="22AE4EA7"/>
    <w:rsid w:val="236B1A72"/>
    <w:rsid w:val="23860B96"/>
    <w:rsid w:val="23CF51FC"/>
    <w:rsid w:val="240371BF"/>
    <w:rsid w:val="24223D1B"/>
    <w:rsid w:val="24781376"/>
    <w:rsid w:val="25981E3D"/>
    <w:rsid w:val="25B4554C"/>
    <w:rsid w:val="25B55993"/>
    <w:rsid w:val="25BD2F50"/>
    <w:rsid w:val="26356A68"/>
    <w:rsid w:val="265E59E4"/>
    <w:rsid w:val="26783AFF"/>
    <w:rsid w:val="268B2772"/>
    <w:rsid w:val="26E07777"/>
    <w:rsid w:val="273743C7"/>
    <w:rsid w:val="27414BAF"/>
    <w:rsid w:val="2742512E"/>
    <w:rsid w:val="27483017"/>
    <w:rsid w:val="279A49C3"/>
    <w:rsid w:val="28170D65"/>
    <w:rsid w:val="282155F3"/>
    <w:rsid w:val="28442FD5"/>
    <w:rsid w:val="288A7F6E"/>
    <w:rsid w:val="28FC7122"/>
    <w:rsid w:val="29077F7C"/>
    <w:rsid w:val="29AC5450"/>
    <w:rsid w:val="29C25ADA"/>
    <w:rsid w:val="29FD04D3"/>
    <w:rsid w:val="2A75293C"/>
    <w:rsid w:val="2A810EFF"/>
    <w:rsid w:val="2AB914BD"/>
    <w:rsid w:val="2AE56FBF"/>
    <w:rsid w:val="2B413648"/>
    <w:rsid w:val="2BCC56D4"/>
    <w:rsid w:val="2BFC15D1"/>
    <w:rsid w:val="2C8A61B5"/>
    <w:rsid w:val="2CA0641D"/>
    <w:rsid w:val="2CD10823"/>
    <w:rsid w:val="2CE02D28"/>
    <w:rsid w:val="2DF04E50"/>
    <w:rsid w:val="2E0C02C0"/>
    <w:rsid w:val="2F0A04AE"/>
    <w:rsid w:val="2F19069A"/>
    <w:rsid w:val="2F8E15C3"/>
    <w:rsid w:val="3035534D"/>
    <w:rsid w:val="30AF6DD2"/>
    <w:rsid w:val="31284C0E"/>
    <w:rsid w:val="31323A43"/>
    <w:rsid w:val="3141399C"/>
    <w:rsid w:val="319F7F4E"/>
    <w:rsid w:val="31D14E67"/>
    <w:rsid w:val="31E23E16"/>
    <w:rsid w:val="32462380"/>
    <w:rsid w:val="32BE6025"/>
    <w:rsid w:val="33354FF9"/>
    <w:rsid w:val="336932AE"/>
    <w:rsid w:val="339A3DEF"/>
    <w:rsid w:val="3406481D"/>
    <w:rsid w:val="34186FA9"/>
    <w:rsid w:val="34E62C36"/>
    <w:rsid w:val="359843C5"/>
    <w:rsid w:val="359C2BAD"/>
    <w:rsid w:val="35A577C2"/>
    <w:rsid w:val="36116D3C"/>
    <w:rsid w:val="362419A0"/>
    <w:rsid w:val="369B3974"/>
    <w:rsid w:val="36AA5135"/>
    <w:rsid w:val="36DA5F7C"/>
    <w:rsid w:val="3741059E"/>
    <w:rsid w:val="3780117B"/>
    <w:rsid w:val="37967654"/>
    <w:rsid w:val="37E10E7F"/>
    <w:rsid w:val="37E16F03"/>
    <w:rsid w:val="38053C86"/>
    <w:rsid w:val="380736A0"/>
    <w:rsid w:val="385E38DF"/>
    <w:rsid w:val="38CF5183"/>
    <w:rsid w:val="39433B33"/>
    <w:rsid w:val="395D0C0D"/>
    <w:rsid w:val="39B11558"/>
    <w:rsid w:val="39DD2DE6"/>
    <w:rsid w:val="3A09066B"/>
    <w:rsid w:val="3A6C0495"/>
    <w:rsid w:val="3AAC724B"/>
    <w:rsid w:val="3B4D4ED5"/>
    <w:rsid w:val="3B5949A2"/>
    <w:rsid w:val="3B5F5979"/>
    <w:rsid w:val="3BB45BD1"/>
    <w:rsid w:val="3C3B2B18"/>
    <w:rsid w:val="3C4342AF"/>
    <w:rsid w:val="3C9251E5"/>
    <w:rsid w:val="3C940117"/>
    <w:rsid w:val="3CE271AC"/>
    <w:rsid w:val="3D2608C0"/>
    <w:rsid w:val="3D98207C"/>
    <w:rsid w:val="3E133456"/>
    <w:rsid w:val="3E700593"/>
    <w:rsid w:val="3E701C3D"/>
    <w:rsid w:val="3EF105B3"/>
    <w:rsid w:val="3F17626B"/>
    <w:rsid w:val="3F283D23"/>
    <w:rsid w:val="401D369A"/>
    <w:rsid w:val="40E935D1"/>
    <w:rsid w:val="41146B34"/>
    <w:rsid w:val="416013C4"/>
    <w:rsid w:val="41711B2A"/>
    <w:rsid w:val="41FD304C"/>
    <w:rsid w:val="426200B8"/>
    <w:rsid w:val="428047FD"/>
    <w:rsid w:val="431367F7"/>
    <w:rsid w:val="43382A16"/>
    <w:rsid w:val="43DD17E2"/>
    <w:rsid w:val="440442FC"/>
    <w:rsid w:val="4459274C"/>
    <w:rsid w:val="44714D34"/>
    <w:rsid w:val="4479600D"/>
    <w:rsid w:val="448A47C4"/>
    <w:rsid w:val="44BB3944"/>
    <w:rsid w:val="44CB7B97"/>
    <w:rsid w:val="44E268DA"/>
    <w:rsid w:val="45265E79"/>
    <w:rsid w:val="45300EE1"/>
    <w:rsid w:val="45755A42"/>
    <w:rsid w:val="45AC7ADD"/>
    <w:rsid w:val="45B17846"/>
    <w:rsid w:val="46195D4E"/>
    <w:rsid w:val="46C40D81"/>
    <w:rsid w:val="46C85294"/>
    <w:rsid w:val="46FF3B05"/>
    <w:rsid w:val="47212604"/>
    <w:rsid w:val="473E4747"/>
    <w:rsid w:val="47B22A94"/>
    <w:rsid w:val="47D621A8"/>
    <w:rsid w:val="47DE2F22"/>
    <w:rsid w:val="485931A3"/>
    <w:rsid w:val="488239F9"/>
    <w:rsid w:val="4981571D"/>
    <w:rsid w:val="498A778D"/>
    <w:rsid w:val="49DA6DA2"/>
    <w:rsid w:val="49F20FB3"/>
    <w:rsid w:val="4A627F82"/>
    <w:rsid w:val="4B1B4DA7"/>
    <w:rsid w:val="4B4F25DA"/>
    <w:rsid w:val="4BE068DB"/>
    <w:rsid w:val="4BEA2D4A"/>
    <w:rsid w:val="4C941FCF"/>
    <w:rsid w:val="4D0D4D07"/>
    <w:rsid w:val="4D577224"/>
    <w:rsid w:val="4D8D2BBB"/>
    <w:rsid w:val="4DC670FD"/>
    <w:rsid w:val="4E170CBE"/>
    <w:rsid w:val="4E185345"/>
    <w:rsid w:val="4E1E205B"/>
    <w:rsid w:val="4E2C0E16"/>
    <w:rsid w:val="4E45075A"/>
    <w:rsid w:val="4E834934"/>
    <w:rsid w:val="4E9811B8"/>
    <w:rsid w:val="4EAB630A"/>
    <w:rsid w:val="4ECE2238"/>
    <w:rsid w:val="4ECF4ED7"/>
    <w:rsid w:val="4F1C530A"/>
    <w:rsid w:val="4F437F99"/>
    <w:rsid w:val="4F88714F"/>
    <w:rsid w:val="4FAB3EDD"/>
    <w:rsid w:val="4FBB4449"/>
    <w:rsid w:val="4FD1217E"/>
    <w:rsid w:val="50221BB5"/>
    <w:rsid w:val="51EA1603"/>
    <w:rsid w:val="52D74DC9"/>
    <w:rsid w:val="52F77709"/>
    <w:rsid w:val="53860470"/>
    <w:rsid w:val="53C7291D"/>
    <w:rsid w:val="54964007"/>
    <w:rsid w:val="54B50CC3"/>
    <w:rsid w:val="54CF4672"/>
    <w:rsid w:val="555F75E0"/>
    <w:rsid w:val="55D87228"/>
    <w:rsid w:val="55E609F6"/>
    <w:rsid w:val="560D2B38"/>
    <w:rsid w:val="570C4022"/>
    <w:rsid w:val="5754029F"/>
    <w:rsid w:val="576B0F94"/>
    <w:rsid w:val="57F30149"/>
    <w:rsid w:val="5837359C"/>
    <w:rsid w:val="58760933"/>
    <w:rsid w:val="58A1106A"/>
    <w:rsid w:val="5977519E"/>
    <w:rsid w:val="598D40DE"/>
    <w:rsid w:val="59A665AD"/>
    <w:rsid w:val="59EF6229"/>
    <w:rsid w:val="5A021530"/>
    <w:rsid w:val="5A5D75F1"/>
    <w:rsid w:val="5A6C36A5"/>
    <w:rsid w:val="5AC763E9"/>
    <w:rsid w:val="5AD825BD"/>
    <w:rsid w:val="5AF92295"/>
    <w:rsid w:val="5B13568F"/>
    <w:rsid w:val="5C5F3512"/>
    <w:rsid w:val="5C936D17"/>
    <w:rsid w:val="5CC53978"/>
    <w:rsid w:val="5CD71FC4"/>
    <w:rsid w:val="5D0D310F"/>
    <w:rsid w:val="5D164F95"/>
    <w:rsid w:val="5D377F85"/>
    <w:rsid w:val="5D7545DC"/>
    <w:rsid w:val="5DB73BDF"/>
    <w:rsid w:val="5E1E0EDF"/>
    <w:rsid w:val="5E5D382B"/>
    <w:rsid w:val="5EA83A66"/>
    <w:rsid w:val="5EB64943"/>
    <w:rsid w:val="5F2653B5"/>
    <w:rsid w:val="5FB65AEC"/>
    <w:rsid w:val="5FCA6734"/>
    <w:rsid w:val="60520651"/>
    <w:rsid w:val="61A20F16"/>
    <w:rsid w:val="62C31330"/>
    <w:rsid w:val="62D84149"/>
    <w:rsid w:val="633C014C"/>
    <w:rsid w:val="653A6F50"/>
    <w:rsid w:val="65AC4F66"/>
    <w:rsid w:val="65D00B8B"/>
    <w:rsid w:val="65E3460D"/>
    <w:rsid w:val="65FC5DA6"/>
    <w:rsid w:val="66645205"/>
    <w:rsid w:val="66D11227"/>
    <w:rsid w:val="679E59A7"/>
    <w:rsid w:val="68335C78"/>
    <w:rsid w:val="685F543C"/>
    <w:rsid w:val="693128D7"/>
    <w:rsid w:val="694F38F8"/>
    <w:rsid w:val="696E040B"/>
    <w:rsid w:val="698E58C7"/>
    <w:rsid w:val="69AD56E9"/>
    <w:rsid w:val="69F52949"/>
    <w:rsid w:val="6A323707"/>
    <w:rsid w:val="6B8C1511"/>
    <w:rsid w:val="6BA64763"/>
    <w:rsid w:val="6C00764E"/>
    <w:rsid w:val="6C4A05C8"/>
    <w:rsid w:val="6CDC456F"/>
    <w:rsid w:val="6D3457FC"/>
    <w:rsid w:val="6D661439"/>
    <w:rsid w:val="6DA924F3"/>
    <w:rsid w:val="6DEA4892"/>
    <w:rsid w:val="6E117D2A"/>
    <w:rsid w:val="6E6638AC"/>
    <w:rsid w:val="6E7E3605"/>
    <w:rsid w:val="6E89443C"/>
    <w:rsid w:val="6EC91179"/>
    <w:rsid w:val="6F0455D3"/>
    <w:rsid w:val="6F3F52B7"/>
    <w:rsid w:val="6F601FB2"/>
    <w:rsid w:val="6F8B778A"/>
    <w:rsid w:val="6FED3FA2"/>
    <w:rsid w:val="6FF5CC65"/>
    <w:rsid w:val="701C2876"/>
    <w:rsid w:val="702C547E"/>
    <w:rsid w:val="71585309"/>
    <w:rsid w:val="715C0E4B"/>
    <w:rsid w:val="71D25483"/>
    <w:rsid w:val="72204D06"/>
    <w:rsid w:val="72734D90"/>
    <w:rsid w:val="72F82260"/>
    <w:rsid w:val="72FB0480"/>
    <w:rsid w:val="73472483"/>
    <w:rsid w:val="736A37AB"/>
    <w:rsid w:val="73AD73D5"/>
    <w:rsid w:val="73B6EB34"/>
    <w:rsid w:val="74092617"/>
    <w:rsid w:val="741A4A59"/>
    <w:rsid w:val="748038CF"/>
    <w:rsid w:val="749830E0"/>
    <w:rsid w:val="74ED4852"/>
    <w:rsid w:val="751525ED"/>
    <w:rsid w:val="757B5A8A"/>
    <w:rsid w:val="75C548B2"/>
    <w:rsid w:val="75DE0C9E"/>
    <w:rsid w:val="768C21C9"/>
    <w:rsid w:val="7737171D"/>
    <w:rsid w:val="776C518E"/>
    <w:rsid w:val="77E3025A"/>
    <w:rsid w:val="77F27B3B"/>
    <w:rsid w:val="78111F60"/>
    <w:rsid w:val="78525A31"/>
    <w:rsid w:val="788372A4"/>
    <w:rsid w:val="78867A10"/>
    <w:rsid w:val="78D44A49"/>
    <w:rsid w:val="78F23CD4"/>
    <w:rsid w:val="79463844"/>
    <w:rsid w:val="794A4115"/>
    <w:rsid w:val="796F2553"/>
    <w:rsid w:val="79977643"/>
    <w:rsid w:val="799831CF"/>
    <w:rsid w:val="79A15987"/>
    <w:rsid w:val="79EE5BA4"/>
    <w:rsid w:val="7A894339"/>
    <w:rsid w:val="7AAF0640"/>
    <w:rsid w:val="7AB649ED"/>
    <w:rsid w:val="7BDA7D8B"/>
    <w:rsid w:val="7C213431"/>
    <w:rsid w:val="7C234DBF"/>
    <w:rsid w:val="7C8E49DD"/>
    <w:rsid w:val="7CE159C7"/>
    <w:rsid w:val="7D64451B"/>
    <w:rsid w:val="7DAB29C8"/>
    <w:rsid w:val="7DDB33A4"/>
    <w:rsid w:val="7DFD54DE"/>
    <w:rsid w:val="7E0A346B"/>
    <w:rsid w:val="7E0C2622"/>
    <w:rsid w:val="7E3D4972"/>
    <w:rsid w:val="7E690DEA"/>
    <w:rsid w:val="7E7A79C3"/>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eastAsia="仿宋"/>
      <w:sz w:val="32"/>
      <w:szCs w:val="24"/>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8"/>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39044;&#20915;&#31639;&#12289;&#19977;&#20844;&#32463;&#36153;\&#39044;&#20915;&#31639;&#20844;&#24320;\&#20915;&#31639;&#20844;&#24320;\2021&#24180;&#20915;&#31639;&#20844;&#24320;\&#22270;&#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39044;&#20915;&#31639;&#12289;&#19977;&#20844;&#32463;&#36153;\&#39044;&#20915;&#31639;&#20844;&#24320;\&#20915;&#31639;&#20844;&#24320;\2021&#24180;&#20915;&#31639;&#20844;&#24320;\&#22270;&#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39044;&#20915;&#31639;&#12289;&#19977;&#20844;&#32463;&#36153;\&#39044;&#20915;&#31639;&#20844;&#24320;\&#20915;&#31639;&#20844;&#24320;\2021&#24180;&#20915;&#31639;&#20844;&#24320;\&#22270;&#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39044;&#20915;&#31639;&#12289;&#19977;&#20844;&#32463;&#36153;\&#39044;&#20915;&#31639;&#20844;&#24320;\&#20915;&#31639;&#20844;&#24320;\2021&#24180;&#20915;&#31639;&#20844;&#24320;\&#22270;&#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39044;&#20915;&#31639;&#12289;&#19977;&#20844;&#32463;&#36153;\&#39044;&#20915;&#31639;&#20844;&#24320;\&#20915;&#31639;&#20844;&#24320;\2021&#24180;&#20915;&#31639;&#20844;&#24320;\&#22270;&#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39044;&#20915;&#31639;&#12289;&#19977;&#20844;&#32463;&#36153;\&#39044;&#20915;&#31639;&#20844;&#24320;\&#20915;&#31639;&#20844;&#24320;\2021&#24180;&#20915;&#31639;&#20844;&#24320;\&#22270;&#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39044;&#20915;&#31639;&#12289;&#19977;&#20844;&#32463;&#36153;\&#39044;&#20915;&#31639;&#20844;&#24320;\&#20915;&#31639;&#20844;&#24320;\2021&#24180;&#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[图表.xls]tu1!$B$1:$B$2</c:f>
              <c:strCache>
                <c:ptCount val="1"/>
                <c:pt idx="0">
                  <c:v>图1：收、支决算总计变动情况图 收入总计（万元）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[图表.xls]tu1!$A$3:$A$4</c:f>
              <c:strCache>
                <c:ptCount val="2"/>
                <c:pt idx="0">
                  <c:v>2021年收支总计（万元）</c:v>
                </c:pt>
                <c:pt idx="1">
                  <c:v>2022年收支总计（万元）</c:v>
                </c:pt>
              </c:strCache>
            </c:strRef>
          </c:cat>
          <c:val>
            <c:numRef>
              <c:f>[图表.xls]tu1!$B$3:$B$4</c:f>
              <c:numCache>
                <c:formatCode>General</c:formatCode>
                <c:ptCount val="2"/>
                <c:pt idx="0">
                  <c:v>6122.3</c:v>
                </c:pt>
                <c:pt idx="1">
                  <c:v>2189.99</c:v>
                </c:pt>
              </c:numCache>
            </c:numRef>
          </c:val>
        </c:ser>
        <c:dLbls>
          <c:showLegendKey val="0"/>
          <c:showVal val="1"/>
          <c:showCatName val="0"/>
          <c:showSerName val="0"/>
          <c:showPercent val="0"/>
          <c:showBubbleSize val="0"/>
        </c:dLbls>
        <c:gapWidth val="219"/>
        <c:overlap val="-27"/>
        <c:axId val="288840501"/>
        <c:axId val="855969251"/>
      </c:barChart>
      <c:catAx>
        <c:axId val="2888405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5969251"/>
        <c:crosses val="autoZero"/>
        <c:auto val="1"/>
        <c:lblAlgn val="ctr"/>
        <c:lblOffset val="100"/>
        <c:noMultiLvlLbl val="0"/>
      </c:catAx>
      <c:valAx>
        <c:axId val="8559692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84050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57152777777778"/>
          <c:y val="0.00683371298405467"/>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[图表.xls]tu2!$B$1:$B$2</c:f>
              <c:strCache>
                <c:ptCount val="1"/>
                <c:pt idx="0">
                  <c:v>图2：收入决算结构图 金额（万元）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[图表.xls]tu2!$A$3:$A$4</c:f>
              <c:strCache>
                <c:ptCount val="2"/>
                <c:pt idx="0">
                  <c:v>一般公共预算财政拨款收入</c:v>
                </c:pt>
                <c:pt idx="1">
                  <c:v>政府性基金预算财政拨款收入</c:v>
                </c:pt>
              </c:strCache>
            </c:strRef>
          </c:cat>
          <c:val>
            <c:numRef>
              <c:f>[图表.xls]tu2!$B$3:$B$4</c:f>
              <c:numCache>
                <c:formatCode>General</c:formatCode>
                <c:ptCount val="2"/>
                <c:pt idx="0">
                  <c:v>407.03</c:v>
                </c:pt>
                <c:pt idx="1">
                  <c:v>145.09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图3：支出决算结构图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'[图表.xls]3'!$A$1:$A$2</c:f>
              <c:strCache>
                <c:ptCount val="2"/>
                <c:pt idx="0">
                  <c:v>基本支出（万元）</c:v>
                </c:pt>
                <c:pt idx="1">
                  <c:v>项目支出（万元）</c:v>
                </c:pt>
              </c:strCache>
            </c:strRef>
          </c:cat>
          <c:val>
            <c:numRef>
              <c:f>'[图表.xls]3'!$B$1:$B$2</c:f>
              <c:numCache>
                <c:formatCode>General</c:formatCode>
                <c:ptCount val="2"/>
                <c:pt idx="0">
                  <c:v>315.62</c:v>
                </c:pt>
                <c:pt idx="1">
                  <c:v>5801.82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图4：财政拨款收、支决算总计变动情况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'[图表.xls]4'!$A$1:$A$2</c:f>
              <c:strCache>
                <c:ptCount val="2"/>
                <c:pt idx="0">
                  <c:v>2021年财政拨款收、支总计（万元）</c:v>
                </c:pt>
                <c:pt idx="1">
                  <c:v>2020年财政拨款收、支总计（万元）</c:v>
                </c:pt>
              </c:strCache>
            </c:strRef>
          </c:cat>
          <c:val>
            <c:numRef>
              <c:f>'[图表.xls]4'!$B$1:$B$2</c:f>
              <c:numCache>
                <c:formatCode>General</c:formatCode>
                <c:ptCount val="2"/>
                <c:pt idx="0">
                  <c:v>6122.28</c:v>
                </c:pt>
                <c:pt idx="1">
                  <c:v>2189.92</c:v>
                </c:pt>
              </c:numCache>
            </c:numRef>
          </c:val>
        </c:ser>
        <c:dLbls>
          <c:showLegendKey val="0"/>
          <c:showVal val="1"/>
          <c:showCatName val="0"/>
          <c:showSerName val="0"/>
          <c:showPercent val="0"/>
          <c:showBubbleSize val="0"/>
        </c:dLbls>
        <c:gapWidth val="219"/>
        <c:overlap val="-27"/>
        <c:axId val="715970112"/>
        <c:axId val="749170993"/>
      </c:barChart>
      <c:catAx>
        <c:axId val="7159701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9170993"/>
        <c:crosses val="autoZero"/>
        <c:auto val="1"/>
        <c:lblAlgn val="ctr"/>
        <c:lblOffset val="100"/>
        <c:noMultiLvlLbl val="0"/>
      </c:catAx>
      <c:valAx>
        <c:axId val="7491709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5970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图5：一般公共预算财政拨款支出决算变动情况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'[图表.xls]5'!$A$2:$A$3</c:f>
              <c:strCache>
                <c:ptCount val="2"/>
                <c:pt idx="0">
                  <c:v>2021年一般公共预算财政拨款支出（万元）</c:v>
                </c:pt>
                <c:pt idx="1">
                  <c:v>2020年一般公共预算财政拨款支出（万元）</c:v>
                </c:pt>
              </c:strCache>
            </c:strRef>
          </c:cat>
          <c:val>
            <c:numRef>
              <c:f>'[图表.xls]5'!$B$2:$B$3</c:f>
              <c:numCache>
                <c:formatCode>General</c:formatCode>
                <c:ptCount val="2"/>
                <c:pt idx="0">
                  <c:v>2972.34</c:v>
                </c:pt>
                <c:pt idx="1">
                  <c:v>362.32</c:v>
                </c:pt>
              </c:numCache>
            </c:numRef>
          </c:val>
        </c:ser>
        <c:dLbls>
          <c:showLegendKey val="0"/>
          <c:showVal val="1"/>
          <c:showCatName val="0"/>
          <c:showSerName val="0"/>
          <c:showPercent val="0"/>
          <c:showBubbleSize val="0"/>
        </c:dLbls>
        <c:gapWidth val="219"/>
        <c:overlap val="-27"/>
        <c:axId val="10644577"/>
        <c:axId val="813160650"/>
      </c:barChart>
      <c:catAx>
        <c:axId val="106445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3160650"/>
        <c:crosses val="autoZero"/>
        <c:auto val="1"/>
        <c:lblAlgn val="ctr"/>
        <c:lblOffset val="100"/>
        <c:noMultiLvlLbl val="0"/>
      </c:catAx>
      <c:valAx>
        <c:axId val="8131606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4457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图6：一般公共预算财政拨款支出决算结构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'[图表.xls]6'!$A$2:$A$7</c:f>
              <c:strCache>
                <c:ptCount val="6"/>
                <c:pt idx="0">
                  <c:v>社会保障和就业（类）支出（万元）</c:v>
                </c:pt>
                <c:pt idx="1">
                  <c:v>卫生健康支出（万元）</c:v>
                </c:pt>
                <c:pt idx="2">
                  <c:v>城乡社区支出（万元）</c:v>
                </c:pt>
                <c:pt idx="3">
                  <c:v>农林水支出（万元）</c:v>
                </c:pt>
                <c:pt idx="4">
                  <c:v>资源勘探工业信息等支出（万元）</c:v>
                </c:pt>
                <c:pt idx="5">
                  <c:v>住房保障支出（万元）</c:v>
                </c:pt>
              </c:strCache>
            </c:strRef>
          </c:cat>
          <c:val>
            <c:numRef>
              <c:f>'[图表.xls]6'!$B$2:$B$7</c:f>
              <c:numCache>
                <c:formatCode>General</c:formatCode>
                <c:ptCount val="6"/>
                <c:pt idx="0">
                  <c:v>31.26</c:v>
                </c:pt>
                <c:pt idx="1">
                  <c:v>7.45</c:v>
                </c:pt>
                <c:pt idx="2">
                  <c:v>2897.85</c:v>
                </c:pt>
                <c:pt idx="3">
                  <c:v>1</c:v>
                </c:pt>
                <c:pt idx="4">
                  <c:v>8.17</c:v>
                </c:pt>
                <c:pt idx="5">
                  <c:v>26.61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manualLayout>
          <c:xMode val="edge"/>
          <c:yMode val="edge"/>
          <c:x val="0.243611111111111"/>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'[图表.xls]7'!$A$2:$A$4</c:f>
              <c:strCache>
                <c:ptCount val="3"/>
                <c:pt idx="0">
                  <c:v>因公出国出境</c:v>
                </c:pt>
                <c:pt idx="1">
                  <c:v>公务用车购置及运行维护费</c:v>
                </c:pt>
                <c:pt idx="2">
                  <c:v>公务接待费</c:v>
                </c:pt>
              </c:strCache>
            </c:strRef>
          </c:cat>
          <c:val>
            <c:numRef>
              <c:f>'[图表.xls]7'!$B$2:$B$4</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1220</Words>
  <Characters>6954</Characters>
  <Lines>57</Lines>
  <Paragraphs>16</Paragraphs>
  <TotalTime>2</TotalTime>
  <ScaleCrop>false</ScaleCrop>
  <LinksUpToDate>false</LinksUpToDate>
  <CharactersWithSpaces>8158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然</cp:lastModifiedBy>
  <cp:lastPrinted>2022-08-08T09:11:00Z</cp:lastPrinted>
  <dcterms:modified xsi:type="dcterms:W3CDTF">2022-10-27T03:04:36Z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