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</w:rPr>
        <w:t>峨眉山市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教育考试中心</w:t>
      </w:r>
      <w:r>
        <w:rPr>
          <w:rFonts w:ascii="宋体" w:hAnsi="宋体" w:eastAsia="宋体" w:cs="宋体"/>
          <w:sz w:val="40"/>
          <w:szCs w:val="40"/>
        </w:rPr>
        <w:t>2022年预算</w:t>
      </w:r>
      <w:r>
        <w:rPr>
          <w:rFonts w:hint="eastAsia" w:ascii="宋体" w:hAnsi="宋体" w:eastAsia="宋体" w:cs="宋体"/>
          <w:sz w:val="40"/>
          <w:szCs w:val="40"/>
          <w:lang w:eastAsia="zh-CN"/>
        </w:rPr>
        <w:t>编制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公开</w:t>
      </w:r>
    </w:p>
    <w:p>
      <w:pPr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目录</w:t>
      </w:r>
    </w:p>
    <w:p>
      <w:pPr>
        <w:jc w:val="center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第一部分 关于峨眉山教育考试中心2022年部门预算编制的说明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一、基本职能及主要工作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三、收支预算总体情况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四、财政拨款支出预算安排情况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五、一般公共预算当年拨款情况说明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六、一般公共预算基本支出情况说明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七、政府性基金预算支出规模及变化情况说明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八、“三公”经费预算安排情况说明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九、其他重要事项的情况说明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第二部分 2022年峨眉山市本级部门预算表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一、收支预算总表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二、收入预算总表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三、支出预算总表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四、财政拨款预算总表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五、一般公共预算支出表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六、一般公共预算基本支出表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八、政府性基金预算支出表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九、国有资本经营预算支出表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十、 支出功能分类预算表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十一、 支出经济分类预算表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十二、 项目支出表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十三、 项目支出预算明细表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十四、 项目支出绩效表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十五、政府购买服务预算表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十六、政府采购预算表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十七、国有资产配置预算表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十八、部门（单位）整体支出绩效目标申报表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mZkOWVkZjM0ZjhkYTQ1NmM1YWRiN2QzNWNlMGUifQ=="/>
  </w:docVars>
  <w:rsids>
    <w:rsidRoot w:val="5577079E"/>
    <w:rsid w:val="12D62443"/>
    <w:rsid w:val="5577079E"/>
    <w:rsid w:val="76C6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849</Characters>
  <Lines>0</Lines>
  <Paragraphs>0</Paragraphs>
  <TotalTime>22</TotalTime>
  <ScaleCrop>false</ScaleCrop>
  <LinksUpToDate>false</LinksUpToDate>
  <CharactersWithSpaces>856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2022-05-31T00:16:00Z</dcterms:created>
  <dc:creator>萬</dc:creator>
  <cp:lastModifiedBy>Administrator</cp:lastModifiedBy>
  <dcterms:modified xsi:type="dcterms:W3CDTF">2022-06-06T09:09:08Z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CDA8FFDD97D24B9680981978E1FC17EE</vt:lpwstr>
  </property>
</Properties>
</file>