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96597"/>
      <w:bookmarkStart w:id="4" w:name="_Toc15377193"/>
      <w:bookmarkStart w:id="5" w:name="_Toc15377425"/>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8442"/>
      <w:bookmarkStart w:id="7" w:name="_Toc15377194"/>
      <w:bookmarkStart w:id="8" w:name="_Toc15377426"/>
      <w:bookmarkStart w:id="9" w:name="_Toc15396598"/>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乐山市峨眉山市</w:t>
      </w:r>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符溪镇人民政府</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r>
        <w:rPr>
          <w:rFonts w:ascii="方正小标宋简体" w:hAnsi="宋体" w:eastAsia="方正小标宋简体"/>
          <w:color w:val="000000"/>
          <w:sz w:val="52"/>
          <w:szCs w:val="52"/>
        </w:rPr>
        <w:t>(</w:t>
      </w:r>
      <w:r>
        <w:rPr>
          <w:rFonts w:hint="eastAsia" w:ascii="方正小标宋简体" w:hAnsi="宋体" w:eastAsia="方正小标宋简体"/>
          <w:color w:val="000000"/>
          <w:sz w:val="52"/>
          <w:szCs w:val="52"/>
        </w:rPr>
        <w:t>范本</w:t>
      </w:r>
      <w:r>
        <w:rPr>
          <w:rFonts w:ascii="方正小标宋简体" w:hAnsi="宋体" w:eastAsia="方正小标宋简体"/>
          <w:color w:val="000000"/>
          <w:sz w:val="52"/>
          <w:szCs w:val="52"/>
        </w:rPr>
        <w:t>)</w:t>
      </w:r>
    </w:p>
    <w:p>
      <w:pPr>
        <w:pStyle w:val="2"/>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3"/>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公开时间：2021年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 日</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第一部分 部门概况</w:t>
      </w:r>
      <w:r>
        <w:rPr>
          <w:rFonts w:hint="eastAsia" w:ascii="黑体" w:hAnsi="黑体" w:eastAsia="黑体" w:cs="黑体"/>
          <w:sz w:val="32"/>
          <w:szCs w:val="32"/>
          <w:lang w:val="en-US" w:eastAsia="zh-CN"/>
        </w:rPr>
        <w:t>(P4-11)</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P4-10</w:t>
      </w:r>
      <w:r>
        <w:rPr>
          <w:rFonts w:hint="eastAsia" w:ascii="仿宋_GB2312" w:hAnsi="仿宋_GB2312" w:eastAsia="仿宋_GB2312" w:cs="仿宋_GB2312"/>
          <w:sz w:val="32"/>
          <w:szCs w:val="32"/>
          <w:lang w:eastAsia="zh-CN"/>
        </w:rPr>
        <w:t>）</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(P10-11)</w:t>
      </w:r>
    </w:p>
    <w:p>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部门决算情况说明</w:t>
      </w:r>
      <w:r>
        <w:rPr>
          <w:rFonts w:hint="eastAsia" w:ascii="黑体" w:hAnsi="黑体" w:eastAsia="黑体" w:cs="黑体"/>
          <w:sz w:val="32"/>
          <w:szCs w:val="32"/>
          <w:lang w:val="en-US" w:eastAsia="zh-CN"/>
        </w:rPr>
        <w:t>(P11-44)</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(P11)</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(P12)</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(P12-13)</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(P13-14)</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(P14-18)</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(P18-19)</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(P19-21)</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(P22)</w:t>
      </w:r>
    </w:p>
    <w:p>
      <w:pPr>
        <w:pStyle w:val="14"/>
        <w:keepNext w:val="0"/>
        <w:keepLines w:val="0"/>
        <w:pageBreakBefore w:val="0"/>
        <w:kinsoku/>
        <w:wordWrap/>
        <w:overflowPunct/>
        <w:topLinePunct w:val="0"/>
        <w:autoSpaceDE/>
        <w:autoSpaceDN/>
        <w:bidi w:val="0"/>
        <w:adjustRightInd w:val="0"/>
        <w:snapToGrid w:val="0"/>
        <w:spacing w:line="600" w:lineRule="exact"/>
        <w:ind w:left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(P22)</w:t>
      </w:r>
    </w:p>
    <w:p>
      <w:pPr>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Style w:val="18"/>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(P22-44)</w:t>
      </w:r>
    </w:p>
    <w:p>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(P45-50)</w:t>
      </w:r>
    </w:p>
    <w:p>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(P50-75)</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(P50-56)</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val="en-US" w:eastAsia="zh-CN"/>
        </w:rPr>
        <w:t>(P56-75)</w:t>
      </w:r>
    </w:p>
    <w:p>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 附表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4"/>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keepNext w:val="0"/>
        <w:keepLines w:val="0"/>
        <w:pageBreakBefore w:val="0"/>
        <w:widowControl/>
        <w:kinsoku/>
        <w:wordWrap/>
        <w:overflowPunct/>
        <w:topLinePunct w:val="0"/>
        <w:autoSpaceDE/>
        <w:autoSpaceDN/>
        <w:bidi w:val="0"/>
        <w:adjustRightInd w:val="0"/>
        <w:snapToGrid w:val="0"/>
        <w:spacing w:line="600" w:lineRule="exact"/>
        <w:ind w:firstLine="1760" w:firstLineChars="55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(注：请部门根据实际注明页码)</w:t>
      </w:r>
    </w:p>
    <w:p>
      <w:pPr>
        <w:widowControl/>
        <w:spacing w:line="440" w:lineRule="exact"/>
        <w:jc w:val="left"/>
        <w:rPr>
          <w:rFonts w:ascii="仿宋" w:hAnsi="仿宋" w:eastAsia="仿宋"/>
          <w:bCs/>
          <w:kern w:val="44"/>
          <w:sz w:val="32"/>
          <w:szCs w:val="32"/>
        </w:rPr>
      </w:pPr>
      <w:bookmarkStart w:id="12" w:name="_Toc15377196"/>
      <w:bookmarkStart w:id="13" w:name="_Toc15396599"/>
      <w:r>
        <w:rPr>
          <w:rFonts w:ascii="仿宋" w:hAnsi="仿宋" w:eastAsia="仿宋"/>
          <w:b/>
          <w:sz w:val="32"/>
          <w:szCs w:val="32"/>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pStyle w:val="4"/>
        <w:rPr>
          <w:rStyle w:val="29"/>
          <w:rFonts w:ascii="仿宋" w:hAnsi="仿宋" w:eastAsia="仿宋"/>
          <w:b w:val="0"/>
          <w:bCs w:val="0"/>
        </w:rPr>
      </w:pPr>
      <w:bookmarkStart w:id="71" w:name="_GoBack"/>
      <w:bookmarkStart w:id="14" w:name="_Toc15396600"/>
      <w:bookmarkStart w:id="1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p>
    <w:bookmarkEnd w:id="71"/>
    <w:p>
      <w:pPr>
        <w:widowControl/>
        <w:spacing w:line="375" w:lineRule="atLeast"/>
        <w:ind w:firstLine="320"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w:t>
      </w:r>
    </w:p>
    <w:p>
      <w:pPr>
        <w:widowControl/>
        <w:spacing w:line="375"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镇根据《峨眉山市乡镇机构改革方案》，按照职能归口，突出管理、公共服务、经济发展三大职能要求，设立9个行政机构、4个事业机构。行政机构设党政办公室、党建办公室、社会事务办公室、综合执法办公室、规划建设管理办公室、乡村振兴办公室（脱贫攻坚办公室）、财政所、社会治理办公室、自然资源和生态环境保护办公室；事业机构设便民服务中心(退役军人服务站)、农业综合服务中心、文化旅游服务中心、农民工服务中心。</w:t>
      </w:r>
    </w:p>
    <w:p>
      <w:pPr>
        <w:widowControl/>
        <w:spacing w:line="375"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镇党委的主要职责：1、全面贯彻党的基本理论、基本路线、基本方略，宣传党的主张、落实党的决策部署，团结并组织党员、干部和群众，扎实做好改革发展稳定各项工作；2、讨论决定加强党的建设、推进区域发展、促进乡村振兴、保护生态环境、组织公共服务、实施综合管理、指导基层自治、维护安全稳定、动员社会参与等方面的重大问题；3、领导镇政府和工会、共青团、妇联等群团组织，支持和保证行政组织、经济组织、社会组织和其他自治组织依法依章程充分行使职权；4、落实全面从严治党主体责任，强化基层党组织的政治功能和服务功能，抓好党员管理和发展党员工作，发挥基层党组织战斗堡垒作用和党员先锋模范作用；5、按照有关规定和干部管理权限，做好干部推荐、提名、任免和教育、管理、监督工作，研究决定党员干部纪律处分有关事项，落实党的人才政策，抓好优秀人才引进、培养、使用、服务工作；6、坚持以党建为引领，加强基层治理体系建设，实现政府治理和社会调节、村（居）民自治良性互动，打造共建共治共享的基层治理格局；7、加强基层宣传思想文化工作，推进基层精神文明建设，培养和弘扬社会主义核心价值观，创造良好社会环境；8、综合协调辖区内各类执法工作和城镇管理、人口管理、安全管理、住宅小区管理等工作以及社会治安综合治理工作中的重大事项和难点问题；9、统筹调度指挥派驻机构、市级部门设在本乡镇的机构力量；10、完成市委交办的其他工作。</w:t>
      </w:r>
    </w:p>
    <w:p>
      <w:pPr>
        <w:widowControl/>
        <w:spacing w:line="375" w:lineRule="atLeast"/>
        <w:ind w:firstLine="48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镇人民政府的主要职责：1、贯彻落实党的路线方针政策和国家法律法规以及上级的决定和命令，加强农村基层政权建设，巩固党在农村的执政基础；2、组织编制本行政区域经济社会发展规划和镇国土空间规划、村（社区）规划等相关规划；3、指导农村经济发展，推进农业经济结构调整，促进经济增长方式转变，促进农业增效、农民增收；4、加强农村公共服务体系建设，抓好基础教育、统计、科技、文化、体育、卫生健康、食品安全等工作，做好民政事务、就业培训、社会保障、劳动关系协调、民族宗教等工作，促进农村社会事业健康发展；5、推进基层民主法制建设，加强普法依法治理，指导村（居）民委员会工作，维护群众合法权益；6、承担辖区平安建设、社会治安综合治理、公共安全、安全生产及应急管理等有关工作，处理群众来信来访，反映社情民意，化解矛盾纠纷，维护社会安全稳定；7、做好国防教育和兵役等工作；8、做好生态环境保护、人居环境整治相关工作；9、负责建立和完善权力清单、责任清单、公共服务清单动态调整和公示机制，推进政务公开 ，接受群众监督，增强政府公信力；10、承担法律、法规、规章规定的其他职能，完成市委、市政府交办的其他工作。</w:t>
      </w:r>
    </w:p>
    <w:p>
      <w:pPr>
        <w:pStyle w:val="7"/>
        <w:adjustRightInd w:val="0"/>
        <w:snapToGrid w:val="0"/>
        <w:spacing w:before="93" w:line="600" w:lineRule="exact"/>
        <w:ind w:firstLine="320" w:firstLineChars="100"/>
        <w:outlineLvl w:val="2"/>
        <w:rPr>
          <w:rFonts w:hint="eastAsia" w:ascii="仿宋_GB2312" w:hAnsi="仿宋_GB2312" w:eastAsia="仿宋_GB2312" w:cs="仿宋_GB2312"/>
          <w:bCs/>
          <w:color w:val="000000"/>
          <w:sz w:val="32"/>
          <w:szCs w:val="32"/>
        </w:rPr>
      </w:pPr>
      <w:bookmarkStart w:id="16" w:name="_Toc15377199"/>
      <w:bookmarkStart w:id="17" w:name="_Toc15378446"/>
      <w:r>
        <w:rPr>
          <w:rFonts w:hint="eastAsia" w:ascii="仿宋_GB2312" w:hAnsi="仿宋_GB2312" w:eastAsia="仿宋_GB2312" w:cs="仿宋_GB2312"/>
          <w:bCs/>
          <w:color w:val="000000"/>
          <w:sz w:val="32"/>
          <w:szCs w:val="32"/>
        </w:rPr>
        <w:t>（二）20</w:t>
      </w:r>
      <w:r>
        <w:rPr>
          <w:rFonts w:hint="eastAsia" w:ascii="仿宋_GB2312" w:hAnsi="仿宋_GB2312" w:eastAsia="仿宋_GB2312" w:cs="仿宋_GB2312"/>
          <w:bCs/>
          <w:color w:val="000000"/>
          <w:sz w:val="32"/>
          <w:szCs w:val="32"/>
          <w:lang w:val="en-US" w:eastAsia="zh-CN"/>
        </w:rPr>
        <w:t>20</w:t>
      </w:r>
      <w:r>
        <w:rPr>
          <w:rFonts w:hint="eastAsia" w:ascii="仿宋_GB2312" w:hAnsi="仿宋_GB2312" w:eastAsia="仿宋_GB2312" w:cs="仿宋_GB2312"/>
          <w:bCs/>
          <w:color w:val="000000"/>
          <w:sz w:val="32"/>
          <w:szCs w:val="32"/>
        </w:rPr>
        <w:t>年重点工作完成情况。</w:t>
      </w:r>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bookmarkStart w:id="18" w:name="_Toc15396601"/>
      <w:bookmarkStart w:id="19" w:name="_Toc15377200"/>
      <w:r>
        <w:rPr>
          <w:rFonts w:hint="eastAsia" w:ascii="仿宋_GB2312" w:hAnsi="仿宋_GB2312" w:eastAsia="仿宋_GB2312" w:cs="仿宋_GB2312"/>
          <w:b w:val="0"/>
          <w:bCs w:val="0"/>
          <w:kern w:val="2"/>
          <w:sz w:val="32"/>
          <w:szCs w:val="32"/>
          <w:lang w:val="en-US" w:eastAsia="zh-CN" w:bidi="ar-SA"/>
        </w:rPr>
        <w:t>（一）从严管党治党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一是加强政治建设。</w:t>
      </w:r>
      <w:r>
        <w:rPr>
          <w:rFonts w:hint="eastAsia" w:ascii="仿宋_GB2312" w:eastAsia="仿宋_GB2312"/>
          <w:sz w:val="32"/>
          <w:szCs w:val="32"/>
        </w:rPr>
        <w:t>巩固</w:t>
      </w:r>
      <w:r>
        <w:rPr>
          <w:rFonts w:hint="eastAsia" w:ascii="仿宋_GB2312" w:eastAsia="仿宋_GB2312"/>
          <w:sz w:val="32"/>
          <w:szCs w:val="32"/>
          <w:lang w:eastAsia="zh-CN"/>
        </w:rPr>
        <w:t>深化</w:t>
      </w:r>
      <w:r>
        <w:rPr>
          <w:rFonts w:hint="eastAsia" w:ascii="仿宋_GB2312" w:eastAsia="仿宋_GB2312"/>
          <w:sz w:val="32"/>
          <w:szCs w:val="32"/>
        </w:rPr>
        <w:t>“不忘初心、牢记使命”主题教育成果</w:t>
      </w:r>
      <w:r>
        <w:rPr>
          <w:rFonts w:hint="eastAsia" w:ascii="仿宋_GB2312" w:eastAsia="仿宋_GB2312"/>
          <w:sz w:val="32"/>
          <w:szCs w:val="32"/>
          <w:lang w:eastAsia="zh-CN"/>
        </w:rPr>
        <w:t>，组织党员干部开展线上培</w:t>
      </w:r>
      <w:r>
        <w:rPr>
          <w:rFonts w:hint="eastAsia" w:ascii="仿宋_GB2312" w:hAnsi="Times New Roman" w:eastAsia="仿宋_GB2312" w:cs="Times New Roman"/>
          <w:sz w:val="32"/>
          <w:szCs w:val="32"/>
          <w:lang w:eastAsia="zh-CN"/>
        </w:rPr>
        <w:t>训</w:t>
      </w:r>
      <w:r>
        <w:rPr>
          <w:rFonts w:hint="eastAsia" w:ascii="仿宋_GB2312" w:hAnsi="Times New Roman" w:eastAsia="仿宋_GB2312" w:cs="Times New Roman"/>
          <w:sz w:val="32"/>
          <w:szCs w:val="32"/>
          <w:lang w:val="en-US" w:eastAsia="zh-CN"/>
        </w:rPr>
        <w:t>29期，</w:t>
      </w:r>
      <w:r>
        <w:rPr>
          <w:rFonts w:hint="eastAsia" w:ascii="仿宋_GB2312" w:hAnsi="Times New Roman" w:eastAsia="仿宋_GB2312" w:cs="Times New Roman"/>
          <w:sz w:val="32"/>
          <w:szCs w:val="32"/>
        </w:rPr>
        <w:t>引导党员干部不断增强“四个意识”、坚定“四个自信”，做到“两个维护”</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rPr>
        <w:t>贯彻落实意识形态责任制，</w:t>
      </w:r>
      <w:r>
        <w:rPr>
          <w:rFonts w:hint="eastAsia" w:ascii="仿宋_GB2312" w:eastAsia="仿宋_GB2312" w:cs="Times New Roman"/>
          <w:sz w:val="32"/>
          <w:szCs w:val="32"/>
          <w:lang w:eastAsia="zh-CN"/>
        </w:rPr>
        <w:t>牢牢把握意识形态领导权，做好涉疫、涉改等舆情引导，及时处理回访“心连心”交办件和舆情网帖</w:t>
      </w:r>
      <w:r>
        <w:rPr>
          <w:rFonts w:hint="eastAsia" w:ascii="仿宋_GB2312" w:hAnsi="Times New Roman" w:eastAsia="仿宋_GB2312" w:cs="Times New Roman"/>
          <w:sz w:val="32"/>
          <w:szCs w:val="32"/>
          <w:lang w:val="en-US" w:eastAsia="zh-CN"/>
        </w:rPr>
        <w:t>260余件</w:t>
      </w:r>
      <w:r>
        <w:rPr>
          <w:rFonts w:hint="eastAsia" w:ascii="仿宋_GB2312" w:hAnsi="Times New Roman" w:eastAsia="仿宋_GB2312" w:cs="Times New Roman"/>
          <w:sz w:val="32"/>
          <w:szCs w:val="32"/>
          <w:lang w:eastAsia="zh-CN"/>
        </w:rPr>
        <w:t>。积极对接、主动自查，全力做好接受省委巡视各项工作。</w:t>
      </w:r>
      <w:r>
        <w:rPr>
          <w:rFonts w:hint="eastAsia" w:ascii="仿宋_GB2312" w:eastAsia="仿宋_GB2312" w:cs="Times New Roman"/>
          <w:sz w:val="32"/>
          <w:szCs w:val="32"/>
          <w:lang w:eastAsia="zh-CN"/>
        </w:rPr>
        <w:t>二</w:t>
      </w:r>
      <w:r>
        <w:rPr>
          <w:rFonts w:hint="eastAsia" w:ascii="仿宋_GB2312" w:eastAsia="仿宋_GB2312" w:cs="Times New Roman"/>
          <w:sz w:val="32"/>
          <w:szCs w:val="32"/>
          <w:lang w:val="en-US" w:eastAsia="zh-CN"/>
        </w:rPr>
        <w:t>是夯实基层基础。</w:t>
      </w:r>
      <w:r>
        <w:rPr>
          <w:rFonts w:hint="eastAsia" w:ascii="仿宋_GB2312" w:hAnsi="Times New Roman" w:eastAsia="仿宋_GB2312" w:cs="Times New Roman"/>
          <w:sz w:val="32"/>
          <w:szCs w:val="32"/>
          <w:lang w:eastAsia="zh-CN"/>
        </w:rPr>
        <w:t>扎实做好乡镇行政区划调整改革“后半篇”文章，</w:t>
      </w:r>
      <w:r>
        <w:rPr>
          <w:rFonts w:hint="eastAsia" w:ascii="仿宋_GB2312" w:hAnsi="Times New Roman" w:eastAsia="仿宋_GB2312" w:cs="Times New Roman"/>
          <w:sz w:val="32"/>
          <w:szCs w:val="32"/>
          <w:lang w:val="en-US" w:eastAsia="zh-CN"/>
        </w:rPr>
        <w:t>完成村级建制调整改革，建制村由15个减少到9个、村民小组由</w:t>
      </w:r>
      <w:r>
        <w:rPr>
          <w:rFonts w:hint="eastAsia" w:ascii="仿宋_GB2312" w:eastAsia="仿宋_GB2312"/>
          <w:sz w:val="32"/>
          <w:szCs w:val="32"/>
          <w:lang w:val="en-US" w:eastAsia="zh-CN"/>
        </w:rPr>
        <w:t>151个减少到88个，减幅分别为40%、41%，</w:t>
      </w:r>
      <w:r>
        <w:rPr>
          <w:rFonts w:hint="eastAsia" w:ascii="仿宋_GB2312" w:hAnsi="Times New Roman" w:eastAsia="仿宋_GB2312" w:cs="Times New Roman"/>
          <w:sz w:val="32"/>
          <w:szCs w:val="32"/>
          <w:lang w:val="en-US" w:eastAsia="zh-CN"/>
        </w:rPr>
        <w:t>对村组干部的提名、预审、选举进行全过程把关，调整不担当、不作为、能力素质不足的村组干部103名。</w:t>
      </w:r>
      <w:r>
        <w:rPr>
          <w:rFonts w:hint="eastAsia" w:ascii="仿宋_GB2312" w:eastAsia="仿宋_GB2312" w:cs="Times New Roman"/>
          <w:sz w:val="32"/>
          <w:szCs w:val="32"/>
          <w:lang w:val="en-US" w:eastAsia="zh-CN"/>
        </w:rPr>
        <w:t>回引优秀农民工128人，其中38人进入村“两委”班子，18人担任村级后备干部，进一步配强村组干部队伍，为乡村振兴和基层治理奠定了坚实的人才基础。三是持续正风肃纪。结合“</w:t>
      </w:r>
      <w:r>
        <w:rPr>
          <w:rFonts w:hint="eastAsia" w:ascii="仿宋_GB2312" w:hAnsi="Times New Roman" w:eastAsia="仿宋_GB2312" w:cs="Times New Roman"/>
          <w:kern w:val="2"/>
          <w:sz w:val="32"/>
          <w:szCs w:val="32"/>
          <w:lang w:val="en-US" w:eastAsia="zh-CN" w:bidi="ar-SA"/>
        </w:rPr>
        <w:t>大走访大服务</w:t>
      </w:r>
      <w:r>
        <w:rPr>
          <w:rFonts w:hint="eastAsia" w:ascii="仿宋_GB2312" w:eastAsia="仿宋_GB2312" w:cs="Times New Roman"/>
          <w:sz w:val="32"/>
          <w:szCs w:val="32"/>
          <w:lang w:val="en-US" w:eastAsia="zh-CN"/>
        </w:rPr>
        <w:t>”</w:t>
      </w:r>
      <w:r>
        <w:rPr>
          <w:rFonts w:hint="eastAsia" w:ascii="仿宋_GB2312" w:hAnsi="Times New Roman" w:eastAsia="仿宋_GB2312" w:cs="Times New Roman"/>
          <w:kern w:val="2"/>
          <w:sz w:val="32"/>
          <w:szCs w:val="32"/>
          <w:lang w:val="en-US" w:eastAsia="zh-CN" w:bidi="ar-SA"/>
        </w:rPr>
        <w:t>走进群众专项行动，组织300余名党员干部实地、线上走访城乡居民7000余户，累计协调解决</w:t>
      </w:r>
      <w:r>
        <w:rPr>
          <w:rFonts w:hint="eastAsia" w:ascii="仿宋_GB2312" w:eastAsia="仿宋_GB2312" w:cs="Times New Roman"/>
          <w:sz w:val="32"/>
          <w:szCs w:val="32"/>
          <w:lang w:val="en-US" w:eastAsia="zh-CN"/>
        </w:rPr>
        <w:t>村道修缮、安全饮水等群众“急难愁盼”问题400余个，落实纾难解困资金25.77万元，群众满意度不断提升。</w:t>
      </w:r>
      <w:r>
        <w:rPr>
          <w:rFonts w:hint="eastAsia" w:ascii="仿宋_GB2312" w:hAnsi="Times New Roman" w:eastAsia="仿宋_GB2312" w:cs="Times New Roman"/>
          <w:kern w:val="2"/>
          <w:sz w:val="32"/>
          <w:szCs w:val="32"/>
          <w:lang w:val="en-US" w:eastAsia="zh-CN" w:bidi="ar-SA"/>
        </w:rPr>
        <w:t>贯通运用监督执纪“四种形态”，开展警示教育4次，处置问题线索1件，立案3件3人，党纪处分3件5人。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（二）加强社会治理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color w:val="000000"/>
          <w:spacing w:val="0"/>
          <w:sz w:val="32"/>
          <w:szCs w:val="32"/>
          <w:shd w:val="clear" w:color="auto" w:fill="FFFFFF"/>
          <w:lang w:eastAsia="zh-CN"/>
        </w:rPr>
      </w:pPr>
      <w:r>
        <w:rPr>
          <w:rFonts w:hint="eastAsia" w:ascii="仿宋_GB2312" w:hAnsi="Times New Roman" w:eastAsia="仿宋_GB2312" w:cs="Times New Roman"/>
          <w:kern w:val="2"/>
          <w:sz w:val="32"/>
          <w:szCs w:val="32"/>
          <w:lang w:val="en-US" w:eastAsia="zh-CN" w:bidi="ar-SA"/>
        </w:rPr>
        <w:t>一是完善治理体系。开展省级乡镇治理现代化试点（乐山市仅有两个乡镇），试行“四型”村级集体经济发展模式，夯实基层治理物质基础，完善在党的领导下、自治德治法治相结合、以集体经济为支撑的“1＋3＋1”基层治理体系，9个村完成</w:t>
      </w:r>
      <w:r>
        <w:rPr>
          <w:rFonts w:hint="eastAsia" w:ascii="仿宋_GB2312" w:hAnsi="仿宋_GB2312" w:eastAsia="仿宋_GB2312" w:cs="仿宋_GB2312"/>
          <w:b w:val="0"/>
          <w:bCs w:val="0"/>
          <w:spacing w:val="0"/>
          <w:sz w:val="32"/>
          <w:szCs w:val="32"/>
          <w:highlight w:val="none"/>
          <w:lang w:eastAsia="zh-CN"/>
        </w:rPr>
        <w:t>农村集体经济产权制度改革并登记赋码，</w:t>
      </w:r>
      <w:r>
        <w:rPr>
          <w:rFonts w:hint="eastAsia" w:ascii="仿宋_GB2312" w:hAnsi="Times New Roman" w:eastAsia="仿宋_GB2312" w:cs="Times New Roman"/>
          <w:kern w:val="2"/>
          <w:sz w:val="32"/>
          <w:szCs w:val="32"/>
          <w:lang w:val="en-US" w:eastAsia="zh-CN" w:bidi="ar-SA"/>
        </w:rPr>
        <w:t>村级集体经济年收入达5万元以上的村占60%。二是加强社会综治。</w:t>
      </w:r>
      <w:r>
        <w:rPr>
          <w:rFonts w:hint="eastAsia" w:ascii="仿宋_GB2312" w:hAnsi="仿宋_GB2312" w:eastAsia="仿宋_GB2312" w:cs="仿宋_GB2312"/>
          <w:b w:val="0"/>
          <w:bCs w:val="0"/>
          <w:sz w:val="32"/>
          <w:szCs w:val="32"/>
          <w:lang w:val="en-US" w:eastAsia="zh-CN"/>
        </w:rPr>
        <w:t>扎实开展“扫黑除恶”、禁毒等专项斗争，排查化解不稳定因素11条。</w:t>
      </w:r>
      <w:r>
        <w:rPr>
          <w:rFonts w:hint="eastAsia" w:ascii="仿宋_GB2312" w:hAnsi="宋体" w:eastAsia="仿宋_GB2312" w:cs="宋体"/>
          <w:kern w:val="2"/>
          <w:sz w:val="32"/>
          <w:szCs w:val="32"/>
          <w:lang w:val="en-US" w:eastAsia="zh-CN" w:bidi="ar-SA"/>
        </w:rPr>
        <w:t>强化源头治理和网格化服务管理，</w:t>
      </w:r>
      <w:r>
        <w:rPr>
          <w:rFonts w:hint="eastAsia" w:ascii="仿宋_GB2312" w:hAnsi="仿宋_GB2312" w:eastAsia="仿宋_GB2312" w:cs="仿宋_GB2312"/>
          <w:b w:val="0"/>
          <w:bCs w:val="0"/>
          <w:sz w:val="32"/>
          <w:szCs w:val="32"/>
          <w:lang w:val="en-US" w:eastAsia="zh-CN"/>
        </w:rPr>
        <w:t>镇村两级共成功调处各类矛盾纠纷160余件。加强“雪亮工程”和“天网工程”应用管护，进一步提升全镇治安防控水平。全年治安案件同比下降8%，社会治安形势进一步好转。</w:t>
      </w:r>
      <w:r>
        <w:rPr>
          <w:rFonts w:hint="eastAsia" w:ascii="仿宋_GB2312" w:hAnsi="Times New Roman" w:eastAsia="仿宋_GB2312" w:cs="Times New Roman"/>
          <w:kern w:val="2"/>
          <w:sz w:val="32"/>
          <w:szCs w:val="32"/>
          <w:lang w:val="en-US" w:eastAsia="zh-CN" w:bidi="ar-SA"/>
        </w:rPr>
        <w:t>三是促进社会和谐。办理上级转交办信访问题43件，解释疏导来访群众98批212人次，信访问题及时就地解决，</w:t>
      </w:r>
      <w:r>
        <w:rPr>
          <w:rFonts w:hint="eastAsia" w:ascii="仿宋_GB2312" w:hAnsi="仿宋_GB2312" w:eastAsia="仿宋_GB2312" w:cs="仿宋_GB2312"/>
          <w:color w:val="000000"/>
          <w:spacing w:val="0"/>
          <w:kern w:val="2"/>
          <w:sz w:val="32"/>
          <w:szCs w:val="32"/>
          <w:lang w:val="en-US" w:eastAsia="zh-CN" w:bidi="ar-SA"/>
        </w:rPr>
        <w:t>圆满完成文旅“三会”等重大活动、重点时段安保维稳</w:t>
      </w:r>
      <w:r>
        <w:rPr>
          <w:rFonts w:hint="eastAsia" w:ascii="仿宋_GB2312" w:hAnsi="Times New Roman" w:eastAsia="仿宋_GB2312" w:cs="Times New Roman"/>
          <w:kern w:val="2"/>
          <w:sz w:val="32"/>
          <w:szCs w:val="32"/>
          <w:lang w:val="en-US" w:eastAsia="zh-CN" w:bidi="ar-SA"/>
        </w:rPr>
        <w:t>。</w:t>
      </w:r>
      <w:r>
        <w:rPr>
          <w:rFonts w:hint="eastAsia" w:ascii="仿宋_GB2312" w:hAnsi="Courier New" w:eastAsia="仿宋_GB2312" w:cs="Courier New"/>
          <w:bCs/>
          <w:color w:val="000000"/>
          <w:spacing w:val="0"/>
          <w:kern w:val="2"/>
          <w:sz w:val="32"/>
          <w:szCs w:val="32"/>
          <w:highlight w:val="none"/>
          <w:shd w:val="clear" w:color="auto" w:fill="FFFFFF"/>
          <w:rtl w:val="0"/>
          <w:lang w:val="en-US" w:eastAsia="zh-CN" w:bidi="ar-SA"/>
        </w:rPr>
        <w:t>严</w:t>
      </w:r>
      <w:r>
        <w:rPr>
          <w:rFonts w:hint="eastAsia" w:ascii="仿宋_GB2312" w:hAnsi="仿宋_GB2312" w:eastAsia="仿宋_GB2312" w:cs="仿宋_GB2312"/>
          <w:b w:val="0"/>
          <w:bCs w:val="0"/>
          <w:sz w:val="32"/>
          <w:szCs w:val="32"/>
          <w:lang w:val="en-US" w:eastAsia="zh-CN"/>
        </w:rPr>
        <w:t>格落实安全生产责任制，</w:t>
      </w:r>
      <w:r>
        <w:rPr>
          <w:rFonts w:hint="eastAsia" w:ascii="仿宋_GB2312" w:hAnsi="仿宋_GB2312" w:eastAsia="仿宋_GB2312" w:cs="仿宋_GB2312"/>
          <w:b w:val="0"/>
          <w:bCs w:val="0"/>
          <w:sz w:val="32"/>
          <w:szCs w:val="32"/>
          <w:lang w:val="zh-CN" w:eastAsia="zh-CN"/>
        </w:rPr>
        <w:t>狠抓道路交通等重点行业领域安全监管，</w:t>
      </w:r>
      <w:r>
        <w:rPr>
          <w:rFonts w:hint="eastAsia" w:ascii="仿宋_GB2312" w:hAnsi="仿宋_GB2312" w:eastAsia="仿宋_GB2312" w:cs="仿宋_GB2312"/>
          <w:b w:val="0"/>
          <w:bCs w:val="0"/>
          <w:sz w:val="32"/>
          <w:szCs w:val="32"/>
          <w:lang w:val="en-US" w:eastAsia="zh-CN"/>
        </w:rPr>
        <w:t>深入排查整治各类安全隐患80余条，全年无一起安全生产死亡和重特大事故发生。</w:t>
      </w:r>
      <w:r>
        <w:rPr>
          <w:rFonts w:hint="eastAsia" w:ascii="仿宋_GB2312" w:eastAsia="仿宋_GB2312"/>
          <w:bCs/>
          <w:color w:val="000000"/>
          <w:spacing w:val="0"/>
          <w:sz w:val="32"/>
          <w:szCs w:val="32"/>
          <w:shd w:val="clear" w:color="auto" w:fill="FFFFFF"/>
          <w:lang w:eastAsia="zh-CN"/>
        </w:rPr>
        <w:t>积极有效应对“</w:t>
      </w:r>
      <w:r>
        <w:rPr>
          <w:rFonts w:hint="eastAsia" w:ascii="仿宋_GB2312" w:eastAsia="仿宋_GB2312"/>
          <w:bCs/>
          <w:color w:val="000000"/>
          <w:spacing w:val="0"/>
          <w:sz w:val="32"/>
          <w:szCs w:val="32"/>
          <w:shd w:val="clear" w:color="auto" w:fill="FFFFFF"/>
          <w:lang w:val="en-US" w:eastAsia="zh-CN"/>
        </w:rPr>
        <w:t>8.17</w:t>
      </w:r>
      <w:r>
        <w:rPr>
          <w:rFonts w:hint="eastAsia" w:ascii="仿宋_GB2312" w:eastAsia="仿宋_GB2312"/>
          <w:bCs/>
          <w:color w:val="000000"/>
          <w:spacing w:val="0"/>
          <w:sz w:val="32"/>
          <w:szCs w:val="32"/>
          <w:shd w:val="clear" w:color="auto" w:fill="FFFFFF"/>
          <w:lang w:eastAsia="zh-CN"/>
        </w:rPr>
        <w:t>”“</w:t>
      </w:r>
      <w:r>
        <w:rPr>
          <w:rFonts w:hint="eastAsia" w:ascii="仿宋_GB2312" w:eastAsia="仿宋_GB2312"/>
          <w:bCs/>
          <w:color w:val="000000"/>
          <w:spacing w:val="0"/>
          <w:sz w:val="32"/>
          <w:szCs w:val="32"/>
          <w:shd w:val="clear" w:color="auto" w:fill="FFFFFF"/>
          <w:lang w:val="en-US" w:eastAsia="zh-CN"/>
        </w:rPr>
        <w:t>8.23</w:t>
      </w:r>
      <w:r>
        <w:rPr>
          <w:rFonts w:hint="eastAsia" w:ascii="仿宋_GB2312" w:eastAsia="仿宋_GB2312"/>
          <w:bCs/>
          <w:color w:val="000000"/>
          <w:spacing w:val="0"/>
          <w:sz w:val="32"/>
          <w:szCs w:val="32"/>
          <w:shd w:val="clear" w:color="auto" w:fill="FFFFFF"/>
          <w:lang w:eastAsia="zh-CN"/>
        </w:rPr>
        <w:t>”特大暴雨自然灾害，及时转移并妥善安置群众</w:t>
      </w:r>
      <w:r>
        <w:rPr>
          <w:rFonts w:hint="eastAsia" w:ascii="仿宋_GB2312" w:eastAsia="仿宋_GB2312"/>
          <w:bCs/>
          <w:color w:val="000000"/>
          <w:spacing w:val="0"/>
          <w:sz w:val="32"/>
          <w:szCs w:val="32"/>
          <w:shd w:val="clear" w:color="auto" w:fill="FFFFFF"/>
          <w:lang w:val="en-US" w:eastAsia="zh-CN"/>
        </w:rPr>
        <w:t>140余人</w:t>
      </w:r>
      <w:r>
        <w:rPr>
          <w:rFonts w:hint="eastAsia" w:ascii="仿宋_GB2312" w:eastAsia="仿宋_GB2312"/>
          <w:bCs/>
          <w:color w:val="000000"/>
          <w:spacing w:val="0"/>
          <w:sz w:val="32"/>
          <w:szCs w:val="32"/>
          <w:shd w:val="clear" w:color="auto" w:fill="FFFFFF"/>
          <w:lang w:eastAsia="zh-CN"/>
        </w:rPr>
        <w:t>，实现零伤亡。顺利通过“四川省安全社区”复评。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（三）推进项目建设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lang w:eastAsia="zh-CN"/>
        </w:rPr>
      </w:pPr>
      <w:r>
        <w:rPr>
          <w:rFonts w:hint="eastAsia" w:ascii="仿宋_GB2312" w:hAnsi="Calibri" w:eastAsia="仿宋_GB2312" w:cs="仿宋_GB2312"/>
          <w:kern w:val="2"/>
          <w:sz w:val="32"/>
          <w:szCs w:val="32"/>
          <w:lang w:val="en-US" w:eastAsia="zh-CN" w:bidi="ar"/>
        </w:rPr>
        <w:t>一是做好项目交地。规范青苗、构筑物清点赔付，严格实行审核、公示制度，</w:t>
      </w:r>
      <w:r>
        <w:rPr>
          <w:rFonts w:hint="eastAsia" w:ascii="仿宋_GB2312" w:hAnsi="仿宋" w:eastAsia="仿宋_GB2312"/>
          <w:sz w:val="32"/>
          <w:szCs w:val="32"/>
          <w:lang w:val="en-US" w:eastAsia="zh-CN"/>
        </w:rPr>
        <w:t>完成成乐高速扩容（符溪段）、乐西高速（符溪段）、</w:t>
      </w:r>
      <w:r>
        <w:rPr>
          <w:rFonts w:hint="eastAsia" w:ascii="仿宋_GB2312" w:hAnsi="宋体" w:eastAsia="仿宋_GB2312" w:cs="宋体"/>
          <w:sz w:val="32"/>
          <w:szCs w:val="32"/>
          <w:lang w:val="en-US" w:eastAsia="zh-CN"/>
        </w:rPr>
        <w:t>峨眉山市直供港澳农产品采后处理中心、天宫村工业用地等4个项目征地（交地）891.9亩，其中，</w:t>
      </w:r>
      <w:r>
        <w:rPr>
          <w:rFonts w:hint="eastAsia" w:ascii="仿宋_GB2312" w:hAnsi="仿宋" w:eastAsia="仿宋_GB2312"/>
          <w:sz w:val="32"/>
          <w:szCs w:val="32"/>
          <w:lang w:val="en-US" w:eastAsia="zh-CN"/>
        </w:rPr>
        <w:t>成乐高速扩容（符溪段）和乐西高速（符溪段）项目完成红线范围内43户农房拆迁并顺利进场</w:t>
      </w:r>
      <w:r>
        <w:rPr>
          <w:rFonts w:hint="eastAsia" w:ascii="仿宋_GB2312" w:hAnsi="宋体" w:eastAsia="仿宋_GB2312" w:cs="宋体"/>
          <w:sz w:val="32"/>
          <w:szCs w:val="32"/>
          <w:lang w:val="en-US" w:eastAsia="zh-CN"/>
        </w:rPr>
        <w:t>。二是完善基础设施。投资2400万元，建成雷场大桥和</w:t>
      </w:r>
      <w:r>
        <w:rPr>
          <w:rFonts w:hint="eastAsia" w:ascii="仿宋_GB2312" w:hAnsi="仿宋" w:eastAsia="仿宋_GB2312"/>
          <w:sz w:val="32"/>
          <w:szCs w:val="32"/>
          <w:lang w:val="en-US" w:eastAsia="zh-CN"/>
        </w:rPr>
        <w:t>符溪镇滨河南路西段道路工程。</w:t>
      </w:r>
      <w:r>
        <w:rPr>
          <w:rFonts w:hint="eastAsia" w:ascii="仿宋_GB2312" w:hAnsi="仿宋_GB2312" w:eastAsia="仿宋_GB2312" w:cs="仿宋_GB2312"/>
          <w:b w:val="0"/>
          <w:bCs w:val="0"/>
          <w:sz w:val="32"/>
          <w:szCs w:val="32"/>
          <w:lang w:val="en-US" w:eastAsia="zh-CN"/>
        </w:rPr>
        <w:t>完成向阳路项目可研、设计、环评等前期工作，正在进行招标。做好项目建设协调服务工作，保障总长10.7公里的</w:t>
      </w:r>
      <w:r>
        <w:rPr>
          <w:rFonts w:hint="eastAsia" w:ascii="仿宋_GB2312" w:hAnsi="仿宋_GB2312" w:eastAsia="仿宋_GB2312" w:cs="仿宋_GB2312"/>
          <w:color w:val="000000"/>
          <w:sz w:val="32"/>
          <w:szCs w:val="32"/>
        </w:rPr>
        <w:t>符双茶叶走廊</w:t>
      </w:r>
      <w:r>
        <w:rPr>
          <w:rFonts w:hint="eastAsia" w:ascii="仿宋_GB2312" w:hAnsi="仿宋_GB2312" w:eastAsia="仿宋_GB2312" w:cs="仿宋_GB2312"/>
          <w:b w:val="0"/>
          <w:bCs w:val="0"/>
          <w:spacing w:val="0"/>
          <w:sz w:val="32"/>
          <w:szCs w:val="32"/>
          <w:highlight w:val="none"/>
          <w:lang w:val="en-US" w:eastAsia="zh-CN"/>
        </w:rPr>
        <w:t>（产业大道）项目和总长4.6公里的峨眉河防洪工程顺利建成。三是推进安置工作。</w:t>
      </w:r>
      <w:r>
        <w:rPr>
          <w:rFonts w:hint="eastAsia" w:ascii="仿宋_GB2312" w:hAnsi="仿宋_GB2312" w:eastAsia="仿宋_GB2312" w:cs="仿宋_GB2312"/>
          <w:color w:val="000000"/>
          <w:sz w:val="32"/>
          <w:szCs w:val="32"/>
          <w:lang w:eastAsia="zh-CN"/>
        </w:rPr>
        <w:t>完成</w:t>
      </w:r>
      <w:r>
        <w:rPr>
          <w:rFonts w:hint="eastAsia" w:ascii="仿宋_GB2312" w:hAnsi="仿宋_GB2312" w:eastAsia="仿宋_GB2312" w:cs="仿宋_GB2312"/>
          <w:color w:val="000000"/>
          <w:sz w:val="32"/>
          <w:szCs w:val="32"/>
        </w:rPr>
        <w:t>菜场安置点安置房</w:t>
      </w:r>
      <w:r>
        <w:rPr>
          <w:rFonts w:hint="eastAsia" w:ascii="仿宋_GB2312" w:hAnsi="仿宋_GB2312" w:eastAsia="仿宋_GB2312" w:cs="仿宋_GB2312"/>
          <w:color w:val="000000"/>
          <w:sz w:val="32"/>
          <w:szCs w:val="32"/>
          <w:lang w:eastAsia="zh-CN"/>
        </w:rPr>
        <w:t>主体工程</w:t>
      </w:r>
      <w:r>
        <w:rPr>
          <w:rFonts w:hint="eastAsia" w:ascii="仿宋_GB2312" w:hAnsi="仿宋_GB2312" w:eastAsia="仿宋_GB2312" w:cs="仿宋_GB2312"/>
          <w:color w:val="000000"/>
          <w:sz w:val="32"/>
          <w:szCs w:val="32"/>
        </w:rPr>
        <w:t>建设</w:t>
      </w:r>
      <w:r>
        <w:rPr>
          <w:rFonts w:hint="eastAsia" w:ascii="仿宋_GB2312" w:hAnsi="仿宋_GB2312" w:eastAsia="仿宋_GB2312" w:cs="仿宋_GB2312"/>
          <w:color w:val="000000"/>
          <w:sz w:val="32"/>
          <w:szCs w:val="32"/>
          <w:lang w:eastAsia="zh-CN"/>
        </w:rPr>
        <w:t>，正在完善附属设施。完成</w:t>
      </w:r>
      <w:r>
        <w:rPr>
          <w:rFonts w:hint="eastAsia" w:ascii="仿宋_GB2312" w:hAnsi="仿宋_GB2312" w:eastAsia="仿宋_GB2312" w:cs="仿宋_GB2312"/>
          <w:color w:val="000000"/>
          <w:sz w:val="32"/>
          <w:szCs w:val="32"/>
        </w:rPr>
        <w:t>符溪</w:t>
      </w:r>
      <w:r>
        <w:rPr>
          <w:rFonts w:hint="eastAsia" w:ascii="仿宋_GB2312" w:hAnsi="仿宋_GB2312" w:eastAsia="仿宋_GB2312" w:cs="仿宋_GB2312"/>
          <w:color w:val="000000"/>
          <w:sz w:val="32"/>
          <w:szCs w:val="32"/>
          <w:lang w:eastAsia="zh-CN"/>
        </w:rPr>
        <w:t>村</w:t>
      </w:r>
      <w:r>
        <w:rPr>
          <w:rFonts w:hint="eastAsia" w:ascii="仿宋_GB2312" w:hAnsi="仿宋_GB2312" w:eastAsia="仿宋_GB2312" w:cs="仿宋_GB2312"/>
          <w:color w:val="000000"/>
          <w:sz w:val="32"/>
          <w:szCs w:val="32"/>
        </w:rPr>
        <w:t>1、6、7组安置房分配前期工作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spacing w:val="0"/>
          <w:sz w:val="32"/>
          <w:szCs w:val="32"/>
          <w:highlight w:val="none"/>
          <w:lang w:val="en-US" w:eastAsia="zh-CN"/>
        </w:rPr>
        <w:t>实施广场</w:t>
      </w:r>
      <w:r>
        <w:rPr>
          <w:rFonts w:hint="eastAsia" w:ascii="仿宋_GB2312" w:hAnsi="仿宋" w:eastAsia="仿宋_GB2312"/>
          <w:sz w:val="32"/>
          <w:szCs w:val="32"/>
          <w:lang w:val="en-US" w:eastAsia="zh-CN"/>
        </w:rPr>
        <w:t>安置点A、B区屋面改造工程，启动</w:t>
      </w:r>
      <w:r>
        <w:rPr>
          <w:rFonts w:hint="eastAsia" w:ascii="仿宋_GB2312" w:hAnsi="宋体" w:eastAsia="仿宋_GB2312"/>
          <w:sz w:val="32"/>
          <w:szCs w:val="32"/>
        </w:rPr>
        <w:t>菜场安置点</w:t>
      </w:r>
      <w:r>
        <w:rPr>
          <w:rFonts w:hint="eastAsia" w:ascii="仿宋_GB2312" w:hAnsi="宋体" w:eastAsia="仿宋_GB2312"/>
          <w:sz w:val="32"/>
          <w:szCs w:val="32"/>
          <w:lang w:eastAsia="zh-CN"/>
        </w:rPr>
        <w:t>安置房</w:t>
      </w:r>
      <w:r>
        <w:rPr>
          <w:rFonts w:hint="eastAsia" w:ascii="仿宋_GB2312" w:hAnsi="宋体" w:eastAsia="仿宋_GB2312"/>
          <w:sz w:val="32"/>
          <w:szCs w:val="32"/>
        </w:rPr>
        <w:t>A区和符溪集镇3号地块安置点</w:t>
      </w:r>
      <w:r>
        <w:rPr>
          <w:rFonts w:hint="eastAsia" w:ascii="仿宋_GB2312" w:hAnsi="宋体" w:eastAsia="仿宋_GB2312"/>
          <w:sz w:val="32"/>
          <w:szCs w:val="32"/>
          <w:lang w:eastAsia="zh-CN"/>
        </w:rPr>
        <w:t>规划、设计等前期工作。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（四）加快乡村振兴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sz w:val="32"/>
          <w:szCs w:val="32"/>
          <w:lang w:val="en-US" w:eastAsia="zh-CN"/>
        </w:rPr>
      </w:pPr>
      <w:r>
        <w:rPr>
          <w:rFonts w:hint="eastAsia" w:ascii="仿宋_GB2312" w:hAnsi="宋体" w:eastAsia="仿宋_GB2312" w:cs="Times New Roman"/>
          <w:sz w:val="32"/>
          <w:szCs w:val="32"/>
          <w:lang w:val="en-US" w:eastAsia="zh-CN"/>
        </w:rPr>
        <w:t>一是强基础。投资135万元，加强水利设施维修整治，新建旱井2口，维修提灌站4处，完成沟渠清淤83公里，实施节水灌溉工程3.5公里，确保全镇农业生产用水需要；投资103万元，整治</w:t>
      </w:r>
      <w:r>
        <w:rPr>
          <w:rFonts w:hint="eastAsia" w:ascii="仿宋_GB2312" w:hAnsi="仿宋_GB2312" w:eastAsia="仿宋_GB2312" w:cs="仿宋_GB2312"/>
          <w:sz w:val="32"/>
          <w:szCs w:val="32"/>
          <w:lang w:val="en-US" w:eastAsia="zh-CN"/>
        </w:rPr>
        <w:t>丰收村漫水桥等4个水毁隐患点，方便群众出行，</w:t>
      </w:r>
      <w:r>
        <w:rPr>
          <w:rFonts w:hint="eastAsia" w:ascii="仿宋_GB2312" w:hAnsi="宋体" w:eastAsia="仿宋_GB2312" w:cs="Times New Roman"/>
          <w:sz w:val="32"/>
          <w:szCs w:val="32"/>
          <w:lang w:val="en-US" w:eastAsia="zh-CN"/>
        </w:rPr>
        <w:t>改善群众生活条件。完成</w:t>
      </w:r>
      <w:r>
        <w:rPr>
          <w:rFonts w:hint="eastAsia" w:ascii="仿宋_GB2312" w:hAnsi="仿宋" w:eastAsia="仿宋_GB2312"/>
          <w:sz w:val="32"/>
          <w:szCs w:val="32"/>
          <w:lang w:val="en-US" w:eastAsia="zh-CN"/>
        </w:rPr>
        <w:t>黑桥村村道工程建设项目</w:t>
      </w:r>
      <w:r>
        <w:rPr>
          <w:rFonts w:hint="eastAsia" w:ascii="仿宋_GB2312" w:hAnsi="仿宋" w:eastAsia="仿宋_GB2312"/>
          <w:sz w:val="32"/>
          <w:szCs w:val="32"/>
        </w:rPr>
        <w:t>可研、设计、环评等前期工作，</w:t>
      </w:r>
      <w:r>
        <w:rPr>
          <w:rFonts w:hint="eastAsia" w:ascii="仿宋_GB2312" w:hAnsi="仿宋" w:eastAsia="仿宋_GB2312"/>
          <w:sz w:val="32"/>
          <w:szCs w:val="32"/>
          <w:lang w:eastAsia="zh-CN"/>
        </w:rPr>
        <w:t>计划总</w:t>
      </w:r>
      <w:r>
        <w:rPr>
          <w:rFonts w:hint="eastAsia" w:ascii="仿宋_GB2312" w:hAnsi="仿宋" w:eastAsia="仿宋_GB2312"/>
          <w:sz w:val="32"/>
          <w:szCs w:val="32"/>
          <w:lang w:val="en-US" w:eastAsia="zh-CN"/>
        </w:rPr>
        <w:t>投资821.15万元。</w:t>
      </w:r>
      <w:r>
        <w:rPr>
          <w:rFonts w:hint="eastAsia" w:ascii="仿宋_GB2312" w:hAnsi="Times New Roman" w:eastAsia="仿宋_GB2312" w:cs="Times New Roman"/>
          <w:kern w:val="2"/>
          <w:sz w:val="32"/>
          <w:szCs w:val="32"/>
          <w:lang w:val="en-US" w:eastAsia="zh-CN" w:bidi="ar-SA"/>
        </w:rPr>
        <w:t>二是重治理。持续开展人居环境整治，</w:t>
      </w:r>
      <w:r>
        <w:rPr>
          <w:rFonts w:hint="eastAsia" w:ascii="仿宋_GB2312" w:hAnsi="仿宋_GB2312" w:eastAsia="仿宋_GB2312" w:cs="仿宋_GB2312"/>
          <w:sz w:val="32"/>
          <w:szCs w:val="32"/>
          <w:lang w:val="en-US" w:eastAsia="zh-CN"/>
        </w:rPr>
        <w:t>全镇农村户用厕所5146户均达到卫生厕所标准，截止目前，建设污水管网24公里,在建“一体化、微动力”设施8个，建成8个，改造无害化卫生厕所1572户。开展“四清四拆”行动，清理农村生活垃圾和农业废弃物2510吨，搬迁、美化坟墓69座，水塔下地213座，</w:t>
      </w:r>
      <w:r>
        <w:rPr>
          <w:rFonts w:hint="eastAsia" w:ascii="仿宋_GB2312" w:hAnsi="仿宋_GB2312" w:eastAsia="仿宋_GB2312" w:cs="仿宋_GB2312"/>
          <w:color w:val="000000"/>
          <w:sz w:val="32"/>
          <w:szCs w:val="32"/>
        </w:rPr>
        <w:t>村民的生活环境和生活质量得到有效改善和提升。</w:t>
      </w:r>
      <w:r>
        <w:rPr>
          <w:rFonts w:hint="eastAsia" w:ascii="仿宋_GB2312" w:hAnsi="仿宋_GB2312" w:eastAsia="仿宋_GB2312" w:cs="仿宋_GB2312"/>
          <w:b w:val="0"/>
          <w:bCs w:val="0"/>
          <w:sz w:val="32"/>
          <w:szCs w:val="32"/>
          <w:lang w:val="en-US" w:eastAsia="zh-CN"/>
        </w:rPr>
        <w:t>战斗村名列2019年度四川省实施乡村振兴战略“示范村”、入选第六届全国“文明村镇”。</w:t>
      </w:r>
      <w:r>
        <w:rPr>
          <w:rFonts w:hint="eastAsia" w:ascii="仿宋_GB2312" w:hAnsi="Times New Roman" w:eastAsia="仿宋_GB2312" w:cs="Times New Roman"/>
          <w:kern w:val="2"/>
          <w:sz w:val="32"/>
          <w:szCs w:val="32"/>
          <w:lang w:val="en-US" w:eastAsia="zh-CN" w:bidi="ar-SA"/>
        </w:rPr>
        <w:t>三</w:t>
      </w:r>
      <w:r>
        <w:rPr>
          <w:rFonts w:hint="eastAsia" w:ascii="仿宋_GB2312" w:hAnsi="仿宋_GB2312" w:eastAsia="仿宋_GB2312" w:cs="仿宋_GB2312"/>
          <w:b w:val="0"/>
          <w:bCs w:val="0"/>
          <w:sz w:val="32"/>
          <w:szCs w:val="32"/>
          <w:lang w:val="en-US" w:eastAsia="zh-CN"/>
        </w:rPr>
        <w:t>是建机制。</w:t>
      </w:r>
      <w:r>
        <w:rPr>
          <w:rFonts w:hint="eastAsia" w:ascii="仿宋_GB2312" w:hAnsi="宋体" w:eastAsia="仿宋_GB2312" w:cs="宋体"/>
          <w:kern w:val="0"/>
          <w:sz w:val="32"/>
          <w:szCs w:val="32"/>
          <w:lang w:val="en-US" w:eastAsia="zh-CN"/>
        </w:rPr>
        <w:t>指导修订村规民约，强化村民自治意识，创新</w:t>
      </w:r>
      <w:r>
        <w:rPr>
          <w:rFonts w:hint="eastAsia" w:ascii="仿宋_GB2312" w:hAnsi="仿宋_GB2312" w:eastAsia="仿宋_GB2312" w:cs="仿宋_GB2312"/>
          <w:b w:val="0"/>
          <w:bCs w:val="0"/>
          <w:sz w:val="32"/>
          <w:szCs w:val="32"/>
          <w:lang w:val="en-US" w:eastAsia="zh-CN"/>
        </w:rPr>
        <w:t>建立日常综合巡查机制，由镇纪委牵头，抽调乡村振兴办、综合执法办等部门精干力量组成专职巡查队伍，每日对各村（社区）环境卫生、违章建筑、脱贫攻坚和党建等重点、难点工作开展至少1轮巡查，及时通报巡查发现问题，加快督促整改，并将此项工作纳入村级年终目标考核，形成长效管理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（五）增进民生福祉</w:t>
      </w:r>
    </w:p>
    <w:p>
      <w:pPr>
        <w:pStyle w:val="3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聚焦疫情防控。采取镇干部包村、村干部包组、组干部和党员包户的方式，组建16支党员义工队伍，常态做好疫情防控宣传、返乡人员保障等工作，把为民服务送到群众“家门口”。设置农村监测卡口34个，全覆盖排查湖北等疫情高发地及境外来符返符人员113人，累计医学隔离观察6人次，未发生确诊病例和疑似病例。专门划定蔬菜秧苗临时交易点，并调配100余名镇村干部不间断对场地进行消杀清洁，实现防疫春耕两不误。全镇各界踊跃捐款18万余元、捐赠蔬菜5万余斤，共克时艰，共渡难关。二是聚焦特殊群体。积极举办技能茶艺师、育婴师等培训活动，加强就业创业服务指导，帮助380余名失业人员再就业，170余名残疾人居家灵活就业。扎实做好拆迁群众安置工作，协调办理“农转非”68人，征地入保261人，全力保障群众合法权益。三是聚焦脱贫攻坚。</w:t>
      </w:r>
      <w:r>
        <w:rPr>
          <w:rFonts w:hint="eastAsia" w:ascii="仿宋_GB2312" w:hAnsi="仿宋_GB2312" w:eastAsia="仿宋_GB2312" w:cs="仿宋_GB2312"/>
          <w:color w:val="000000"/>
          <w:sz w:val="32"/>
          <w:szCs w:val="32"/>
        </w:rPr>
        <w:t>巩固提升目标数15</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户4</w:t>
      </w:r>
      <w:r>
        <w:rPr>
          <w:rFonts w:hint="eastAsia" w:ascii="仿宋_GB2312" w:hAnsi="仿宋_GB2312" w:eastAsia="仿宋_GB2312" w:cs="仿宋_GB2312"/>
          <w:color w:val="000000"/>
          <w:sz w:val="32"/>
          <w:szCs w:val="32"/>
          <w:lang w:val="en-US" w:eastAsia="zh-CN"/>
        </w:rPr>
        <w:t>44</w:t>
      </w:r>
      <w:r>
        <w:rPr>
          <w:rFonts w:hint="eastAsia" w:ascii="仿宋_GB2312" w:hAnsi="仿宋_GB2312" w:eastAsia="仿宋_GB2312" w:cs="仿宋_GB2312"/>
          <w:color w:val="000000"/>
          <w:sz w:val="32"/>
          <w:szCs w:val="32"/>
        </w:rPr>
        <w:t>人,脱贫攻坚结对帮扶贫困户84户，无返贫</w:t>
      </w:r>
      <w:r>
        <w:rPr>
          <w:rFonts w:hint="eastAsia" w:ascii="仿宋_GB2312" w:hAnsi="仿宋_GB2312" w:eastAsia="仿宋_GB2312" w:cs="仿宋_GB2312"/>
          <w:color w:val="000000"/>
          <w:sz w:val="32"/>
          <w:szCs w:val="32"/>
          <w:lang w:eastAsia="zh-CN"/>
        </w:rPr>
        <w:t>致贫</w:t>
      </w:r>
      <w:r>
        <w:rPr>
          <w:rFonts w:hint="eastAsia" w:ascii="仿宋_GB2312" w:hAnsi="仿宋_GB2312" w:eastAsia="仿宋_GB2312" w:cs="仿宋_GB2312"/>
          <w:color w:val="000000"/>
          <w:sz w:val="32"/>
          <w:szCs w:val="32"/>
        </w:rPr>
        <w:t>现象。</w:t>
      </w:r>
      <w:r>
        <w:rPr>
          <w:rFonts w:hint="eastAsia" w:ascii="仿宋_GB2312" w:hAnsi="仿宋_GB2312" w:eastAsia="仿宋_GB2312" w:cs="仿宋_GB2312"/>
          <w:b w:val="0"/>
          <w:bCs w:val="0"/>
          <w:sz w:val="32"/>
          <w:szCs w:val="32"/>
          <w:lang w:val="en-US" w:eastAsia="zh-CN"/>
        </w:rPr>
        <w:t>以全市“穿透式”检查为契机，围绕“两不愁三保障”“一超六有”开展“问题清零行动”，整改销号基本医疗、住房保障等问题135个，评选“星级家庭”16户，落实公益性岗</w:t>
      </w:r>
      <w:r>
        <w:rPr>
          <w:rFonts w:hint="eastAsia" w:ascii="仿宋_GB2312" w:hAnsi="仿宋_GB2312" w:eastAsia="仿宋_GB2312" w:cs="仿宋_GB2312"/>
          <w:color w:val="000000"/>
          <w:sz w:val="32"/>
          <w:szCs w:val="32"/>
          <w:lang w:val="en-US" w:eastAsia="zh-CN"/>
        </w:rPr>
        <w:t>位17个</w:t>
      </w:r>
      <w:r>
        <w:rPr>
          <w:rFonts w:hint="eastAsia" w:ascii="仿宋_GB2312" w:hAnsi="仿宋_GB2312" w:eastAsia="仿宋_GB2312" w:cs="仿宋_GB2312"/>
          <w:b w:val="0"/>
          <w:bCs w:val="0"/>
          <w:sz w:val="32"/>
          <w:szCs w:val="32"/>
          <w:lang w:val="en-US" w:eastAsia="zh-CN"/>
        </w:rPr>
        <w:t>，实现产业帮扶77户235人。</w:t>
      </w:r>
    </w:p>
    <w:p>
      <w:pPr>
        <w:pStyle w:val="4"/>
        <w:rPr>
          <w:rStyle w:val="29"/>
          <w:b w:val="0"/>
          <w:bCs w:val="0"/>
        </w:rPr>
      </w:pPr>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18"/>
      <w:bookmarkEnd w:id="19"/>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符溪镇人民政府</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（便民服务中心(退役军人服务站)、农业综合服务中心、文化旅游服务中心、农民工服务中心）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20" w:name="_Toc15396602"/>
      <w:bookmarkStart w:id="21" w:name="_Toc15377204"/>
      <w:bookmarkStart w:id="22" w:name="_Toc15396603"/>
      <w:bookmarkStart w:id="23" w:name="_Toc15377205"/>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 2020年度部门决算情况说明</w:t>
      </w:r>
      <w:bookmarkEnd w:id="20"/>
      <w:bookmarkEnd w:id="21"/>
    </w:p>
    <w:p>
      <w:pPr>
        <w:pStyle w:val="2"/>
        <w:numPr>
          <w:numId w:val="0"/>
        </w:numPr>
        <w:jc w:val="both"/>
        <w:rPr>
          <w:rFonts w:hint="eastAsia"/>
        </w:rPr>
      </w:pPr>
    </w:p>
    <w:p>
      <w:pPr>
        <w:pStyle w:val="27"/>
        <w:numPr>
          <w:ilvl w:val="0"/>
          <w:numId w:val="1"/>
        </w:numPr>
        <w:spacing w:line="600" w:lineRule="exact"/>
        <w:ind w:firstLineChars="0"/>
        <w:outlineLvl w:val="1"/>
        <w:rPr>
          <w:rStyle w:val="29"/>
          <w:rFonts w:ascii="黑体" w:hAnsi="黑体" w:eastAsia="黑体"/>
          <w:b w:val="0"/>
        </w:rPr>
      </w:pPr>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2"/>
      <w:bookmarkEnd w:id="23"/>
    </w:p>
    <w:p>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年度收</w:t>
      </w:r>
      <w:r>
        <w:rPr>
          <w:rFonts w:hint="eastAsia" w:ascii="仿宋_GB2312" w:hAnsi="仿宋_GB2312" w:eastAsia="仿宋_GB2312" w:cs="仿宋_GB2312"/>
          <w:color w:val="auto"/>
          <w:sz w:val="32"/>
          <w:szCs w:val="32"/>
          <w:lang w:eastAsia="zh-CN"/>
        </w:rPr>
        <w:t>入总计</w:t>
      </w:r>
      <w:r>
        <w:rPr>
          <w:rFonts w:hint="eastAsia" w:ascii="仿宋_GB2312" w:hAnsi="仿宋_GB2312" w:eastAsia="仿宋_GB2312" w:cs="仿宋_GB2312"/>
          <w:color w:val="auto"/>
          <w:sz w:val="32"/>
          <w:szCs w:val="32"/>
          <w:lang w:val="en-US" w:eastAsia="zh-CN"/>
        </w:rPr>
        <w:t>4269.36万元，2020年</w:t>
      </w:r>
      <w:r>
        <w:rPr>
          <w:rFonts w:hint="eastAsia" w:ascii="仿宋_GB2312" w:hAnsi="仿宋_GB2312" w:eastAsia="仿宋_GB2312" w:cs="仿宋_GB2312"/>
          <w:color w:val="auto"/>
          <w:sz w:val="32"/>
          <w:szCs w:val="32"/>
        </w:rPr>
        <w:t>支</w:t>
      </w:r>
      <w:r>
        <w:rPr>
          <w:rFonts w:hint="eastAsia" w:ascii="仿宋_GB2312" w:hAnsi="仿宋_GB2312" w:eastAsia="仿宋_GB2312" w:cs="仿宋_GB2312"/>
          <w:color w:val="auto"/>
          <w:sz w:val="32"/>
          <w:szCs w:val="32"/>
          <w:lang w:eastAsia="zh-CN"/>
        </w:rPr>
        <w:t>出总计</w:t>
      </w:r>
      <w:r>
        <w:rPr>
          <w:rFonts w:hint="eastAsia" w:ascii="仿宋_GB2312" w:hAnsi="仿宋_GB2312" w:eastAsia="仿宋_GB2312" w:cs="仿宋_GB2312"/>
          <w:color w:val="auto"/>
          <w:sz w:val="32"/>
          <w:szCs w:val="32"/>
          <w:lang w:val="en-US" w:eastAsia="zh-CN"/>
        </w:rPr>
        <w:t>4602.98万元</w:t>
      </w:r>
      <w:r>
        <w:rPr>
          <w:rFonts w:hint="eastAsia" w:ascii="仿宋_GB2312" w:hAnsi="仿宋_GB2312" w:eastAsia="仿宋_GB2312" w:cs="仿宋_GB2312"/>
          <w:color w:val="auto"/>
          <w:sz w:val="32"/>
          <w:szCs w:val="32"/>
        </w:rPr>
        <w:t>。与201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年相比，收</w:t>
      </w:r>
      <w:r>
        <w:rPr>
          <w:rFonts w:hint="eastAsia" w:ascii="仿宋_GB2312" w:hAnsi="仿宋_GB2312" w:eastAsia="仿宋_GB2312" w:cs="仿宋_GB2312"/>
          <w:color w:val="auto"/>
          <w:sz w:val="32"/>
          <w:szCs w:val="32"/>
          <w:lang w:eastAsia="zh-CN"/>
        </w:rPr>
        <w:t>入减少</w:t>
      </w:r>
      <w:r>
        <w:rPr>
          <w:rFonts w:hint="eastAsia" w:ascii="仿宋_GB2312" w:hAnsi="仿宋_GB2312" w:eastAsia="仿宋_GB2312" w:cs="仿宋_GB2312"/>
          <w:color w:val="auto"/>
          <w:sz w:val="32"/>
          <w:szCs w:val="32"/>
          <w:lang w:val="en-US" w:eastAsia="zh-CN"/>
        </w:rPr>
        <w:t>1945.37万元，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31.30%；</w:t>
      </w:r>
      <w:r>
        <w:rPr>
          <w:rFonts w:hint="eastAsia" w:ascii="仿宋_GB2312" w:hAnsi="仿宋_GB2312" w:eastAsia="仿宋_GB2312" w:cs="仿宋_GB2312"/>
          <w:color w:val="auto"/>
          <w:sz w:val="32"/>
          <w:szCs w:val="32"/>
        </w:rPr>
        <w:t>支</w:t>
      </w:r>
      <w:r>
        <w:rPr>
          <w:rFonts w:hint="eastAsia" w:ascii="仿宋_GB2312" w:hAnsi="仿宋_GB2312" w:eastAsia="仿宋_GB2312" w:cs="仿宋_GB2312"/>
          <w:color w:val="auto"/>
          <w:sz w:val="32"/>
          <w:szCs w:val="32"/>
          <w:lang w:eastAsia="zh-CN"/>
        </w:rPr>
        <w:t>出减少</w:t>
      </w:r>
      <w:r>
        <w:rPr>
          <w:rFonts w:hint="eastAsia" w:ascii="仿宋_GB2312" w:hAnsi="仿宋_GB2312" w:eastAsia="仿宋_GB2312" w:cs="仿宋_GB2312"/>
          <w:color w:val="auto"/>
          <w:sz w:val="32"/>
          <w:szCs w:val="32"/>
          <w:lang w:val="en-US" w:eastAsia="zh-CN"/>
        </w:rPr>
        <w:t>3275.70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41.58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收入</w:t>
      </w:r>
      <w:r>
        <w:rPr>
          <w:rFonts w:hint="eastAsia" w:ascii="仿宋_GB2312" w:hAnsi="仿宋_GB2312" w:eastAsia="仿宋_GB2312" w:cs="仿宋_GB2312"/>
          <w:color w:val="auto"/>
          <w:sz w:val="32"/>
          <w:szCs w:val="32"/>
        </w:rPr>
        <w:t>主</w:t>
      </w:r>
      <w:r>
        <w:rPr>
          <w:rFonts w:hint="eastAsia" w:ascii="仿宋_GB2312" w:hAnsi="仿宋_GB2312" w:eastAsia="仿宋_GB2312" w:cs="仿宋_GB2312"/>
          <w:color w:val="000000"/>
          <w:sz w:val="32"/>
          <w:szCs w:val="32"/>
        </w:rPr>
        <w:t>要变动原因</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color w:val="000000"/>
          <w:sz w:val="32"/>
          <w:szCs w:val="32"/>
          <w:lang w:val="en-US" w:eastAsia="zh-CN"/>
        </w:rPr>
        <w:t>2019年</w:t>
      </w:r>
      <w:r>
        <w:rPr>
          <w:rFonts w:hint="eastAsia" w:ascii="仿宋_GB2312" w:hAnsi="仿宋_GB2312" w:eastAsia="仿宋_GB2312" w:cs="仿宋_GB2312"/>
          <w:color w:val="000000"/>
          <w:sz w:val="32"/>
          <w:szCs w:val="32"/>
          <w:lang w:eastAsia="zh-CN"/>
        </w:rPr>
        <w:t>财政清理往来经费增加了符平</w:t>
      </w:r>
      <w:r>
        <w:rPr>
          <w:rFonts w:hint="eastAsia" w:ascii="仿宋_GB2312" w:hAnsi="仿宋_GB2312" w:eastAsia="仿宋_GB2312" w:cs="仿宋_GB2312"/>
          <w:color w:val="000000"/>
          <w:sz w:val="32"/>
          <w:szCs w:val="32"/>
          <w:lang w:val="en-US" w:eastAsia="zh-CN"/>
        </w:rPr>
        <w:t>7组征地补偿经费、加工仓储物流园菜场安置点二期项目建设安置还房装修补贴</w:t>
      </w:r>
      <w:r>
        <w:rPr>
          <w:rFonts w:hint="eastAsia" w:ascii="仿宋_GB2312" w:hAnsi="仿宋_GB2312" w:eastAsia="仿宋_GB2312" w:cs="仿宋_GB2312"/>
          <w:color w:val="000000"/>
          <w:sz w:val="32"/>
          <w:szCs w:val="32"/>
          <w:lang w:eastAsia="zh-CN"/>
        </w:rPr>
        <w:t>经费、夹峨联网工程征地转非人员社保安置经费等项目经费</w:t>
      </w:r>
      <w:r>
        <w:rPr>
          <w:rFonts w:hint="eastAsia" w:ascii="仿宋_GB2312" w:hAnsi="仿宋_GB2312" w:eastAsia="仿宋_GB2312" w:cs="仿宋_GB2312"/>
          <w:color w:val="000000"/>
          <w:sz w:val="32"/>
          <w:szCs w:val="32"/>
          <w:lang w:val="en-US" w:eastAsia="zh-CN"/>
        </w:rPr>
        <w:t>2686.00万元，2020年增加片区污水管网等项目抗疫特别国债资金790万元；支出主要变动原因是2019年</w:t>
      </w:r>
      <w:r>
        <w:rPr>
          <w:rFonts w:hint="eastAsia" w:ascii="仿宋_GB2312" w:hAnsi="仿宋_GB2312" w:eastAsia="仿宋_GB2312" w:cs="仿宋_GB2312"/>
          <w:color w:val="000000"/>
          <w:sz w:val="32"/>
          <w:szCs w:val="32"/>
          <w:lang w:eastAsia="zh-CN"/>
        </w:rPr>
        <w:t>财政清理往来经费增加了符平</w:t>
      </w:r>
      <w:r>
        <w:rPr>
          <w:rFonts w:hint="eastAsia" w:ascii="仿宋_GB2312" w:hAnsi="仿宋_GB2312" w:eastAsia="仿宋_GB2312" w:cs="仿宋_GB2312"/>
          <w:color w:val="000000"/>
          <w:sz w:val="32"/>
          <w:szCs w:val="32"/>
          <w:lang w:val="en-US" w:eastAsia="zh-CN"/>
        </w:rPr>
        <w:t>7组征地补偿经费、加工仓储物流园菜场安置点二期项目建设安置还房装修补贴</w:t>
      </w:r>
      <w:r>
        <w:rPr>
          <w:rFonts w:hint="eastAsia" w:ascii="仿宋_GB2312" w:hAnsi="仿宋_GB2312" w:eastAsia="仿宋_GB2312" w:cs="仿宋_GB2312"/>
          <w:color w:val="000000"/>
          <w:sz w:val="32"/>
          <w:szCs w:val="32"/>
          <w:lang w:eastAsia="zh-CN"/>
        </w:rPr>
        <w:t>经费、夹峨联网工程征地转非人员社保安置经费等项目经费</w:t>
      </w:r>
      <w:r>
        <w:rPr>
          <w:rFonts w:hint="eastAsia" w:ascii="仿宋_GB2312" w:hAnsi="仿宋_GB2312" w:eastAsia="仿宋_GB2312" w:cs="仿宋_GB2312"/>
          <w:color w:val="000000"/>
          <w:sz w:val="32"/>
          <w:szCs w:val="32"/>
          <w:lang w:val="en-US" w:eastAsia="zh-CN"/>
        </w:rPr>
        <w:t>2686.00万元；2019年博睿特高中周边道路、片区污水管网、</w:t>
      </w:r>
    </w:p>
    <w:p>
      <w:pPr>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雷场大桥等工程项目较2020年进度款支出约多500万元。</w:t>
      </w:r>
      <w:bookmarkStart w:id="24" w:name="_Toc15396604"/>
      <w:bookmarkStart w:id="25" w:name="_Toc15377206"/>
    </w:p>
    <w:p>
      <w:pPr>
        <w:pStyle w:val="27"/>
        <w:numPr>
          <w:ilvl w:val="0"/>
          <w:numId w:val="0"/>
        </w:numPr>
        <w:spacing w:line="600" w:lineRule="exact"/>
        <w:outlineLvl w:val="1"/>
      </w:pPr>
      <w:r>
        <w:drawing>
          <wp:anchor distT="0" distB="0" distL="114300" distR="114300" simplePos="0" relativeHeight="251659264" behindDoc="1" locked="0" layoutInCell="1" allowOverlap="1">
            <wp:simplePos x="0" y="0"/>
            <wp:positionH relativeFrom="column">
              <wp:posOffset>518795</wp:posOffset>
            </wp:positionH>
            <wp:positionV relativeFrom="paragraph">
              <wp:posOffset>257175</wp:posOffset>
            </wp:positionV>
            <wp:extent cx="4047490" cy="2446655"/>
            <wp:effectExtent l="4445" t="4445" r="5715" b="6350"/>
            <wp:wrapTight wrapText="bothSides">
              <wp:wrapPolygon>
                <wp:start x="-24" y="-39"/>
                <wp:lineTo x="-24" y="21488"/>
                <wp:lineTo x="21529" y="21488"/>
                <wp:lineTo x="21529" y="-39"/>
                <wp:lineTo x="-24" y="-39"/>
              </wp:wrapPolygon>
            </wp:wrapTight>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7"/>
        <w:numPr>
          <w:ilvl w:val="0"/>
          <w:numId w:val="0"/>
        </w:numPr>
        <w:spacing w:line="600" w:lineRule="exact"/>
        <w:outlineLvl w:val="1"/>
      </w:pPr>
    </w:p>
    <w:p>
      <w:pPr>
        <w:pStyle w:val="27"/>
        <w:numPr>
          <w:ilvl w:val="0"/>
          <w:numId w:val="0"/>
        </w:numPr>
        <w:spacing w:line="600" w:lineRule="exact"/>
        <w:outlineLvl w:val="1"/>
      </w:pPr>
    </w:p>
    <w:p>
      <w:pPr>
        <w:pStyle w:val="27"/>
        <w:numPr>
          <w:ilvl w:val="0"/>
          <w:numId w:val="0"/>
        </w:numPr>
        <w:spacing w:line="600" w:lineRule="exact"/>
        <w:outlineLvl w:val="1"/>
      </w:pPr>
    </w:p>
    <w:p>
      <w:pPr>
        <w:pStyle w:val="27"/>
        <w:numPr>
          <w:ilvl w:val="0"/>
          <w:numId w:val="0"/>
        </w:numPr>
        <w:spacing w:line="600" w:lineRule="exact"/>
        <w:outlineLvl w:val="1"/>
      </w:pPr>
    </w:p>
    <w:p>
      <w:pPr>
        <w:pStyle w:val="27"/>
        <w:numPr>
          <w:ilvl w:val="0"/>
          <w:numId w:val="0"/>
        </w:numPr>
        <w:spacing w:line="600" w:lineRule="exact"/>
        <w:ind w:firstLine="1280" w:firstLineChars="400"/>
        <w:outlineLvl w:val="1"/>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（图一：收、支决算总计变动情况图）</w:t>
      </w:r>
    </w:p>
    <w:p>
      <w:pPr>
        <w:pStyle w:val="27"/>
        <w:numPr>
          <w:ilvl w:val="0"/>
          <w:numId w:val="0"/>
        </w:numPr>
        <w:spacing w:line="600" w:lineRule="exact"/>
        <w:ind w:firstLine="640" w:firstLineChars="200"/>
        <w:outlineLvl w:val="1"/>
        <w:rPr>
          <w:rStyle w:val="29"/>
          <w:rFonts w:ascii="黑体" w:hAnsi="黑体" w:eastAsia="黑体"/>
          <w:b w:val="0"/>
        </w:rPr>
      </w:pPr>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9"/>
          <w:rFonts w:hint="eastAsia" w:ascii="黑体" w:hAnsi="黑体" w:eastAsia="黑体"/>
          <w:b w:val="0"/>
        </w:rPr>
        <w:t>入决算情况说明</w:t>
      </w:r>
      <w:bookmarkEnd w:id="24"/>
      <w:bookmarkEnd w:id="25"/>
    </w:p>
    <w:p>
      <w:pPr>
        <w:spacing w:line="600" w:lineRule="exact"/>
        <w:ind w:firstLine="640" w:firstLineChars="200"/>
        <w:outlineLvl w:val="1"/>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4269.36</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2142.60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50.19</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1946.82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45.60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上级补助收入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179.94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4.21</w:t>
      </w:r>
      <w:r>
        <w:rPr>
          <w:rFonts w:hint="eastAsia" w:ascii="仿宋_GB2312" w:hAnsi="仿宋_GB2312" w:eastAsia="仿宋_GB2312" w:cs="仿宋_GB2312"/>
          <w:color w:val="000000"/>
          <w:sz w:val="32"/>
          <w:szCs w:val="32"/>
        </w:rPr>
        <w:t>%。</w:t>
      </w:r>
    </w:p>
    <w:p>
      <w:pPr>
        <w:pStyle w:val="27"/>
        <w:numPr>
          <w:ilvl w:val="0"/>
          <w:numId w:val="0"/>
        </w:numPr>
        <w:spacing w:line="600" w:lineRule="exact"/>
        <w:ind w:left="640" w:leftChars="0" w:firstLine="1050" w:firstLineChars="500"/>
        <w:jc w:val="both"/>
        <w:outlineLvl w:val="1"/>
        <w:rPr>
          <w:rFonts w:hint="eastAsia" w:ascii="仿宋" w:hAnsi="仿宋" w:eastAsia="仿宋" w:cs="仿宋"/>
          <w:color w:val="000000"/>
          <w:sz w:val="32"/>
          <w:szCs w:val="32"/>
          <w:lang w:eastAsia="zh-CN"/>
        </w:rPr>
      </w:pPr>
      <w:bookmarkStart w:id="26" w:name="_Toc15377207"/>
      <w:bookmarkStart w:id="27" w:name="_Toc15396605"/>
      <w:r>
        <w:drawing>
          <wp:anchor distT="0" distB="0" distL="114300" distR="114300" simplePos="0" relativeHeight="251660288" behindDoc="0" locked="0" layoutInCell="1" allowOverlap="1">
            <wp:simplePos x="0" y="0"/>
            <wp:positionH relativeFrom="column">
              <wp:posOffset>801370</wp:posOffset>
            </wp:positionH>
            <wp:positionV relativeFrom="paragraph">
              <wp:posOffset>347345</wp:posOffset>
            </wp:positionV>
            <wp:extent cx="4182745" cy="2628900"/>
            <wp:effectExtent l="4445" t="4445" r="22860" b="14605"/>
            <wp:wrapSquare wrapText="bothSides"/>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pPr>
        <w:pStyle w:val="27"/>
        <w:numPr>
          <w:ilvl w:val="0"/>
          <w:numId w:val="0"/>
        </w:numPr>
        <w:spacing w:line="600" w:lineRule="exact"/>
        <w:ind w:left="640" w:leftChars="0" w:firstLine="1600" w:firstLineChars="500"/>
        <w:jc w:val="both"/>
        <w:outlineLvl w:val="1"/>
        <w:rPr>
          <w:rFonts w:hint="eastAsia" w:ascii="仿宋" w:hAnsi="仿宋" w:eastAsia="仿宋" w:cs="仿宋"/>
          <w:color w:val="000000"/>
          <w:sz w:val="32"/>
          <w:szCs w:val="32"/>
          <w:lang w:eastAsia="zh-CN"/>
        </w:rPr>
      </w:pPr>
    </w:p>
    <w:p>
      <w:pPr>
        <w:pStyle w:val="27"/>
        <w:numPr>
          <w:ilvl w:val="0"/>
          <w:numId w:val="0"/>
        </w:numPr>
        <w:spacing w:line="600" w:lineRule="exact"/>
        <w:ind w:left="2876" w:leftChars="1065" w:hanging="640" w:hangingChars="200"/>
        <w:jc w:val="both"/>
        <w:outlineLvl w:val="1"/>
        <w:rPr>
          <w:rFonts w:hint="eastAsia" w:ascii="仿宋_GB2312" w:hAnsi="仿宋_GB2312" w:eastAsia="仿宋_GB2312" w:cs="仿宋_GB2312"/>
          <w:color w:val="000000"/>
          <w:sz w:val="32"/>
          <w:szCs w:val="32"/>
          <w:lang w:eastAsia="zh-CN"/>
        </w:rPr>
      </w:pPr>
      <w:r>
        <w:rPr>
          <w:rFonts w:hint="eastAsia" w:ascii="仿宋" w:hAnsi="仿宋" w:eastAsia="仿宋" w:cs="仿宋"/>
          <w:color w:val="000000"/>
          <w:sz w:val="32"/>
          <w:szCs w:val="32"/>
          <w:lang w:eastAsia="zh-CN"/>
        </w:rPr>
        <w:t>（</w:t>
      </w:r>
      <w:r>
        <w:rPr>
          <w:rFonts w:hint="eastAsia" w:ascii="仿宋_GB2312" w:hAnsi="仿宋_GB2312" w:eastAsia="仿宋_GB2312" w:cs="仿宋_GB2312"/>
          <w:color w:val="000000"/>
          <w:sz w:val="32"/>
          <w:szCs w:val="32"/>
          <w:lang w:eastAsia="zh-CN"/>
        </w:rPr>
        <w:t>（图二：收入决算结构图）</w:t>
      </w:r>
    </w:p>
    <w:p>
      <w:pPr>
        <w:pStyle w:val="27"/>
        <w:numPr>
          <w:ilvl w:val="0"/>
          <w:numId w:val="0"/>
        </w:numPr>
        <w:spacing w:line="600" w:lineRule="exact"/>
        <w:ind w:left="640" w:leftChars="0"/>
        <w:outlineLvl w:val="1"/>
        <w:rPr>
          <w:rStyle w:val="29"/>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9"/>
          <w:rFonts w:hint="eastAsia" w:ascii="黑体" w:hAnsi="黑体" w:eastAsia="黑体"/>
          <w:b w:val="0"/>
        </w:rPr>
        <w:t>出决算情况说明</w:t>
      </w:r>
      <w:bookmarkEnd w:id="26"/>
      <w:bookmarkEnd w:id="27"/>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4602.98</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1070.09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23.25</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3532.89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76.75</w:t>
      </w:r>
      <w:r>
        <w:rPr>
          <w:rFonts w:hint="eastAsia" w:ascii="仿宋_GB2312" w:hAnsi="仿宋_GB2312" w:eastAsia="仿宋_GB2312" w:cs="仿宋_GB2312"/>
          <w:color w:val="000000"/>
          <w:sz w:val="32"/>
          <w:szCs w:val="32"/>
        </w:rPr>
        <w:t>%；上缴上级支出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%；对附属单位补助支出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spacing w:line="600" w:lineRule="exact"/>
        <w:ind w:firstLine="640" w:firstLineChars="200"/>
        <w:rPr>
          <w:rFonts w:ascii="仿宋_GB2312" w:eastAsia="仿宋_GB2312"/>
          <w:color w:val="FF0000"/>
          <w:sz w:val="32"/>
          <w:szCs w:val="32"/>
        </w:rPr>
      </w:pPr>
    </w:p>
    <w:p>
      <w:pPr>
        <w:pStyle w:val="2"/>
        <w:rPr>
          <w:rFonts w:ascii="仿宋_GB2312" w:eastAsia="仿宋_GB2312"/>
          <w:color w:val="FF0000"/>
          <w:sz w:val="32"/>
          <w:szCs w:val="32"/>
        </w:rPr>
      </w:pPr>
      <w:r>
        <w:drawing>
          <wp:inline distT="0" distB="0" distL="114300" distR="114300">
            <wp:extent cx="4847590" cy="2743200"/>
            <wp:effectExtent l="4445" t="5080" r="5715" b="13970"/>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rPr>
          <w:rFonts w:ascii="仿宋_GB2312" w:eastAsia="仿宋_GB2312"/>
          <w:color w:val="FF0000"/>
          <w:sz w:val="32"/>
          <w:szCs w:val="32"/>
        </w:rPr>
      </w:pPr>
    </w:p>
    <w:p>
      <w:pPr>
        <w:jc w:val="center"/>
        <w:rPr>
          <w:rFonts w:hint="eastAsia" w:ascii="仿宋_GB2312" w:hAnsi="仿宋_GB2312" w:eastAsia="仿宋_GB2312" w:cs="仿宋_GB2312"/>
          <w:color w:val="000000"/>
          <w:sz w:val="32"/>
          <w:szCs w:val="32"/>
          <w:lang w:val="en-US" w:eastAsia="zh-CN"/>
        </w:rPr>
      </w:pPr>
      <w:bookmarkStart w:id="28" w:name="_Toc15396606"/>
      <w:bookmarkStart w:id="29" w:name="_Toc15377208"/>
      <w:r>
        <w:rPr>
          <w:rFonts w:hint="eastAsia" w:ascii="仿宋_GB2312" w:hAnsi="仿宋_GB2312" w:eastAsia="仿宋_GB2312" w:cs="仿宋_GB2312"/>
          <w:color w:val="000000"/>
          <w:sz w:val="32"/>
          <w:szCs w:val="32"/>
          <w:lang w:val="en-US" w:eastAsia="zh-CN"/>
        </w:rPr>
        <w:t>（图三：支出决算结构图）</w:t>
      </w:r>
    </w:p>
    <w:p>
      <w:pPr>
        <w:spacing w:line="600" w:lineRule="exact"/>
        <w:ind w:firstLine="640" w:firstLineChars="200"/>
        <w:outlineLvl w:val="1"/>
        <w:rPr>
          <w:rStyle w:val="29"/>
          <w:rFonts w:ascii="黑体" w:hAnsi="黑体" w:eastAsia="黑体"/>
          <w:b w:val="0"/>
        </w:rPr>
      </w:pPr>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28"/>
      <w:bookmarkEnd w:id="29"/>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年财政拨款收</w:t>
      </w:r>
      <w:r>
        <w:rPr>
          <w:rFonts w:hint="eastAsia" w:ascii="仿宋_GB2312" w:hAnsi="仿宋_GB2312" w:eastAsia="仿宋_GB2312" w:cs="仿宋_GB2312"/>
          <w:color w:val="000000"/>
          <w:sz w:val="32"/>
          <w:szCs w:val="32"/>
          <w:lang w:eastAsia="zh-CN"/>
        </w:rPr>
        <w:t>入总计</w:t>
      </w:r>
      <w:r>
        <w:rPr>
          <w:rFonts w:hint="eastAsia" w:ascii="仿宋_GB2312" w:hAnsi="仿宋_GB2312" w:eastAsia="仿宋_GB2312" w:cs="仿宋_GB2312"/>
          <w:color w:val="000000"/>
          <w:sz w:val="32"/>
          <w:szCs w:val="32"/>
          <w:lang w:val="en-US" w:eastAsia="zh-CN"/>
        </w:rPr>
        <w:t>4089.42万元,</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4424.54</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年相比，财政拨款收</w:t>
      </w:r>
      <w:r>
        <w:rPr>
          <w:rFonts w:hint="eastAsia" w:ascii="仿宋_GB2312" w:hAnsi="仿宋_GB2312" w:eastAsia="仿宋_GB2312" w:cs="仿宋_GB2312"/>
          <w:color w:val="000000"/>
          <w:sz w:val="32"/>
          <w:szCs w:val="32"/>
          <w:lang w:eastAsia="zh-CN"/>
        </w:rPr>
        <w:t>入减少</w:t>
      </w:r>
      <w:r>
        <w:rPr>
          <w:rFonts w:hint="eastAsia" w:ascii="仿宋_GB2312" w:hAnsi="仿宋_GB2312" w:eastAsia="仿宋_GB2312" w:cs="仿宋_GB2312"/>
          <w:color w:val="000000"/>
          <w:sz w:val="32"/>
          <w:szCs w:val="32"/>
          <w:lang w:val="en-US" w:eastAsia="zh-CN"/>
        </w:rPr>
        <w:t>1992.68万元，</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FF"/>
          <w:sz w:val="32"/>
          <w:szCs w:val="32"/>
          <w:lang w:val="en-US" w:eastAsia="zh-CN"/>
        </w:rPr>
        <w:t>32.76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财政拨款</w:t>
      </w:r>
      <w:r>
        <w:rPr>
          <w:rFonts w:hint="eastAsia" w:ascii="仿宋_GB2312" w:hAnsi="仿宋_GB2312" w:eastAsia="仿宋_GB2312" w:cs="仿宋_GB2312"/>
          <w:color w:val="000000"/>
          <w:sz w:val="32"/>
          <w:szCs w:val="32"/>
          <w:lang w:val="en-US" w:eastAsia="zh-CN"/>
        </w:rPr>
        <w:t>支出</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3347.58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43.07%</w:t>
      </w:r>
      <w:r>
        <w:rPr>
          <w:rFonts w:hint="eastAsia" w:ascii="仿宋_GB2312" w:hAnsi="仿宋_GB2312" w:eastAsia="仿宋_GB2312" w:cs="仿宋_GB2312"/>
          <w:color w:val="000000"/>
          <w:sz w:val="32"/>
          <w:szCs w:val="32"/>
        </w:rPr>
        <w:t>。财政拨款收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2019年</w:t>
      </w:r>
      <w:r>
        <w:rPr>
          <w:rFonts w:hint="eastAsia" w:ascii="仿宋_GB2312" w:hAnsi="仿宋_GB2312" w:eastAsia="仿宋_GB2312" w:cs="仿宋_GB2312"/>
          <w:color w:val="000000"/>
          <w:sz w:val="32"/>
          <w:szCs w:val="32"/>
          <w:lang w:eastAsia="zh-CN"/>
        </w:rPr>
        <w:t>财政清理往来经费增加了符平</w:t>
      </w:r>
      <w:r>
        <w:rPr>
          <w:rFonts w:hint="eastAsia" w:ascii="仿宋_GB2312" w:hAnsi="仿宋_GB2312" w:eastAsia="仿宋_GB2312" w:cs="仿宋_GB2312"/>
          <w:color w:val="000000"/>
          <w:sz w:val="32"/>
          <w:szCs w:val="32"/>
          <w:lang w:val="en-US" w:eastAsia="zh-CN"/>
        </w:rPr>
        <w:t>7组征地补偿经费、加工仓储物流园菜场安置点二期项目建设安置还房装修补贴</w:t>
      </w:r>
      <w:r>
        <w:rPr>
          <w:rFonts w:hint="eastAsia" w:ascii="仿宋_GB2312" w:hAnsi="仿宋_GB2312" w:eastAsia="仿宋_GB2312" w:cs="仿宋_GB2312"/>
          <w:color w:val="000000"/>
          <w:sz w:val="32"/>
          <w:szCs w:val="32"/>
          <w:lang w:eastAsia="zh-CN"/>
        </w:rPr>
        <w:t>经费、夹峨联网工程征地转非人员社保安置经费等项目经费</w:t>
      </w:r>
      <w:r>
        <w:rPr>
          <w:rFonts w:hint="eastAsia" w:ascii="仿宋_GB2312" w:hAnsi="仿宋_GB2312" w:eastAsia="仿宋_GB2312" w:cs="仿宋_GB2312"/>
          <w:color w:val="000000"/>
          <w:sz w:val="32"/>
          <w:szCs w:val="32"/>
          <w:lang w:val="en-US" w:eastAsia="zh-CN"/>
        </w:rPr>
        <w:t>2686.00万元；2020年增加片区污水管网及博睿特周边道路建设抗疫特别国债790万元。支出主要变动原因是2019年</w:t>
      </w:r>
      <w:r>
        <w:rPr>
          <w:rFonts w:hint="eastAsia" w:ascii="仿宋_GB2312" w:hAnsi="仿宋_GB2312" w:eastAsia="仿宋_GB2312" w:cs="仿宋_GB2312"/>
          <w:color w:val="000000"/>
          <w:sz w:val="32"/>
          <w:szCs w:val="32"/>
          <w:lang w:eastAsia="zh-CN"/>
        </w:rPr>
        <w:t>财政清理往来经费增加了符平</w:t>
      </w:r>
      <w:r>
        <w:rPr>
          <w:rFonts w:hint="eastAsia" w:ascii="仿宋_GB2312" w:hAnsi="仿宋_GB2312" w:eastAsia="仿宋_GB2312" w:cs="仿宋_GB2312"/>
          <w:color w:val="000000"/>
          <w:sz w:val="32"/>
          <w:szCs w:val="32"/>
          <w:lang w:val="en-US" w:eastAsia="zh-CN"/>
        </w:rPr>
        <w:t>7组征地补偿经费、加工仓储物流园菜场安置点二期项目建设安置还房装修补贴</w:t>
      </w:r>
      <w:r>
        <w:rPr>
          <w:rFonts w:hint="eastAsia" w:ascii="仿宋_GB2312" w:hAnsi="仿宋_GB2312" w:eastAsia="仿宋_GB2312" w:cs="仿宋_GB2312"/>
          <w:color w:val="000000"/>
          <w:sz w:val="32"/>
          <w:szCs w:val="32"/>
          <w:lang w:eastAsia="zh-CN"/>
        </w:rPr>
        <w:t>经费、夹峨联网工程征地转非人员社保安置经费等项目经费</w:t>
      </w:r>
      <w:r>
        <w:rPr>
          <w:rFonts w:hint="eastAsia" w:ascii="仿宋_GB2312" w:hAnsi="仿宋_GB2312" w:eastAsia="仿宋_GB2312" w:cs="仿宋_GB2312"/>
          <w:color w:val="000000"/>
          <w:sz w:val="32"/>
          <w:szCs w:val="32"/>
          <w:lang w:val="en-US" w:eastAsia="zh-CN"/>
        </w:rPr>
        <w:t>2686.00万元；2019年博睿特高中周边道路、片区污水管网、雷场大桥等工程项目较2020年进度款支出约多500万元。</w:t>
      </w:r>
    </w:p>
    <w:p>
      <w:pPr>
        <w:rPr>
          <w:rFonts w:hint="default"/>
          <w:sz w:val="32"/>
          <w:szCs w:val="32"/>
          <w:lang w:val="en-US"/>
        </w:rPr>
      </w:pPr>
    </w:p>
    <w:p>
      <w:pPr>
        <w:pStyle w:val="2"/>
        <w:rPr>
          <w:rFonts w:hint="default"/>
          <w:lang w:val="en-US"/>
        </w:rPr>
      </w:pPr>
      <w:r>
        <w:drawing>
          <wp:inline distT="0" distB="0" distL="114300" distR="114300">
            <wp:extent cx="4572000" cy="2743200"/>
            <wp:effectExtent l="4445" t="4445" r="14605" b="14605"/>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hint="default"/>
          <w:lang w:val="en-US"/>
        </w:rPr>
      </w:pPr>
    </w:p>
    <w:p>
      <w:pPr>
        <w:spacing w:line="600" w:lineRule="exact"/>
        <w:ind w:firstLine="640" w:firstLineChars="200"/>
        <w:outlineLvl w:val="1"/>
        <w:rPr>
          <w:rFonts w:hint="eastAsia" w:ascii="仿宋" w:hAnsi="仿宋" w:eastAsia="仿宋" w:cs="仿宋"/>
          <w:color w:val="000000"/>
          <w:sz w:val="32"/>
          <w:szCs w:val="32"/>
          <w:lang w:eastAsia="zh-CN"/>
        </w:rPr>
      </w:pPr>
      <w:bookmarkStart w:id="30" w:name="_Toc15396607"/>
      <w:bookmarkStart w:id="31" w:name="_Toc15377209"/>
      <w:r>
        <w:rPr>
          <w:rFonts w:hint="eastAsia" w:ascii="仿宋" w:hAnsi="仿宋" w:eastAsia="仿宋" w:cs="仿宋"/>
          <w:color w:val="000000"/>
          <w:sz w:val="32"/>
          <w:szCs w:val="32"/>
          <w:lang w:eastAsia="zh-CN"/>
        </w:rPr>
        <w:t>（图四：财政拨款收、支决算总计变动情况）</w:t>
      </w: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9"/>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0"/>
      <w:bookmarkEnd w:id="31"/>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2" w:name="_Toc15377210"/>
      <w:r>
        <w:rPr>
          <w:rFonts w:hint="eastAsia" w:ascii="楷体_GB2312" w:hAnsi="楷体_GB2312" w:eastAsia="楷体_GB2312" w:cs="楷体_GB2312"/>
          <w:b w:val="0"/>
          <w:bCs/>
          <w:color w:val="000000"/>
          <w:sz w:val="32"/>
          <w:szCs w:val="32"/>
        </w:rPr>
        <w:t>（一）一般公共预算财政拨款支出决算总体情况</w:t>
      </w:r>
      <w:bookmarkEnd w:id="32"/>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2336.48</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50.76</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1508.97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39.24</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 xml:space="preserve">2020年减少省级小城镇建设项目资金片区污水管网工程、博睿特高中周边道路工程、雷场大桥建设工程项目约1264万元。 </w:t>
      </w:r>
    </w:p>
    <w:p>
      <w:pPr>
        <w:spacing w:line="600" w:lineRule="exact"/>
        <w:ind w:firstLine="643" w:firstLineChars="200"/>
        <w:outlineLvl w:val="2"/>
        <w:rPr>
          <w:rFonts w:hint="eastAsia" w:ascii="仿宋" w:hAnsi="仿宋" w:eastAsia="仿宋"/>
          <w:b/>
          <w:color w:val="000000"/>
          <w:sz w:val="32"/>
          <w:szCs w:val="32"/>
        </w:rPr>
      </w:pPr>
      <w:bookmarkStart w:id="33" w:name="_Toc15377211"/>
    </w:p>
    <w:p>
      <w:pPr>
        <w:pStyle w:val="2"/>
        <w:rPr>
          <w:rFonts w:hint="eastAsia" w:ascii="仿宋" w:hAnsi="仿宋" w:eastAsia="仿宋"/>
          <w:b/>
          <w:color w:val="000000"/>
          <w:sz w:val="32"/>
          <w:szCs w:val="32"/>
        </w:rPr>
      </w:pPr>
      <w:r>
        <w:drawing>
          <wp:inline distT="0" distB="0" distL="114300" distR="114300">
            <wp:extent cx="4572000" cy="2743200"/>
            <wp:effectExtent l="4445" t="4445" r="14605" b="14605"/>
            <wp:docPr id="1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w:t>
      </w:r>
    </w:p>
    <w:p>
      <w:pPr>
        <w:spacing w:line="600" w:lineRule="exact"/>
        <w:ind w:firstLine="640" w:firstLineChars="200"/>
        <w:outlineLvl w:val="2"/>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w:t>
      </w: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rPr>
        <w:t>一般公共预算财政拨款支出决算结构情况</w:t>
      </w:r>
      <w:bookmarkEnd w:id="33"/>
    </w:p>
    <w:p>
      <w:pPr>
        <w:spacing w:line="600" w:lineRule="exact"/>
        <w:ind w:firstLine="64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sz w:val="32"/>
          <w:szCs w:val="32"/>
        </w:rPr>
        <w:t>20</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年一般公共预算财</w:t>
      </w:r>
      <w:r>
        <w:rPr>
          <w:rFonts w:hint="eastAsia" w:ascii="仿宋_GB2312" w:hAnsi="仿宋_GB2312" w:eastAsia="仿宋_GB2312" w:cs="仿宋_GB2312"/>
          <w:b w:val="0"/>
          <w:bCs w:val="0"/>
          <w:color w:val="000000" w:themeColor="text1"/>
          <w:sz w:val="32"/>
          <w:szCs w:val="32"/>
          <w14:textFill>
            <w14:solidFill>
              <w14:schemeClr w14:val="tx1"/>
            </w14:solidFill>
          </w14:textFill>
        </w:rPr>
        <w:t>政拨款支出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2336.48</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万元，主要用于以下方面:一般公共服务（类）支出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649.13</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27.78</w:t>
      </w:r>
      <w:r>
        <w:rPr>
          <w:rFonts w:hint="eastAsia" w:ascii="仿宋_GB2312" w:hAnsi="仿宋_GB2312" w:eastAsia="仿宋_GB2312" w:cs="仿宋_GB2312"/>
          <w:b w:val="0"/>
          <w:bCs w:val="0"/>
          <w:color w:val="000000" w:themeColor="text1"/>
          <w:sz w:val="32"/>
          <w:szCs w:val="32"/>
          <w14:textFill>
            <w14:solidFill>
              <w14:schemeClr w14:val="tx1"/>
            </w14:solidFill>
          </w14:textFill>
        </w:rPr>
        <w:t>%；教育支出（类）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%；科学技术（类）支出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14:textFill>
            <w14:solidFill>
              <w14:schemeClr w14:val="tx1"/>
            </w14:solidFill>
          </w14:textFill>
        </w:rPr>
        <w:t>%；文化旅游体育与传媒（类）支出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78.44</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3.36</w:t>
      </w:r>
      <w:r>
        <w:rPr>
          <w:rFonts w:hint="eastAsia" w:ascii="仿宋_GB2312" w:hAnsi="仿宋_GB2312" w:eastAsia="仿宋_GB2312" w:cs="仿宋_GB2312"/>
          <w:b w:val="0"/>
          <w:bCs w:val="0"/>
          <w:color w:val="000000" w:themeColor="text1"/>
          <w:sz w:val="32"/>
          <w:szCs w:val="32"/>
          <w14:textFill>
            <w14:solidFill>
              <w14:schemeClr w14:val="tx1"/>
            </w14:solidFill>
          </w14:textFill>
        </w:rPr>
        <w:t>%；社会保障和就业（类）支出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194.65</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8.33</w:t>
      </w:r>
      <w:r>
        <w:rPr>
          <w:rFonts w:hint="eastAsia" w:ascii="仿宋_GB2312" w:hAnsi="仿宋_GB2312" w:eastAsia="仿宋_GB2312" w:cs="仿宋_GB2312"/>
          <w:b w:val="0"/>
          <w:bCs w:val="0"/>
          <w:color w:val="000000" w:themeColor="text1"/>
          <w:sz w:val="32"/>
          <w:szCs w:val="32"/>
          <w14:textFill>
            <w14:solidFill>
              <w14:schemeClr w14:val="tx1"/>
            </w14:solidFill>
          </w14:textFill>
        </w:rPr>
        <w:t>%；卫生健康支出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22.64</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0.97</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城乡社区支出（类）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508.80万元，占21.78%；农林水支出（类）803.03万元，占34.37%；</w:t>
      </w:r>
      <w:r>
        <w:rPr>
          <w:rFonts w:hint="eastAsia" w:ascii="仿宋_GB2312" w:hAnsi="仿宋_GB2312" w:eastAsia="仿宋_GB2312" w:cs="仿宋_GB2312"/>
          <w:b w:val="0"/>
          <w:bCs w:val="0"/>
          <w:color w:val="000000" w:themeColor="text1"/>
          <w:sz w:val="32"/>
          <w:szCs w:val="32"/>
          <w14:textFill>
            <w14:solidFill>
              <w14:schemeClr w14:val="tx1"/>
            </w14:solidFill>
          </w14:textFill>
        </w:rPr>
        <w:t>住房保障支出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79.79</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3.41</w:t>
      </w:r>
      <w:r>
        <w:rPr>
          <w:rFonts w:hint="eastAsia" w:ascii="仿宋_GB2312" w:hAnsi="仿宋_GB2312" w:eastAsia="仿宋_GB2312" w:cs="仿宋_GB2312"/>
          <w:b w:val="0"/>
          <w:bCs w:val="0"/>
          <w:color w:val="000000" w:themeColor="text1"/>
          <w:sz w:val="32"/>
          <w:szCs w:val="32"/>
          <w14:textFill>
            <w14:solidFill>
              <w14:schemeClr w14:val="tx1"/>
            </w14:solidFill>
          </w14:textFill>
        </w:rPr>
        <w:t>%。（罗列全部功能分类科目，至类级。）</w:t>
      </w:r>
    </w:p>
    <w:p>
      <w:pPr>
        <w:spacing w:line="600" w:lineRule="exact"/>
        <w:ind w:firstLine="420" w:firstLineChars="200"/>
        <w:rPr>
          <w:rFonts w:hint="eastAsia" w:ascii="仿宋" w:hAnsi="仿宋" w:eastAsia="仿宋"/>
          <w:color w:val="C00000"/>
          <w:sz w:val="32"/>
          <w:szCs w:val="32"/>
        </w:rPr>
      </w:pPr>
      <w:r>
        <w:drawing>
          <wp:anchor distT="0" distB="0" distL="114300" distR="114300" simplePos="0" relativeHeight="251661312" behindDoc="0" locked="0" layoutInCell="1" allowOverlap="1">
            <wp:simplePos x="0" y="0"/>
            <wp:positionH relativeFrom="column">
              <wp:posOffset>261620</wp:posOffset>
            </wp:positionH>
            <wp:positionV relativeFrom="paragraph">
              <wp:posOffset>-586740</wp:posOffset>
            </wp:positionV>
            <wp:extent cx="4581525" cy="2423160"/>
            <wp:effectExtent l="4445" t="4445" r="5080" b="1079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hint="eastAsia" w:ascii="仿宋" w:hAnsi="仿宋" w:eastAsia="仿宋"/>
          <w:color w:val="C00000"/>
          <w:sz w:val="32"/>
          <w:szCs w:val="32"/>
        </w:rPr>
      </w:pPr>
    </w:p>
    <w:p>
      <w:pPr>
        <w:rPr>
          <w:rFonts w:hint="eastAsia" w:ascii="仿宋" w:hAnsi="仿宋" w:eastAsia="仿宋"/>
          <w:color w:val="C00000"/>
          <w:sz w:val="32"/>
          <w:szCs w:val="32"/>
        </w:rPr>
      </w:pPr>
    </w:p>
    <w:p>
      <w:pPr>
        <w:pStyle w:val="2"/>
        <w:rPr>
          <w:rFonts w:hint="eastAsia"/>
        </w:rPr>
      </w:pPr>
    </w:p>
    <w:p>
      <w:pPr>
        <w:spacing w:line="600" w:lineRule="exact"/>
        <w:ind w:firstLine="1280" w:firstLineChars="400"/>
        <w:rPr>
          <w:rFonts w:ascii="仿宋" w:hAnsi="仿宋" w:eastAsia="仿宋"/>
          <w:color w:val="auto"/>
          <w:sz w:val="32"/>
          <w:szCs w:val="32"/>
        </w:rPr>
      </w:pPr>
      <w:r>
        <w:rPr>
          <w:rFonts w:hint="eastAsia" w:ascii="仿宋" w:hAnsi="仿宋" w:eastAsia="仿宋"/>
          <w:color w:val="auto"/>
          <w:sz w:val="32"/>
          <w:szCs w:val="32"/>
          <w:lang w:val="en-US" w:eastAsia="zh-CN"/>
        </w:rPr>
        <w:t>(</w:t>
      </w:r>
      <w:r>
        <w:rPr>
          <w:rFonts w:hint="eastAsia" w:ascii="仿宋" w:hAnsi="仿宋" w:eastAsia="仿宋"/>
          <w:color w:val="auto"/>
          <w:sz w:val="32"/>
          <w:szCs w:val="32"/>
        </w:rPr>
        <w:t>图6：一般公共预算财政拨款支出决算结构）</w:t>
      </w:r>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34" w:name="_Toc15377212"/>
      <w:r>
        <w:rPr>
          <w:rFonts w:hint="eastAsia" w:ascii="楷体_GB2312" w:hAnsi="楷体_GB2312" w:eastAsia="楷体_GB2312" w:cs="楷体_GB2312"/>
          <w:b w:val="0"/>
          <w:bCs/>
          <w:color w:val="000000"/>
          <w:sz w:val="32"/>
          <w:szCs w:val="32"/>
        </w:rPr>
        <w:t>（三）一般公共预算财政拨款支出决算具体情况</w:t>
      </w:r>
      <w:bookmarkEnd w:id="34"/>
    </w:p>
    <w:p>
      <w:pPr>
        <w:spacing w:line="600" w:lineRule="exact"/>
        <w:ind w:firstLine="640" w:firstLineChars="200"/>
        <w:outlineLvl w:val="2"/>
        <w:rPr>
          <w:rFonts w:hint="eastAsia" w:ascii="仿宋_GB2312" w:hAnsi="仿宋_GB2312" w:eastAsia="仿宋_GB2312" w:cs="仿宋_GB2312"/>
          <w:b w:val="0"/>
          <w:bCs/>
          <w:color w:val="FF0000"/>
          <w:sz w:val="32"/>
          <w:szCs w:val="32"/>
        </w:rPr>
      </w:pPr>
      <w:bookmarkStart w:id="35" w:name="_Toc15378460"/>
      <w:bookmarkStart w:id="36" w:name="_Toc15377213"/>
      <w:bookmarkStart w:id="37" w:name="_Toc15377444"/>
      <w:r>
        <w:rPr>
          <w:rFonts w:hint="eastAsia" w:ascii="仿宋_GB2312" w:hAnsi="仿宋_GB2312" w:eastAsia="仿宋_GB2312" w:cs="仿宋_GB2312"/>
          <w:b w:val="0"/>
          <w:bCs/>
          <w:color w:val="000000" w:themeColor="text1"/>
          <w:sz w:val="32"/>
          <w:szCs w:val="32"/>
          <w14:textFill>
            <w14:solidFill>
              <w14:schemeClr w14:val="tx1"/>
            </w14:solidFill>
          </w14:textFill>
        </w:rPr>
        <w:t>20</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val="0"/>
          <w:bCs/>
          <w:color w:val="000000" w:themeColor="text1"/>
          <w:sz w:val="32"/>
          <w:szCs w:val="32"/>
          <w14:textFill>
            <w14:solidFill>
              <w14:schemeClr w14:val="tx1"/>
            </w14:solidFill>
          </w14:textFill>
        </w:rPr>
        <w:t>年</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color w:val="000000" w:themeColor="text1"/>
          <w:sz w:val="32"/>
          <w:szCs w:val="32"/>
          <w14:textFill>
            <w14:solidFill>
              <w14:schemeClr w14:val="tx1"/>
            </w14:solidFill>
          </w14:textFill>
        </w:rPr>
        <w:t>般公共预算支出决算数为</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2336.48万元</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16"/>
          <w:rFonts w:hint="eastAsia" w:ascii="仿宋_GB2312" w:hAnsi="仿宋_GB2312" w:eastAsia="仿宋_GB2312" w:cs="仿宋_GB2312"/>
          <w:b w:val="0"/>
          <w:bCs/>
          <w:color w:val="000000" w:themeColor="text1"/>
          <w:sz w:val="32"/>
          <w:szCs w:val="32"/>
          <w14:textFill>
            <w14:solidFill>
              <w14:schemeClr w14:val="tx1"/>
            </w14:solidFill>
          </w14:textFill>
        </w:rPr>
        <w:t>完成</w:t>
      </w:r>
      <w:r>
        <w:rPr>
          <w:rStyle w:val="16"/>
          <w:rFonts w:hint="eastAsia" w:ascii="仿宋_GB2312" w:hAnsi="仿宋_GB2312" w:eastAsia="仿宋_GB2312" w:cs="仿宋_GB2312"/>
          <w:b w:val="0"/>
          <w:bCs/>
          <w:color w:val="000000"/>
          <w:sz w:val="32"/>
          <w:szCs w:val="32"/>
        </w:rPr>
        <w:t>预算</w:t>
      </w:r>
      <w:r>
        <w:rPr>
          <w:rStyle w:val="16"/>
          <w:rFonts w:hint="eastAsia" w:ascii="仿宋_GB2312" w:hAnsi="仿宋_GB2312" w:eastAsia="仿宋_GB2312" w:cs="仿宋_GB2312"/>
          <w:b w:val="0"/>
          <w:bCs/>
          <w:color w:val="000000"/>
          <w:sz w:val="32"/>
          <w:szCs w:val="32"/>
          <w:lang w:val="en-US" w:eastAsia="zh-CN"/>
        </w:rPr>
        <w:t>109.05</w:t>
      </w:r>
      <w:r>
        <w:rPr>
          <w:rStyle w:val="16"/>
          <w:rFonts w:hint="eastAsia" w:ascii="仿宋_GB2312" w:hAnsi="仿宋_GB2312" w:eastAsia="仿宋_GB2312" w:cs="仿宋_GB2312"/>
          <w:b w:val="0"/>
          <w:bCs/>
          <w:color w:val="000000"/>
          <w:sz w:val="32"/>
          <w:szCs w:val="32"/>
        </w:rPr>
        <w:t>%。其中：</w:t>
      </w:r>
      <w:bookmarkEnd w:id="35"/>
      <w:bookmarkEnd w:id="36"/>
      <w:bookmarkEnd w:id="37"/>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1、一般公共服务支出（类）政府办公厅（室）及相关机构事务（款）行政运行（项）：20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517.00</w:t>
      </w:r>
      <w:r>
        <w:rPr>
          <w:rFonts w:hint="eastAsia" w:ascii="仿宋_GB2312" w:hAnsi="仿宋_GB2312" w:eastAsia="仿宋_GB2312" w:cs="仿宋_GB2312"/>
          <w:b w:val="0"/>
          <w:bCs/>
          <w:kern w:val="0"/>
          <w:sz w:val="32"/>
          <w:szCs w:val="32"/>
        </w:rPr>
        <w:t>万元，完成预算100%。</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rPr>
        <w:t>、一般公共服务支出（类）</w:t>
      </w:r>
      <w:r>
        <w:rPr>
          <w:rFonts w:hint="eastAsia" w:ascii="仿宋_GB2312" w:hAnsi="仿宋_GB2312" w:eastAsia="仿宋_GB2312" w:cs="仿宋_GB2312"/>
          <w:b w:val="0"/>
          <w:bCs/>
          <w:kern w:val="0"/>
          <w:sz w:val="32"/>
          <w:szCs w:val="32"/>
          <w:lang w:eastAsia="zh-CN"/>
        </w:rPr>
        <w:t>政府办公厅（室）及相关机构事务</w:t>
      </w:r>
      <w:r>
        <w:rPr>
          <w:rFonts w:hint="eastAsia" w:ascii="仿宋_GB2312" w:hAnsi="仿宋_GB2312" w:eastAsia="仿宋_GB2312" w:cs="仿宋_GB2312"/>
          <w:b w:val="0"/>
          <w:bCs/>
          <w:kern w:val="0"/>
          <w:sz w:val="32"/>
          <w:szCs w:val="32"/>
        </w:rPr>
        <w:t>（款）</w:t>
      </w:r>
      <w:r>
        <w:rPr>
          <w:rFonts w:hint="eastAsia" w:ascii="仿宋_GB2312" w:hAnsi="仿宋_GB2312" w:eastAsia="仿宋_GB2312" w:cs="仿宋_GB2312"/>
          <w:b w:val="0"/>
          <w:bCs/>
          <w:kern w:val="0"/>
          <w:sz w:val="32"/>
          <w:szCs w:val="32"/>
          <w:lang w:eastAsia="zh-CN"/>
        </w:rPr>
        <w:t>其他政府办公厅（室）及相关机构事务支出</w:t>
      </w:r>
      <w:r>
        <w:rPr>
          <w:rFonts w:hint="eastAsia" w:ascii="仿宋_GB2312" w:hAnsi="仿宋_GB2312" w:eastAsia="仿宋_GB2312" w:cs="仿宋_GB2312"/>
          <w:b w:val="0"/>
          <w:bCs/>
          <w:kern w:val="0"/>
          <w:sz w:val="32"/>
          <w:szCs w:val="32"/>
        </w:rPr>
        <w:t>（项）：20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132.13</w:t>
      </w:r>
      <w:r>
        <w:rPr>
          <w:rFonts w:hint="eastAsia" w:ascii="仿宋_GB2312" w:hAnsi="仿宋_GB2312" w:eastAsia="仿宋_GB2312" w:cs="仿宋_GB2312"/>
          <w:b w:val="0"/>
          <w:bCs/>
          <w:kern w:val="0"/>
          <w:sz w:val="32"/>
          <w:szCs w:val="32"/>
        </w:rPr>
        <w:t>万元，完成预算</w:t>
      </w:r>
      <w:r>
        <w:rPr>
          <w:rFonts w:hint="eastAsia" w:ascii="仿宋_GB2312" w:hAnsi="仿宋_GB2312" w:eastAsia="仿宋_GB2312" w:cs="仿宋_GB2312"/>
          <w:b w:val="0"/>
          <w:bCs/>
          <w:kern w:val="0"/>
          <w:sz w:val="32"/>
          <w:szCs w:val="32"/>
          <w:lang w:val="en-US" w:eastAsia="zh-CN"/>
        </w:rPr>
        <w:t>100</w:t>
      </w:r>
      <w:r>
        <w:rPr>
          <w:rFonts w:hint="eastAsia" w:ascii="仿宋_GB2312" w:hAnsi="仿宋_GB2312" w:eastAsia="仿宋_GB2312" w:cs="仿宋_GB2312"/>
          <w:b w:val="0"/>
          <w:bCs/>
          <w:kern w:val="0"/>
          <w:sz w:val="32"/>
          <w:szCs w:val="32"/>
        </w:rPr>
        <w:t>%。</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3</w:t>
      </w:r>
      <w:r>
        <w:rPr>
          <w:rFonts w:hint="eastAsia" w:ascii="仿宋_GB2312" w:hAnsi="仿宋_GB2312" w:eastAsia="仿宋_GB2312" w:cs="仿宋_GB2312"/>
          <w:b w:val="0"/>
          <w:bCs/>
          <w:kern w:val="0"/>
          <w:sz w:val="32"/>
          <w:szCs w:val="32"/>
        </w:rPr>
        <w:t>、文化</w:t>
      </w:r>
      <w:r>
        <w:rPr>
          <w:rFonts w:hint="eastAsia" w:ascii="仿宋_GB2312" w:hAnsi="仿宋_GB2312" w:eastAsia="仿宋_GB2312" w:cs="仿宋_GB2312"/>
          <w:b w:val="0"/>
          <w:bCs/>
          <w:kern w:val="0"/>
          <w:sz w:val="32"/>
          <w:szCs w:val="32"/>
          <w:lang w:eastAsia="zh-CN"/>
        </w:rPr>
        <w:t>旅游体育</w:t>
      </w:r>
      <w:r>
        <w:rPr>
          <w:rFonts w:hint="eastAsia" w:ascii="仿宋_GB2312" w:hAnsi="仿宋_GB2312" w:eastAsia="仿宋_GB2312" w:cs="仿宋_GB2312"/>
          <w:b w:val="0"/>
          <w:bCs/>
          <w:kern w:val="0"/>
          <w:sz w:val="32"/>
          <w:szCs w:val="32"/>
        </w:rPr>
        <w:t>与传媒支出（类）文化</w:t>
      </w:r>
      <w:r>
        <w:rPr>
          <w:rFonts w:hint="eastAsia" w:ascii="仿宋_GB2312" w:hAnsi="仿宋_GB2312" w:eastAsia="仿宋_GB2312" w:cs="仿宋_GB2312"/>
          <w:b w:val="0"/>
          <w:bCs/>
          <w:kern w:val="0"/>
          <w:sz w:val="32"/>
          <w:szCs w:val="32"/>
          <w:lang w:eastAsia="zh-CN"/>
        </w:rPr>
        <w:t>和旅游</w:t>
      </w:r>
      <w:r>
        <w:rPr>
          <w:rFonts w:hint="eastAsia" w:ascii="仿宋_GB2312" w:hAnsi="仿宋_GB2312" w:eastAsia="仿宋_GB2312" w:cs="仿宋_GB2312"/>
          <w:b w:val="0"/>
          <w:bCs/>
          <w:kern w:val="0"/>
          <w:sz w:val="32"/>
          <w:szCs w:val="32"/>
        </w:rPr>
        <w:t>（款）群众文化（项）：20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78.44</w:t>
      </w:r>
      <w:r>
        <w:rPr>
          <w:rFonts w:hint="eastAsia" w:ascii="仿宋_GB2312" w:hAnsi="仿宋_GB2312" w:eastAsia="仿宋_GB2312" w:cs="仿宋_GB2312"/>
          <w:b w:val="0"/>
          <w:bCs/>
          <w:kern w:val="0"/>
          <w:sz w:val="32"/>
          <w:szCs w:val="32"/>
        </w:rPr>
        <w:t>万元，完成预算100%。</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4</w:t>
      </w:r>
      <w:r>
        <w:rPr>
          <w:rFonts w:hint="eastAsia" w:ascii="仿宋_GB2312" w:hAnsi="仿宋_GB2312" w:eastAsia="仿宋_GB2312" w:cs="仿宋_GB2312"/>
          <w:b w:val="0"/>
          <w:bCs/>
          <w:kern w:val="0"/>
          <w:sz w:val="32"/>
          <w:szCs w:val="32"/>
        </w:rPr>
        <w:t>、社会保障和就业支出（类）人力资源和社会保障管理事务（款）劳动保障监察（项）：20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38.18</w:t>
      </w:r>
      <w:r>
        <w:rPr>
          <w:rFonts w:hint="eastAsia" w:ascii="仿宋_GB2312" w:hAnsi="仿宋_GB2312" w:eastAsia="仿宋_GB2312" w:cs="仿宋_GB2312"/>
          <w:b w:val="0"/>
          <w:bCs/>
          <w:kern w:val="0"/>
          <w:sz w:val="32"/>
          <w:szCs w:val="32"/>
        </w:rPr>
        <w:t>万元，完成预算100%。</w:t>
      </w:r>
    </w:p>
    <w:p>
      <w:pPr>
        <w:widowControl/>
        <w:spacing w:line="560" w:lineRule="exact"/>
        <w:ind w:firstLine="640" w:firstLineChars="200"/>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w:t>
      </w:r>
      <w:r>
        <w:rPr>
          <w:rFonts w:hint="eastAsia" w:ascii="仿宋_GB2312" w:hAnsi="仿宋_GB2312" w:eastAsia="仿宋_GB2312" w:cs="仿宋_GB2312"/>
          <w:b w:val="0"/>
          <w:bCs/>
          <w:kern w:val="0"/>
          <w:sz w:val="32"/>
          <w:szCs w:val="32"/>
        </w:rPr>
        <w:t>、社会保障和就业支出（类）</w:t>
      </w:r>
      <w:r>
        <w:rPr>
          <w:rFonts w:hint="eastAsia" w:ascii="仿宋_GB2312" w:hAnsi="仿宋_GB2312" w:eastAsia="仿宋_GB2312" w:cs="仿宋_GB2312"/>
          <w:b w:val="0"/>
          <w:bCs/>
          <w:kern w:val="0"/>
          <w:sz w:val="32"/>
          <w:szCs w:val="32"/>
          <w:lang w:eastAsia="zh-CN"/>
        </w:rPr>
        <w:t>民政管理事务</w:t>
      </w:r>
      <w:r>
        <w:rPr>
          <w:rFonts w:hint="eastAsia" w:ascii="仿宋_GB2312" w:hAnsi="仿宋_GB2312" w:eastAsia="仿宋_GB2312" w:cs="仿宋_GB2312"/>
          <w:b w:val="0"/>
          <w:bCs/>
          <w:kern w:val="0"/>
          <w:sz w:val="32"/>
          <w:szCs w:val="32"/>
        </w:rPr>
        <w:t>（款）基层政权</w:t>
      </w:r>
      <w:r>
        <w:rPr>
          <w:rFonts w:hint="eastAsia" w:ascii="仿宋_GB2312" w:hAnsi="仿宋_GB2312" w:eastAsia="仿宋_GB2312" w:cs="仿宋_GB2312"/>
          <w:b w:val="0"/>
          <w:bCs/>
          <w:kern w:val="0"/>
          <w:sz w:val="32"/>
          <w:szCs w:val="32"/>
          <w:lang w:eastAsia="zh-CN"/>
        </w:rPr>
        <w:t>建设</w:t>
      </w:r>
      <w:r>
        <w:rPr>
          <w:rFonts w:hint="eastAsia" w:ascii="仿宋_GB2312" w:hAnsi="仿宋_GB2312" w:eastAsia="仿宋_GB2312" w:cs="仿宋_GB2312"/>
          <w:b w:val="0"/>
          <w:bCs/>
          <w:kern w:val="0"/>
          <w:sz w:val="32"/>
          <w:szCs w:val="32"/>
        </w:rPr>
        <w:t>和社区</w:t>
      </w:r>
      <w:r>
        <w:rPr>
          <w:rFonts w:hint="eastAsia" w:ascii="仿宋_GB2312" w:hAnsi="仿宋_GB2312" w:eastAsia="仿宋_GB2312" w:cs="仿宋_GB2312"/>
          <w:b w:val="0"/>
          <w:bCs/>
          <w:kern w:val="0"/>
          <w:sz w:val="32"/>
          <w:szCs w:val="32"/>
          <w:lang w:eastAsia="zh-CN"/>
        </w:rPr>
        <w:t>治理</w:t>
      </w:r>
      <w:r>
        <w:rPr>
          <w:rFonts w:hint="eastAsia" w:ascii="仿宋_GB2312" w:hAnsi="仿宋_GB2312" w:eastAsia="仿宋_GB2312" w:cs="仿宋_GB2312"/>
          <w:b w:val="0"/>
          <w:bCs/>
          <w:kern w:val="0"/>
          <w:sz w:val="32"/>
          <w:szCs w:val="32"/>
        </w:rPr>
        <w:t>（项）：20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60.67</w:t>
      </w:r>
      <w:r>
        <w:rPr>
          <w:rFonts w:hint="eastAsia" w:ascii="仿宋_GB2312" w:hAnsi="仿宋_GB2312" w:eastAsia="仿宋_GB2312" w:cs="仿宋_GB2312"/>
          <w:b w:val="0"/>
          <w:bCs/>
          <w:kern w:val="0"/>
          <w:sz w:val="32"/>
          <w:szCs w:val="32"/>
        </w:rPr>
        <w:t>万元，完成预算</w:t>
      </w:r>
      <w:r>
        <w:rPr>
          <w:rFonts w:hint="eastAsia" w:ascii="仿宋_GB2312" w:hAnsi="仿宋_GB2312" w:eastAsia="仿宋_GB2312" w:cs="仿宋_GB2312"/>
          <w:b w:val="0"/>
          <w:bCs/>
          <w:kern w:val="0"/>
          <w:sz w:val="32"/>
          <w:szCs w:val="32"/>
          <w:lang w:val="en-US" w:eastAsia="zh-CN"/>
        </w:rPr>
        <w:t>99.56</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val="en-US" w:eastAsia="zh-CN"/>
        </w:rPr>
        <w:t>2020年结转结余资金0.27万元。</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6</w:t>
      </w:r>
      <w:r>
        <w:rPr>
          <w:rFonts w:hint="eastAsia" w:ascii="仿宋_GB2312" w:hAnsi="仿宋_GB2312" w:eastAsia="仿宋_GB2312" w:cs="仿宋_GB2312"/>
          <w:b w:val="0"/>
          <w:bCs/>
          <w:kern w:val="0"/>
          <w:sz w:val="32"/>
          <w:szCs w:val="32"/>
        </w:rPr>
        <w:t>、社会保障和就业支出（类）行政事业单位</w:t>
      </w:r>
      <w:r>
        <w:rPr>
          <w:rFonts w:hint="eastAsia" w:ascii="仿宋_GB2312" w:hAnsi="仿宋_GB2312" w:eastAsia="仿宋_GB2312" w:cs="仿宋_GB2312"/>
          <w:b w:val="0"/>
          <w:bCs/>
          <w:kern w:val="0"/>
          <w:sz w:val="32"/>
          <w:szCs w:val="32"/>
          <w:lang w:eastAsia="zh-CN"/>
        </w:rPr>
        <w:t>养老支出</w:t>
      </w:r>
      <w:r>
        <w:rPr>
          <w:rFonts w:hint="eastAsia" w:ascii="仿宋_GB2312" w:hAnsi="仿宋_GB2312" w:eastAsia="仿宋_GB2312" w:cs="仿宋_GB2312"/>
          <w:b w:val="0"/>
          <w:bCs/>
          <w:kern w:val="0"/>
          <w:sz w:val="32"/>
          <w:szCs w:val="32"/>
        </w:rPr>
        <w:t>（款）机关事业单位基本养老保险缴费支出（项）：20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57.33</w:t>
      </w:r>
      <w:r>
        <w:rPr>
          <w:rFonts w:hint="eastAsia" w:ascii="仿宋_GB2312" w:hAnsi="仿宋_GB2312" w:eastAsia="仿宋_GB2312" w:cs="仿宋_GB2312"/>
          <w:b w:val="0"/>
          <w:bCs/>
          <w:kern w:val="0"/>
          <w:sz w:val="32"/>
          <w:szCs w:val="32"/>
        </w:rPr>
        <w:t>万元，完成预算100%。</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7</w:t>
      </w:r>
      <w:r>
        <w:rPr>
          <w:rFonts w:hint="eastAsia" w:ascii="仿宋_GB2312" w:hAnsi="仿宋_GB2312" w:eastAsia="仿宋_GB2312" w:cs="仿宋_GB2312"/>
          <w:b w:val="0"/>
          <w:bCs/>
          <w:kern w:val="0"/>
          <w:sz w:val="32"/>
          <w:szCs w:val="32"/>
        </w:rPr>
        <w:t>、社会保障和就业支出（类）行政事业单位</w:t>
      </w:r>
      <w:r>
        <w:rPr>
          <w:rFonts w:hint="eastAsia" w:ascii="仿宋_GB2312" w:hAnsi="仿宋_GB2312" w:eastAsia="仿宋_GB2312" w:cs="仿宋_GB2312"/>
          <w:b w:val="0"/>
          <w:bCs/>
          <w:kern w:val="0"/>
          <w:sz w:val="32"/>
          <w:szCs w:val="32"/>
          <w:lang w:eastAsia="zh-CN"/>
        </w:rPr>
        <w:t>养老支出</w:t>
      </w:r>
      <w:r>
        <w:rPr>
          <w:rFonts w:hint="eastAsia" w:ascii="仿宋_GB2312" w:hAnsi="仿宋_GB2312" w:eastAsia="仿宋_GB2312" w:cs="仿宋_GB2312"/>
          <w:b w:val="0"/>
          <w:bCs/>
          <w:kern w:val="0"/>
          <w:sz w:val="32"/>
          <w:szCs w:val="32"/>
        </w:rPr>
        <w:t>（款）机关事业单位职业年金缴费支出（项）：20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32.61</w:t>
      </w:r>
      <w:r>
        <w:rPr>
          <w:rFonts w:hint="eastAsia" w:ascii="仿宋_GB2312" w:hAnsi="仿宋_GB2312" w:eastAsia="仿宋_GB2312" w:cs="仿宋_GB2312"/>
          <w:b w:val="0"/>
          <w:bCs/>
          <w:kern w:val="0"/>
          <w:sz w:val="32"/>
          <w:szCs w:val="32"/>
        </w:rPr>
        <w:t>万元，完成预算100%。</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8</w:t>
      </w:r>
      <w:r>
        <w:rPr>
          <w:rFonts w:hint="eastAsia" w:ascii="仿宋_GB2312" w:hAnsi="仿宋_GB2312" w:eastAsia="仿宋_GB2312" w:cs="仿宋_GB2312"/>
          <w:b w:val="0"/>
          <w:bCs/>
          <w:kern w:val="0"/>
          <w:sz w:val="32"/>
          <w:szCs w:val="32"/>
        </w:rPr>
        <w:t>、社会保障和就业支出（类）抚恤（款）</w:t>
      </w:r>
      <w:r>
        <w:rPr>
          <w:rFonts w:hint="eastAsia" w:ascii="仿宋_GB2312" w:hAnsi="仿宋_GB2312" w:eastAsia="仿宋_GB2312" w:cs="仿宋_GB2312"/>
          <w:b w:val="0"/>
          <w:bCs/>
          <w:kern w:val="0"/>
          <w:sz w:val="32"/>
          <w:szCs w:val="32"/>
          <w:lang w:eastAsia="zh-CN"/>
        </w:rPr>
        <w:t>其他优抚支出</w:t>
      </w:r>
      <w:r>
        <w:rPr>
          <w:rFonts w:hint="eastAsia" w:ascii="仿宋_GB2312" w:hAnsi="仿宋_GB2312" w:eastAsia="仿宋_GB2312" w:cs="仿宋_GB2312"/>
          <w:b w:val="0"/>
          <w:bCs/>
          <w:kern w:val="0"/>
          <w:sz w:val="32"/>
          <w:szCs w:val="32"/>
        </w:rPr>
        <w:t>（项）：20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2.90</w:t>
      </w:r>
      <w:r>
        <w:rPr>
          <w:rFonts w:hint="eastAsia" w:ascii="仿宋_GB2312" w:hAnsi="仿宋_GB2312" w:eastAsia="仿宋_GB2312" w:cs="仿宋_GB2312"/>
          <w:b w:val="0"/>
          <w:bCs/>
          <w:kern w:val="0"/>
          <w:sz w:val="32"/>
          <w:szCs w:val="32"/>
        </w:rPr>
        <w:t>万元，完成预算100%。</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9</w:t>
      </w:r>
      <w:r>
        <w:rPr>
          <w:rFonts w:hint="eastAsia" w:ascii="仿宋_GB2312" w:hAnsi="仿宋_GB2312" w:eastAsia="仿宋_GB2312" w:cs="仿宋_GB2312"/>
          <w:b w:val="0"/>
          <w:bCs/>
          <w:kern w:val="0"/>
          <w:sz w:val="32"/>
          <w:szCs w:val="32"/>
        </w:rPr>
        <w:t>、社会保障和就业支出（类）</w:t>
      </w:r>
      <w:r>
        <w:rPr>
          <w:rFonts w:hint="eastAsia" w:ascii="仿宋_GB2312" w:hAnsi="仿宋_GB2312" w:eastAsia="仿宋_GB2312" w:cs="仿宋_GB2312"/>
          <w:b w:val="0"/>
          <w:bCs/>
          <w:kern w:val="0"/>
          <w:sz w:val="32"/>
          <w:szCs w:val="32"/>
          <w:lang w:eastAsia="zh-CN"/>
        </w:rPr>
        <w:t>其他社会保障和就业支出</w:t>
      </w:r>
      <w:r>
        <w:rPr>
          <w:rFonts w:hint="eastAsia" w:ascii="仿宋_GB2312" w:hAnsi="仿宋_GB2312" w:eastAsia="仿宋_GB2312" w:cs="仿宋_GB2312"/>
          <w:b w:val="0"/>
          <w:bCs/>
          <w:kern w:val="0"/>
          <w:sz w:val="32"/>
          <w:szCs w:val="32"/>
        </w:rPr>
        <w:t>（款）</w:t>
      </w:r>
      <w:r>
        <w:rPr>
          <w:rFonts w:hint="eastAsia" w:ascii="仿宋_GB2312" w:hAnsi="仿宋_GB2312" w:eastAsia="仿宋_GB2312" w:cs="仿宋_GB2312"/>
          <w:b w:val="0"/>
          <w:bCs/>
          <w:kern w:val="0"/>
          <w:sz w:val="32"/>
          <w:szCs w:val="32"/>
          <w:lang w:eastAsia="zh-CN"/>
        </w:rPr>
        <w:t>其他社会保障和就业支出</w:t>
      </w:r>
      <w:r>
        <w:rPr>
          <w:rFonts w:hint="eastAsia" w:ascii="仿宋_GB2312" w:hAnsi="仿宋_GB2312" w:eastAsia="仿宋_GB2312" w:cs="仿宋_GB2312"/>
          <w:b w:val="0"/>
          <w:bCs/>
          <w:kern w:val="0"/>
          <w:sz w:val="32"/>
          <w:szCs w:val="32"/>
        </w:rPr>
        <w:t>（项）：20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2.96</w:t>
      </w:r>
      <w:r>
        <w:rPr>
          <w:rFonts w:hint="eastAsia" w:ascii="仿宋_GB2312" w:hAnsi="仿宋_GB2312" w:eastAsia="仿宋_GB2312" w:cs="仿宋_GB2312"/>
          <w:b w:val="0"/>
          <w:bCs/>
          <w:kern w:val="0"/>
          <w:sz w:val="32"/>
          <w:szCs w:val="32"/>
        </w:rPr>
        <w:t>万元，完成预算</w:t>
      </w:r>
      <w:r>
        <w:rPr>
          <w:rFonts w:hint="eastAsia" w:ascii="仿宋_GB2312" w:hAnsi="仿宋_GB2312" w:eastAsia="仿宋_GB2312" w:cs="仿宋_GB2312"/>
          <w:b w:val="0"/>
          <w:bCs/>
          <w:kern w:val="0"/>
          <w:sz w:val="32"/>
          <w:szCs w:val="32"/>
          <w:lang w:val="en-US" w:eastAsia="zh-CN"/>
        </w:rPr>
        <w:t>100</w:t>
      </w:r>
      <w:r>
        <w:rPr>
          <w:rFonts w:hint="eastAsia" w:ascii="仿宋_GB2312" w:hAnsi="仿宋_GB2312" w:eastAsia="仿宋_GB2312" w:cs="仿宋_GB2312"/>
          <w:b w:val="0"/>
          <w:bCs/>
          <w:kern w:val="0"/>
          <w:sz w:val="32"/>
          <w:szCs w:val="32"/>
        </w:rPr>
        <w:t>%。</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10、</w:t>
      </w:r>
      <w:r>
        <w:rPr>
          <w:rFonts w:hint="eastAsia" w:ascii="仿宋_GB2312" w:hAnsi="仿宋_GB2312" w:eastAsia="仿宋_GB2312" w:cs="仿宋_GB2312"/>
          <w:b w:val="0"/>
          <w:bCs/>
          <w:kern w:val="0"/>
          <w:sz w:val="32"/>
          <w:szCs w:val="32"/>
          <w:lang w:eastAsia="zh-CN"/>
        </w:rPr>
        <w:t>卫生健康支出</w:t>
      </w:r>
      <w:r>
        <w:rPr>
          <w:rFonts w:hint="eastAsia" w:ascii="仿宋_GB2312" w:hAnsi="仿宋_GB2312" w:eastAsia="仿宋_GB2312" w:cs="仿宋_GB2312"/>
          <w:b w:val="0"/>
          <w:bCs/>
          <w:kern w:val="0"/>
          <w:sz w:val="32"/>
          <w:szCs w:val="32"/>
        </w:rPr>
        <w:t>（类）行政事业单位医疗（款）行政单位医疗（项）：20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22.64</w:t>
      </w:r>
      <w:r>
        <w:rPr>
          <w:rFonts w:hint="eastAsia" w:ascii="仿宋_GB2312" w:hAnsi="仿宋_GB2312" w:eastAsia="仿宋_GB2312" w:cs="仿宋_GB2312"/>
          <w:b w:val="0"/>
          <w:bCs/>
          <w:kern w:val="0"/>
          <w:sz w:val="32"/>
          <w:szCs w:val="32"/>
        </w:rPr>
        <w:t>万元，完成预算100%。</w:t>
      </w:r>
    </w:p>
    <w:p>
      <w:pPr>
        <w:widowControl/>
        <w:spacing w:line="560" w:lineRule="exact"/>
        <w:ind w:firstLine="640" w:firstLineChars="200"/>
        <w:jc w:val="left"/>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lang w:val="en-US" w:eastAsia="zh-CN"/>
        </w:rPr>
        <w:t>11</w:t>
      </w:r>
      <w:r>
        <w:rPr>
          <w:rFonts w:hint="eastAsia" w:ascii="仿宋_GB2312" w:hAnsi="仿宋_GB2312" w:eastAsia="仿宋_GB2312" w:cs="仿宋_GB2312"/>
          <w:b w:val="0"/>
          <w:bCs/>
          <w:kern w:val="0"/>
          <w:sz w:val="32"/>
          <w:szCs w:val="32"/>
        </w:rPr>
        <w:t>、城乡社区支出（类）城乡社区公共设施（款）其他城乡社区公共设施支出（项）：20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417.90</w:t>
      </w:r>
      <w:r>
        <w:rPr>
          <w:rFonts w:hint="eastAsia" w:ascii="仿宋_GB2312" w:hAnsi="仿宋_GB2312" w:eastAsia="仿宋_GB2312" w:cs="仿宋_GB2312"/>
          <w:b w:val="0"/>
          <w:bCs/>
          <w:kern w:val="0"/>
          <w:sz w:val="32"/>
          <w:szCs w:val="32"/>
        </w:rPr>
        <w:t>万元，完成预算</w:t>
      </w:r>
      <w:r>
        <w:rPr>
          <w:rFonts w:hint="eastAsia" w:ascii="仿宋_GB2312" w:hAnsi="仿宋_GB2312" w:eastAsia="仿宋_GB2312" w:cs="仿宋_GB2312"/>
          <w:b w:val="0"/>
          <w:bCs/>
          <w:kern w:val="0"/>
          <w:sz w:val="32"/>
          <w:szCs w:val="32"/>
          <w:lang w:val="en-US" w:eastAsia="zh-CN"/>
        </w:rPr>
        <w:t>0</w:t>
      </w:r>
      <w:r>
        <w:rPr>
          <w:rFonts w:hint="eastAsia" w:ascii="仿宋_GB2312" w:hAnsi="仿宋_GB2312" w:eastAsia="仿宋_GB2312" w:cs="仿宋_GB2312"/>
          <w:b w:val="0"/>
          <w:bCs/>
          <w:kern w:val="0"/>
          <w:sz w:val="32"/>
          <w:szCs w:val="32"/>
        </w:rPr>
        <w:t>%，决算数大于预算数的主要原因</w:t>
      </w:r>
      <w:r>
        <w:rPr>
          <w:rFonts w:hint="eastAsia" w:ascii="仿宋_GB2312" w:hAnsi="仿宋_GB2312" w:eastAsia="仿宋_GB2312" w:cs="仿宋_GB2312"/>
          <w:b w:val="0"/>
          <w:bCs/>
          <w:kern w:val="0"/>
          <w:sz w:val="32"/>
          <w:szCs w:val="32"/>
          <w:lang w:eastAsia="zh-CN"/>
        </w:rPr>
        <w:t>是</w:t>
      </w:r>
      <w:r>
        <w:rPr>
          <w:rFonts w:hint="eastAsia" w:ascii="仿宋_GB2312" w:hAnsi="仿宋_GB2312" w:eastAsia="仿宋_GB2312" w:cs="仿宋_GB2312"/>
          <w:b w:val="0"/>
          <w:bCs/>
          <w:kern w:val="0"/>
          <w:sz w:val="32"/>
          <w:szCs w:val="32"/>
        </w:rPr>
        <w:t>年初结转和结余资金</w:t>
      </w:r>
      <w:r>
        <w:rPr>
          <w:rFonts w:hint="eastAsia" w:ascii="仿宋_GB2312" w:hAnsi="仿宋_GB2312" w:eastAsia="仿宋_GB2312" w:cs="仿宋_GB2312"/>
          <w:b w:val="0"/>
          <w:bCs/>
          <w:kern w:val="0"/>
          <w:sz w:val="32"/>
          <w:szCs w:val="32"/>
          <w:lang w:val="en-US" w:eastAsia="zh-CN"/>
        </w:rPr>
        <w:t>417.90万元，</w:t>
      </w:r>
      <w:r>
        <w:rPr>
          <w:rFonts w:hint="eastAsia" w:ascii="仿宋_GB2312" w:hAnsi="仿宋_GB2312" w:eastAsia="仿宋_GB2312" w:cs="仿宋_GB2312"/>
          <w:b w:val="0"/>
          <w:bCs/>
          <w:kern w:val="0"/>
          <w:sz w:val="32"/>
          <w:szCs w:val="32"/>
        </w:rPr>
        <w:t>省级小城镇建设项目从申报通过开始，经过立项、设计、科研、环保等程序时间较长，造成工程跨年建设，资金支付进度较慢</w:t>
      </w:r>
      <w:r>
        <w:rPr>
          <w:rFonts w:hint="eastAsia" w:ascii="仿宋_GB2312" w:hAnsi="仿宋_GB2312" w:eastAsia="仿宋_GB2312" w:cs="仿宋_GB2312"/>
          <w:b w:val="0"/>
          <w:bCs/>
          <w:kern w:val="0"/>
          <w:sz w:val="32"/>
          <w:szCs w:val="32"/>
          <w:lang w:eastAsia="zh-CN"/>
        </w:rPr>
        <w:t>。</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12</w:t>
      </w:r>
      <w:r>
        <w:rPr>
          <w:rFonts w:hint="eastAsia" w:ascii="仿宋_GB2312" w:hAnsi="仿宋_GB2312" w:eastAsia="仿宋_GB2312" w:cs="仿宋_GB2312"/>
          <w:b w:val="0"/>
          <w:bCs/>
          <w:kern w:val="0"/>
          <w:sz w:val="32"/>
          <w:szCs w:val="32"/>
        </w:rPr>
        <w:t>、城乡社区支出（类）城乡社区环境卫生（款）城乡社区环境卫生（项）：20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90.90</w:t>
      </w:r>
      <w:r>
        <w:rPr>
          <w:rFonts w:hint="eastAsia" w:ascii="仿宋_GB2312" w:hAnsi="仿宋_GB2312" w:eastAsia="仿宋_GB2312" w:cs="仿宋_GB2312"/>
          <w:b w:val="0"/>
          <w:bCs/>
          <w:kern w:val="0"/>
          <w:sz w:val="32"/>
          <w:szCs w:val="32"/>
        </w:rPr>
        <w:t>万元，完成预算100%。</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13</w:t>
      </w:r>
      <w:r>
        <w:rPr>
          <w:rFonts w:hint="eastAsia" w:ascii="仿宋_GB2312" w:hAnsi="仿宋_GB2312" w:eastAsia="仿宋_GB2312" w:cs="仿宋_GB2312"/>
          <w:b w:val="0"/>
          <w:bCs/>
          <w:kern w:val="0"/>
          <w:sz w:val="32"/>
          <w:szCs w:val="32"/>
        </w:rPr>
        <w:t>、农林水支出（类）农业</w:t>
      </w:r>
      <w:r>
        <w:rPr>
          <w:rFonts w:hint="eastAsia" w:ascii="仿宋_GB2312" w:hAnsi="仿宋_GB2312" w:eastAsia="仿宋_GB2312" w:cs="仿宋_GB2312"/>
          <w:b w:val="0"/>
          <w:bCs/>
          <w:kern w:val="0"/>
          <w:sz w:val="32"/>
          <w:szCs w:val="32"/>
          <w:lang w:eastAsia="zh-CN"/>
        </w:rPr>
        <w:t>农村</w:t>
      </w:r>
      <w:r>
        <w:rPr>
          <w:rFonts w:hint="eastAsia" w:ascii="仿宋_GB2312" w:hAnsi="仿宋_GB2312" w:eastAsia="仿宋_GB2312" w:cs="仿宋_GB2312"/>
          <w:b w:val="0"/>
          <w:bCs/>
          <w:kern w:val="0"/>
          <w:sz w:val="32"/>
          <w:szCs w:val="32"/>
        </w:rPr>
        <w:t>（款）事业运行（项）：20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189.17</w:t>
      </w:r>
      <w:r>
        <w:rPr>
          <w:rFonts w:hint="eastAsia" w:ascii="仿宋_GB2312" w:hAnsi="仿宋_GB2312" w:eastAsia="仿宋_GB2312" w:cs="仿宋_GB2312"/>
          <w:b w:val="0"/>
          <w:bCs/>
          <w:kern w:val="0"/>
          <w:sz w:val="32"/>
          <w:szCs w:val="32"/>
        </w:rPr>
        <w:t>万元，完成预算100%。</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sz w:val="32"/>
          <w:szCs w:val="32"/>
          <w:lang w:val="en-US" w:eastAsia="zh-CN"/>
        </w:rPr>
        <w:t>14、农林水支出（类）扶贫（款）其他扶贫支出（项）：</w:t>
      </w:r>
      <w:r>
        <w:rPr>
          <w:rFonts w:hint="eastAsia" w:ascii="仿宋_GB2312" w:hAnsi="仿宋_GB2312" w:eastAsia="仿宋_GB2312" w:cs="仿宋_GB2312"/>
          <w:b w:val="0"/>
          <w:bCs/>
          <w:kern w:val="0"/>
          <w:sz w:val="32"/>
          <w:szCs w:val="32"/>
        </w:rPr>
        <w:t>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1.50</w:t>
      </w:r>
      <w:r>
        <w:rPr>
          <w:rFonts w:hint="eastAsia" w:ascii="仿宋_GB2312" w:hAnsi="仿宋_GB2312" w:eastAsia="仿宋_GB2312" w:cs="仿宋_GB2312"/>
          <w:b w:val="0"/>
          <w:bCs/>
          <w:kern w:val="0"/>
          <w:sz w:val="32"/>
          <w:szCs w:val="32"/>
        </w:rPr>
        <w:t>万元，完成预算</w:t>
      </w:r>
      <w:r>
        <w:rPr>
          <w:rFonts w:hint="eastAsia" w:ascii="仿宋_GB2312" w:hAnsi="仿宋_GB2312" w:eastAsia="仿宋_GB2312" w:cs="仿宋_GB2312"/>
          <w:b w:val="0"/>
          <w:bCs/>
          <w:kern w:val="0"/>
          <w:sz w:val="32"/>
          <w:szCs w:val="32"/>
          <w:lang w:val="en-US" w:eastAsia="zh-CN"/>
        </w:rPr>
        <w:t>100</w:t>
      </w:r>
      <w:r>
        <w:rPr>
          <w:rFonts w:hint="eastAsia" w:ascii="仿宋_GB2312" w:hAnsi="仿宋_GB2312" w:eastAsia="仿宋_GB2312" w:cs="仿宋_GB2312"/>
          <w:b w:val="0"/>
          <w:bCs/>
          <w:kern w:val="0"/>
          <w:sz w:val="32"/>
          <w:szCs w:val="32"/>
        </w:rPr>
        <w:t>%。</w:t>
      </w:r>
    </w:p>
    <w:p>
      <w:pPr>
        <w:widowControl/>
        <w:spacing w:line="560" w:lineRule="exact"/>
        <w:ind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kern w:val="0"/>
          <w:sz w:val="32"/>
          <w:szCs w:val="32"/>
          <w:lang w:val="en-US" w:eastAsia="zh-CN"/>
        </w:rPr>
        <w:t>15</w:t>
      </w:r>
      <w:r>
        <w:rPr>
          <w:rFonts w:hint="eastAsia" w:ascii="仿宋_GB2312" w:hAnsi="仿宋_GB2312" w:eastAsia="仿宋_GB2312" w:cs="仿宋_GB2312"/>
          <w:b w:val="0"/>
          <w:bCs/>
          <w:kern w:val="0"/>
          <w:sz w:val="32"/>
          <w:szCs w:val="32"/>
        </w:rPr>
        <w:t>、农林水支出（类）</w:t>
      </w:r>
      <w:r>
        <w:rPr>
          <w:rFonts w:hint="eastAsia" w:ascii="仿宋_GB2312" w:hAnsi="仿宋_GB2312" w:eastAsia="仿宋_GB2312" w:cs="仿宋_GB2312"/>
          <w:b w:val="0"/>
          <w:bCs/>
          <w:kern w:val="0"/>
          <w:sz w:val="32"/>
          <w:szCs w:val="32"/>
          <w:lang w:eastAsia="zh-CN"/>
        </w:rPr>
        <w:t>农村综合改革</w:t>
      </w:r>
      <w:r>
        <w:rPr>
          <w:rFonts w:hint="eastAsia" w:ascii="仿宋_GB2312" w:hAnsi="仿宋_GB2312" w:eastAsia="仿宋_GB2312" w:cs="仿宋_GB2312"/>
          <w:b w:val="0"/>
          <w:bCs/>
          <w:kern w:val="0"/>
          <w:sz w:val="32"/>
          <w:szCs w:val="32"/>
        </w:rPr>
        <w:t>（款）</w:t>
      </w:r>
      <w:r>
        <w:rPr>
          <w:rFonts w:hint="eastAsia" w:ascii="仿宋_GB2312" w:hAnsi="仿宋_GB2312" w:eastAsia="仿宋_GB2312" w:cs="仿宋_GB2312"/>
          <w:b w:val="0"/>
          <w:bCs/>
          <w:kern w:val="0"/>
          <w:sz w:val="32"/>
          <w:szCs w:val="32"/>
          <w:lang w:eastAsia="zh-CN"/>
        </w:rPr>
        <w:t>对村级一事一议的补助</w:t>
      </w:r>
      <w:r>
        <w:rPr>
          <w:rFonts w:hint="eastAsia" w:ascii="仿宋_GB2312" w:hAnsi="仿宋_GB2312" w:eastAsia="仿宋_GB2312" w:cs="仿宋_GB2312"/>
          <w:b w:val="0"/>
          <w:bCs/>
          <w:kern w:val="0"/>
          <w:sz w:val="32"/>
          <w:szCs w:val="32"/>
        </w:rPr>
        <w:t>（项）</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76.25</w:t>
      </w:r>
      <w:r>
        <w:rPr>
          <w:rFonts w:hint="eastAsia" w:ascii="仿宋_GB2312" w:hAnsi="仿宋_GB2312" w:eastAsia="仿宋_GB2312" w:cs="仿宋_GB2312"/>
          <w:b w:val="0"/>
          <w:bCs/>
          <w:kern w:val="0"/>
          <w:sz w:val="32"/>
          <w:szCs w:val="32"/>
        </w:rPr>
        <w:t>万元，完成预算</w:t>
      </w:r>
      <w:r>
        <w:rPr>
          <w:rFonts w:hint="eastAsia" w:ascii="仿宋_GB2312" w:hAnsi="仿宋_GB2312" w:eastAsia="仿宋_GB2312" w:cs="仿宋_GB2312"/>
          <w:b w:val="0"/>
          <w:bCs/>
          <w:kern w:val="0"/>
          <w:sz w:val="32"/>
          <w:szCs w:val="32"/>
          <w:lang w:val="en-US" w:eastAsia="zh-CN"/>
        </w:rPr>
        <w:t>0</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决算数小于预算数的主要原因是年初结转结余</w:t>
      </w:r>
      <w:r>
        <w:rPr>
          <w:rFonts w:hint="eastAsia" w:ascii="仿宋_GB2312" w:hAnsi="仿宋_GB2312" w:eastAsia="仿宋_GB2312" w:cs="仿宋_GB2312"/>
          <w:b w:val="0"/>
          <w:bCs/>
          <w:kern w:val="0"/>
          <w:sz w:val="32"/>
          <w:szCs w:val="32"/>
          <w:lang w:val="en-US" w:eastAsia="zh-CN"/>
        </w:rPr>
        <w:t>261.09万元，</w:t>
      </w:r>
      <w:r>
        <w:rPr>
          <w:rFonts w:hint="eastAsia" w:ascii="仿宋_GB2312" w:hAnsi="仿宋_GB2312" w:eastAsia="仿宋_GB2312" w:cs="仿宋_GB2312"/>
          <w:b w:val="0"/>
          <w:bCs/>
          <w:kern w:val="0"/>
          <w:sz w:val="32"/>
          <w:szCs w:val="32"/>
          <w:lang w:eastAsia="zh-CN"/>
        </w:rPr>
        <w:t>战斗、友谊村人居环境整治建设从</w:t>
      </w:r>
      <w:r>
        <w:rPr>
          <w:rFonts w:hint="eastAsia" w:ascii="仿宋_GB2312" w:hAnsi="仿宋_GB2312" w:eastAsia="仿宋_GB2312" w:cs="仿宋_GB2312"/>
          <w:b w:val="0"/>
          <w:bCs/>
          <w:kern w:val="0"/>
          <w:sz w:val="32"/>
          <w:szCs w:val="32"/>
          <w:lang w:val="en-US" w:eastAsia="zh-CN"/>
        </w:rPr>
        <w:t>2019年6月开始实施，</w:t>
      </w:r>
      <w:r>
        <w:rPr>
          <w:rFonts w:hint="eastAsia" w:ascii="仿宋_GB2312" w:hAnsi="仿宋_GB2312" w:eastAsia="仿宋_GB2312" w:cs="仿宋_GB2312"/>
          <w:b w:val="0"/>
          <w:bCs/>
          <w:kern w:val="0"/>
          <w:sz w:val="32"/>
          <w:szCs w:val="32"/>
          <w:lang w:eastAsia="zh-CN"/>
        </w:rPr>
        <w:t>项目较多、内容较杂，战斗友谊村污水管网等建设正在评审过程中，造成</w:t>
      </w:r>
      <w:r>
        <w:rPr>
          <w:rFonts w:hint="eastAsia" w:ascii="仿宋_GB2312" w:hAnsi="仿宋_GB2312" w:eastAsia="仿宋_GB2312" w:cs="仿宋_GB2312"/>
          <w:b w:val="0"/>
          <w:bCs/>
          <w:kern w:val="0"/>
          <w:sz w:val="32"/>
          <w:szCs w:val="32"/>
          <w:lang w:val="en-US" w:eastAsia="zh-CN"/>
        </w:rPr>
        <w:t>2020年</w:t>
      </w:r>
      <w:r>
        <w:rPr>
          <w:rFonts w:hint="eastAsia" w:ascii="仿宋_GB2312" w:hAnsi="仿宋_GB2312" w:eastAsia="仿宋_GB2312" w:cs="仿宋_GB2312"/>
          <w:b w:val="0"/>
          <w:bCs/>
          <w:kern w:val="0"/>
          <w:sz w:val="32"/>
          <w:szCs w:val="32"/>
          <w:lang w:eastAsia="zh-CN"/>
        </w:rPr>
        <w:t>末资金结转结余</w:t>
      </w:r>
      <w:r>
        <w:rPr>
          <w:rFonts w:hint="eastAsia" w:ascii="仿宋_GB2312" w:hAnsi="仿宋_GB2312" w:eastAsia="仿宋_GB2312" w:cs="仿宋_GB2312"/>
          <w:b w:val="0"/>
          <w:bCs/>
          <w:kern w:val="0"/>
          <w:sz w:val="32"/>
          <w:szCs w:val="32"/>
          <w:lang w:val="en-US" w:eastAsia="zh-CN"/>
        </w:rPr>
        <w:t>184.84万元。</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16</w:t>
      </w:r>
      <w:r>
        <w:rPr>
          <w:rFonts w:hint="eastAsia" w:ascii="仿宋_GB2312" w:hAnsi="仿宋_GB2312" w:eastAsia="仿宋_GB2312" w:cs="仿宋_GB2312"/>
          <w:b w:val="0"/>
          <w:bCs/>
          <w:kern w:val="0"/>
          <w:sz w:val="32"/>
          <w:szCs w:val="32"/>
        </w:rPr>
        <w:t>、农林水支出（类）农村综合改革（款）对村民委员会和村党支部的补助（项）：20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536.11</w:t>
      </w:r>
      <w:r>
        <w:rPr>
          <w:rFonts w:hint="eastAsia" w:ascii="仿宋_GB2312" w:hAnsi="仿宋_GB2312" w:eastAsia="仿宋_GB2312" w:cs="仿宋_GB2312"/>
          <w:b w:val="0"/>
          <w:bCs/>
          <w:kern w:val="0"/>
          <w:sz w:val="32"/>
          <w:szCs w:val="32"/>
        </w:rPr>
        <w:t>万元，完成预算100%。</w:t>
      </w:r>
    </w:p>
    <w:p>
      <w:pPr>
        <w:widowControl/>
        <w:numPr>
          <w:ilvl w:val="0"/>
          <w:numId w:val="0"/>
        </w:numPr>
        <w:spacing w:line="560" w:lineRule="exact"/>
        <w:ind w:firstLine="640" w:firstLineChars="200"/>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17、</w:t>
      </w:r>
      <w:r>
        <w:rPr>
          <w:rFonts w:hint="eastAsia" w:ascii="仿宋_GB2312" w:hAnsi="仿宋_GB2312" w:eastAsia="仿宋_GB2312" w:cs="仿宋_GB2312"/>
          <w:b w:val="0"/>
          <w:bCs/>
          <w:kern w:val="0"/>
          <w:sz w:val="32"/>
          <w:szCs w:val="32"/>
        </w:rPr>
        <w:t>住房保障支出（类）住房改革支出（款）住房公积金（项）：20</w:t>
      </w:r>
      <w:r>
        <w:rPr>
          <w:rFonts w:hint="eastAsia" w:ascii="仿宋_GB2312" w:hAnsi="仿宋_GB2312" w:eastAsia="仿宋_GB2312" w:cs="仿宋_GB2312"/>
          <w:b w:val="0"/>
          <w:bCs/>
          <w:kern w:val="0"/>
          <w:sz w:val="32"/>
          <w:szCs w:val="32"/>
          <w:lang w:val="en-US" w:eastAsia="zh-CN"/>
        </w:rPr>
        <w:t>20</w:t>
      </w:r>
      <w:r>
        <w:rPr>
          <w:rFonts w:hint="eastAsia" w:ascii="仿宋_GB2312" w:hAnsi="仿宋_GB2312" w:eastAsia="仿宋_GB2312" w:cs="仿宋_GB2312"/>
          <w:b w:val="0"/>
          <w:bCs/>
          <w:kern w:val="0"/>
          <w:sz w:val="32"/>
          <w:szCs w:val="32"/>
        </w:rPr>
        <w:t>年决算数为</w:t>
      </w:r>
      <w:r>
        <w:rPr>
          <w:rFonts w:hint="eastAsia" w:ascii="仿宋_GB2312" w:hAnsi="仿宋_GB2312" w:eastAsia="仿宋_GB2312" w:cs="仿宋_GB2312"/>
          <w:b w:val="0"/>
          <w:bCs/>
          <w:kern w:val="0"/>
          <w:sz w:val="32"/>
          <w:szCs w:val="32"/>
          <w:lang w:val="en-US" w:eastAsia="zh-CN"/>
        </w:rPr>
        <w:t>79.79</w:t>
      </w:r>
      <w:r>
        <w:rPr>
          <w:rFonts w:hint="eastAsia" w:ascii="仿宋_GB2312" w:hAnsi="仿宋_GB2312" w:eastAsia="仿宋_GB2312" w:cs="仿宋_GB2312"/>
          <w:b w:val="0"/>
          <w:bCs/>
          <w:kern w:val="0"/>
          <w:sz w:val="32"/>
          <w:szCs w:val="32"/>
        </w:rPr>
        <w:t>万元，完成预算100%。</w:t>
      </w:r>
    </w:p>
    <w:p>
      <w:pPr>
        <w:spacing w:line="600" w:lineRule="exact"/>
        <w:ind w:firstLine="643" w:firstLineChars="200"/>
        <w:rPr>
          <w:rFonts w:hint="eastAsia"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（注：数据来源于财决Z01-1表，罗列全部功能分类科目至项级。上述“预算”口径为</w:t>
      </w:r>
      <w:r>
        <w:rPr>
          <w:rFonts w:hint="eastAsia" w:ascii="仿宋_GB2312" w:hAnsi="仿宋_GB2312" w:eastAsia="仿宋_GB2312" w:cs="仿宋_GB2312"/>
          <w:b/>
          <w:color w:val="FF0000"/>
          <w:sz w:val="32"/>
          <w:szCs w:val="32"/>
          <w:highlight w:val="yellow"/>
        </w:rPr>
        <w:t>调整预算数</w:t>
      </w:r>
      <w:r>
        <w:rPr>
          <w:rFonts w:hint="eastAsia" w:ascii="仿宋_GB2312" w:hAnsi="仿宋_GB2312" w:eastAsia="仿宋_GB2312" w:cs="仿宋_GB2312"/>
          <w:b/>
          <w:color w:val="FF0000"/>
          <w:sz w:val="32"/>
          <w:szCs w:val="32"/>
        </w:rPr>
        <w:t>。增减变动原因为决算数&lt;项级&gt;和调整预算数&lt;项级&gt;比较，与预算数持平可以不写原因。）</w:t>
      </w:r>
    </w:p>
    <w:p>
      <w:pPr>
        <w:tabs>
          <w:tab w:val="right" w:pos="8306"/>
        </w:tabs>
        <w:spacing w:line="600" w:lineRule="exact"/>
        <w:ind w:firstLine="640"/>
        <w:outlineLvl w:val="1"/>
        <w:rPr>
          <w:rStyle w:val="29"/>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38"/>
      <w:bookmarkEnd w:id="39"/>
      <w:r>
        <w:rPr>
          <w:rStyle w:val="29"/>
          <w:rFonts w:ascii="黑体" w:hAnsi="黑体" w:eastAsia="黑体"/>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1021.01</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900.94</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w:t>
      </w:r>
      <w:r>
        <w:rPr>
          <w:rFonts w:hint="eastAsia" w:ascii="仿宋_GB2312" w:hAnsi="仿宋_GB2312" w:eastAsia="仿宋_GB2312" w:cs="仿宋_GB2312"/>
          <w:color w:val="000000"/>
          <w:sz w:val="32"/>
          <w:szCs w:val="32"/>
          <w:lang w:eastAsia="zh-CN"/>
        </w:rPr>
        <w:t>职工基本医疗保险缴费、</w:t>
      </w:r>
      <w:r>
        <w:rPr>
          <w:rFonts w:hint="eastAsia" w:ascii="仿宋_GB2312" w:hAnsi="仿宋_GB2312" w:eastAsia="仿宋_GB2312" w:cs="仿宋_GB2312"/>
          <w:color w:val="000000"/>
          <w:sz w:val="32"/>
          <w:szCs w:val="32"/>
        </w:rPr>
        <w:t>其他社会保障缴费、住房公积金、其他工资福利支出、生活补助、奖励金、其他对个人和家庭的补助支出等。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120.07</w:t>
      </w:r>
      <w:r>
        <w:rPr>
          <w:rFonts w:hint="eastAsia" w:ascii="仿宋_GB2312" w:hAnsi="仿宋_GB2312" w:eastAsia="仿宋_GB2312" w:cs="仿宋_GB2312"/>
          <w:color w:val="000000"/>
          <w:sz w:val="32"/>
          <w:szCs w:val="32"/>
        </w:rPr>
        <w:t>万元，主要包括：办公费、水费、电费、邮电费、差旅费、维修（护）费、会议费、培训费、公务接待费、劳务费、委托业务费、工会经费、福利费、公务用车运行维护费、其他交通费、其他商品和服务支出</w:t>
      </w:r>
      <w:r>
        <w:rPr>
          <w:rFonts w:hint="eastAsia" w:ascii="仿宋_GB2312" w:hAnsi="仿宋_GB2312" w:eastAsia="仿宋_GB2312" w:cs="仿宋_GB2312"/>
          <w:color w:val="000000"/>
          <w:sz w:val="32"/>
          <w:szCs w:val="32"/>
          <w:lang w:eastAsia="zh-CN"/>
        </w:rPr>
        <w:t>、办公设备购置</w:t>
      </w:r>
      <w:r>
        <w:rPr>
          <w:rFonts w:hint="eastAsia" w:ascii="仿宋_GB2312" w:hAnsi="仿宋_GB2312" w:eastAsia="仿宋_GB2312" w:cs="仿宋_GB2312"/>
          <w:color w:val="000000"/>
          <w:sz w:val="32"/>
          <w:szCs w:val="32"/>
        </w:rPr>
        <w:t>。</w:t>
      </w:r>
    </w:p>
    <w:p>
      <w:pPr>
        <w:spacing w:line="600" w:lineRule="exact"/>
        <w:ind w:firstLine="640"/>
        <w:outlineLvl w:val="1"/>
        <w:rPr>
          <w:rStyle w:val="29"/>
          <w:rFonts w:ascii="黑体" w:hAnsi="黑体" w:eastAsia="黑体"/>
          <w:b w:val="0"/>
        </w:rPr>
      </w:pPr>
      <w:bookmarkStart w:id="40" w:name="_Toc15396609"/>
      <w:bookmarkStart w:id="41" w:name="_Toc15377215"/>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0"/>
      <w:bookmarkEnd w:id="41"/>
    </w:p>
    <w:p>
      <w:pPr>
        <w:spacing w:line="600" w:lineRule="exact"/>
        <w:ind w:firstLine="640"/>
        <w:outlineLvl w:val="2"/>
        <w:rPr>
          <w:rFonts w:hint="eastAsia" w:ascii="楷体_GB2312" w:hAnsi="楷体_GB2312" w:eastAsia="楷体_GB2312" w:cs="楷体_GB2312"/>
          <w:b w:val="0"/>
          <w:bCs/>
          <w:color w:val="000000"/>
          <w:sz w:val="32"/>
          <w:szCs w:val="32"/>
        </w:rPr>
      </w:pPr>
      <w:bookmarkStart w:id="42" w:name="_Toc15377216"/>
      <w:r>
        <w:rPr>
          <w:rFonts w:hint="eastAsia" w:ascii="楷体_GB2312" w:hAnsi="楷体_GB2312" w:eastAsia="楷体_GB2312" w:cs="楷体_GB2312"/>
          <w:b w:val="0"/>
          <w:bCs/>
          <w:color w:val="000000"/>
          <w:sz w:val="32"/>
          <w:szCs w:val="32"/>
        </w:rPr>
        <w:t>（一）“三公”经费财政拨款支出决算总体情况说明</w:t>
      </w:r>
      <w:bookmarkEnd w:id="42"/>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8.10</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39.32</w:t>
      </w:r>
      <w:r>
        <w:rPr>
          <w:rFonts w:hint="eastAsia" w:ascii="仿宋_GB2312" w:hAnsi="仿宋_GB2312" w:eastAsia="仿宋_GB2312" w:cs="仿宋_GB2312"/>
          <w:color w:val="000000"/>
          <w:sz w:val="32"/>
          <w:szCs w:val="32"/>
        </w:rPr>
        <w:t>%，决算数小于预算数的主要原因是</w:t>
      </w:r>
      <w:r>
        <w:rPr>
          <w:rFonts w:hint="eastAsia" w:ascii="仿宋_GB2312" w:hAnsi="仿宋_GB2312" w:eastAsia="仿宋_GB2312" w:cs="仿宋_GB2312"/>
          <w:kern w:val="0"/>
          <w:sz w:val="32"/>
          <w:szCs w:val="32"/>
        </w:rPr>
        <w:t>我镇严格贯彻中央、省、市十项规定，严格厉行节约，严控“三公”经费支出。</w:t>
      </w:r>
    </w:p>
    <w:p>
      <w:pPr>
        <w:spacing w:line="600" w:lineRule="exact"/>
        <w:ind w:firstLine="640"/>
        <w:rPr>
          <w:rFonts w:hint="eastAsia"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（注：上述“预算”口径为调整预算数，包括政府性基金支出决算情况。）</w:t>
      </w:r>
    </w:p>
    <w:p>
      <w:pPr>
        <w:spacing w:line="600" w:lineRule="exact"/>
        <w:ind w:firstLine="640"/>
        <w:outlineLvl w:val="2"/>
        <w:rPr>
          <w:rFonts w:hint="eastAsia" w:ascii="楷体_GB2312" w:hAnsi="楷体_GB2312" w:eastAsia="楷体_GB2312" w:cs="楷体_GB2312"/>
          <w:b w:val="0"/>
          <w:bCs/>
          <w:color w:val="000000"/>
          <w:sz w:val="32"/>
          <w:szCs w:val="32"/>
        </w:rPr>
      </w:pPr>
      <w:bookmarkStart w:id="43" w:name="_Toc15377217"/>
      <w:r>
        <w:rPr>
          <w:rFonts w:hint="eastAsia" w:ascii="楷体_GB2312" w:hAnsi="楷体_GB2312" w:eastAsia="楷体_GB2312" w:cs="楷体_GB2312"/>
          <w:b w:val="0"/>
          <w:bCs/>
          <w:color w:val="000000"/>
          <w:sz w:val="32"/>
          <w:szCs w:val="32"/>
        </w:rPr>
        <w:t>（二）“三公”经费财政拨款支出决算具体情况说明</w:t>
      </w:r>
      <w:bookmarkEnd w:id="43"/>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val="en-US" w:eastAsia="zh-CN"/>
        </w:rPr>
        <w:t>8.01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98.89</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0.09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1.11</w:t>
      </w:r>
      <w:r>
        <w:rPr>
          <w:rFonts w:hint="eastAsia" w:ascii="仿宋_GB2312" w:hAnsi="仿宋_GB2312" w:eastAsia="仿宋_GB2312" w:cs="仿宋_GB2312"/>
          <w:color w:val="000000"/>
          <w:sz w:val="32"/>
          <w:szCs w:val="32"/>
        </w:rPr>
        <w:t>%。具体情况如下：</w:t>
      </w:r>
    </w:p>
    <w:p>
      <w:pPr>
        <w:pStyle w:val="2"/>
        <w:rPr>
          <w:rFonts w:hint="eastAsia" w:ascii="仿宋_GB2312" w:hAnsi="仿宋_GB2312" w:eastAsia="仿宋_GB2312" w:cs="仿宋_GB2312"/>
          <w:color w:val="C00000"/>
          <w:sz w:val="32"/>
          <w:szCs w:val="32"/>
        </w:rPr>
      </w:pPr>
    </w:p>
    <w:p>
      <w:pPr>
        <w:rPr>
          <w:rFonts w:hint="eastAsia" w:ascii="仿宋" w:hAnsi="仿宋" w:eastAsia="仿宋"/>
          <w:color w:val="C00000"/>
          <w:sz w:val="32"/>
          <w:szCs w:val="32"/>
        </w:rPr>
      </w:pPr>
    </w:p>
    <w:p>
      <w:pPr>
        <w:pStyle w:val="2"/>
        <w:rPr>
          <w:rFonts w:hint="eastAsia" w:ascii="仿宋" w:hAnsi="仿宋" w:eastAsia="仿宋"/>
          <w:color w:val="C00000"/>
          <w:sz w:val="32"/>
          <w:szCs w:val="32"/>
        </w:rPr>
      </w:pPr>
      <w:r>
        <w:drawing>
          <wp:inline distT="0" distB="0" distL="114300" distR="114300">
            <wp:extent cx="4572000" cy="2746375"/>
            <wp:effectExtent l="4445" t="4445" r="14605" b="1143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widowControl/>
        <w:spacing w:line="560" w:lineRule="exact"/>
        <w:ind w:firstLine="643" w:firstLineChars="200"/>
        <w:jc w:val="left"/>
        <w:rPr>
          <w:rFonts w:hint="default" w:ascii="仿宋_GB2312" w:eastAsia="仿宋_GB2312"/>
          <w:b w:val="0"/>
          <w:bCs/>
          <w:color w:val="000000"/>
          <w:sz w:val="32"/>
          <w:szCs w:val="32"/>
          <w:lang w:val="en-US" w:eastAsia="zh-CN"/>
        </w:rPr>
      </w:pPr>
      <w:r>
        <w:rPr>
          <w:rFonts w:hint="eastAsia" w:ascii="仿宋_GB2312" w:eastAsia="仿宋_GB2312"/>
          <w:b/>
          <w:color w:val="000000"/>
          <w:sz w:val="32"/>
          <w:szCs w:val="32"/>
          <w:lang w:val="en-US" w:eastAsia="zh-CN"/>
        </w:rPr>
        <w:t xml:space="preserve">  </w:t>
      </w:r>
      <w:r>
        <w:rPr>
          <w:rFonts w:hint="eastAsia" w:ascii="仿宋_GB2312" w:eastAsia="仿宋_GB2312"/>
          <w:b w:val="0"/>
          <w:bCs/>
          <w:color w:val="000000"/>
          <w:sz w:val="32"/>
          <w:szCs w:val="32"/>
          <w:lang w:val="en-US" w:eastAsia="zh-CN"/>
        </w:rPr>
        <w:t>（图七：“三公”经费财政拨款支出结构）</w:t>
      </w:r>
    </w:p>
    <w:p>
      <w:pPr>
        <w:widowControl/>
        <w:spacing w:line="560" w:lineRule="exact"/>
        <w:ind w:firstLine="640" w:firstLineChars="200"/>
        <w:jc w:val="left"/>
        <w:rPr>
          <w:rFonts w:hint="eastAsia" w:ascii="仿宋_GB2312" w:hAnsi="仿宋_GB2312" w:eastAsia="仿宋_GB2312" w:cs="仿宋_GB2312"/>
          <w:b w:val="0"/>
          <w:bCs/>
          <w:kern w:val="0"/>
          <w:sz w:val="32"/>
          <w:szCs w:val="32"/>
        </w:rPr>
      </w:pPr>
      <w:r>
        <w:rPr>
          <w:rFonts w:ascii="仿宋_GB2312" w:eastAsia="仿宋_GB2312"/>
          <w:b w:val="0"/>
          <w:bCs/>
          <w:color w:val="000000"/>
          <w:sz w:val="32"/>
          <w:szCs w:val="32"/>
        </w:rPr>
        <w:t>1.</w:t>
      </w:r>
      <w:r>
        <w:rPr>
          <w:rFonts w:hint="eastAsia" w:ascii="仿宋_GB2312" w:eastAsia="仿宋_GB2312"/>
          <w:b w:val="0"/>
          <w:bCs/>
          <w:color w:val="000000"/>
          <w:sz w:val="32"/>
          <w:szCs w:val="32"/>
        </w:rPr>
        <w:t>因公出国（境）经费支出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rPr>
        <w:t>完成预算</w:t>
      </w:r>
      <w:r>
        <w:rPr>
          <w:rStyle w:val="16"/>
          <w:rFonts w:hint="eastAsia" w:ascii="仿宋_GB2312" w:hAnsi="仿宋_GB2312" w:eastAsia="仿宋_GB2312" w:cs="仿宋_GB2312"/>
          <w:b w:val="0"/>
          <w:bCs/>
          <w:color w:val="000000"/>
          <w:sz w:val="32"/>
          <w:szCs w:val="32"/>
          <w:lang w:val="en-US" w:eastAsia="zh-CN"/>
        </w:rPr>
        <w:t>0</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全年安排因公出国（境）团组</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次，出国（境）</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人。因公出国（境）支出决算</w:t>
      </w:r>
      <w:r>
        <w:rPr>
          <w:rFonts w:hint="eastAsia" w:ascii="仿宋_GB2312" w:hAnsi="仿宋_GB2312" w:eastAsia="仿宋_GB2312" w:cs="仿宋_GB2312"/>
          <w:b w:val="0"/>
          <w:bCs/>
          <w:color w:val="000000"/>
          <w:sz w:val="32"/>
          <w:szCs w:val="32"/>
          <w:lang w:eastAsia="zh-CN"/>
        </w:rPr>
        <w:t>与</w:t>
      </w:r>
      <w:r>
        <w:rPr>
          <w:rFonts w:hint="eastAsia" w:ascii="仿宋_GB2312" w:hAnsi="仿宋_GB2312" w:eastAsia="仿宋_GB2312" w:cs="仿宋_GB2312"/>
          <w:b w:val="0"/>
          <w:bCs/>
          <w:color w:val="000000"/>
          <w:sz w:val="32"/>
          <w:szCs w:val="32"/>
        </w:rPr>
        <w:t>201</w:t>
      </w:r>
      <w:r>
        <w:rPr>
          <w:rFonts w:hint="eastAsia" w:ascii="仿宋_GB2312" w:hAnsi="仿宋_GB2312" w:eastAsia="仿宋_GB2312" w:cs="仿宋_GB2312"/>
          <w:b w:val="0"/>
          <w:bCs/>
          <w:color w:val="000000"/>
          <w:sz w:val="32"/>
          <w:szCs w:val="32"/>
          <w:lang w:val="en-US" w:eastAsia="zh-CN"/>
        </w:rPr>
        <w:t>9</w:t>
      </w:r>
      <w:r>
        <w:rPr>
          <w:rFonts w:hint="eastAsia" w:ascii="仿宋_GB2312" w:hAnsi="仿宋_GB2312" w:eastAsia="仿宋_GB2312" w:cs="仿宋_GB2312"/>
          <w:b w:val="0"/>
          <w:bCs/>
          <w:color w:val="000000"/>
          <w:sz w:val="32"/>
          <w:szCs w:val="32"/>
        </w:rPr>
        <w:t>年</w:t>
      </w:r>
      <w:r>
        <w:rPr>
          <w:rFonts w:hint="eastAsia" w:ascii="仿宋_GB2312" w:hAnsi="仿宋_GB2312" w:eastAsia="仿宋_GB2312" w:cs="仿宋_GB2312"/>
          <w:b w:val="0"/>
          <w:bCs/>
          <w:color w:val="000000"/>
          <w:sz w:val="32"/>
          <w:szCs w:val="32"/>
          <w:lang w:eastAsia="zh-CN"/>
        </w:rPr>
        <w:t>持平</w:t>
      </w:r>
      <w:r>
        <w:rPr>
          <w:rFonts w:hint="eastAsia" w:ascii="仿宋_GB2312" w:hAnsi="仿宋_GB2312" w:eastAsia="仿宋_GB2312" w:cs="仿宋_GB2312"/>
          <w:b w:val="0"/>
          <w:bCs/>
          <w:color w:val="000000"/>
          <w:sz w:val="32"/>
          <w:szCs w:val="32"/>
        </w:rPr>
        <w:t>。主要原因是</w:t>
      </w:r>
      <w:r>
        <w:rPr>
          <w:rFonts w:hint="eastAsia" w:ascii="仿宋_GB2312" w:hAnsi="仿宋_GB2312" w:eastAsia="仿宋_GB2312" w:cs="仿宋_GB2312"/>
          <w:b w:val="0"/>
          <w:bCs/>
          <w:kern w:val="0"/>
          <w:sz w:val="32"/>
          <w:szCs w:val="32"/>
        </w:rPr>
        <w:t>符溪镇隶属乡镇，工作多，任务重，年初既无因公出国（境）预算，年中也无因公出国（境）开支，且严守中央、省、市“八项规定”和“四风”，厉行勤俭节约。</w:t>
      </w:r>
    </w:p>
    <w:p>
      <w:pPr>
        <w:snapToGrid w:val="0"/>
        <w:spacing w:line="520" w:lineRule="exact"/>
        <w:ind w:firstLine="640" w:firstLineChars="200"/>
        <w:rPr>
          <w:rFonts w:hint="eastAsia" w:ascii="仿宋_GB2312" w:hAnsi="仿宋_GB2312" w:eastAsia="仿宋_GB2312" w:cs="仿宋_GB2312"/>
          <w:b w:val="0"/>
          <w:bCs/>
          <w:sz w:val="32"/>
          <w:szCs w:val="32"/>
        </w:rPr>
      </w:pPr>
      <w:r>
        <w:rPr>
          <w:rFonts w:ascii="仿宋_GB2312" w:eastAsia="仿宋_GB2312"/>
          <w:b w:val="0"/>
          <w:bCs/>
          <w:color w:val="000000"/>
          <w:sz w:val="32"/>
          <w:szCs w:val="32"/>
        </w:rPr>
        <w:t>2.</w:t>
      </w:r>
      <w:r>
        <w:rPr>
          <w:rFonts w:hint="eastAsia" w:ascii="仿宋_GB2312" w:eastAsia="仿宋_GB2312"/>
          <w:b w:val="0"/>
          <w:bCs/>
          <w:color w:val="000000"/>
          <w:sz w:val="32"/>
          <w:szCs w:val="32"/>
        </w:rPr>
        <w:t>公务用车购置及运行维护费支出</w:t>
      </w:r>
      <w:r>
        <w:rPr>
          <w:rFonts w:hint="eastAsia" w:ascii="仿宋_GB2312" w:hAnsi="仿宋_GB2312" w:eastAsia="仿宋_GB2312" w:cs="仿宋_GB2312"/>
          <w:b w:val="0"/>
          <w:bCs/>
          <w:color w:val="000000"/>
          <w:sz w:val="32"/>
          <w:szCs w:val="32"/>
          <w:lang w:val="en-US" w:eastAsia="zh-CN"/>
        </w:rPr>
        <w:t>8.01</w:t>
      </w:r>
      <w:r>
        <w:rPr>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rPr>
        <w:t>完成预算</w:t>
      </w:r>
      <w:r>
        <w:rPr>
          <w:rStyle w:val="16"/>
          <w:rFonts w:hint="eastAsia" w:ascii="仿宋_GB2312" w:hAnsi="仿宋_GB2312" w:eastAsia="仿宋_GB2312" w:cs="仿宋_GB2312"/>
          <w:b w:val="0"/>
          <w:bCs/>
          <w:color w:val="000000"/>
          <w:sz w:val="32"/>
          <w:szCs w:val="32"/>
          <w:lang w:val="en-US" w:eastAsia="zh-CN"/>
        </w:rPr>
        <w:t>47.68</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公务用车购置及运行维护费支出决算</w:t>
      </w:r>
      <w:r>
        <w:rPr>
          <w:rFonts w:hint="eastAsia" w:ascii="仿宋_GB2312" w:hAnsi="仿宋_GB2312" w:eastAsia="仿宋_GB2312" w:cs="仿宋_GB2312"/>
          <w:b w:val="0"/>
          <w:bCs/>
          <w:color w:val="000000"/>
          <w:sz w:val="32"/>
          <w:szCs w:val="32"/>
          <w:lang w:eastAsia="zh-CN"/>
        </w:rPr>
        <w:t>与</w:t>
      </w:r>
      <w:r>
        <w:rPr>
          <w:rFonts w:hint="eastAsia" w:ascii="仿宋_GB2312" w:hAnsi="仿宋_GB2312" w:eastAsia="仿宋_GB2312" w:cs="仿宋_GB2312"/>
          <w:b w:val="0"/>
          <w:bCs/>
          <w:color w:val="000000"/>
          <w:sz w:val="32"/>
          <w:szCs w:val="32"/>
        </w:rPr>
        <w:t>201</w:t>
      </w:r>
      <w:r>
        <w:rPr>
          <w:rFonts w:hint="eastAsia" w:ascii="仿宋_GB2312" w:hAnsi="仿宋_GB2312" w:eastAsia="仿宋_GB2312" w:cs="仿宋_GB2312"/>
          <w:b w:val="0"/>
          <w:bCs/>
          <w:color w:val="000000"/>
          <w:sz w:val="32"/>
          <w:szCs w:val="32"/>
          <w:lang w:val="en-US" w:eastAsia="zh-CN"/>
        </w:rPr>
        <w:t>9</w:t>
      </w:r>
      <w:r>
        <w:rPr>
          <w:rFonts w:hint="eastAsia" w:ascii="仿宋_GB2312" w:hAnsi="仿宋_GB2312" w:eastAsia="仿宋_GB2312" w:cs="仿宋_GB2312"/>
          <w:b w:val="0"/>
          <w:bCs/>
          <w:color w:val="000000"/>
          <w:sz w:val="32"/>
          <w:szCs w:val="32"/>
        </w:rPr>
        <w:t>年</w:t>
      </w:r>
      <w:r>
        <w:rPr>
          <w:rFonts w:hint="eastAsia" w:ascii="仿宋_GB2312" w:hAnsi="仿宋_GB2312" w:eastAsia="仿宋_GB2312" w:cs="仿宋_GB2312"/>
          <w:b w:val="0"/>
          <w:bCs/>
          <w:color w:val="000000"/>
          <w:sz w:val="32"/>
          <w:szCs w:val="32"/>
          <w:lang w:eastAsia="zh-CN"/>
        </w:rPr>
        <w:t>持平</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FF0000"/>
          <w:sz w:val="32"/>
          <w:szCs w:val="32"/>
        </w:rPr>
        <w:t>主要原因是</w:t>
      </w: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年汽油单价</w:t>
      </w:r>
      <w:r>
        <w:rPr>
          <w:rFonts w:hint="eastAsia" w:ascii="仿宋_GB2312" w:hAnsi="仿宋_GB2312" w:eastAsia="仿宋_GB2312" w:cs="仿宋_GB2312"/>
          <w:b w:val="0"/>
          <w:bCs/>
          <w:sz w:val="32"/>
          <w:szCs w:val="32"/>
          <w:lang w:eastAsia="zh-CN"/>
        </w:rPr>
        <w:t>虽</w:t>
      </w:r>
      <w:r>
        <w:rPr>
          <w:rFonts w:hint="eastAsia" w:ascii="仿宋_GB2312" w:hAnsi="仿宋_GB2312" w:eastAsia="仿宋_GB2312" w:cs="仿宋_GB2312"/>
          <w:b w:val="0"/>
          <w:bCs/>
          <w:sz w:val="32"/>
          <w:szCs w:val="32"/>
        </w:rPr>
        <w:t>比20</w:t>
      </w:r>
      <w:r>
        <w:rPr>
          <w:rFonts w:hint="eastAsia" w:ascii="仿宋_GB2312" w:hAnsi="仿宋_GB2312" w:eastAsia="仿宋_GB2312" w:cs="仿宋_GB2312"/>
          <w:b w:val="0"/>
          <w:bCs/>
          <w:sz w:val="32"/>
          <w:szCs w:val="32"/>
          <w:lang w:val="en-US" w:eastAsia="zh-CN"/>
        </w:rPr>
        <w:t>19</w:t>
      </w:r>
      <w:r>
        <w:rPr>
          <w:rFonts w:hint="eastAsia" w:ascii="仿宋_GB2312" w:hAnsi="仿宋_GB2312" w:eastAsia="仿宋_GB2312" w:cs="仿宋_GB2312"/>
          <w:b w:val="0"/>
          <w:bCs/>
          <w:sz w:val="32"/>
          <w:szCs w:val="32"/>
        </w:rPr>
        <w:t>年有所</w:t>
      </w:r>
      <w:r>
        <w:rPr>
          <w:rFonts w:hint="eastAsia" w:ascii="仿宋_GB2312" w:hAnsi="仿宋_GB2312" w:eastAsia="仿宋_GB2312" w:cs="仿宋_GB2312"/>
          <w:b w:val="0"/>
          <w:bCs/>
          <w:sz w:val="32"/>
          <w:szCs w:val="32"/>
          <w:lang w:eastAsia="zh-CN"/>
        </w:rPr>
        <w:t>上升</w:t>
      </w:r>
      <w:r>
        <w:rPr>
          <w:rFonts w:hint="eastAsia" w:ascii="仿宋_GB2312" w:hAnsi="仿宋_GB2312" w:eastAsia="仿宋_GB2312" w:cs="仿宋_GB2312"/>
          <w:b w:val="0"/>
          <w:bCs/>
          <w:sz w:val="32"/>
          <w:szCs w:val="32"/>
        </w:rPr>
        <w:t>，非洲猪瘟防控、夹峨大道</w:t>
      </w:r>
      <w:r>
        <w:rPr>
          <w:rFonts w:hint="eastAsia" w:ascii="仿宋_GB2312" w:hAnsi="仿宋_GB2312" w:eastAsia="仿宋_GB2312" w:cs="仿宋_GB2312"/>
          <w:b w:val="0"/>
          <w:bCs/>
          <w:sz w:val="32"/>
          <w:szCs w:val="32"/>
          <w:lang w:eastAsia="zh-CN"/>
        </w:rPr>
        <w:t>项目工作接近尾声，</w:t>
      </w:r>
      <w:r>
        <w:rPr>
          <w:rFonts w:hint="eastAsia" w:ascii="仿宋_GB2312" w:hAnsi="仿宋_GB2312" w:eastAsia="仿宋_GB2312" w:cs="仿宋_GB2312"/>
          <w:b w:val="0"/>
          <w:bCs/>
          <w:sz w:val="32"/>
          <w:szCs w:val="32"/>
          <w:lang w:val="en-US" w:eastAsia="zh-CN"/>
        </w:rPr>
        <w:t>2020年较2019年比项目建设有所减少，成</w:t>
      </w:r>
      <w:r>
        <w:rPr>
          <w:rFonts w:hint="eastAsia" w:ascii="仿宋_GB2312" w:hAnsi="仿宋_GB2312" w:eastAsia="仿宋_GB2312" w:cs="仿宋_GB2312"/>
          <w:b w:val="0"/>
          <w:bCs/>
          <w:sz w:val="32"/>
          <w:szCs w:val="32"/>
        </w:rPr>
        <w:t>乐高速扩容、</w:t>
      </w:r>
      <w:r>
        <w:rPr>
          <w:rFonts w:hint="eastAsia" w:ascii="仿宋_GB2312" w:hAnsi="仿宋_GB2312" w:eastAsia="仿宋_GB2312" w:cs="仿宋_GB2312"/>
          <w:b w:val="0"/>
          <w:bCs/>
          <w:sz w:val="32"/>
          <w:szCs w:val="32"/>
          <w:lang w:eastAsia="zh-CN"/>
        </w:rPr>
        <w:t>乐西高速、</w:t>
      </w:r>
      <w:r>
        <w:rPr>
          <w:rFonts w:hint="eastAsia" w:ascii="仿宋_GB2312" w:hAnsi="仿宋_GB2312" w:eastAsia="仿宋_GB2312" w:cs="仿宋_GB2312"/>
          <w:b w:val="0"/>
          <w:bCs/>
          <w:sz w:val="32"/>
          <w:szCs w:val="32"/>
        </w:rPr>
        <w:t>战斗友谊</w:t>
      </w:r>
      <w:r>
        <w:rPr>
          <w:rFonts w:hint="eastAsia" w:ascii="仿宋_GB2312" w:hAnsi="仿宋_GB2312" w:eastAsia="仿宋_GB2312" w:cs="仿宋_GB2312"/>
          <w:b w:val="0"/>
          <w:bCs/>
          <w:sz w:val="32"/>
          <w:szCs w:val="32"/>
          <w:lang w:eastAsia="zh-CN"/>
        </w:rPr>
        <w:t>村</w:t>
      </w:r>
      <w:r>
        <w:rPr>
          <w:rFonts w:hint="eastAsia" w:ascii="仿宋_GB2312" w:hAnsi="仿宋_GB2312" w:eastAsia="仿宋_GB2312" w:cs="仿宋_GB2312"/>
          <w:b w:val="0"/>
          <w:bCs/>
          <w:sz w:val="32"/>
          <w:szCs w:val="32"/>
        </w:rPr>
        <w:t>人居环境整治、秸杆禁烧巡查等项目公务车运行费在一般公共运行财政拨款中支出。</w:t>
      </w:r>
    </w:p>
    <w:p>
      <w:pPr>
        <w:spacing w:line="600" w:lineRule="exact"/>
        <w:ind w:firstLine="640" w:firstLineChars="200"/>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其中：公务用车购置支出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万元。全年按规定更新购置公务用车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辆，金额</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元。截至20</w:t>
      </w:r>
      <w:r>
        <w:rPr>
          <w:rFonts w:hint="eastAsia" w:ascii="仿宋_GB2312" w:hAnsi="仿宋_GB2312" w:eastAsia="仿宋_GB2312" w:cs="仿宋_GB2312"/>
          <w:b w:val="0"/>
          <w:bCs/>
          <w:color w:val="000000"/>
          <w:sz w:val="32"/>
          <w:szCs w:val="32"/>
          <w:lang w:val="en-US" w:eastAsia="zh-CN"/>
        </w:rPr>
        <w:t>20</w:t>
      </w:r>
      <w:r>
        <w:rPr>
          <w:rFonts w:hint="eastAsia" w:ascii="仿宋_GB2312" w:hAnsi="仿宋_GB2312" w:eastAsia="仿宋_GB2312" w:cs="仿宋_GB2312"/>
          <w:b w:val="0"/>
          <w:bCs/>
          <w:color w:val="000000"/>
          <w:sz w:val="32"/>
          <w:szCs w:val="32"/>
        </w:rPr>
        <w:t>年12月底，单位共有公务用车</w:t>
      </w: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辆，其中：主要领导干部用车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辆、机要通信用车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辆、应急保障用车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 执法执勤用车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w:t>
      </w:r>
      <w:r>
        <w:rPr>
          <w:rFonts w:hint="eastAsia" w:ascii="仿宋_GB2312" w:hAnsi="仿宋_GB2312" w:eastAsia="仿宋_GB2312" w:cs="仿宋_GB2312"/>
          <w:b w:val="0"/>
          <w:bCs/>
          <w:color w:val="000000"/>
          <w:sz w:val="32"/>
          <w:szCs w:val="32"/>
          <w:lang w:eastAsia="zh-CN"/>
        </w:rPr>
        <w:t>、其他用车</w:t>
      </w:r>
      <w:r>
        <w:rPr>
          <w:rFonts w:hint="eastAsia" w:ascii="仿宋_GB2312" w:hAnsi="仿宋_GB2312" w:eastAsia="仿宋_GB2312" w:cs="仿宋_GB2312"/>
          <w:b w:val="0"/>
          <w:bCs/>
          <w:color w:val="000000"/>
          <w:sz w:val="32"/>
          <w:szCs w:val="32"/>
          <w:lang w:val="en-US" w:eastAsia="zh-CN"/>
        </w:rPr>
        <w:t>2辆。</w:t>
      </w:r>
    </w:p>
    <w:p>
      <w:pPr>
        <w:spacing w:line="600" w:lineRule="exact"/>
        <w:ind w:firstLine="64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公务用车运行维护费支出</w:t>
      </w:r>
      <w:r>
        <w:rPr>
          <w:rFonts w:hint="eastAsia" w:ascii="仿宋_GB2312" w:hAnsi="仿宋_GB2312" w:eastAsia="仿宋_GB2312" w:cs="仿宋_GB2312"/>
          <w:b w:val="0"/>
          <w:bCs/>
          <w:color w:val="000000"/>
          <w:sz w:val="32"/>
          <w:szCs w:val="32"/>
          <w:lang w:val="en-US" w:eastAsia="zh-CN"/>
        </w:rPr>
        <w:t>8.01</w:t>
      </w:r>
      <w:r>
        <w:rPr>
          <w:rFonts w:hint="eastAsia" w:ascii="仿宋_GB2312" w:hAnsi="仿宋_GB2312" w:eastAsia="仿宋_GB2312" w:cs="仿宋_GB2312"/>
          <w:b w:val="0"/>
          <w:bCs/>
          <w:color w:val="000000"/>
          <w:sz w:val="32"/>
          <w:szCs w:val="32"/>
        </w:rPr>
        <w:t>万元。主要用于</w:t>
      </w:r>
      <w:r>
        <w:rPr>
          <w:rFonts w:hint="eastAsia" w:ascii="仿宋_GB2312" w:hAnsi="仿宋_GB2312" w:eastAsia="仿宋_GB2312" w:cs="仿宋_GB2312"/>
          <w:b w:val="0"/>
          <w:bCs/>
          <w:color w:val="000000"/>
          <w:sz w:val="32"/>
          <w:szCs w:val="32"/>
          <w:lang w:eastAsia="zh-CN"/>
        </w:rPr>
        <w:t>成</w:t>
      </w:r>
      <w:r>
        <w:rPr>
          <w:rFonts w:hint="eastAsia" w:ascii="仿宋_GB2312" w:hAnsi="仿宋_GB2312" w:eastAsia="仿宋_GB2312" w:cs="仿宋_GB2312"/>
          <w:b w:val="0"/>
          <w:bCs/>
          <w:sz w:val="32"/>
          <w:szCs w:val="32"/>
        </w:rPr>
        <w:t>乐高速扩容、战斗友谊</w:t>
      </w:r>
      <w:r>
        <w:rPr>
          <w:rFonts w:hint="eastAsia" w:ascii="仿宋_GB2312" w:hAnsi="仿宋_GB2312" w:eastAsia="仿宋_GB2312" w:cs="仿宋_GB2312"/>
          <w:b w:val="0"/>
          <w:bCs/>
          <w:sz w:val="32"/>
          <w:szCs w:val="32"/>
          <w:lang w:eastAsia="zh-CN"/>
        </w:rPr>
        <w:t>村</w:t>
      </w:r>
      <w:r>
        <w:rPr>
          <w:rFonts w:hint="eastAsia" w:ascii="仿宋_GB2312" w:hAnsi="仿宋_GB2312" w:eastAsia="仿宋_GB2312" w:cs="仿宋_GB2312"/>
          <w:b w:val="0"/>
          <w:bCs/>
          <w:sz w:val="32"/>
          <w:szCs w:val="32"/>
        </w:rPr>
        <w:t>人居环境整治、</w:t>
      </w:r>
      <w:r>
        <w:rPr>
          <w:rFonts w:hint="eastAsia" w:ascii="仿宋_GB2312" w:hAnsi="仿宋_GB2312" w:eastAsia="仿宋_GB2312" w:cs="仿宋_GB2312"/>
          <w:b w:val="0"/>
          <w:bCs/>
          <w:sz w:val="32"/>
          <w:szCs w:val="32"/>
          <w:lang w:eastAsia="zh-CN"/>
        </w:rPr>
        <w:t>农业产业园建设、精准扶贫大排查、省级小城镇建设、</w:t>
      </w:r>
      <w:r>
        <w:rPr>
          <w:rFonts w:hint="eastAsia" w:ascii="仿宋_GB2312" w:hAnsi="仿宋_GB2312" w:eastAsia="仿宋_GB2312" w:cs="仿宋_GB2312"/>
          <w:b w:val="0"/>
          <w:bCs/>
          <w:sz w:val="32"/>
          <w:szCs w:val="32"/>
        </w:rPr>
        <w:t>秸杆禁烧巡查等项目</w:t>
      </w:r>
      <w:r>
        <w:rPr>
          <w:rFonts w:hint="eastAsia" w:ascii="仿宋_GB2312" w:hAnsi="仿宋_GB2312" w:eastAsia="仿宋_GB2312" w:cs="仿宋_GB2312"/>
          <w:b w:val="0"/>
          <w:bCs/>
          <w:color w:val="000000"/>
          <w:sz w:val="32"/>
          <w:szCs w:val="32"/>
        </w:rPr>
        <w:t>所需的公务用车燃料费、维修费、过路过桥费、保险费等支出。</w:t>
      </w:r>
    </w:p>
    <w:p>
      <w:pPr>
        <w:spacing w:line="600" w:lineRule="exact"/>
        <w:ind w:firstLine="64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3.公务接待费支出</w:t>
      </w:r>
      <w:r>
        <w:rPr>
          <w:rFonts w:hint="eastAsia" w:ascii="仿宋_GB2312" w:hAnsi="仿宋_GB2312" w:eastAsia="仿宋_GB2312" w:cs="仿宋_GB2312"/>
          <w:b w:val="0"/>
          <w:bCs/>
          <w:color w:val="000000"/>
          <w:sz w:val="32"/>
          <w:szCs w:val="32"/>
          <w:lang w:val="en-US" w:eastAsia="zh-CN"/>
        </w:rPr>
        <w:t>0.09</w:t>
      </w:r>
      <w:r>
        <w:rPr>
          <w:rFonts w:hint="eastAsia" w:ascii="仿宋_GB2312" w:hAnsi="仿宋_GB2312" w:eastAsia="仿宋_GB2312" w:cs="仿宋_GB2312"/>
          <w:b w:val="0"/>
          <w:bCs/>
          <w:color w:val="000000"/>
          <w:sz w:val="32"/>
          <w:szCs w:val="32"/>
        </w:rPr>
        <w:t>万元，</w:t>
      </w:r>
      <w:r>
        <w:rPr>
          <w:rStyle w:val="16"/>
          <w:rFonts w:hint="eastAsia" w:ascii="仿宋_GB2312" w:hAnsi="仿宋_GB2312" w:eastAsia="仿宋_GB2312" w:cs="仿宋_GB2312"/>
          <w:b w:val="0"/>
          <w:bCs/>
          <w:color w:val="000000"/>
          <w:sz w:val="32"/>
          <w:szCs w:val="32"/>
        </w:rPr>
        <w:t>完成预算</w:t>
      </w:r>
      <w:r>
        <w:rPr>
          <w:rStyle w:val="16"/>
          <w:rFonts w:hint="eastAsia" w:ascii="仿宋_GB2312" w:hAnsi="仿宋_GB2312" w:eastAsia="仿宋_GB2312" w:cs="仿宋_GB2312"/>
          <w:b w:val="0"/>
          <w:bCs/>
          <w:color w:val="000000"/>
          <w:sz w:val="32"/>
          <w:szCs w:val="32"/>
          <w:lang w:val="en-US" w:eastAsia="zh-CN"/>
        </w:rPr>
        <w:t>2.36</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公务接待费支出决算比20</w:t>
      </w:r>
      <w:r>
        <w:rPr>
          <w:rFonts w:hint="eastAsia" w:ascii="仿宋_GB2312" w:hAnsi="仿宋_GB2312" w:eastAsia="仿宋_GB2312" w:cs="仿宋_GB2312"/>
          <w:b w:val="0"/>
          <w:bCs/>
          <w:color w:val="000000"/>
          <w:sz w:val="32"/>
          <w:szCs w:val="32"/>
          <w:lang w:val="en-US" w:eastAsia="zh-CN"/>
        </w:rPr>
        <w:t>19</w:t>
      </w:r>
      <w:r>
        <w:rPr>
          <w:rFonts w:hint="eastAsia" w:ascii="仿宋_GB2312" w:hAnsi="仿宋_GB2312" w:eastAsia="仿宋_GB2312" w:cs="仿宋_GB2312"/>
          <w:b w:val="0"/>
          <w:bCs/>
          <w:color w:val="000000"/>
          <w:sz w:val="32"/>
          <w:szCs w:val="32"/>
        </w:rPr>
        <w:t>年</w:t>
      </w:r>
      <w:r>
        <w:rPr>
          <w:rFonts w:hint="eastAsia" w:ascii="仿宋_GB2312" w:hAnsi="仿宋_GB2312" w:eastAsia="仿宋_GB2312" w:cs="仿宋_GB2312"/>
          <w:b w:val="0"/>
          <w:bCs/>
          <w:color w:val="000000"/>
          <w:sz w:val="32"/>
          <w:szCs w:val="32"/>
          <w:lang w:eastAsia="zh-CN"/>
        </w:rPr>
        <w:t>减少</w:t>
      </w:r>
      <w:r>
        <w:rPr>
          <w:rFonts w:hint="eastAsia" w:ascii="仿宋_GB2312" w:hAnsi="仿宋_GB2312" w:eastAsia="仿宋_GB2312" w:cs="仿宋_GB2312"/>
          <w:b w:val="0"/>
          <w:bCs/>
          <w:color w:val="000000"/>
          <w:sz w:val="32"/>
          <w:szCs w:val="32"/>
          <w:lang w:val="en-US" w:eastAsia="zh-CN"/>
        </w:rPr>
        <w:t>0.29</w:t>
      </w:r>
      <w:r>
        <w:rPr>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b w:val="0"/>
          <w:bCs/>
          <w:color w:val="000000"/>
          <w:sz w:val="32"/>
          <w:szCs w:val="32"/>
          <w:lang w:eastAsia="zh-CN"/>
        </w:rPr>
        <w:t>下降</w:t>
      </w:r>
      <w:r>
        <w:rPr>
          <w:rFonts w:hint="eastAsia" w:ascii="仿宋_GB2312" w:hAnsi="仿宋_GB2312" w:eastAsia="仿宋_GB2312" w:cs="仿宋_GB2312"/>
          <w:b w:val="0"/>
          <w:bCs/>
          <w:color w:val="000000"/>
          <w:sz w:val="32"/>
          <w:szCs w:val="32"/>
          <w:lang w:val="en-US" w:eastAsia="zh-CN"/>
        </w:rPr>
        <w:t>76.32</w:t>
      </w:r>
      <w:r>
        <w:rPr>
          <w:rFonts w:hint="eastAsia" w:ascii="仿宋_GB2312" w:hAnsi="仿宋_GB2312" w:eastAsia="仿宋_GB2312" w:cs="仿宋_GB2312"/>
          <w:b w:val="0"/>
          <w:bCs/>
          <w:color w:val="000000"/>
          <w:sz w:val="32"/>
          <w:szCs w:val="32"/>
        </w:rPr>
        <w:t>%。主要原因是</w:t>
      </w:r>
      <w:r>
        <w:rPr>
          <w:rFonts w:hint="eastAsia" w:ascii="仿宋_GB2312" w:hAnsi="仿宋_GB2312" w:eastAsia="仿宋_GB2312" w:cs="仿宋_GB2312"/>
          <w:b w:val="0"/>
          <w:bCs/>
          <w:color w:val="000000"/>
          <w:sz w:val="32"/>
          <w:szCs w:val="32"/>
          <w:lang w:val="en-US" w:eastAsia="zh-CN"/>
        </w:rPr>
        <w:t>2020年的接待批次是1批次，接待马边彝族自治县三河口人民政府一行9人到我镇调研学习农业产业发展、乡村振兴等，开支餐费900元，</w:t>
      </w:r>
      <w:r>
        <w:rPr>
          <w:rFonts w:hint="eastAsia" w:ascii="仿宋_GB2312" w:hAnsi="仿宋_GB2312" w:eastAsia="仿宋_GB2312" w:cs="仿宋_GB2312"/>
          <w:b w:val="0"/>
          <w:bCs/>
          <w:color w:val="000000"/>
          <w:sz w:val="32"/>
          <w:szCs w:val="32"/>
        </w:rPr>
        <w:t>对方出具了接待函。</w:t>
      </w:r>
      <w:r>
        <w:rPr>
          <w:rFonts w:hint="eastAsia" w:ascii="仿宋_GB2312" w:hAnsi="仿宋_GB2312" w:eastAsia="仿宋_GB2312" w:cs="仿宋_GB2312"/>
          <w:b w:val="0"/>
          <w:bCs/>
          <w:color w:val="000000"/>
          <w:sz w:val="32"/>
          <w:szCs w:val="32"/>
          <w:lang w:eastAsia="zh-CN"/>
        </w:rPr>
        <w:t>我镇</w:t>
      </w:r>
      <w:r>
        <w:rPr>
          <w:rFonts w:hint="eastAsia" w:ascii="仿宋_GB2312" w:hAnsi="仿宋_GB2312" w:eastAsia="仿宋_GB2312" w:cs="仿宋_GB2312"/>
          <w:b w:val="0"/>
          <w:bCs/>
          <w:color w:val="000000"/>
          <w:sz w:val="32"/>
          <w:szCs w:val="32"/>
        </w:rPr>
        <w:t>在接待上严守中央、省、市“八项规定”和“四风”，厉行勤俭节约。符溪镇内部制度规定：上级部门来人，原则上在伙食团就餐，因工作超过就餐时间，需在外接待。公务接待费主要用于商务接待开支。</w:t>
      </w:r>
    </w:p>
    <w:p>
      <w:pPr>
        <w:spacing w:line="600" w:lineRule="exact"/>
        <w:ind w:firstLine="64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国内公务接待支出</w:t>
      </w:r>
      <w:r>
        <w:rPr>
          <w:rFonts w:hint="eastAsia" w:ascii="仿宋_GB2312" w:hAnsi="仿宋_GB2312" w:eastAsia="仿宋_GB2312" w:cs="仿宋_GB2312"/>
          <w:b w:val="0"/>
          <w:bCs/>
          <w:color w:val="000000"/>
          <w:sz w:val="32"/>
          <w:szCs w:val="32"/>
          <w:lang w:val="en-US" w:eastAsia="zh-CN"/>
        </w:rPr>
        <w:t>0.09</w:t>
      </w:r>
      <w:r>
        <w:rPr>
          <w:rFonts w:hint="eastAsia" w:ascii="仿宋_GB2312" w:hAnsi="仿宋_GB2312" w:eastAsia="仿宋_GB2312" w:cs="仿宋_GB2312"/>
          <w:b w:val="0"/>
          <w:bCs/>
          <w:color w:val="000000"/>
          <w:sz w:val="32"/>
          <w:szCs w:val="32"/>
        </w:rPr>
        <w:t>万元，主要用</w:t>
      </w:r>
      <w:r>
        <w:rPr>
          <w:rFonts w:hint="eastAsia" w:ascii="仿宋_GB2312" w:hAnsi="仿宋_GB2312" w:eastAsia="仿宋_GB2312" w:cs="仿宋_GB2312"/>
          <w:b w:val="0"/>
          <w:bCs/>
          <w:color w:val="000000"/>
          <w:sz w:val="32"/>
          <w:szCs w:val="32"/>
          <w:lang w:eastAsia="zh-CN"/>
        </w:rPr>
        <w:t>于我镇</w:t>
      </w:r>
      <w:r>
        <w:rPr>
          <w:rFonts w:hint="eastAsia" w:ascii="仿宋_GB2312" w:hAnsi="仿宋_GB2312" w:eastAsia="仿宋_GB2312" w:cs="仿宋_GB2312"/>
          <w:b w:val="0"/>
          <w:bCs/>
          <w:color w:val="000000"/>
          <w:sz w:val="32"/>
          <w:szCs w:val="32"/>
        </w:rPr>
        <w:t>开展业务活动开支</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用餐费。国内公务接待</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批次，</w:t>
      </w:r>
      <w:r>
        <w:rPr>
          <w:rFonts w:hint="eastAsia" w:ascii="仿宋_GB2312" w:hAnsi="仿宋_GB2312" w:eastAsia="仿宋_GB2312" w:cs="仿宋_GB2312"/>
          <w:b w:val="0"/>
          <w:bCs/>
          <w:color w:val="000000"/>
          <w:sz w:val="32"/>
          <w:szCs w:val="32"/>
          <w:lang w:val="en-US" w:eastAsia="zh-CN"/>
        </w:rPr>
        <w:t>9</w:t>
      </w:r>
      <w:r>
        <w:rPr>
          <w:rFonts w:hint="eastAsia" w:ascii="仿宋_GB2312" w:hAnsi="仿宋_GB2312" w:eastAsia="仿宋_GB2312" w:cs="仿宋_GB2312"/>
          <w:b w:val="0"/>
          <w:bCs/>
          <w:color w:val="000000"/>
          <w:sz w:val="32"/>
          <w:szCs w:val="32"/>
        </w:rPr>
        <w:t>人次（不包括陪同人员），共计支出</w:t>
      </w:r>
      <w:r>
        <w:rPr>
          <w:rFonts w:hint="eastAsia" w:ascii="仿宋_GB2312" w:hAnsi="仿宋_GB2312" w:eastAsia="仿宋_GB2312" w:cs="仿宋_GB2312"/>
          <w:b w:val="0"/>
          <w:bCs/>
          <w:color w:val="000000"/>
          <w:sz w:val="32"/>
          <w:szCs w:val="32"/>
          <w:lang w:val="en-US" w:eastAsia="zh-CN"/>
        </w:rPr>
        <w:t>0.09</w:t>
      </w:r>
      <w:r>
        <w:rPr>
          <w:rFonts w:hint="eastAsia" w:ascii="仿宋_GB2312" w:hAnsi="仿宋_GB2312" w:eastAsia="仿宋_GB2312" w:cs="仿宋_GB2312"/>
          <w:b w:val="0"/>
          <w:bCs/>
          <w:color w:val="000000"/>
          <w:sz w:val="32"/>
          <w:szCs w:val="32"/>
        </w:rPr>
        <w:t>万元，具体内容包括：</w:t>
      </w:r>
      <w:r>
        <w:rPr>
          <w:rFonts w:hint="eastAsia" w:ascii="仿宋_GB2312" w:hAnsi="仿宋_GB2312" w:eastAsia="仿宋_GB2312" w:cs="仿宋_GB2312"/>
          <w:b w:val="0"/>
          <w:bCs/>
          <w:color w:val="000000"/>
          <w:sz w:val="32"/>
          <w:szCs w:val="32"/>
          <w:lang w:val="en-US" w:eastAsia="zh-CN"/>
        </w:rPr>
        <w:t>接待马边彝族自治县三河口人民政府一行9人到我镇调研学习农业产业发展、乡村振兴等，开支餐费900元</w:t>
      </w:r>
      <w:r>
        <w:rPr>
          <w:rFonts w:hint="eastAsia" w:ascii="仿宋_GB2312" w:hAnsi="仿宋_GB2312" w:eastAsia="仿宋_GB2312" w:cs="仿宋_GB2312"/>
          <w:b w:val="0"/>
          <w:bCs/>
          <w:color w:val="000000"/>
          <w:sz w:val="32"/>
          <w:szCs w:val="32"/>
        </w:rPr>
        <w:t>。</w:t>
      </w:r>
    </w:p>
    <w:p>
      <w:pPr>
        <w:spacing w:line="600" w:lineRule="exact"/>
        <w:ind w:firstLine="640" w:firstLineChars="200"/>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sz w:val="32"/>
          <w:szCs w:val="32"/>
        </w:rPr>
        <w:t>外事接待支出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b w:val="0"/>
          <w:bCs/>
          <w:color w:val="000000" w:themeColor="text1"/>
          <w:sz w:val="32"/>
          <w:szCs w:val="32"/>
          <w14:textFill>
            <w14:solidFill>
              <w14:schemeClr w14:val="tx1"/>
            </w14:solidFill>
          </w14:textFill>
        </w:rPr>
        <w:t>，外事接待</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32"/>
          <w:szCs w:val="32"/>
          <w14:textFill>
            <w14:solidFill>
              <w14:schemeClr w14:val="tx1"/>
            </w14:solidFill>
          </w14:textFill>
        </w:rPr>
        <w:t>批次，</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32"/>
          <w:szCs w:val="32"/>
          <w14:textFill>
            <w14:solidFill>
              <w14:schemeClr w14:val="tx1"/>
            </w14:solidFill>
          </w14:textFill>
        </w:rPr>
        <w:t>人，共计支出</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val="0"/>
          <w:bCs/>
          <w:color w:val="000000" w:themeColor="text1"/>
          <w:sz w:val="32"/>
          <w:szCs w:val="32"/>
          <w14:textFill>
            <w14:solidFill>
              <w14:schemeClr w14:val="tx1"/>
            </w14:solidFill>
          </w14:textFill>
        </w:rPr>
        <w:t>万元</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spacing w:line="600" w:lineRule="exact"/>
        <w:ind w:firstLine="640"/>
        <w:outlineLvl w:val="1"/>
        <w:rPr>
          <w:rStyle w:val="29"/>
          <w:rFonts w:ascii="黑体" w:hAnsi="黑体" w:eastAsia="黑体"/>
        </w:rPr>
      </w:pPr>
      <w:bookmarkStart w:id="44" w:name="_Toc15396610"/>
      <w:bookmarkStart w:id="45" w:name="_Toc15377218"/>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4"/>
      <w:bookmarkEnd w:id="45"/>
    </w:p>
    <w:p>
      <w:pPr>
        <w:spacing w:line="600" w:lineRule="exact"/>
        <w:ind w:firstLine="640"/>
        <w:rPr>
          <w:rFonts w:hint="eastAsia" w:ascii="仿宋_GB2312" w:eastAsia="仿宋_GB2312"/>
          <w:color w:val="000000"/>
          <w:sz w:val="32"/>
          <w:szCs w:val="32"/>
          <w:lang w:eastAsia="zh-CN"/>
        </w:rPr>
      </w:pPr>
      <w:r>
        <w:rPr>
          <w:rFonts w:hint="eastAsia" w:ascii="仿宋_GB2312" w:hAnsi="宋体" w:eastAsia="仿宋_GB2312" w:cs="宋体"/>
          <w:kern w:val="0"/>
          <w:sz w:val="32"/>
          <w:szCs w:val="32"/>
        </w:rPr>
        <w:t>符溪镇人民政府20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年政府性基金预算财政拨款支出</w:t>
      </w:r>
      <w:r>
        <w:rPr>
          <w:rFonts w:hint="eastAsia" w:ascii="仿宋_GB2312" w:hAnsi="宋体" w:eastAsia="仿宋_GB2312" w:cs="宋体"/>
          <w:kern w:val="0"/>
          <w:sz w:val="32"/>
          <w:szCs w:val="32"/>
          <w:lang w:val="en-US" w:eastAsia="zh-CN"/>
        </w:rPr>
        <w:t>2088.06</w:t>
      </w:r>
      <w:r>
        <w:rPr>
          <w:rFonts w:hint="eastAsia" w:ascii="仿宋_GB2312" w:hAnsi="宋体" w:eastAsia="仿宋_GB2312" w:cs="宋体"/>
          <w:kern w:val="0"/>
          <w:sz w:val="32"/>
          <w:szCs w:val="32"/>
        </w:rPr>
        <w:t>万元。主要是</w:t>
      </w:r>
      <w:r>
        <w:rPr>
          <w:rFonts w:hint="eastAsia" w:ascii="仿宋_GB2312" w:hAnsi="仿宋" w:eastAsia="仿宋_GB2312"/>
          <w:sz w:val="32"/>
          <w:szCs w:val="32"/>
          <w:lang w:eastAsia="zh-CN"/>
        </w:rPr>
        <w:t>农业产业园建设、博睿特高中周边道路建设、城乡环境整治、基层政权建设、符溪村</w:t>
      </w:r>
      <w:r>
        <w:rPr>
          <w:rFonts w:hint="eastAsia" w:ascii="仿宋_GB2312" w:hAnsi="仿宋" w:eastAsia="仿宋_GB2312"/>
          <w:sz w:val="32"/>
          <w:szCs w:val="32"/>
          <w:lang w:val="en-US" w:eastAsia="zh-CN"/>
        </w:rPr>
        <w:t>5、6组污水改造建设</w:t>
      </w:r>
      <w:r>
        <w:rPr>
          <w:rFonts w:hint="eastAsia" w:ascii="仿宋_GB2312" w:hAnsi="仿宋" w:eastAsia="仿宋_GB2312"/>
          <w:sz w:val="32"/>
          <w:szCs w:val="32"/>
          <w:lang w:eastAsia="zh-CN"/>
        </w:rPr>
        <w:t>、峨眉河汪坪绿道建设、四清四拆、村办公费、峨眉山违建整治、村建制调整、天宫工业园区征地项目构筑物补偿、安置房物业管理费、省道103、</w:t>
      </w:r>
      <w:r>
        <w:rPr>
          <w:rFonts w:hint="eastAsia" w:ascii="仿宋_GB2312" w:hAnsi="仿宋" w:eastAsia="仿宋_GB2312"/>
          <w:sz w:val="32"/>
          <w:szCs w:val="32"/>
          <w:lang w:val="en-US" w:eastAsia="zh-CN"/>
        </w:rPr>
        <w:t>306</w:t>
      </w:r>
      <w:r>
        <w:rPr>
          <w:rFonts w:hint="eastAsia" w:ascii="仿宋_GB2312" w:hAnsi="仿宋" w:eastAsia="仿宋_GB2312"/>
          <w:sz w:val="32"/>
          <w:szCs w:val="32"/>
          <w:lang w:eastAsia="zh-CN"/>
        </w:rPr>
        <w:t>线与雷场村交平道口工程</w:t>
      </w:r>
      <w:r>
        <w:rPr>
          <w:rFonts w:hint="eastAsia" w:ascii="仿宋_GB2312" w:hAnsi="宋体" w:eastAsia="仿宋_GB2312" w:cs="宋体"/>
          <w:kern w:val="0"/>
          <w:sz w:val="32"/>
          <w:szCs w:val="32"/>
        </w:rPr>
        <w:t>等项目</w:t>
      </w:r>
      <w:r>
        <w:rPr>
          <w:rFonts w:hint="eastAsia" w:ascii="仿宋_GB2312" w:hAnsi="宋体" w:eastAsia="仿宋_GB2312" w:cs="宋体"/>
          <w:kern w:val="0"/>
          <w:sz w:val="32"/>
          <w:szCs w:val="32"/>
          <w:lang w:eastAsia="zh-CN"/>
        </w:rPr>
        <w:t>。</w:t>
      </w:r>
    </w:p>
    <w:p>
      <w:pPr>
        <w:numPr>
          <w:ilvl w:val="0"/>
          <w:numId w:val="2"/>
        </w:numPr>
        <w:spacing w:line="600" w:lineRule="exact"/>
        <w:ind w:firstLine="640"/>
        <w:outlineLvl w:val="1"/>
        <w:rPr>
          <w:rStyle w:val="29"/>
          <w:rFonts w:ascii="黑体" w:hAnsi="黑体" w:eastAsia="黑体"/>
          <w:b w:val="0"/>
        </w:rPr>
      </w:pPr>
      <w:bookmarkStart w:id="46" w:name="_Toc15377219"/>
      <w:bookmarkStart w:id="47" w:name="_Toc15396611"/>
      <w:r>
        <w:rPr>
          <w:rStyle w:val="29"/>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9"/>
          <w:rFonts w:ascii="黑体" w:hAnsi="黑体" w:eastAsia="黑体"/>
        </w:rPr>
      </w:pPr>
      <w:bookmarkStart w:id="48" w:name="_Toc15377221"/>
      <w:bookmarkStart w:id="49" w:name="_Toc15396612"/>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48"/>
      <w:bookmarkEnd w:id="49"/>
    </w:p>
    <w:p>
      <w:pPr>
        <w:spacing w:line="600" w:lineRule="exact"/>
        <w:ind w:firstLine="640" w:firstLineChars="200"/>
        <w:outlineLvl w:val="2"/>
        <w:rPr>
          <w:rFonts w:hint="eastAsia" w:ascii="楷体_GB2312" w:hAnsi="楷体_GB2312" w:eastAsia="楷体_GB2312" w:cs="楷体_GB2312"/>
          <w:b w:val="0"/>
          <w:bCs/>
          <w:color w:val="000000"/>
          <w:sz w:val="32"/>
          <w:szCs w:val="32"/>
        </w:rPr>
      </w:pPr>
      <w:bookmarkStart w:id="50" w:name="_Toc15377222"/>
      <w:r>
        <w:rPr>
          <w:rFonts w:hint="eastAsia" w:ascii="楷体_GB2312" w:hAnsi="楷体_GB2312" w:eastAsia="楷体_GB2312" w:cs="楷体_GB2312"/>
          <w:b w:val="0"/>
          <w:bCs/>
          <w:color w:val="000000"/>
          <w:sz w:val="32"/>
          <w:szCs w:val="32"/>
        </w:rPr>
        <w:t>（一）机关运行经费支出情况</w:t>
      </w:r>
      <w:bookmarkEnd w:id="50"/>
    </w:p>
    <w:p>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符溪镇</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szCs w:val="32"/>
          <w:lang w:val="en-US" w:eastAsia="zh-CN"/>
        </w:rPr>
        <w:t>120.07</w:t>
      </w:r>
      <w:r>
        <w:rPr>
          <w:rFonts w:hint="eastAsia" w:ascii="仿宋_GB2312" w:hAnsi="仿宋_GB2312" w:eastAsia="仿宋_GB2312" w:cs="仿宋_GB2312"/>
          <w:color w:val="000000"/>
          <w:sz w:val="32"/>
          <w:szCs w:val="32"/>
        </w:rPr>
        <w:t>万元，比201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32.89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lang w:val="en-US" w:eastAsia="zh-CN"/>
        </w:rPr>
        <w:t>37.73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2020年机关工作人员运行经费调整。</w:t>
      </w:r>
    </w:p>
    <w:p>
      <w:pPr>
        <w:spacing w:line="600" w:lineRule="exact"/>
        <w:ind w:firstLine="643" w:firstLineChars="200"/>
        <w:rPr>
          <w:rFonts w:hint="eastAsia"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（注：数据来源于财决附03表）</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bookmarkStart w:id="51" w:name="_Toc15377223"/>
      <w:r>
        <w:rPr>
          <w:rFonts w:hint="eastAsia" w:ascii="楷体_GB2312" w:hAnsi="楷体_GB2312" w:eastAsia="楷体_GB2312" w:cs="楷体_GB2312"/>
          <w:b w:val="0"/>
          <w:bCs/>
          <w:color w:val="000000"/>
          <w:sz w:val="32"/>
          <w:szCs w:val="32"/>
        </w:rPr>
        <w:t>（二）政府采购支出情况</w:t>
      </w:r>
      <w:bookmarkEnd w:id="51"/>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符溪镇</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szCs w:val="32"/>
          <w:lang w:val="en-US" w:eastAsia="zh-CN"/>
        </w:rPr>
        <w:t>88.91</w:t>
      </w:r>
      <w:r>
        <w:rPr>
          <w:rFonts w:hint="eastAsia" w:ascii="仿宋_GB2312" w:hAnsi="仿宋_GB2312" w:eastAsia="仿宋_GB2312" w:cs="仿宋_GB2312"/>
          <w:color w:val="000000"/>
          <w:sz w:val="32"/>
          <w:szCs w:val="32"/>
        </w:rPr>
        <w:t>万元，其中：政府采购货物支出</w:t>
      </w:r>
      <w:r>
        <w:rPr>
          <w:rFonts w:hint="eastAsia" w:ascii="仿宋_GB2312" w:hAnsi="仿宋_GB2312" w:eastAsia="仿宋_GB2312" w:cs="仿宋_GB2312"/>
          <w:color w:val="000000"/>
          <w:sz w:val="32"/>
          <w:szCs w:val="32"/>
          <w:lang w:val="en-US" w:eastAsia="zh-CN"/>
        </w:rPr>
        <w:t>11.89</w:t>
      </w:r>
      <w:r>
        <w:rPr>
          <w:rFonts w:hint="eastAsia" w:ascii="仿宋_GB2312" w:hAnsi="仿宋_GB2312" w:eastAsia="仿宋_GB2312" w:cs="仿宋_GB2312"/>
          <w:color w:val="000000"/>
          <w:sz w:val="32"/>
          <w:szCs w:val="32"/>
        </w:rPr>
        <w:t>万元、政府采购工程支出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万元、政府采购服务支出</w:t>
      </w:r>
      <w:r>
        <w:rPr>
          <w:rFonts w:hint="eastAsia" w:ascii="仿宋_GB2312" w:hAnsi="仿宋_GB2312" w:eastAsia="仿宋_GB2312" w:cs="仿宋_GB2312"/>
          <w:color w:val="000000"/>
          <w:sz w:val="32"/>
          <w:szCs w:val="32"/>
          <w:lang w:val="en-US" w:eastAsia="zh-CN"/>
        </w:rPr>
        <w:t>77.02</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峨眉河</w:t>
      </w:r>
      <w:r>
        <w:rPr>
          <w:rFonts w:hint="eastAsia" w:ascii="仿宋_GB2312" w:hAnsi="仿宋_GB2312" w:eastAsia="仿宋_GB2312" w:cs="仿宋_GB2312"/>
          <w:color w:val="000000"/>
          <w:sz w:val="32"/>
          <w:szCs w:val="32"/>
        </w:rPr>
        <w:t>汪坪绿道监理费</w:t>
      </w:r>
      <w:r>
        <w:rPr>
          <w:rFonts w:hint="eastAsia" w:ascii="仿宋_GB2312" w:hAnsi="仿宋_GB2312" w:eastAsia="仿宋_GB2312" w:cs="仿宋_GB2312"/>
          <w:color w:val="000000"/>
          <w:sz w:val="32"/>
          <w:szCs w:val="32"/>
          <w:lang w:eastAsia="zh-CN"/>
        </w:rPr>
        <w:t>、战斗村人居环境整治氛围打造广告设计、省道103线与雷场村交平道口项目、片区污水管网环评咨询费、符泉10组磨儿山和丰收7组帅湾滑坡排险监理费、茶地验收及观赏道路面积测绘费等</w:t>
      </w:r>
      <w:r>
        <w:rPr>
          <w:rFonts w:hint="eastAsia" w:ascii="仿宋_GB2312" w:hAnsi="仿宋_GB2312" w:eastAsia="仿宋_GB2312" w:cs="仿宋_GB2312"/>
          <w:color w:val="000000"/>
          <w:sz w:val="32"/>
          <w:szCs w:val="32"/>
        </w:rPr>
        <w:t>。授予中小企业合同金额</w:t>
      </w:r>
      <w:r>
        <w:rPr>
          <w:rFonts w:hint="eastAsia" w:ascii="仿宋_GB2312" w:hAnsi="仿宋_GB2312" w:eastAsia="仿宋_GB2312" w:cs="仿宋_GB2312"/>
          <w:color w:val="000000"/>
          <w:sz w:val="32"/>
          <w:szCs w:val="32"/>
          <w:lang w:val="en-US" w:eastAsia="zh-CN"/>
        </w:rPr>
        <w:t>88.91</w:t>
      </w:r>
      <w:r>
        <w:rPr>
          <w:rFonts w:hint="eastAsia" w:ascii="仿宋_GB2312" w:hAnsi="仿宋_GB2312" w:eastAsia="仿宋_GB2312" w:cs="仿宋_GB2312"/>
          <w:color w:val="000000"/>
          <w:sz w:val="32"/>
          <w:szCs w:val="32"/>
        </w:rPr>
        <w:t>万元，占政府采购支出总额的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szCs w:val="32"/>
          <w:lang w:val="en-US" w:eastAsia="zh-CN"/>
        </w:rPr>
        <w:t>71.39</w:t>
      </w:r>
      <w:r>
        <w:rPr>
          <w:rFonts w:hint="eastAsia" w:ascii="仿宋_GB2312" w:hAnsi="仿宋_GB2312" w:eastAsia="仿宋_GB2312" w:cs="仿宋_GB2312"/>
          <w:color w:val="000000"/>
          <w:sz w:val="32"/>
          <w:szCs w:val="32"/>
        </w:rPr>
        <w:t>万元，占政府采购支出总额的</w:t>
      </w:r>
      <w:r>
        <w:rPr>
          <w:rFonts w:hint="eastAsia" w:ascii="仿宋_GB2312" w:hAnsi="仿宋_GB2312" w:eastAsia="仿宋_GB2312" w:cs="仿宋_GB2312"/>
          <w:color w:val="000000"/>
          <w:sz w:val="32"/>
          <w:szCs w:val="32"/>
          <w:lang w:val="en-US" w:eastAsia="zh-CN"/>
        </w:rPr>
        <w:t>80.29</w:t>
      </w:r>
      <w:r>
        <w:rPr>
          <w:rFonts w:hint="eastAsia" w:ascii="仿宋_GB2312" w:hAnsi="仿宋_GB2312" w:eastAsia="仿宋_GB2312" w:cs="仿宋_GB2312"/>
          <w:color w:val="000000"/>
          <w:sz w:val="32"/>
          <w:szCs w:val="32"/>
        </w:rPr>
        <w:t>%。</w:t>
      </w:r>
    </w:p>
    <w:p>
      <w:pPr>
        <w:spacing w:line="600" w:lineRule="exact"/>
        <w:ind w:firstLine="643" w:firstLineChars="200"/>
        <w:rPr>
          <w:rFonts w:hint="eastAsia"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rPr>
        <w:t>（注：数据来源于财决附03表）</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bookmarkStart w:id="52" w:name="_Toc15377224"/>
      <w:r>
        <w:rPr>
          <w:rFonts w:hint="eastAsia" w:ascii="楷体_GB2312" w:hAnsi="楷体_GB2312" w:eastAsia="楷体_GB2312" w:cs="楷体_GB2312"/>
          <w:b w:val="0"/>
          <w:bCs/>
          <w:color w:val="000000"/>
          <w:sz w:val="32"/>
          <w:szCs w:val="32"/>
        </w:rPr>
        <w:t>（三）国有资产占有使用情况</w:t>
      </w:r>
      <w:bookmarkEnd w:id="52"/>
    </w:p>
    <w:p>
      <w:pPr>
        <w:autoSpaceDE w:val="0"/>
        <w:autoSpaceDN w:val="0"/>
        <w:adjustRightInd w:val="0"/>
        <w:spacing w:line="600" w:lineRule="exact"/>
        <w:ind w:firstLine="640" w:firstLineChars="200"/>
        <w:jc w:val="left"/>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截至20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年12月31日，</w:t>
      </w:r>
      <w:r>
        <w:rPr>
          <w:rFonts w:hint="eastAsia" w:ascii="仿宋_GB2312" w:hAnsi="仿宋_GB2312" w:eastAsia="仿宋_GB2312" w:cs="仿宋_GB2312"/>
          <w:color w:val="000000"/>
          <w:sz w:val="32"/>
          <w:szCs w:val="32"/>
          <w:lang w:eastAsia="zh-CN"/>
        </w:rPr>
        <w:t>符溪镇人民政府</w:t>
      </w:r>
      <w:r>
        <w:rPr>
          <w:rFonts w:hint="eastAsia" w:ascii="仿宋_GB2312" w:hAnsi="仿宋_GB2312" w:eastAsia="仿宋_GB2312" w:cs="仿宋_GB2312"/>
          <w:color w:val="000000"/>
          <w:sz w:val="32"/>
          <w:szCs w:val="32"/>
        </w:rPr>
        <w:t>共有车辆</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其中：主要领导干部用车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辆、其他用车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其他用车主要是用于</w:t>
      </w:r>
      <w:r>
        <w:rPr>
          <w:rFonts w:hint="eastAsia" w:ascii="仿宋_GB2312" w:hAnsi="仿宋_GB2312" w:eastAsia="仿宋_GB2312" w:cs="仿宋_GB2312"/>
          <w:color w:val="000000" w:themeColor="text1"/>
          <w:sz w:val="32"/>
          <w:szCs w:val="32"/>
          <w:lang w:eastAsia="zh-CN"/>
          <w14:textFill>
            <w14:solidFill>
              <w14:schemeClr w14:val="tx1"/>
            </w14:solidFill>
          </w14:textFill>
        </w:rPr>
        <w:t>符溪镇人民政府当年的行政运行及项目工作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单价50万元以上通用设备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台（套），单价100</w:t>
      </w:r>
      <w:r>
        <w:rPr>
          <w:rFonts w:hint="eastAsia" w:ascii="仿宋_GB2312" w:hAnsi="仿宋_GB2312" w:eastAsia="仿宋_GB2312" w:cs="仿宋_GB2312"/>
          <w:color w:val="000000"/>
          <w:sz w:val="32"/>
          <w:szCs w:val="32"/>
        </w:rPr>
        <w:t>万元以上专用设备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台（套）。</w:t>
      </w:r>
      <w:r>
        <w:rPr>
          <w:rFonts w:hint="eastAsia" w:ascii="仿宋_GB2312" w:hAnsi="仿宋_GB2312" w:eastAsia="仿宋_GB2312" w:cs="仿宋_GB2312"/>
          <w:b/>
          <w:color w:val="FF0000"/>
          <w:sz w:val="32"/>
          <w:szCs w:val="32"/>
        </w:rPr>
        <w:t>（注：数据来源财决附03表，按部门决算报表填报数据罗列车辆情况。）</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（四）预算绩效管理情况</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根据预算绩效管理要求，本单位在年初预算编制阶段，组织</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19个项目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文广经费、妇联工作经费、武装工作经费、社会治安综合治理经费、食品药品监管站工作经费、计生工作经费、人大工作经费、乡镇团委工作经费、村（社区）干部报酬、公共运维费（本级）、城乡环保、环境综合整治专项经费（沿河新增区域）、基层组织建设经费（含简易维修）、集镇公共设施运维费、安全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(含道路交通）、社区办公经费、互联网+精准扶贫代理记账、社区服务群众专项经费、矽肺病工作经费）</w:t>
      </w:r>
      <w:r>
        <w:rPr>
          <w:rFonts w:hint="eastAsia" w:ascii="仿宋_GB2312" w:hAnsi="仿宋_GB2312" w:eastAsia="仿宋_GB2312" w:cs="仿宋_GB2312"/>
          <w:color w:val="000000" w:themeColor="text1"/>
          <w:sz w:val="32"/>
          <w:szCs w:val="32"/>
          <w14:textFill>
            <w14:solidFill>
              <w14:schemeClr w14:val="tx1"/>
            </w14:solidFill>
          </w14:textFill>
        </w:rPr>
        <w:t>开展</w:t>
      </w:r>
      <w:r>
        <w:rPr>
          <w:rFonts w:hint="eastAsia" w:ascii="仿宋_GB2312" w:hAnsi="仿宋_GB2312" w:eastAsia="仿宋_GB2312" w:cs="仿宋_GB2312"/>
          <w:sz w:val="32"/>
          <w:szCs w:val="32"/>
        </w:rPr>
        <w:t>了预算事前绩效评估，对</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，年终执行完毕后，对</w:t>
      </w:r>
      <w:r>
        <w:rPr>
          <w:rFonts w:hint="eastAsia" w:ascii="仿宋_GB2312" w:hAnsi="仿宋_GB2312" w:eastAsia="仿宋_GB2312" w:cs="仿宋_GB2312"/>
          <w:sz w:val="32"/>
          <w:szCs w:val="32"/>
          <w:lang w:val="en-US" w:eastAsia="zh-CN"/>
        </w:rPr>
        <w:t>5个项目开展了绩效目标完成情况自评。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我镇在年初预算绩效目标的前提下，会计核算、现金管理、转账支付等均按规章制度执行，做到专款专用，资金支付依据齐全、开支标准合理合法、专项资金专项管理、专项使用，年初的绩效目标也基本完成</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个项目支出绩效评价，从评价情况来看项目支出资金拨付到位、资金分配合理，</w:t>
      </w:r>
      <w:r>
        <w:rPr>
          <w:rFonts w:hint="eastAsia" w:ascii="仿宋_GB2312" w:hAnsi="仿宋_GB2312" w:eastAsia="仿宋_GB2312" w:cs="仿宋_GB2312"/>
          <w:sz w:val="32"/>
          <w:szCs w:val="32"/>
          <w:lang w:eastAsia="zh-CN"/>
        </w:rPr>
        <w:t>项目资金的效能达到了预期效果。</w:t>
      </w:r>
      <w:r>
        <w:rPr>
          <w:rFonts w:hint="eastAsia" w:ascii="仿宋_GB2312" w:hAnsi="仿宋_GB2312" w:eastAsia="仿宋_GB2312" w:cs="仿宋_GB2312"/>
          <w:sz w:val="32"/>
          <w:szCs w:val="32"/>
        </w:rPr>
        <w:t>但还存在绩效监控制度不够完善、项目绩效评</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流程不够完善等问题。</w:t>
      </w:r>
    </w:p>
    <w:p>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“社会治安综合治理经费”、“</w:t>
      </w:r>
      <w:r>
        <w:rPr>
          <w:rFonts w:hint="eastAsia" w:ascii="仿宋_GB2312" w:hAnsi="仿宋_GB2312" w:eastAsia="仿宋_GB2312" w:cs="仿宋_GB2312"/>
          <w:color w:val="000000" w:themeColor="text1"/>
          <w:sz w:val="32"/>
          <w:szCs w:val="32"/>
          <w:lang w:eastAsia="zh-CN"/>
          <w14:textFill>
            <w14:solidFill>
              <w14:schemeClr w14:val="tx1"/>
            </w14:solidFill>
          </w14:textFill>
        </w:rPr>
        <w:t>城乡环保、环境综合治理专项经费（沿河新增区域）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食品药品监管站工作经费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、“武装经费”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安全监管（含道路交通）经费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社会治安综合治理经费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受理民事纠纷、扫黑除恶专项斗争、法治宣传教育工作 </w:t>
      </w:r>
      <w:r>
        <w:rPr>
          <w:rFonts w:hint="eastAsia" w:ascii="仿宋_GB2312" w:hAnsi="仿宋_GB2312" w:eastAsia="仿宋_GB2312" w:cs="仿宋_GB2312"/>
          <w:sz w:val="32"/>
          <w:szCs w:val="32"/>
          <w:lang w:val="en-US" w:eastAsia="zh-CN"/>
        </w:rPr>
        <w:t>、信访与维稳工作、社区矫正、“防邪”、社戒社康、铁路护路和“三电”设施保护、“雪亮工程”、网格化服务管理工作等</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社会的安定，提升了人民群众的获得感、幸福感、安全感。</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color w:val="000000"/>
          <w:kern w:val="0"/>
          <w:sz w:val="32"/>
          <w:szCs w:val="32"/>
          <w:shd w:val="clear" w:color="auto" w:fill="FFFFFF"/>
        </w:rPr>
        <w:t>1、法</w:t>
      </w:r>
      <w:r>
        <w:rPr>
          <w:rFonts w:hint="eastAsia" w:ascii="仿宋_GB2312" w:hAnsi="仿宋_GB2312" w:eastAsia="仿宋_GB2312" w:cs="仿宋_GB2312"/>
          <w:color w:val="000000"/>
          <w:kern w:val="0"/>
          <w:sz w:val="32"/>
          <w:szCs w:val="32"/>
          <w:shd w:val="clear" w:color="auto" w:fill="FFFFFF"/>
          <w:lang w:eastAsia="zh-CN"/>
        </w:rPr>
        <w:t>治</w:t>
      </w:r>
      <w:r>
        <w:rPr>
          <w:rFonts w:hint="eastAsia" w:ascii="仿宋_GB2312" w:hAnsi="仿宋_GB2312" w:eastAsia="仿宋_GB2312" w:cs="仿宋_GB2312"/>
          <w:color w:val="000000"/>
          <w:kern w:val="0"/>
          <w:sz w:val="32"/>
          <w:szCs w:val="32"/>
          <w:shd w:val="clear" w:color="auto" w:fill="FFFFFF"/>
        </w:rPr>
        <w:t>宣传深度广度还不够，一些群众的法律意识不强，矛盾纠纷时有发生。2、盗窃案件仍然发生，防范措施不到位，对群众的防范意识、教育抓得不够。</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查漏补缺，制定措施维护社会稳定。</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城乡环保、</w:t>
      </w:r>
      <w:r>
        <w:rPr>
          <w:rFonts w:hint="eastAsia" w:ascii="仿宋_GB2312" w:hAnsi="仿宋_GB2312" w:eastAsia="仿宋_GB2312" w:cs="仿宋_GB2312"/>
          <w:color w:val="000000" w:themeColor="text1"/>
          <w:sz w:val="32"/>
          <w:szCs w:val="32"/>
          <w:lang w:eastAsia="zh-CN"/>
          <w14:textFill>
            <w14:solidFill>
              <w14:schemeClr w14:val="tx1"/>
            </w14:solidFill>
          </w14:textFill>
        </w:rPr>
        <w:t>环境综合治理专项经费（沿河新增区域）</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66.90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78.70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lang w:val="zh-CN"/>
        </w:rPr>
        <w:t>用于集镇新增区域的环境常态化清扫保洁、三个公厕保洁、集镇秩序维护、新增区域绿化改造等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少数老百姓的环卫意识不强，厨余垃圾随处倒、白色垃圾随手扔</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加强环保宣传，规范群众文明行为，养成良好卫生习惯</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食品药品监管站工作经费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微信群、村务公开栏、农村小广播等方式，普及食品安全法律法规意识；</w:t>
      </w:r>
      <w:r>
        <w:rPr>
          <w:rFonts w:hint="eastAsia" w:ascii="仿宋_GB2312" w:hAnsi="仿宋_GB2312" w:eastAsia="仿宋_GB2312" w:cs="仿宋_GB2312"/>
          <w:sz w:val="32"/>
          <w:szCs w:val="32"/>
        </w:rPr>
        <w:t>对嘉峨茶谷、中小学、幼儿园食堂、小型餐馆、母婴用品店等开展食品安全检查6次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群体性聚餐实行严格审批的程序，最大限度预防食品安全事故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群众聚餐共计</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场次，</w:t>
      </w:r>
      <w:r>
        <w:rPr>
          <w:rFonts w:hint="eastAsia" w:ascii="仿宋_GB2312" w:hAnsi="仿宋_GB2312" w:eastAsia="仿宋_GB2312" w:cs="仿宋_GB2312"/>
          <w:sz w:val="32"/>
          <w:szCs w:val="32"/>
          <w:lang w:val="en-US" w:eastAsia="zh-CN"/>
        </w:rPr>
        <w:t>2399</w:t>
      </w:r>
      <w:r>
        <w:rPr>
          <w:rFonts w:hint="eastAsia" w:ascii="仿宋_GB2312" w:hAnsi="仿宋_GB2312" w:eastAsia="仿宋_GB2312" w:cs="仿宋_GB2312"/>
          <w:sz w:val="32"/>
          <w:szCs w:val="32"/>
        </w:rPr>
        <w:t>桌，没有发生食品安全事故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进一步加强对农贸市场规范的管理，疫情期间加大对活禽宰杀、市场消毒等工作监管力度</w:t>
      </w:r>
      <w:r>
        <w:rPr>
          <w:rFonts w:hint="eastAsia" w:ascii="仿宋_GB2312" w:hAnsi="仿宋_GB2312" w:eastAsia="仿宋_GB2312" w:cs="仿宋_GB2312"/>
          <w:sz w:val="32"/>
          <w:szCs w:val="32"/>
          <w:lang w:eastAsia="zh-CN"/>
        </w:rPr>
        <w:t>；加强餐饮服务单位食品安全暨后厨卫生大排查力度。以</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广大群众生命安全，提高消费者安全意识和自我保护能力。</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小作坊监控力度难，流动摊贩流动性强，管理难度较大</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加强巡查，鼓励实施流动摊贩备案登记，加强对小作坊的监管。特别是加大力量组织实施对校园周边环境</w:t>
      </w:r>
      <w:r>
        <w:rPr>
          <w:rFonts w:hint="eastAsia" w:ascii="仿宋_GB2312" w:hAnsi="仿宋_GB2312" w:eastAsia="仿宋_GB2312" w:cs="仿宋_GB2312"/>
          <w:sz w:val="32"/>
          <w:szCs w:val="32"/>
          <w:lang w:val="en-US" w:eastAsia="zh-CN"/>
        </w:rPr>
        <w:t>的整治，保护好祖国的下一代免受垃圾食品的侵害。</w:t>
      </w:r>
    </w:p>
    <w:p>
      <w:pPr>
        <w:pStyle w:val="2"/>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武装工作经费项目绩效目标完成情况综述。项目全年预算数3.00万元，执行数为3.00万元，完成预算的100%。全年共开展政治教育14次，累计25.5课时，利用征兵期间到学校开展国防教育累次5次，以提高民兵预备役人员素质；投入3万余元规范了“三图”“二案”和储备库室的建设工作，应急物资器材装备按要求配套齐全，做到存放有序并做好出入库登记；民兵点验到点率达100%；按照年度军事训练任务，组织专武干部进行培训1次，按计划分2批次参加了民兵军事训练，参训率达100%；</w:t>
      </w:r>
      <w:r>
        <w:rPr>
          <w:rFonts w:hint="eastAsia" w:ascii="仿宋_GB2312" w:hAnsi="仿宋_GB2312" w:eastAsia="仿宋_GB2312" w:cs="仿宋_GB2312"/>
          <w:b w:val="0"/>
          <w:bCs w:val="0"/>
          <w:sz w:val="32"/>
          <w:szCs w:val="32"/>
        </w:rPr>
        <w:t>兵役登记统计。全年按照适龄青年18周岁的青年76人全部进行兵役登记，严把文化关、年龄关和病史调查关，政考合格率达100%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根据市征兵办下达的任务数，严格按照送检要求，足额送检，完成任务率达100%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按照上级命令，组织民兵在疫情期间在各村主要村道进行体温检测、入户宣传疫情知识等，组织民兵25人对夹江县“8.18”受灾进行救援；按上级要求共抽调干部与民兵预备役人员300余人分6次参与景区违建整治工作，随时抽调人员参与集中攻坚，落实人员负责蹲点驻守，其中一次共计50人的干部与民兵预备役人员中蹲点驻守13天，强化民兵作用发挥。发现的主要问题：年轻人吃苦能力和承压能力不强。下一步改进措施：加强思想教育、军事训练、锻炼吃苦耐劳精神。</w:t>
      </w:r>
    </w:p>
    <w:p>
      <w:pPr>
        <w:pStyle w:val="2"/>
        <w:ind w:firstLine="642"/>
        <w:jc w:val="both"/>
        <w:rPr>
          <w:rFonts w:hint="default" w:eastAsia="仿宋_GB2312"/>
          <w:lang w:val="en-US" w:eastAsia="zh-CN"/>
        </w:rPr>
      </w:pPr>
      <w:r>
        <w:rPr>
          <w:rFonts w:hint="eastAsia" w:ascii="仿宋_GB2312" w:hAnsi="仿宋_GB2312" w:eastAsia="仿宋_GB2312" w:cs="仿宋_GB2312"/>
          <w:b w:val="0"/>
          <w:bCs w:val="0"/>
          <w:sz w:val="32"/>
          <w:szCs w:val="32"/>
          <w:lang w:val="en-US" w:eastAsia="zh-CN"/>
        </w:rPr>
        <w:t>（5）安全监管（含道路交通）项目绩效目标完成情况综述。项目全年预算数20万元，执行数为20万元，完成预算的100%。通过定期现场检查企业落实疫情防控、安全管控责任情况，做到疫情防控、复工复产、安全生产“三手抓、三不误”。截至目前，全镇15家规模以上工业企业以及辖区内规下企业均复工复产；将安全生产清单制管理工作主动抓、重点抓，制定《符溪镇安全生产清单制管理工作方案》，全镇金威利、龙马木业、伊心动漫、正宇塑业等规上企业已基本完成制定工作，并持续修订完善；全面开展安全生产专项整治三年行动、排险除患专项行动，制定并印发《符溪镇安全生产专项整治三年行动计划》，检查32家企事业单位（</w:t>
      </w:r>
      <w:r>
        <w:rPr>
          <w:rFonts w:hint="eastAsia" w:ascii="仿宋_GB2312" w:hAnsi="仿宋_GB2312" w:eastAsia="仿宋_GB2312" w:cs="仿宋_GB2312"/>
          <w:b w:val="0"/>
          <w:bCs w:val="0"/>
          <w:i w:val="0"/>
          <w:caps w:val="0"/>
          <w:color w:val="333333"/>
          <w:spacing w:val="0"/>
          <w:sz w:val="32"/>
          <w:szCs w:val="32"/>
          <w:shd w:val="clear" w:fill="FFFFFF"/>
          <w:lang w:val="en-US" w:eastAsia="zh-CN"/>
        </w:rPr>
        <w:t>突出抓好消防、危险化学品、道路交通、建筑施工、工贸企业等风险领域）</w:t>
      </w:r>
      <w:r>
        <w:rPr>
          <w:rFonts w:hint="eastAsia" w:ascii="仿宋_GB2312" w:hAnsi="仿宋_GB2312" w:eastAsia="仿宋_GB2312" w:cs="仿宋_GB2312"/>
          <w:b w:val="0"/>
          <w:bCs w:val="0"/>
          <w:sz w:val="32"/>
          <w:szCs w:val="32"/>
          <w:lang w:val="en-US" w:eastAsia="zh-CN"/>
        </w:rPr>
        <w:t xml:space="preserve">，排查各类隐84条，整改率100%；在丰收村模拟现场开展了防汛地灾综合应急演练。开展应急宣教培训1次，镇、村（社区）上成立10支应急队伍，应急物资储备齐全；组织派出所、供电所、燃气公司、径山社区等相关单位以集镇消防安全为重点，对集镇老旧房屋区域消开展了消防安全大检查，并对排查的安全隐患进行了整改，增配20个灭火器，确保辖区消防安全。发现的主要问题：企业主体安全意识不强，镇安监办检查一次，整改一次，主动性不强。下一步改进措施：加强教育引导，提升监管力度。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tbl>
      <w:tblPr>
        <w:tblStyle w:val="19"/>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390"/>
        <w:gridCol w:w="931"/>
        <w:gridCol w:w="436"/>
        <w:gridCol w:w="1025"/>
        <w:gridCol w:w="2392"/>
        <w:gridCol w:w="2102"/>
        <w:gridCol w:w="292"/>
        <w:gridCol w:w="2392"/>
      </w:tblGrid>
      <w:tr>
        <w:tblPrEx>
          <w:tblLayout w:type="fixed"/>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val="0"/>
                <w:bCs w:val="0"/>
                <w:color w:val="000000"/>
                <w:kern w:val="0"/>
                <w:sz w:val="36"/>
                <w:szCs w:val="36"/>
                <w:lang w:eastAsia="zh-CN" w:bidi="ar"/>
              </w:rPr>
              <w:t>（一）</w:t>
            </w:r>
            <w:r>
              <w:rPr>
                <w:rFonts w:hint="eastAsia" w:ascii="方正小标宋_GBK" w:hAnsi="方正小标宋_GBK" w:eastAsia="方正小标宋_GBK" w:cs="方正小标宋_GBK"/>
                <w:b w:val="0"/>
                <w:bCs w:val="0"/>
                <w:color w:val="000000"/>
                <w:kern w:val="0"/>
                <w:sz w:val="36"/>
                <w:szCs w:val="36"/>
                <w:lang w:bidi="ar"/>
              </w:rPr>
              <w:br w:type="textWrapping"/>
            </w:r>
            <w:r>
              <w:rPr>
                <w:rFonts w:hint="eastAsia" w:ascii="楷体_GB2312" w:hAnsi="楷体_GB2312" w:eastAsia="楷体_GB2312" w:cs="楷体_GB2312"/>
                <w:color w:val="000000"/>
                <w:kern w:val="0"/>
                <w:sz w:val="32"/>
                <w:szCs w:val="32"/>
              </w:rPr>
              <w:t>(20</w:t>
            </w:r>
            <w:r>
              <w:rPr>
                <w:rFonts w:hint="eastAsia" w:ascii="楷体_GB2312" w:hAnsi="楷体_GB2312" w:eastAsia="楷体_GB2312" w:cs="楷体_GB2312"/>
                <w:color w:val="000000"/>
                <w:kern w:val="0"/>
                <w:sz w:val="32"/>
                <w:szCs w:val="32"/>
                <w:lang w:val="en-US" w:eastAsia="zh-CN"/>
              </w:rPr>
              <w:t>20</w:t>
            </w:r>
            <w:r>
              <w:rPr>
                <w:rFonts w:hint="eastAsia" w:ascii="楷体_GB2312" w:hAnsi="楷体_GB2312" w:eastAsia="楷体_GB2312" w:cs="楷体_GB2312"/>
                <w:color w:val="000000"/>
                <w:kern w:val="0"/>
                <w:sz w:val="32"/>
                <w:szCs w:val="32"/>
              </w:rPr>
              <w:t>年度)</w:t>
            </w:r>
          </w:p>
        </w:tc>
      </w:tr>
      <w:tr>
        <w:tblPrEx>
          <w:tblLayout w:type="fixed"/>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eastAsia="zh-CN"/>
              </w:rPr>
              <w:t>社会治安综合治理经费</w:t>
            </w:r>
          </w:p>
        </w:tc>
      </w:tr>
      <w:tr>
        <w:tblPrEx>
          <w:tblLayout w:type="fixed"/>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峨眉山市符溪镇人民政府</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4.00万元</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执行数:</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4.00万元</w:t>
            </w:r>
          </w:p>
        </w:tc>
      </w:tr>
      <w:tr>
        <w:tblPrEx>
          <w:tblLayout w:type="fixed"/>
          <w:tblCellMar>
            <w:top w:w="0" w:type="dxa"/>
            <w:left w:w="0" w:type="dxa"/>
            <w:bottom w:w="0" w:type="dxa"/>
            <w:right w:w="0" w:type="dxa"/>
          </w:tblCellMar>
        </w:tblPrEx>
        <w:trPr>
          <w:trHeight w:val="101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4.00万元</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其中-财政拨款:</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4.00万元</w:t>
            </w:r>
          </w:p>
        </w:tc>
      </w:tr>
      <w:tr>
        <w:tblPrEx>
          <w:tblLayout w:type="fixed"/>
          <w:tblCellMar>
            <w:top w:w="0" w:type="dxa"/>
            <w:left w:w="0" w:type="dxa"/>
            <w:bottom w:w="0" w:type="dxa"/>
            <w:right w:w="0" w:type="dxa"/>
          </w:tblCellMar>
        </w:tblPrEx>
        <w:trPr>
          <w:trHeight w:val="261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其它资金:</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Layout w:type="fixed"/>
          <w:tblCellMar>
            <w:top w:w="0" w:type="dxa"/>
            <w:left w:w="0" w:type="dxa"/>
            <w:bottom w:w="0" w:type="dxa"/>
            <w:right w:w="0" w:type="dxa"/>
          </w:tblCellMar>
        </w:tblPrEx>
        <w:trPr>
          <w:trHeight w:val="17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保障</w:t>
            </w:r>
            <w:r>
              <w:rPr>
                <w:rFonts w:hint="eastAsia" w:ascii="仿宋_GB2312" w:hAnsi="仿宋_GB2312" w:eastAsia="仿宋_GB2312" w:cs="仿宋_GB2312"/>
                <w:sz w:val="24"/>
                <w:szCs w:val="24"/>
                <w:lang w:eastAsia="zh-CN"/>
              </w:rPr>
              <w:t>社会的安定，提升了人民群众的获得感、幸福感、安全感</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保障</w:t>
            </w:r>
            <w:r>
              <w:rPr>
                <w:rFonts w:hint="eastAsia" w:ascii="仿宋_GB2312" w:hAnsi="仿宋_GB2312" w:eastAsia="仿宋_GB2312" w:cs="仿宋_GB2312"/>
                <w:sz w:val="24"/>
                <w:szCs w:val="24"/>
                <w:lang w:eastAsia="zh-CN"/>
              </w:rPr>
              <w:t>社会的安定，提升了人民群众的获得感、幸福感、安全感</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绩效指标完成情况</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预期指标值(包含数字及文字描述)</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实际完成指标值(包含数字及文字描述)</w:t>
            </w:r>
          </w:p>
        </w:tc>
      </w:tr>
      <w:tr>
        <w:tblPrEx>
          <w:tblLayout w:type="fixed"/>
          <w:tblCellMar>
            <w:top w:w="0" w:type="dxa"/>
            <w:left w:w="0" w:type="dxa"/>
            <w:bottom w:w="0" w:type="dxa"/>
            <w:right w:w="0" w:type="dxa"/>
          </w:tblCellMar>
        </w:tblPrEx>
        <w:trPr>
          <w:trHeight w:val="328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社会治安依法治理，创建平安镇</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加强法制宣传、矛盾调解保</w:t>
            </w:r>
            <w:r>
              <w:rPr>
                <w:rFonts w:hint="eastAsia" w:ascii="仿宋_GB2312" w:hAnsi="仿宋_GB2312" w:eastAsia="仿宋_GB2312" w:cs="仿宋_GB2312"/>
                <w:color w:val="000000"/>
                <w:sz w:val="24"/>
                <w:szCs w:val="24"/>
              </w:rPr>
              <w:t>障</w:t>
            </w:r>
            <w:r>
              <w:rPr>
                <w:rFonts w:hint="eastAsia" w:ascii="仿宋_GB2312" w:hAnsi="仿宋_GB2312" w:eastAsia="仿宋_GB2312" w:cs="仿宋_GB2312"/>
                <w:color w:val="000000"/>
                <w:sz w:val="24"/>
                <w:szCs w:val="24"/>
                <w:lang w:eastAsia="zh-CN"/>
              </w:rPr>
              <w:t>社会的安定、和谐，提升了人民群众的获得感、幸福感、安全感</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通过</w:t>
            </w:r>
            <w:r>
              <w:rPr>
                <w:rFonts w:hint="eastAsia" w:ascii="仿宋_GB2312" w:hAnsi="仿宋_GB2312" w:eastAsia="仿宋_GB2312" w:cs="仿宋_GB2312"/>
                <w:color w:val="000000"/>
                <w:sz w:val="24"/>
                <w:szCs w:val="24"/>
                <w:lang w:eastAsia="zh-CN"/>
              </w:rPr>
              <w:t>受理民事纠纷全镇共受理各类民事纠纷</w:t>
            </w:r>
            <w:r>
              <w:rPr>
                <w:rFonts w:hint="eastAsia" w:ascii="仿宋_GB2312" w:hAnsi="仿宋_GB2312" w:eastAsia="仿宋_GB2312" w:cs="仿宋_GB2312"/>
                <w:color w:val="000000"/>
                <w:sz w:val="24"/>
                <w:szCs w:val="24"/>
                <w:lang w:val="en-US" w:eastAsia="zh-CN"/>
              </w:rPr>
              <w:t>160余起（达成书面协议的21起，口头协议140余起），</w:t>
            </w:r>
            <w:r>
              <w:rPr>
                <w:rFonts w:hint="eastAsia" w:ascii="仿宋_GB2312" w:hAnsi="仿宋_GB2312" w:eastAsia="仿宋_GB2312" w:cs="仿宋_GB2312"/>
                <w:color w:val="000000"/>
                <w:sz w:val="24"/>
                <w:szCs w:val="24"/>
                <w:lang w:eastAsia="zh-CN"/>
              </w:rPr>
              <w:t>调解</w:t>
            </w:r>
            <w:r>
              <w:rPr>
                <w:rFonts w:hint="eastAsia" w:ascii="仿宋_GB2312" w:hAnsi="仿宋_GB2312" w:eastAsia="仿宋_GB2312" w:cs="仿宋_GB2312"/>
                <w:color w:val="000000"/>
                <w:sz w:val="24"/>
                <w:szCs w:val="24"/>
                <w:lang w:val="en-US" w:eastAsia="zh-CN"/>
              </w:rPr>
              <w:t>成功率100%；</w:t>
            </w:r>
            <w:r>
              <w:rPr>
                <w:rFonts w:hint="eastAsia" w:ascii="仿宋_GB2312" w:hAnsi="仿宋_GB2312" w:eastAsia="仿宋_GB2312" w:cs="仿宋_GB2312"/>
                <w:color w:val="000000"/>
                <w:sz w:val="24"/>
                <w:szCs w:val="24"/>
                <w:lang w:eastAsia="zh-CN"/>
              </w:rPr>
              <w:t>扫黑除恶专项斗争，</w:t>
            </w:r>
            <w:r>
              <w:rPr>
                <w:rFonts w:hint="eastAsia" w:ascii="仿宋_GB2312" w:hAnsi="仿宋_GB2312" w:eastAsia="仿宋_GB2312" w:cs="仿宋_GB2312"/>
                <w:color w:val="000000"/>
                <w:sz w:val="24"/>
                <w:szCs w:val="24"/>
                <w:lang w:val="en-US" w:eastAsia="zh-CN"/>
              </w:rPr>
              <w:t>全年共排查不稳定因素12条；</w:t>
            </w:r>
          </w:p>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法治宣传教育工作，“</w:t>
            </w:r>
            <w:r>
              <w:rPr>
                <w:rFonts w:hint="eastAsia" w:ascii="仿宋_GB2312" w:hAnsi="仿宋_GB2312" w:eastAsia="仿宋_GB2312" w:cs="仿宋_GB2312"/>
                <w:color w:val="000000"/>
                <w:sz w:val="24"/>
                <w:szCs w:val="24"/>
                <w:lang w:val="en-US" w:eastAsia="zh-CN"/>
              </w:rPr>
              <w:t>12.4”宪法宣传日</w:t>
            </w:r>
            <w:r>
              <w:rPr>
                <w:rFonts w:hint="eastAsia" w:ascii="仿宋_GB2312" w:hAnsi="仿宋_GB2312" w:eastAsia="仿宋_GB2312" w:cs="仿宋_GB2312"/>
                <w:color w:val="000000"/>
                <w:sz w:val="24"/>
                <w:szCs w:val="24"/>
                <w:lang w:eastAsia="zh-CN"/>
              </w:rPr>
              <w:t>等法治宣传</w:t>
            </w:r>
            <w:r>
              <w:rPr>
                <w:rFonts w:hint="eastAsia" w:ascii="仿宋_GB2312" w:hAnsi="仿宋_GB2312" w:eastAsia="仿宋_GB2312" w:cs="仿宋_GB2312"/>
                <w:color w:val="000000"/>
                <w:sz w:val="24"/>
                <w:szCs w:val="24"/>
                <w:lang w:val="en-US" w:eastAsia="zh-CN"/>
              </w:rPr>
              <w:t>7次</w:t>
            </w:r>
            <w:r>
              <w:rPr>
                <w:rFonts w:hint="eastAsia" w:ascii="仿宋_GB2312" w:hAnsi="仿宋_GB2312" w:eastAsia="仿宋_GB2312" w:cs="仿宋_GB2312"/>
                <w:color w:val="000000"/>
                <w:sz w:val="24"/>
                <w:szCs w:val="24"/>
                <w:lang w:eastAsia="zh-CN"/>
              </w:rPr>
              <w:t>，现场解答群众提问</w:t>
            </w:r>
            <w:r>
              <w:rPr>
                <w:rFonts w:hint="eastAsia" w:ascii="仿宋_GB2312" w:hAnsi="仿宋_GB2312" w:eastAsia="仿宋_GB2312" w:cs="仿宋_GB2312"/>
                <w:color w:val="000000"/>
                <w:sz w:val="24"/>
                <w:szCs w:val="24"/>
                <w:lang w:val="en-US" w:eastAsia="zh-CN"/>
              </w:rPr>
              <w:t>580人次</w:t>
            </w:r>
            <w:r>
              <w:rPr>
                <w:rFonts w:hint="eastAsia" w:ascii="仿宋_GB2312" w:hAnsi="仿宋_GB2312" w:eastAsia="仿宋_GB2312" w:cs="仿宋_GB2312"/>
                <w:color w:val="000000"/>
                <w:sz w:val="24"/>
                <w:szCs w:val="24"/>
                <w:lang w:eastAsia="zh-CN"/>
              </w:rPr>
              <w:t>，发放宣传</w:t>
            </w:r>
            <w:r>
              <w:rPr>
                <w:rFonts w:hint="eastAsia" w:ascii="仿宋_GB2312" w:hAnsi="仿宋_GB2312" w:eastAsia="仿宋_GB2312" w:cs="仿宋_GB2312"/>
                <w:color w:val="000000"/>
                <w:sz w:val="24"/>
                <w:szCs w:val="24"/>
                <w:lang w:eastAsia="zh-CN"/>
              </w:rPr>
              <w:fldChar w:fldCharType="begin"/>
            </w:r>
            <w:r>
              <w:rPr>
                <w:rFonts w:hint="eastAsia" w:ascii="仿宋_GB2312" w:hAnsi="仿宋_GB2312" w:eastAsia="仿宋_GB2312" w:cs="仿宋_GB2312"/>
                <w:color w:val="000000"/>
                <w:sz w:val="24"/>
                <w:szCs w:val="24"/>
                <w:lang w:eastAsia="zh-CN"/>
              </w:rPr>
              <w:instrText xml:space="preserve"> HYPERLINK "http://gaokaozuowensucai.unjs.com/" </w:instrText>
            </w:r>
            <w:r>
              <w:rPr>
                <w:rFonts w:hint="eastAsia" w:ascii="仿宋_GB2312" w:hAnsi="仿宋_GB2312" w:eastAsia="仿宋_GB2312" w:cs="仿宋_GB2312"/>
                <w:color w:val="000000"/>
                <w:sz w:val="24"/>
                <w:szCs w:val="24"/>
                <w:lang w:eastAsia="zh-CN"/>
              </w:rPr>
              <w:fldChar w:fldCharType="separate"/>
            </w:r>
            <w:r>
              <w:rPr>
                <w:rFonts w:hint="eastAsia" w:ascii="仿宋_GB2312" w:hAnsi="仿宋_GB2312" w:eastAsia="仿宋_GB2312" w:cs="仿宋_GB2312"/>
                <w:color w:val="000000"/>
                <w:sz w:val="24"/>
                <w:szCs w:val="24"/>
                <w:lang w:eastAsia="zh-CN"/>
              </w:rPr>
              <w:t>材料</w:t>
            </w:r>
            <w:r>
              <w:rPr>
                <w:rFonts w:hint="eastAsia" w:ascii="仿宋_GB2312" w:hAnsi="仿宋_GB2312" w:eastAsia="仿宋_GB2312" w:cs="仿宋_GB2312"/>
                <w:color w:val="000000"/>
                <w:sz w:val="24"/>
                <w:szCs w:val="24"/>
                <w:lang w:eastAsia="zh-CN"/>
              </w:rPr>
              <w:fldChar w:fldCharType="end"/>
            </w:r>
            <w:r>
              <w:rPr>
                <w:rFonts w:hint="eastAsia" w:ascii="仿宋_GB2312" w:hAnsi="仿宋_GB2312" w:eastAsia="仿宋_GB2312" w:cs="仿宋_GB2312"/>
                <w:color w:val="000000"/>
                <w:sz w:val="24"/>
                <w:szCs w:val="24"/>
                <w:lang w:val="en-US" w:eastAsia="zh-CN"/>
              </w:rPr>
              <w:t>25000余份，悬挂横幅30余幅；信访与维稳工作，2020年共受理信访件43件，其中省委巡视组转办件17件；给省委书记留言转办件1件；省长信箱转办件2件；给市委书记留言转办件2件；市长信箱转办件1件；网上投诉2件；心连心热线12件；其他转办件8件。信访回复率100%。接待来访群众98批，共212人次。</w:t>
            </w:r>
          </w:p>
          <w:p>
            <w:pPr>
              <w:widowControl/>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社区矫正，新接收社区矫正对象12人，期满解除矫正10人，1人因病死亡终止矫正，1人执行地变更。“防邪”工作，利用赶集开展集中宣传2次，现场接受群众咨询100余人次，发放传单10000余份；社戒社康全镇共有社戒社康人员18人，其中社戒人员10人，社康人员工作，8人，全年解除社戒1人，死亡1人；</w:t>
            </w:r>
          </w:p>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铁路护路和“三电”设施保护，“雪亮工程”全镇“雪亮工程”共有39个点位，安装摄像头78个；网格化服务管理工作，全镇现有9个农村网格片区，集镇有13个网格片区，制定了以各村（社区）支部书记为网格长和片区网格员进行网格化服务管理体系。</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群众法律意识增强</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犯罪率下降</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犯罪率有所下降</w:t>
            </w:r>
          </w:p>
        </w:tc>
      </w:tr>
      <w:tr>
        <w:tblPrEx>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满意度指标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群众满意</w:t>
            </w:r>
          </w:p>
        </w:tc>
        <w:tc>
          <w:tcPr>
            <w:tcW w:w="2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预计满意度大于9</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w:t>
            </w:r>
          </w:p>
        </w:tc>
        <w:tc>
          <w:tcPr>
            <w:tcW w:w="26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满意度大于9</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w:t>
            </w:r>
          </w:p>
        </w:tc>
      </w:tr>
      <w:tr>
        <w:tblPrEx>
          <w:tblLayout w:type="fixed"/>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bCs/>
                <w:color w:val="000000"/>
                <w:kern w:val="0"/>
                <w:sz w:val="36"/>
                <w:szCs w:val="36"/>
                <w:lang w:eastAsia="zh-CN"/>
              </w:rPr>
              <w:t>（二）</w:t>
            </w:r>
            <w:r>
              <w:rPr>
                <w:rFonts w:hint="eastAsia" w:ascii="方正小标宋_GBK" w:hAnsi="方正小标宋_GBK" w:eastAsia="方正小标宋_GBK" w:cs="方正小标宋_GBK"/>
                <w:b/>
                <w:bCs/>
                <w:color w:val="000000"/>
                <w:kern w:val="0"/>
                <w:sz w:val="36"/>
                <w:szCs w:val="36"/>
              </w:rPr>
              <w:br w:type="textWrapping"/>
            </w:r>
            <w:r>
              <w:rPr>
                <w:rFonts w:hint="eastAsia" w:ascii="楷体_GB2312" w:hAnsi="楷体_GB2312" w:eastAsia="楷体_GB2312" w:cs="楷体_GB2312"/>
                <w:color w:val="000000"/>
                <w:kern w:val="0"/>
                <w:sz w:val="32"/>
                <w:szCs w:val="32"/>
              </w:rPr>
              <w:t>(20</w:t>
            </w:r>
            <w:r>
              <w:rPr>
                <w:rFonts w:hint="eastAsia" w:ascii="楷体_GB2312" w:hAnsi="楷体_GB2312" w:eastAsia="楷体_GB2312" w:cs="楷体_GB2312"/>
                <w:color w:val="000000"/>
                <w:kern w:val="0"/>
                <w:sz w:val="32"/>
                <w:szCs w:val="32"/>
                <w:lang w:val="en-US" w:eastAsia="zh-CN"/>
              </w:rPr>
              <w:t>20</w:t>
            </w:r>
            <w:r>
              <w:rPr>
                <w:rFonts w:hint="eastAsia" w:ascii="楷体_GB2312" w:hAnsi="楷体_GB2312" w:eastAsia="楷体_GB2312" w:cs="楷体_GB2312"/>
                <w:color w:val="000000"/>
                <w:kern w:val="0"/>
                <w:sz w:val="32"/>
                <w:szCs w:val="32"/>
              </w:rPr>
              <w:t xml:space="preserve"> 年度)</w:t>
            </w:r>
          </w:p>
        </w:tc>
      </w:tr>
      <w:tr>
        <w:tblPrEx>
          <w:tblLayout w:type="fixed"/>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城乡环保、环境综合治理专项经费（沿河新增区域）</w:t>
            </w:r>
          </w:p>
        </w:tc>
      </w:tr>
      <w:tr>
        <w:tblPrEx>
          <w:tblLayout w:type="fixed"/>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峨眉山市符溪镇人民政府</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85万元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66.90万元</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85万元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66.90万元</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Layout w:type="fixed"/>
          <w:tblCellMar>
            <w:top w:w="0" w:type="dxa"/>
            <w:left w:w="0" w:type="dxa"/>
            <w:bottom w:w="0" w:type="dxa"/>
            <w:right w:w="0" w:type="dxa"/>
          </w:tblCellMar>
        </w:tblPrEx>
        <w:trPr>
          <w:trHeight w:val="141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保</w:t>
            </w:r>
            <w:r>
              <w:rPr>
                <w:rFonts w:hint="eastAsia" w:ascii="仿宋_GB2312" w:hAnsi="仿宋_GB2312" w:eastAsia="仿宋_GB2312" w:cs="仿宋_GB2312"/>
                <w:sz w:val="24"/>
                <w:szCs w:val="24"/>
                <w:lang w:val="zh-CN"/>
              </w:rPr>
              <w:t>对集镇新增区域环境常态化清扫保洁、三个公厕保洁、垃圾清运、集镇秩序维护、新增区域绿化改造等，确保镇容镇貌</w:t>
            </w:r>
            <w:r>
              <w:rPr>
                <w:rFonts w:hint="eastAsia" w:ascii="仿宋_GB2312" w:hAnsi="仿宋_GB2312" w:eastAsia="仿宋_GB2312" w:cs="仿宋_GB2312"/>
                <w:sz w:val="24"/>
                <w:szCs w:val="24"/>
                <w:lang w:val="zh-CN" w:eastAsia="zh-CN"/>
              </w:rPr>
              <w:t>焕然一新，秩序井然，群众的环保意识增强。</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牢固树立乡村振兴战略、绿色发展理念，镇容镇貌大幅提升，环境干净、整洁、舒适、清新，宜居宜养，群众环保理念有了新</w:t>
            </w:r>
            <w:r>
              <w:rPr>
                <w:rFonts w:hint="eastAsia" w:ascii="仿宋_GB2312" w:hAnsi="仿宋_GB2312" w:eastAsia="仿宋_GB2312" w:cs="仿宋_GB2312"/>
                <w:color w:val="000000"/>
                <w:sz w:val="24"/>
                <w:szCs w:val="24"/>
                <w:lang w:val="zh-CN" w:eastAsia="zh-CN"/>
              </w:rPr>
              <w:t>认识、</w:t>
            </w:r>
            <w:r>
              <w:rPr>
                <w:rFonts w:hint="eastAsia" w:ascii="仿宋_GB2312" w:hAnsi="仿宋_GB2312" w:eastAsia="仿宋_GB2312" w:cs="仿宋_GB2312"/>
                <w:color w:val="000000"/>
                <w:sz w:val="24"/>
                <w:szCs w:val="24"/>
                <w:lang w:val="zh-CN"/>
              </w:rPr>
              <w:t>新提高，全镇对外形象有了新提升，很多镇外人员到我镇</w:t>
            </w:r>
            <w:r>
              <w:rPr>
                <w:rFonts w:hint="eastAsia" w:ascii="仿宋_GB2312" w:hAnsi="仿宋_GB2312" w:eastAsia="仿宋_GB2312" w:cs="仿宋_GB2312"/>
                <w:color w:val="000000"/>
                <w:sz w:val="24"/>
                <w:szCs w:val="24"/>
                <w:lang w:val="zh-CN" w:eastAsia="zh-CN"/>
              </w:rPr>
              <w:t>闲耍</w:t>
            </w:r>
            <w:r>
              <w:rPr>
                <w:rFonts w:hint="eastAsia" w:ascii="仿宋_GB2312" w:hAnsi="仿宋_GB2312" w:eastAsia="仿宋_GB2312" w:cs="仿宋_GB2312"/>
                <w:color w:val="000000"/>
                <w:sz w:val="24"/>
                <w:szCs w:val="24"/>
                <w:lang w:val="zh-CN"/>
              </w:rPr>
              <w:t>游玩，对我镇的人居环境</w:t>
            </w:r>
            <w:r>
              <w:rPr>
                <w:rFonts w:hint="eastAsia" w:ascii="仿宋_GB2312" w:hAnsi="仿宋_GB2312" w:eastAsia="仿宋_GB2312" w:cs="仿宋_GB2312"/>
                <w:color w:val="000000"/>
                <w:sz w:val="24"/>
                <w:szCs w:val="24"/>
                <w:lang w:val="zh-CN" w:eastAsia="zh-CN"/>
              </w:rPr>
              <w:t>变化</w:t>
            </w:r>
            <w:r>
              <w:rPr>
                <w:rFonts w:hint="eastAsia" w:ascii="仿宋_GB2312" w:hAnsi="仿宋_GB2312" w:eastAsia="仿宋_GB2312" w:cs="仿宋_GB2312"/>
                <w:color w:val="000000"/>
                <w:sz w:val="24"/>
                <w:szCs w:val="24"/>
                <w:lang w:val="zh-CN"/>
              </w:rPr>
              <w:t>赞誉不绝。</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绩效指标完成情况</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改善镇容镇貌，创卫生集镇，常态化保洁</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集镇秩序坦然，卫生有序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对集镇新增区域环境常态化清扫保洁、三个公厕保洁、垃圾清运、集镇秩序维护、新增区域绿化改造等，确保镇容镇貌</w:t>
            </w:r>
            <w:r>
              <w:rPr>
                <w:rFonts w:hint="eastAsia" w:ascii="仿宋_GB2312" w:hAnsi="仿宋_GB2312" w:eastAsia="仿宋_GB2312" w:cs="仿宋_GB2312"/>
                <w:color w:val="000000"/>
                <w:sz w:val="24"/>
                <w:szCs w:val="24"/>
                <w:lang w:val="zh-CN" w:eastAsia="zh-CN"/>
              </w:rPr>
              <w:t>焕然一新，秩序井然，群众的环保意识增强。</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增强群众的环保意识，形成常态化保洁</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集镇秩序坦然，卫生无死角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群众的生活质量提高，环保意识增强，乱扔垃圾的现象减少</w:t>
            </w:r>
          </w:p>
        </w:tc>
      </w:tr>
      <w:tr>
        <w:tblPrEx>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满意度指标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群众满意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预计满意度大于9</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满意度大于9</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w:t>
            </w:r>
          </w:p>
        </w:tc>
      </w:tr>
      <w:tr>
        <w:tblPrEx>
          <w:tblLayout w:type="fixed"/>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bCs/>
                <w:color w:val="000000"/>
                <w:kern w:val="0"/>
                <w:sz w:val="36"/>
                <w:szCs w:val="36"/>
                <w:lang w:eastAsia="zh-CN"/>
              </w:rPr>
              <w:t>（三）</w:t>
            </w:r>
            <w:r>
              <w:rPr>
                <w:rFonts w:hint="eastAsia" w:ascii="方正小标宋_GBK" w:hAnsi="方正小标宋_GBK" w:eastAsia="方正小标宋_GBK" w:cs="方正小标宋_GBK"/>
                <w:b/>
                <w:bCs/>
                <w:color w:val="000000"/>
                <w:kern w:val="0"/>
                <w:sz w:val="36"/>
                <w:szCs w:val="36"/>
              </w:rPr>
              <w:br w:type="textWrapping"/>
            </w:r>
            <w:r>
              <w:rPr>
                <w:rFonts w:hint="eastAsia" w:ascii="楷体_GB2312" w:hAnsi="楷体_GB2312" w:eastAsia="楷体_GB2312" w:cs="楷体_GB2312"/>
                <w:color w:val="000000"/>
                <w:kern w:val="0"/>
                <w:sz w:val="32"/>
                <w:szCs w:val="32"/>
              </w:rPr>
              <w:t>(20</w:t>
            </w:r>
            <w:r>
              <w:rPr>
                <w:rFonts w:hint="eastAsia" w:ascii="楷体_GB2312" w:hAnsi="楷体_GB2312" w:eastAsia="楷体_GB2312" w:cs="楷体_GB2312"/>
                <w:color w:val="000000"/>
                <w:kern w:val="0"/>
                <w:sz w:val="32"/>
                <w:szCs w:val="32"/>
                <w:lang w:val="en-US" w:eastAsia="zh-CN"/>
              </w:rPr>
              <w:t>20</w:t>
            </w:r>
            <w:r>
              <w:rPr>
                <w:rFonts w:hint="eastAsia" w:ascii="楷体_GB2312" w:hAnsi="楷体_GB2312" w:eastAsia="楷体_GB2312" w:cs="楷体_GB2312"/>
                <w:color w:val="000000"/>
                <w:kern w:val="0"/>
                <w:sz w:val="32"/>
                <w:szCs w:val="32"/>
              </w:rPr>
              <w:t>年度)</w:t>
            </w:r>
          </w:p>
        </w:tc>
      </w:tr>
      <w:tr>
        <w:tblPrEx>
          <w:tblLayout w:type="fixed"/>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食品药品监管站工作经费</w:t>
            </w:r>
          </w:p>
        </w:tc>
      </w:tr>
      <w:tr>
        <w:tblPrEx>
          <w:tblLayout w:type="fixed"/>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峨眉山市符溪镇人民政府</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8万元</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8万元</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Layout w:type="fixed"/>
          <w:tblCellMar>
            <w:top w:w="0" w:type="dxa"/>
            <w:left w:w="0" w:type="dxa"/>
            <w:bottom w:w="0" w:type="dxa"/>
            <w:right w:w="0" w:type="dxa"/>
          </w:tblCellMar>
        </w:tblPrEx>
        <w:trPr>
          <w:trHeight w:val="183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保障</w:t>
            </w:r>
            <w:r>
              <w:rPr>
                <w:rFonts w:hint="eastAsia" w:ascii="仿宋_GB2312" w:hAnsi="仿宋_GB2312" w:eastAsia="仿宋_GB2312" w:cs="仿宋_GB2312"/>
                <w:color w:val="000000"/>
                <w:sz w:val="24"/>
                <w:szCs w:val="24"/>
                <w:lang w:eastAsia="zh-CN"/>
              </w:rPr>
              <w:t>广大群众生命安全，提高消费者安全意识和自我保护能力，保护好儿童的生长发育。</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保障</w:t>
            </w:r>
            <w:r>
              <w:rPr>
                <w:rFonts w:hint="eastAsia" w:ascii="仿宋_GB2312" w:hAnsi="仿宋_GB2312" w:eastAsia="仿宋_GB2312" w:cs="仿宋_GB2312"/>
                <w:color w:val="000000"/>
                <w:sz w:val="24"/>
                <w:szCs w:val="24"/>
                <w:lang w:eastAsia="zh-CN"/>
              </w:rPr>
              <w:t>广大群众生命安全，提高消费者安全意识和自我保护能力，保护好儿童的生长发育。</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绩效指标完成情况</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食品安全监督检查，</w:t>
            </w:r>
            <w:r>
              <w:rPr>
                <w:rFonts w:hint="eastAsia" w:ascii="仿宋_GB2312" w:hAnsi="仿宋_GB2312" w:eastAsia="仿宋_GB2312" w:cs="仿宋_GB2312"/>
                <w:color w:val="000000"/>
                <w:sz w:val="24"/>
                <w:szCs w:val="24"/>
              </w:rPr>
              <w:t>保障</w:t>
            </w:r>
            <w:r>
              <w:rPr>
                <w:rFonts w:hint="eastAsia" w:ascii="仿宋_GB2312" w:hAnsi="仿宋_GB2312" w:eastAsia="仿宋_GB2312" w:cs="仿宋_GB2312"/>
                <w:color w:val="000000"/>
                <w:sz w:val="24"/>
                <w:szCs w:val="24"/>
                <w:lang w:eastAsia="zh-CN"/>
              </w:rPr>
              <w:t>广大群众生命安全，提高消费者安全意识和自我保护能力，保护好儿童的生长发育</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无重大食品安全事故发生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微信群、村务公开栏、农村小广播等方式，普及食品安全法律法规意识；对嘉峨茶谷、中小学、幼儿园食堂、小型餐馆、母婴用品店等开展食品安全检查6次；群体性聚餐实行严格审批的程序，最大限度预防食品安全事故，群众聚餐共计</w:t>
            </w:r>
            <w:r>
              <w:rPr>
                <w:rFonts w:hint="eastAsia" w:ascii="仿宋_GB2312" w:hAnsi="仿宋_GB2312" w:eastAsia="仿宋_GB2312" w:cs="仿宋_GB2312"/>
                <w:color w:val="000000"/>
                <w:sz w:val="24"/>
                <w:szCs w:val="24"/>
                <w:lang w:val="en-US" w:eastAsia="zh-CN"/>
              </w:rPr>
              <w:t>134</w:t>
            </w:r>
            <w:r>
              <w:rPr>
                <w:rFonts w:hint="eastAsia" w:ascii="仿宋_GB2312" w:hAnsi="仿宋_GB2312" w:eastAsia="仿宋_GB2312" w:cs="仿宋_GB2312"/>
                <w:color w:val="000000"/>
                <w:sz w:val="24"/>
                <w:szCs w:val="24"/>
                <w:lang w:eastAsia="zh-CN"/>
              </w:rPr>
              <w:t>场次，</w:t>
            </w:r>
            <w:r>
              <w:rPr>
                <w:rFonts w:hint="eastAsia" w:ascii="仿宋_GB2312" w:hAnsi="仿宋_GB2312" w:eastAsia="仿宋_GB2312" w:cs="仿宋_GB2312"/>
                <w:color w:val="000000"/>
                <w:sz w:val="24"/>
                <w:szCs w:val="24"/>
                <w:lang w:val="en-US" w:eastAsia="zh-CN"/>
              </w:rPr>
              <w:t>2399</w:t>
            </w:r>
            <w:r>
              <w:rPr>
                <w:rFonts w:hint="eastAsia" w:ascii="仿宋_GB2312" w:hAnsi="仿宋_GB2312" w:eastAsia="仿宋_GB2312" w:cs="仿宋_GB2312"/>
                <w:color w:val="000000"/>
                <w:sz w:val="24"/>
                <w:szCs w:val="24"/>
                <w:lang w:eastAsia="zh-CN"/>
              </w:rPr>
              <w:t>桌，没有发生食品安全事故；进一步加强对农贸市场规范的管理，疫情期间加大对活禽宰杀、市场消毒等工作监管力度。</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增强餐饮企业食品安全意识，倡导诚信经营</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无重大食品安全事故发生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无重大食品安全事故发生</w:t>
            </w:r>
          </w:p>
        </w:tc>
      </w:tr>
      <w:tr>
        <w:tblPrEx>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满意度指标</w:t>
            </w:r>
          </w:p>
        </w:tc>
        <w:tc>
          <w:tcPr>
            <w:tcW w:w="14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群众满意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预计满意度大于9</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满意度大于</w:t>
            </w:r>
            <w:r>
              <w:rPr>
                <w:rFonts w:hint="eastAsia" w:ascii="仿宋_GB2312" w:hAnsi="仿宋_GB2312" w:eastAsia="仿宋_GB2312" w:cs="仿宋_GB2312"/>
                <w:color w:val="000000"/>
                <w:sz w:val="24"/>
                <w:szCs w:val="24"/>
                <w:lang w:val="en-US" w:eastAsia="zh-CN"/>
              </w:rPr>
              <w:t>98</w:t>
            </w:r>
            <w:r>
              <w:rPr>
                <w:rFonts w:hint="eastAsia" w:ascii="仿宋_GB2312" w:hAnsi="仿宋_GB2312" w:eastAsia="仿宋_GB2312" w:cs="仿宋_GB2312"/>
                <w:color w:val="000000"/>
                <w:sz w:val="24"/>
                <w:szCs w:val="24"/>
              </w:rPr>
              <w:t>%</w:t>
            </w:r>
          </w:p>
        </w:tc>
      </w:tr>
      <w:tr>
        <w:tblPrEx>
          <w:tblLayout w:type="fixed"/>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pPr>
              <w:widowControl/>
              <w:jc w:val="center"/>
              <w:textAlignment w:val="center"/>
              <w:rPr>
                <w:rFonts w:ascii="宋体" w:hAns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bCs/>
                <w:color w:val="000000"/>
                <w:kern w:val="0"/>
                <w:sz w:val="36"/>
                <w:szCs w:val="36"/>
                <w:lang w:eastAsia="zh-CN"/>
              </w:rPr>
              <w:t>（四）</w:t>
            </w:r>
            <w:r>
              <w:rPr>
                <w:rFonts w:hint="eastAsia" w:ascii="方正小标宋_GBK" w:hAnsi="方正小标宋_GBK" w:eastAsia="方正小标宋_GBK" w:cs="方正小标宋_GBK"/>
                <w:b/>
                <w:bCs/>
                <w:color w:val="000000"/>
                <w:kern w:val="0"/>
                <w:sz w:val="36"/>
                <w:szCs w:val="36"/>
              </w:rPr>
              <w:br w:type="textWrapping"/>
            </w:r>
            <w:r>
              <w:rPr>
                <w:rFonts w:hint="eastAsia" w:ascii="楷体_GB2312" w:hAnsi="楷体_GB2312" w:eastAsia="楷体_GB2312" w:cs="楷体_GB2312"/>
                <w:color w:val="000000"/>
                <w:kern w:val="0"/>
                <w:sz w:val="32"/>
                <w:szCs w:val="32"/>
              </w:rPr>
              <w:t>(20</w:t>
            </w:r>
            <w:r>
              <w:rPr>
                <w:rFonts w:hint="eastAsia" w:ascii="楷体_GB2312" w:hAnsi="楷体_GB2312" w:eastAsia="楷体_GB2312" w:cs="楷体_GB2312"/>
                <w:color w:val="000000"/>
                <w:kern w:val="0"/>
                <w:sz w:val="32"/>
                <w:szCs w:val="32"/>
                <w:lang w:val="en-US" w:eastAsia="zh-CN"/>
              </w:rPr>
              <w:t>20</w:t>
            </w:r>
            <w:r>
              <w:rPr>
                <w:rFonts w:hint="eastAsia" w:ascii="楷体_GB2312" w:hAnsi="楷体_GB2312" w:eastAsia="楷体_GB2312" w:cs="楷体_GB2312"/>
                <w:color w:val="000000"/>
                <w:kern w:val="0"/>
                <w:sz w:val="32"/>
                <w:szCs w:val="32"/>
              </w:rPr>
              <w:t xml:space="preserve"> 年度)</w:t>
            </w:r>
          </w:p>
        </w:tc>
      </w:tr>
      <w:tr>
        <w:tblPrEx>
          <w:tblLayout w:type="fixed"/>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sz w:val="24"/>
                <w:szCs w:val="24"/>
                <w:lang w:val="en-US" w:eastAsia="zh-CN"/>
              </w:rPr>
              <w:t>武装工作经费</w:t>
            </w:r>
          </w:p>
        </w:tc>
      </w:tr>
      <w:tr>
        <w:tblPrEx>
          <w:tblLayout w:type="fixed"/>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峨眉山市符溪镇人民政府</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3.00万元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3.00万元</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3.00万元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3.00万元</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sz w:val="24"/>
                <w:szCs w:val="24"/>
                <w:lang w:val="en-US" w:eastAsia="zh-CN"/>
              </w:rPr>
              <w:t>增加广大民兵的思想素质和政治觉悟，增强爱国热情。</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增加广大民兵的思想素质和政治觉悟，增强爱国热情。</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传承红色基因，担当强军重任</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完成政治教育、民兵组织整顿、军事训练、兵役登记和征兵工作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全年共开展政治教育14次，累计25.5课时，利用征兵期间到学校开展国防教育累次5次；投入3万余元规范了“三图”“二案”和储备库室的建设工作，应急物资器材装备按要求配套齐全，做到存放有序并做好出入库登记；民兵点验到点率达100%；按照年度军事训练任务，组织专武干部进行培训1次，按计划分2批次参加了民兵军事训练，参训率达100%；兵役登记统计。全年按照适龄青年18周岁的青年76人全部进行兵役登记，严把文化关、年龄关和病史调查关，政考合格率达100%，根据市征兵办下达的任务数，严格按照送检要求，足额送检，完成任务率达100%；按照上级命令，组织民兵在疫情期间在各村主要村道进行体温检测、入户宣传疫情知识等，组织民兵25人对夹江县“8.18”受灾进行救援；共抽调干部与民兵预备役人员300余人分6次参与景区违建整治工作，随时抽调人员参与集中攻坚，落实人员负责蹲点驻守，其中一次共计50人的干部与民兵预备役人员中蹲点驻守13天。</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思想素质和政治觉悟提高，增强国防观念和爱国热情</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以点带面，提高民兵素质，增强群众的爱国热情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民兵思想素质和政治觉悟提高，为部队输送高素质兵员</w:t>
            </w:r>
          </w:p>
        </w:tc>
      </w:tr>
      <w:tr>
        <w:tblPrEx>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2"/>
                <w:szCs w:val="32"/>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群众满意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预计满意度大于9</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满意度大于</w:t>
            </w:r>
            <w:r>
              <w:rPr>
                <w:rFonts w:hint="eastAsia" w:ascii="仿宋_GB2312" w:hAnsi="仿宋_GB2312" w:eastAsia="仿宋_GB2312" w:cs="仿宋_GB2312"/>
                <w:color w:val="000000"/>
                <w:sz w:val="24"/>
                <w:szCs w:val="24"/>
                <w:lang w:val="en-US" w:eastAsia="zh-CN"/>
              </w:rPr>
              <w:t>98</w:t>
            </w:r>
            <w:r>
              <w:rPr>
                <w:rFonts w:hint="eastAsia" w:ascii="仿宋_GB2312" w:hAnsi="仿宋_GB2312" w:eastAsia="仿宋_GB2312" w:cs="仿宋_GB2312"/>
                <w:color w:val="000000"/>
                <w:sz w:val="24"/>
                <w:szCs w:val="24"/>
              </w:rPr>
              <w:t>%</w:t>
            </w:r>
          </w:p>
        </w:tc>
      </w:tr>
      <w:tr>
        <w:tblPrEx>
          <w:tblLayout w:type="fixed"/>
          <w:tblCellMar>
            <w:top w:w="0" w:type="dxa"/>
            <w:left w:w="0" w:type="dxa"/>
            <w:bottom w:w="0" w:type="dxa"/>
            <w:right w:w="0" w:type="dxa"/>
          </w:tblCellMar>
        </w:tblPrEx>
        <w:trPr>
          <w:trHeight w:val="1034" w:hRule="atLeast"/>
          <w:jc w:val="center"/>
        </w:trPr>
        <w:tc>
          <w:tcPr>
            <w:tcW w:w="9960"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pPr>
              <w:widowControl/>
              <w:jc w:val="center"/>
              <w:textAlignment w:val="center"/>
              <w:rPr>
                <w:rFonts w:hint="eastAsia" w:ascii="方正小标宋_GBK" w:hAnsi="方正小标宋_GBK" w:eastAsia="方正小标宋_GBK" w:cs="方正小标宋_GBK"/>
                <w:b w:val="0"/>
                <w:bCs w:val="0"/>
                <w:color w:val="000000"/>
                <w:kern w:val="0"/>
                <w:sz w:val="36"/>
                <w:szCs w:val="36"/>
                <w:lang w:bidi="ar"/>
              </w:rPr>
            </w:pPr>
          </w:p>
          <w:p>
            <w:pPr>
              <w:widowControl/>
              <w:jc w:val="center"/>
              <w:textAlignment w:val="center"/>
              <w:rPr>
                <w:rFonts w:ascii="宋体" w:hAns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bCs/>
                <w:color w:val="000000"/>
                <w:kern w:val="0"/>
                <w:sz w:val="36"/>
                <w:szCs w:val="36"/>
                <w:lang w:eastAsia="zh-CN"/>
              </w:rPr>
              <w:t>（五）</w:t>
            </w:r>
            <w:r>
              <w:rPr>
                <w:rFonts w:hint="eastAsia" w:ascii="方正小标宋_GBK" w:hAnsi="方正小标宋_GBK" w:eastAsia="方正小标宋_GBK" w:cs="方正小标宋_GBK"/>
                <w:b/>
                <w:bCs/>
                <w:color w:val="000000"/>
                <w:kern w:val="0"/>
                <w:sz w:val="36"/>
                <w:szCs w:val="36"/>
              </w:rPr>
              <w:br w:type="textWrapping"/>
            </w:r>
            <w:r>
              <w:rPr>
                <w:rFonts w:hint="eastAsia" w:ascii="楷体_GB2312" w:hAnsi="楷体_GB2312" w:eastAsia="楷体_GB2312" w:cs="楷体_GB2312"/>
                <w:color w:val="000000"/>
                <w:kern w:val="0"/>
                <w:sz w:val="32"/>
                <w:szCs w:val="32"/>
              </w:rPr>
              <w:t>(20</w:t>
            </w:r>
            <w:r>
              <w:rPr>
                <w:rFonts w:hint="eastAsia" w:ascii="楷体_GB2312" w:hAnsi="楷体_GB2312" w:eastAsia="楷体_GB2312" w:cs="楷体_GB2312"/>
                <w:color w:val="000000"/>
                <w:kern w:val="0"/>
                <w:sz w:val="32"/>
                <w:szCs w:val="32"/>
                <w:lang w:val="en-US" w:eastAsia="zh-CN"/>
              </w:rPr>
              <w:t>20</w:t>
            </w:r>
            <w:r>
              <w:rPr>
                <w:rFonts w:hint="eastAsia" w:ascii="楷体_GB2312" w:hAnsi="楷体_GB2312" w:eastAsia="楷体_GB2312" w:cs="楷体_GB2312"/>
                <w:color w:val="000000"/>
                <w:kern w:val="0"/>
                <w:sz w:val="32"/>
                <w:szCs w:val="32"/>
              </w:rPr>
              <w:t xml:space="preserve"> 年度)</w:t>
            </w:r>
          </w:p>
        </w:tc>
      </w:tr>
      <w:tr>
        <w:tblPrEx>
          <w:tblLayout w:type="fixed"/>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sz w:val="24"/>
                <w:szCs w:val="24"/>
                <w:lang w:val="en-US" w:eastAsia="zh-CN"/>
              </w:rPr>
              <w:t>安全监管（含道路交通）经费</w:t>
            </w:r>
          </w:p>
        </w:tc>
      </w:tr>
      <w:tr>
        <w:tblPrEx>
          <w:tblLayout w:type="fixed"/>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峨眉山市符溪镇人民政府</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预算执行情况(万元)</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20万元</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20万元</w:t>
            </w:r>
          </w:p>
        </w:tc>
      </w:tr>
      <w:tr>
        <w:tblPrEx>
          <w:tblLayout w:type="fixed"/>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color w:val="000000"/>
                <w:sz w:val="24"/>
                <w:szCs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组织干部群众学习安全生产法律、法规和安全知识，努力增强全民安全意识，加强安全生产管理，落实安全生产责任，真正做到”安全生产，人人有责”，减少安全事故，以人为本，保障劳动者的生命安全和职业健康，促进经济建设的发展。</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干部群众安全生产法律、法规和安全知识、安全意识增强，安全生产管理，安全生产责任加强，真正做到”安全生产，人人有责”，减少安全事故，以人为本，保障了劳动者的生命安全和职业健康，促进经济建设的发展。</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疫情防控、复工复产、安全生产“三手抓、三不误；推进安全生产清单制定工作；开展安全生产专项整治三年行动、排险除患专项行动；修订《符溪镇总体应急预案》，履行消防安全监管职责。</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疫情防控、复工复产，对规模以上工业企业以及辖区内规下企业指导复工复产；制定安全生产清单；对所辖企业安全生产专项整治；集镇老旧房屋区域，增配灭火器。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疫情防控、复工复产、安全生产“三手抓、三不误”，全镇15家规模以上工业企业以及辖区内规下企业均复工复产；稳步推进安全生产清单制定工作，全镇金威利、龙马木业、伊心动漫、正宇塑业等规上企业已基本完成；检查32家企事业单位，排查各类隐84条，整改率100%；组织开展安全生产宣传教育，开展以“消除事故隐患，筑牢安全防线”为主题的安全生产月宣传活动；对集镇老旧房屋区域消开展了消防安全大检查，并对排查的安全隐患进行了整改，增配20个灭火器；开展应急宣教培训1次，镇、村（社区）上成立10支应急队伍，应急物资储备齐全。</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保障劳动者的生命安全和职业健康，促进经济建设的发展。</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以人为本，保障劳动者的生命安全和职业健康，促进经济建设的发展。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以人为本，保障劳动者的生命安全和职业健康，促进经济建设的发展。</w:t>
            </w:r>
          </w:p>
        </w:tc>
      </w:tr>
      <w:tr>
        <w:tblPrEx>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群众满意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预计满意度大于9</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满意度大于</w:t>
            </w:r>
            <w:r>
              <w:rPr>
                <w:rFonts w:hint="eastAsia" w:ascii="仿宋_GB2312" w:hAnsi="仿宋_GB2312" w:eastAsia="仿宋_GB2312" w:cs="仿宋_GB2312"/>
                <w:color w:val="000000"/>
                <w:sz w:val="24"/>
                <w:szCs w:val="24"/>
                <w:lang w:val="en-US" w:eastAsia="zh-CN"/>
              </w:rPr>
              <w:t>98</w:t>
            </w:r>
            <w:r>
              <w:rPr>
                <w:rFonts w:hint="eastAsia" w:ascii="仿宋_GB2312" w:hAnsi="仿宋_GB2312" w:eastAsia="仿宋_GB2312" w:cs="仿宋_GB2312"/>
                <w:color w:val="000000"/>
                <w:sz w:val="24"/>
                <w:szCs w:val="24"/>
              </w:rPr>
              <w:t>%</w:t>
            </w:r>
          </w:p>
        </w:tc>
      </w:tr>
    </w:tbl>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峨眉山市符溪镇人民政府</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社会治安综合治理经费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城乡环保、环境综合治理专项经费（沿河新增区域）、</w:t>
      </w:r>
      <w:r>
        <w:rPr>
          <w:rFonts w:hint="eastAsia" w:ascii="仿宋_GB2312" w:hAnsi="仿宋_GB2312" w:eastAsia="仿宋_GB2312" w:cs="仿宋_GB2312"/>
          <w:color w:val="000000" w:themeColor="text1"/>
          <w:sz w:val="32"/>
          <w:szCs w:val="32"/>
          <w:lang w:eastAsia="zh-CN"/>
          <w14:textFill>
            <w14:solidFill>
              <w14:schemeClr w14:val="tx1"/>
            </w14:solidFill>
          </w14:textFill>
        </w:rPr>
        <w:t>食品药品监管站工作经费</w:t>
      </w:r>
      <w:r>
        <w:rPr>
          <w:rFonts w:hint="eastAsia" w:ascii="仿宋_GB2312" w:hAnsi="仿宋_GB2312" w:eastAsia="仿宋_GB2312" w:cs="仿宋_GB2312"/>
          <w:sz w:val="32"/>
          <w:szCs w:val="32"/>
          <w:lang w:eastAsia="zh-CN"/>
        </w:rPr>
        <w:t>、武装工作经费、安全监管（含道路交通）经费</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社会治安综合治理经费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w:t>
      </w:r>
      <w:r>
        <w:rPr>
          <w:rFonts w:hint="eastAsia" w:ascii="仿宋_GB2312" w:hAnsi="仿宋_GB2312" w:eastAsia="仿宋_GB2312" w:cs="仿宋_GB2312"/>
          <w:sz w:val="32"/>
          <w:szCs w:val="32"/>
          <w:lang w:eastAsia="zh-CN"/>
        </w:rPr>
        <w:t>城乡环保、环境综合治理专项经费（沿河新增区域）</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食品药品监管站工作经费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w:t>
      </w:r>
      <w:r>
        <w:rPr>
          <w:rFonts w:hint="eastAsia" w:ascii="仿宋_GB2312" w:hAnsi="仿宋_GB2312" w:eastAsia="仿宋_GB2312" w:cs="仿宋_GB2312"/>
          <w:sz w:val="32"/>
          <w:szCs w:val="32"/>
          <w:lang w:eastAsia="zh-CN"/>
        </w:rPr>
        <w:t>武装工作经费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w:t>
      </w:r>
      <w:r>
        <w:rPr>
          <w:rFonts w:hint="eastAsia" w:ascii="仿宋_GB2312" w:hAnsi="仿宋_GB2312" w:eastAsia="仿宋_GB2312" w:cs="仿宋_GB2312"/>
          <w:sz w:val="32"/>
          <w:szCs w:val="32"/>
          <w:lang w:eastAsia="zh-CN"/>
        </w:rPr>
        <w:t>安全监管（含道路交通）经费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pPr>
        <w:pStyle w:val="2"/>
        <w:rPr>
          <w:rFonts w:hint="eastAsia" w:ascii="仿宋_GB2312" w:hAnsi="仿宋_GB2312" w:eastAsia="仿宋_GB2312" w:cs="仿宋_GB2312"/>
          <w:sz w:val="32"/>
          <w:szCs w:val="32"/>
        </w:rPr>
      </w:pPr>
    </w:p>
    <w:p>
      <w:pPr>
        <w:widowControl/>
        <w:jc w:val="left"/>
        <w:rPr>
          <w:rStyle w:val="28"/>
          <w:rFonts w:ascii="黑体" w:hAnsi="黑体" w:eastAsia="黑体"/>
          <w:b w:val="0"/>
          <w:sz w:val="32"/>
          <w:szCs w:val="32"/>
        </w:rPr>
      </w:pPr>
      <w:r>
        <w:rPr>
          <w:rFonts w:ascii="仿宋_GB2312" w:eastAsia="仿宋_GB2312"/>
          <w:b/>
          <w:color w:val="000000"/>
          <w:sz w:val="32"/>
          <w:szCs w:val="32"/>
        </w:rPr>
        <w:br w:type="page"/>
      </w:r>
    </w:p>
    <w:p>
      <w:pPr>
        <w:keepNext w:val="0"/>
        <w:keepLines w:val="0"/>
        <w:pageBreakBefore w:val="0"/>
        <w:widowControl/>
        <w:kinsoku/>
        <w:wordWrap/>
        <w:overflowPunct/>
        <w:topLinePunct w:val="0"/>
        <w:bidi w:val="0"/>
        <w:snapToGrid/>
        <w:spacing w:line="600" w:lineRule="exact"/>
        <w:jc w:val="center"/>
        <w:textAlignment w:val="auto"/>
        <w:rPr>
          <w:rStyle w:val="37"/>
          <w:rFonts w:hint="eastAsia" w:ascii="方正小标宋_GBK" w:hAnsi="方正小标宋_GBK" w:eastAsia="方正小标宋_GBK" w:cs="方正小标宋_GBK"/>
          <w:b w:val="0"/>
          <w:bCs/>
          <w:sz w:val="44"/>
          <w:szCs w:val="44"/>
        </w:rPr>
      </w:pPr>
      <w:bookmarkStart w:id="53" w:name="_Toc15396613"/>
      <w:bookmarkStart w:id="54" w:name="_Toc15377225"/>
      <w:r>
        <w:rPr>
          <w:rFonts w:hint="eastAsia" w:ascii="方正小标宋_GBK" w:hAnsi="方正小标宋_GBK" w:eastAsia="方正小标宋_GBK" w:cs="方正小标宋_GBK"/>
          <w:b w:val="0"/>
          <w:bCs/>
          <w:color w:val="000000"/>
          <w:sz w:val="44"/>
          <w:szCs w:val="44"/>
          <w:lang w:eastAsia="zh-CN"/>
        </w:rPr>
        <w:t>第三部分</w:t>
      </w:r>
      <w:r>
        <w:rPr>
          <w:rFonts w:hint="eastAsia" w:ascii="方正小标宋_GBK" w:hAnsi="方正小标宋_GBK" w:eastAsia="方正小标宋_GBK" w:cs="方正小标宋_GBK"/>
          <w:b w:val="0"/>
          <w:bCs/>
          <w:color w:val="000000"/>
          <w:sz w:val="44"/>
          <w:szCs w:val="44"/>
          <w:lang w:val="en-US" w:eastAsia="zh-CN"/>
        </w:rPr>
        <w:t xml:space="preserve"> </w:t>
      </w:r>
      <w:r>
        <w:rPr>
          <w:rFonts w:hint="eastAsia" w:ascii="方正小标宋_GBK" w:hAnsi="方正小标宋_GBK" w:eastAsia="方正小标宋_GBK" w:cs="方正小标宋_GBK"/>
          <w:b w:val="0"/>
          <w:bCs/>
          <w:color w:val="000000"/>
          <w:sz w:val="44"/>
          <w:szCs w:val="44"/>
        </w:rPr>
        <w:t>名</w:t>
      </w:r>
      <w:r>
        <w:rPr>
          <w:rStyle w:val="37"/>
          <w:rFonts w:hint="eastAsia" w:ascii="方正小标宋_GBK" w:hAnsi="方正小标宋_GBK" w:eastAsia="方正小标宋_GBK" w:cs="方正小标宋_GBK"/>
          <w:b w:val="0"/>
          <w:bCs/>
          <w:sz w:val="44"/>
          <w:szCs w:val="44"/>
        </w:rPr>
        <w:t>词解释</w:t>
      </w:r>
      <w:bookmarkEnd w:id="53"/>
      <w:bookmarkEnd w:id="54"/>
    </w:p>
    <w:p>
      <w:pPr>
        <w:spacing w:line="600" w:lineRule="exact"/>
        <w:jc w:val="left"/>
        <w:rPr>
          <w:rFonts w:ascii="宋体"/>
          <w:b/>
          <w:color w:val="000000"/>
          <w:sz w:val="44"/>
          <w:szCs w:val="44"/>
        </w:rPr>
      </w:pPr>
    </w:p>
    <w:p>
      <w:pPr>
        <w:ind w:firstLine="640" w:firstLineChars="200"/>
        <w:rPr>
          <w:rFonts w:ascii="仿宋_GB2312" w:eastAsia="仿宋_GB2312"/>
          <w:color w:val="auto"/>
          <w:sz w:val="32"/>
          <w:szCs w:val="32"/>
        </w:rPr>
      </w:pPr>
      <w:bookmarkStart w:id="55" w:name="_Toc15396614"/>
      <w:bookmarkStart w:id="56" w:name="_Toc15377226"/>
      <w:r>
        <w:rPr>
          <w:rFonts w:hint="eastAsia" w:ascii="仿宋_GB2312" w:eastAsia="仿宋_GB2312"/>
          <w:color w:val="auto"/>
          <w:sz w:val="32"/>
          <w:szCs w:val="32"/>
          <w:lang w:eastAsia="zh-CN"/>
        </w:rPr>
        <w:t>一、</w:t>
      </w:r>
      <w:r>
        <w:rPr>
          <w:rFonts w:hint="eastAsia" w:ascii="仿宋_GB2312" w:eastAsia="仿宋_GB2312"/>
          <w:color w:val="auto"/>
          <w:sz w:val="32"/>
          <w:szCs w:val="32"/>
        </w:rPr>
        <w:t>财政拨款收入：指单位从同级财政部门取得的财政预算资金。</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事业收入：指事业单位开展专业业务活动及辅助活动取得的收入。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经营收入：指事业单位在专业业务活动及其辅助活动之外开展非独立核算经营活动取得的收入。</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其他收入：指单位取得的除上述收入以外的各项收入。主要是</w:t>
      </w:r>
      <w:r>
        <w:rPr>
          <w:rFonts w:hint="eastAsia" w:ascii="仿宋_GB2312" w:hAnsi="仿宋" w:eastAsia="仿宋_GB2312" w:cs="仿宋"/>
          <w:color w:val="000000"/>
          <w:spacing w:val="6"/>
          <w:sz w:val="32"/>
          <w:szCs w:val="32"/>
        </w:rPr>
        <w:t>本级横向拨款</w:t>
      </w:r>
      <w:r>
        <w:rPr>
          <w:rFonts w:hint="eastAsia" w:ascii="仿宋_GB2312" w:hAnsi="仿宋" w:eastAsia="仿宋_GB2312" w:cs="仿宋"/>
          <w:color w:val="000000"/>
          <w:spacing w:val="6"/>
          <w:sz w:val="32"/>
          <w:szCs w:val="32"/>
          <w:lang w:val="en-US" w:eastAsia="zh-CN"/>
        </w:rPr>
        <w:t>46.94万</w:t>
      </w:r>
      <w:r>
        <w:rPr>
          <w:rFonts w:hint="eastAsia" w:ascii="仿宋_GB2312" w:hAnsi="仿宋" w:eastAsia="仿宋_GB2312" w:cs="仿宋"/>
          <w:color w:val="000000"/>
          <w:spacing w:val="6"/>
          <w:sz w:val="32"/>
          <w:szCs w:val="32"/>
        </w:rPr>
        <w:t>元和项目实施工作经费</w:t>
      </w:r>
      <w:r>
        <w:rPr>
          <w:rFonts w:hint="eastAsia" w:ascii="仿宋_GB2312" w:hAnsi="仿宋" w:eastAsia="仿宋_GB2312" w:cs="仿宋"/>
          <w:color w:val="000000"/>
          <w:spacing w:val="6"/>
          <w:sz w:val="32"/>
          <w:szCs w:val="32"/>
          <w:lang w:val="en-US" w:eastAsia="zh-CN"/>
        </w:rPr>
        <w:t>133万</w:t>
      </w:r>
      <w:r>
        <w:rPr>
          <w:rFonts w:hint="eastAsia" w:ascii="仿宋_GB2312" w:hAnsi="仿宋" w:eastAsia="仿宋_GB2312" w:cs="仿宋"/>
          <w:color w:val="000000"/>
          <w:spacing w:val="6"/>
          <w:sz w:val="32"/>
          <w:szCs w:val="32"/>
        </w:rPr>
        <w:t>元</w:t>
      </w:r>
      <w:r>
        <w:rPr>
          <w:rFonts w:hint="eastAsia" w:ascii="仿宋_GB2312" w:eastAsia="仿宋_GB2312"/>
          <w:color w:val="auto"/>
          <w:sz w:val="32"/>
          <w:szCs w:val="32"/>
        </w:rPr>
        <w:t>。</w:t>
      </w:r>
      <w:r>
        <w:rPr>
          <w:rFonts w:ascii="仿宋_GB2312" w:eastAsia="仿宋_GB2312"/>
          <w:color w:val="auto"/>
          <w:sz w:val="32"/>
          <w:szCs w:val="32"/>
        </w:rPr>
        <w:t xml:space="preserve"> </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七、</w:t>
      </w:r>
      <w:r>
        <w:rPr>
          <w:rFonts w:hint="eastAsia" w:ascii="仿宋_GB2312" w:eastAsia="仿宋_GB2312"/>
          <w:color w:val="auto"/>
          <w:sz w:val="32"/>
          <w:szCs w:val="32"/>
        </w:rPr>
        <w:t>结余分配：指事业单位按照会计制度规定缴纳的所得税、提取的专用结余以及转入非财政拨款结余的金额等。</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八、</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九</w:t>
      </w:r>
      <w:r>
        <w:rPr>
          <w:rFonts w:ascii="仿宋_GB2312" w:eastAsia="仿宋_GB2312"/>
          <w:color w:val="000000"/>
          <w:sz w:val="32"/>
          <w:szCs w:val="32"/>
        </w:rPr>
        <w:t>.</w:t>
      </w:r>
      <w:r>
        <w:rPr>
          <w:rStyle w:val="16"/>
          <w:rFonts w:hint="eastAsia" w:ascii="仿宋_GB2312" w:eastAsia="仿宋_GB2312"/>
          <w:b w:val="0"/>
          <w:color w:val="000000"/>
          <w:sz w:val="32"/>
          <w:szCs w:val="32"/>
        </w:rPr>
        <w:t>一般公共服务（类）政府办公厅（室）及相关机关机构事务（款）行政运行（项）</w:t>
      </w:r>
      <w:r>
        <w:rPr>
          <w:rFonts w:hint="eastAsia" w:ascii="仿宋_GB2312" w:eastAsia="仿宋_GB2312"/>
          <w:color w:val="000000"/>
          <w:sz w:val="32"/>
          <w:szCs w:val="32"/>
        </w:rPr>
        <w:t>：指反映行政单位（包括实行公务员管理的事业单位）的基本支出。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6"/>
          <w:rFonts w:ascii="仿宋_GB2312" w:eastAsia="仿宋_GB2312"/>
          <w:b w:val="0"/>
          <w:color w:val="000000"/>
          <w:sz w:val="32"/>
          <w:szCs w:val="32"/>
        </w:rPr>
      </w:pPr>
      <w:r>
        <w:rPr>
          <w:rFonts w:hint="eastAsia" w:ascii="仿宋_GB2312" w:eastAsia="仿宋_GB2312"/>
          <w:color w:val="000000"/>
          <w:sz w:val="32"/>
          <w:szCs w:val="32"/>
          <w:lang w:eastAsia="zh-CN"/>
        </w:rPr>
        <w:t>十、</w:t>
      </w:r>
      <w:r>
        <w:rPr>
          <w:rStyle w:val="16"/>
          <w:rFonts w:hint="eastAsia" w:ascii="仿宋_GB2312" w:eastAsia="仿宋_GB2312"/>
          <w:b w:val="0"/>
          <w:color w:val="000000"/>
          <w:sz w:val="32"/>
          <w:szCs w:val="32"/>
        </w:rPr>
        <w:t>一般公共服务（类）政府办公厅（室）及相关机关机构事务（款）一般行政管理事务（项）：指反映行政单位（包括实行公务员管理的事业单位）未单独设置项级科目的其他项目支出。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6"/>
          <w:rFonts w:hint="eastAsia" w:ascii="仿宋_GB2312" w:eastAsia="仿宋_GB2312"/>
          <w:b w:val="0"/>
          <w:color w:val="000000"/>
          <w:sz w:val="32"/>
          <w:szCs w:val="32"/>
          <w:lang w:eastAsia="zh-CN"/>
        </w:rPr>
      </w:pPr>
      <w:r>
        <w:rPr>
          <w:rFonts w:hint="eastAsia" w:ascii="仿宋_GB2312" w:eastAsia="仿宋_GB2312"/>
          <w:color w:val="000000"/>
          <w:sz w:val="32"/>
          <w:szCs w:val="32"/>
          <w:lang w:eastAsia="zh-CN"/>
        </w:rPr>
        <w:t>十一、</w:t>
      </w:r>
      <w:r>
        <w:rPr>
          <w:rStyle w:val="16"/>
          <w:rFonts w:hint="eastAsia" w:ascii="仿宋_GB2312" w:eastAsia="仿宋_GB2312"/>
          <w:b w:val="0"/>
          <w:color w:val="000000"/>
          <w:sz w:val="32"/>
          <w:szCs w:val="32"/>
        </w:rPr>
        <w:t>一般公共服务（类）政府办公厅（室）及相关机关机构事务（款）</w:t>
      </w:r>
      <w:r>
        <w:rPr>
          <w:rStyle w:val="16"/>
          <w:rFonts w:hint="eastAsia" w:ascii="仿宋_GB2312" w:eastAsia="仿宋_GB2312"/>
          <w:b w:val="0"/>
          <w:color w:val="000000"/>
          <w:sz w:val="32"/>
          <w:szCs w:val="32"/>
          <w:lang w:eastAsia="zh-CN"/>
        </w:rPr>
        <w:t>其他</w:t>
      </w:r>
      <w:r>
        <w:rPr>
          <w:rStyle w:val="16"/>
          <w:rFonts w:hint="eastAsia" w:ascii="仿宋_GB2312" w:eastAsia="仿宋_GB2312"/>
          <w:b w:val="0"/>
          <w:color w:val="000000"/>
          <w:sz w:val="32"/>
          <w:szCs w:val="32"/>
        </w:rPr>
        <w:t>政府办公厅（室）及相关机关机构事务（项）：指反映</w:t>
      </w:r>
      <w:r>
        <w:rPr>
          <w:rStyle w:val="16"/>
          <w:rFonts w:hint="eastAsia" w:ascii="仿宋_GB2312" w:eastAsia="仿宋_GB2312"/>
          <w:b w:val="0"/>
          <w:color w:val="000000"/>
          <w:sz w:val="32"/>
          <w:szCs w:val="32"/>
          <w:lang w:eastAsia="zh-CN"/>
        </w:rPr>
        <w:t>指上述项目以外的其他政府办公厅（室）相关机构事务支出。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lang w:eastAsia="zh-CN"/>
        </w:rPr>
        <w:t>十二、</w:t>
      </w:r>
      <w:r>
        <w:rPr>
          <w:rStyle w:val="16"/>
          <w:rFonts w:hint="eastAsia" w:ascii="仿宋_GB2312" w:eastAsia="仿宋_GB2312"/>
          <w:b w:val="0"/>
          <w:color w:val="000000"/>
          <w:sz w:val="32"/>
          <w:szCs w:val="32"/>
        </w:rPr>
        <w:t>文化体育与传媒（类）文化（款）群众文化（项）</w:t>
      </w:r>
      <w:r>
        <w:rPr>
          <w:rStyle w:val="16"/>
          <w:rFonts w:ascii="仿宋_GB2312" w:eastAsia="仿宋_GB2312"/>
          <w:b w:val="0"/>
          <w:color w:val="000000"/>
          <w:sz w:val="32"/>
          <w:szCs w:val="32"/>
        </w:rPr>
        <w:t>:</w:t>
      </w:r>
      <w:r>
        <w:rPr>
          <w:rFonts w:hint="eastAsia" w:ascii="仿宋_GB2312" w:eastAsia="仿宋_GB2312"/>
          <w:color w:val="000000"/>
          <w:sz w:val="32"/>
          <w:szCs w:val="32"/>
        </w:rPr>
        <w:t>指群众文化方面的支出，包括基层文化馆（部）、群众艺术馆支出等。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lang w:eastAsia="zh-CN"/>
        </w:rPr>
        <w:t>十三、</w:t>
      </w:r>
      <w:r>
        <w:rPr>
          <w:rStyle w:val="16"/>
          <w:rFonts w:hint="eastAsia" w:ascii="仿宋_GB2312" w:eastAsia="仿宋_GB2312"/>
          <w:b w:val="0"/>
          <w:color w:val="000000"/>
          <w:sz w:val="32"/>
          <w:szCs w:val="32"/>
        </w:rPr>
        <w:t>社会保障和就业（类）人力资源和社会保障管理事务（款）劳动保障监察（项）</w:t>
      </w:r>
      <w:r>
        <w:rPr>
          <w:rStyle w:val="16"/>
          <w:rFonts w:ascii="仿宋_GB2312" w:eastAsia="仿宋_GB2312"/>
          <w:b w:val="0"/>
          <w:color w:val="000000"/>
          <w:sz w:val="32"/>
          <w:szCs w:val="32"/>
        </w:rPr>
        <w:t>:</w:t>
      </w:r>
      <w:r>
        <w:rPr>
          <w:rFonts w:hint="eastAsia" w:ascii="仿宋_GB2312" w:eastAsia="仿宋_GB2312"/>
          <w:color w:val="000000"/>
          <w:sz w:val="32"/>
          <w:szCs w:val="32"/>
        </w:rPr>
        <w:t>指反映劳动保障监察事务支出。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lang w:eastAsia="zh-CN"/>
        </w:rPr>
        <w:t>十四、</w:t>
      </w:r>
      <w:r>
        <w:rPr>
          <w:rStyle w:val="16"/>
          <w:rFonts w:hint="eastAsia" w:ascii="仿宋_GB2312" w:eastAsia="仿宋_GB2312"/>
          <w:b w:val="0"/>
          <w:color w:val="000000"/>
          <w:sz w:val="32"/>
          <w:szCs w:val="32"/>
        </w:rPr>
        <w:t>社会保障和就业（类）民政管理事务（款）基层政权和社区</w:t>
      </w:r>
      <w:r>
        <w:rPr>
          <w:rStyle w:val="16"/>
          <w:rFonts w:hint="eastAsia" w:ascii="仿宋_GB2312" w:eastAsia="仿宋_GB2312"/>
          <w:b w:val="0"/>
          <w:color w:val="000000"/>
          <w:sz w:val="32"/>
          <w:szCs w:val="32"/>
          <w:lang w:eastAsia="zh-CN"/>
        </w:rPr>
        <w:t>治理</w:t>
      </w:r>
      <w:r>
        <w:rPr>
          <w:rStyle w:val="16"/>
          <w:rFonts w:hint="eastAsia" w:ascii="仿宋_GB2312" w:eastAsia="仿宋_GB2312"/>
          <w:b w:val="0"/>
          <w:color w:val="000000"/>
          <w:sz w:val="32"/>
          <w:szCs w:val="32"/>
        </w:rPr>
        <w:t>（项）</w:t>
      </w:r>
      <w:r>
        <w:rPr>
          <w:rStyle w:val="16"/>
          <w:rFonts w:ascii="仿宋_GB2312" w:eastAsia="仿宋_GB2312"/>
          <w:b w:val="0"/>
          <w:color w:val="000000"/>
          <w:sz w:val="32"/>
          <w:szCs w:val="32"/>
        </w:rPr>
        <w:t>:</w:t>
      </w:r>
      <w:r>
        <w:rPr>
          <w:rFonts w:hint="eastAsia" w:ascii="仿宋_GB2312" w:eastAsia="仿宋_GB2312"/>
          <w:color w:val="000000"/>
          <w:sz w:val="32"/>
          <w:szCs w:val="32"/>
        </w:rPr>
        <w:t>反映开展村民自治、村务公开等基层政权和社区建设工作的支出。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lang w:eastAsia="zh-CN"/>
        </w:rPr>
        <w:t>十五、</w:t>
      </w:r>
      <w:r>
        <w:rPr>
          <w:rStyle w:val="16"/>
          <w:rFonts w:hint="eastAsia" w:ascii="仿宋_GB2312" w:eastAsia="仿宋_GB2312"/>
          <w:b w:val="0"/>
          <w:color w:val="000000"/>
          <w:sz w:val="32"/>
          <w:szCs w:val="32"/>
        </w:rPr>
        <w:t>社会保障和就业（类）行政事业单位</w:t>
      </w:r>
      <w:r>
        <w:rPr>
          <w:rStyle w:val="16"/>
          <w:rFonts w:hint="eastAsia" w:ascii="仿宋_GB2312" w:eastAsia="仿宋_GB2312"/>
          <w:b w:val="0"/>
          <w:color w:val="000000"/>
          <w:sz w:val="32"/>
          <w:szCs w:val="32"/>
          <w:lang w:eastAsia="zh-CN"/>
        </w:rPr>
        <w:t>养老支出</w:t>
      </w:r>
      <w:r>
        <w:rPr>
          <w:rStyle w:val="16"/>
          <w:rFonts w:hint="eastAsia" w:ascii="仿宋_GB2312" w:eastAsia="仿宋_GB2312"/>
          <w:b w:val="0"/>
          <w:color w:val="000000"/>
          <w:sz w:val="32"/>
          <w:szCs w:val="32"/>
        </w:rPr>
        <w:t>（款）机关事业单位基本养老保险缴费支出（项）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反映机关事业单位实施养老保险制度由单位缴纳的养老保险费支出。</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Style w:val="16"/>
          <w:rFonts w:ascii="仿宋_GB2312" w:eastAsia="仿宋_GB2312"/>
          <w:b w:val="0"/>
          <w:color w:val="000000"/>
          <w:sz w:val="32"/>
          <w:szCs w:val="32"/>
        </w:rPr>
      </w:pPr>
      <w:r>
        <w:rPr>
          <w:rStyle w:val="16"/>
          <w:rFonts w:ascii="仿宋_GB2312" w:eastAsia="仿宋_GB2312"/>
          <w:b w:val="0"/>
          <w:color w:val="000000"/>
          <w:sz w:val="32"/>
          <w:szCs w:val="32"/>
        </w:rPr>
        <w:t xml:space="preserve"> </w:t>
      </w:r>
      <w:r>
        <w:rPr>
          <w:rStyle w:val="16"/>
          <w:rFonts w:hint="eastAsia" w:ascii="仿宋_GB2312" w:eastAsia="仿宋_GB2312"/>
          <w:b w:val="0"/>
          <w:color w:val="000000"/>
          <w:sz w:val="32"/>
          <w:szCs w:val="32"/>
          <w:lang w:eastAsia="zh-CN"/>
        </w:rPr>
        <w:t>十六、</w:t>
      </w:r>
      <w:r>
        <w:rPr>
          <w:rStyle w:val="16"/>
          <w:rFonts w:hint="eastAsia" w:ascii="仿宋_GB2312" w:eastAsia="仿宋_GB2312"/>
          <w:b w:val="0"/>
          <w:color w:val="000000"/>
          <w:sz w:val="32"/>
          <w:szCs w:val="32"/>
        </w:rPr>
        <w:t>社会保障和就业（类）行政事业单位</w:t>
      </w:r>
      <w:r>
        <w:rPr>
          <w:rStyle w:val="16"/>
          <w:rFonts w:hint="eastAsia" w:ascii="仿宋_GB2312" w:eastAsia="仿宋_GB2312"/>
          <w:b w:val="0"/>
          <w:color w:val="000000"/>
          <w:sz w:val="32"/>
          <w:szCs w:val="32"/>
          <w:lang w:eastAsia="zh-CN"/>
        </w:rPr>
        <w:t>养老支出</w:t>
      </w:r>
      <w:r>
        <w:rPr>
          <w:rStyle w:val="16"/>
          <w:rFonts w:hint="eastAsia" w:ascii="仿宋_GB2312" w:eastAsia="仿宋_GB2312"/>
          <w:b w:val="0"/>
          <w:color w:val="000000"/>
          <w:sz w:val="32"/>
          <w:szCs w:val="32"/>
        </w:rPr>
        <w:t>（款）机关事业单位职业年金缴费支出（项）：反映</w:t>
      </w:r>
      <w:r>
        <w:rPr>
          <w:rStyle w:val="16"/>
          <w:rFonts w:hint="eastAsia" w:ascii="仿宋_GB2312" w:eastAsia="仿宋_GB2312"/>
          <w:b w:val="0"/>
          <w:color w:val="000000"/>
          <w:sz w:val="32"/>
          <w:szCs w:val="32"/>
          <w:lang w:eastAsia="zh-CN"/>
        </w:rPr>
        <w:t>机关</w:t>
      </w:r>
      <w:r>
        <w:rPr>
          <w:rStyle w:val="16"/>
          <w:rFonts w:hint="eastAsia" w:ascii="仿宋_GB2312" w:eastAsia="仿宋_GB2312"/>
          <w:b w:val="0"/>
          <w:color w:val="000000"/>
          <w:sz w:val="32"/>
          <w:szCs w:val="32"/>
        </w:rPr>
        <w:t>事业单位实施养老保险制度由单位实际缴纳的职业年金支出。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lang w:eastAsia="zh-CN"/>
        </w:rPr>
        <w:t>十七、</w:t>
      </w:r>
      <w:r>
        <w:rPr>
          <w:rStyle w:val="16"/>
          <w:rFonts w:hint="eastAsia" w:ascii="仿宋_GB2312" w:eastAsia="仿宋_GB2312"/>
          <w:b w:val="0"/>
          <w:color w:val="000000"/>
          <w:sz w:val="32"/>
          <w:szCs w:val="32"/>
        </w:rPr>
        <w:t>社会保障和就业（类）抚恤（款）</w:t>
      </w:r>
      <w:r>
        <w:rPr>
          <w:rStyle w:val="16"/>
          <w:rFonts w:hint="eastAsia" w:ascii="仿宋_GB2312" w:eastAsia="仿宋_GB2312"/>
          <w:b w:val="0"/>
          <w:color w:val="000000"/>
          <w:sz w:val="32"/>
          <w:szCs w:val="32"/>
          <w:lang w:eastAsia="zh-CN"/>
        </w:rPr>
        <w:t>其他优抚支出</w:t>
      </w:r>
      <w:r>
        <w:rPr>
          <w:rStyle w:val="16"/>
          <w:rFonts w:hint="eastAsia" w:ascii="仿宋_GB2312" w:eastAsia="仿宋_GB2312"/>
          <w:b w:val="0"/>
          <w:color w:val="000000"/>
          <w:sz w:val="32"/>
          <w:szCs w:val="32"/>
        </w:rPr>
        <w:t>（项）</w:t>
      </w:r>
      <w:r>
        <w:rPr>
          <w:rStyle w:val="16"/>
          <w:rFonts w:ascii="仿宋_GB2312" w:eastAsia="仿宋_GB2312"/>
          <w:b w:val="0"/>
          <w:color w:val="000000"/>
          <w:sz w:val="32"/>
          <w:szCs w:val="32"/>
        </w:rPr>
        <w:t>:</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除上述项目以外其他退役安置方面的支出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lang w:eastAsia="zh-CN"/>
        </w:rPr>
        <w:t>十八、</w:t>
      </w:r>
      <w:r>
        <w:rPr>
          <w:rStyle w:val="16"/>
          <w:rFonts w:hint="eastAsia" w:ascii="仿宋_GB2312" w:eastAsia="仿宋_GB2312"/>
          <w:b w:val="0"/>
          <w:color w:val="000000"/>
          <w:sz w:val="32"/>
          <w:szCs w:val="32"/>
        </w:rPr>
        <w:t>社会保障和就业（类）</w:t>
      </w:r>
      <w:r>
        <w:rPr>
          <w:rStyle w:val="16"/>
          <w:rFonts w:hint="eastAsia" w:ascii="仿宋_GB2312" w:eastAsia="仿宋_GB2312"/>
          <w:b w:val="0"/>
          <w:color w:val="000000"/>
          <w:sz w:val="32"/>
          <w:szCs w:val="32"/>
          <w:lang w:eastAsia="zh-CN"/>
        </w:rPr>
        <w:t>其他社会保障和就业支出</w:t>
      </w:r>
      <w:r>
        <w:rPr>
          <w:rStyle w:val="16"/>
          <w:rFonts w:hint="eastAsia" w:ascii="仿宋_GB2312" w:eastAsia="仿宋_GB2312"/>
          <w:b w:val="0"/>
          <w:color w:val="000000"/>
          <w:sz w:val="32"/>
          <w:szCs w:val="32"/>
        </w:rPr>
        <w:t>（款）</w:t>
      </w:r>
      <w:r>
        <w:rPr>
          <w:rStyle w:val="16"/>
          <w:rFonts w:hint="eastAsia" w:ascii="仿宋_GB2312" w:eastAsia="仿宋_GB2312"/>
          <w:b w:val="0"/>
          <w:color w:val="000000"/>
          <w:sz w:val="32"/>
          <w:szCs w:val="32"/>
          <w:lang w:eastAsia="zh-CN"/>
        </w:rPr>
        <w:t>其他社会保障和就业支出</w:t>
      </w:r>
      <w:r>
        <w:rPr>
          <w:rStyle w:val="16"/>
          <w:rFonts w:hint="eastAsia" w:ascii="仿宋_GB2312" w:eastAsia="仿宋_GB2312"/>
          <w:b w:val="0"/>
          <w:color w:val="000000"/>
          <w:sz w:val="32"/>
          <w:szCs w:val="32"/>
        </w:rPr>
        <w:t>（项）</w:t>
      </w:r>
      <w:r>
        <w:rPr>
          <w:rStyle w:val="16"/>
          <w:rFonts w:ascii="仿宋_GB2312" w:eastAsia="仿宋_GB2312"/>
          <w:b w:val="0"/>
          <w:color w:val="000000"/>
          <w:sz w:val="32"/>
          <w:szCs w:val="32"/>
        </w:rPr>
        <w:t>:</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除上述项目以外</w:t>
      </w:r>
      <w:r>
        <w:rPr>
          <w:rStyle w:val="16"/>
          <w:rFonts w:hint="eastAsia" w:ascii="仿宋_GB2312" w:eastAsia="仿宋_GB2312"/>
          <w:b w:val="0"/>
          <w:color w:val="000000"/>
          <w:sz w:val="32"/>
          <w:szCs w:val="32"/>
          <w:lang w:eastAsia="zh-CN"/>
        </w:rPr>
        <w:t>其他社会保障和就业方面</w:t>
      </w:r>
      <w:r>
        <w:rPr>
          <w:rFonts w:hint="eastAsia" w:ascii="仿宋_GB2312" w:eastAsia="仿宋_GB2312"/>
          <w:color w:val="000000"/>
          <w:sz w:val="32"/>
          <w:szCs w:val="32"/>
          <w:lang w:eastAsia="zh-CN"/>
        </w:rPr>
        <w:t>的支出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eastAsia="仿宋_GB2312"/>
          <w:color w:val="000000"/>
          <w:sz w:val="32"/>
          <w:szCs w:val="32"/>
          <w:lang w:val="en-US" w:eastAsia="zh-CN"/>
        </w:rPr>
      </w:pPr>
      <w:r>
        <w:rPr>
          <w:rStyle w:val="16"/>
          <w:rFonts w:hint="eastAsia" w:ascii="仿宋_GB2312" w:eastAsia="仿宋_GB2312"/>
          <w:b w:val="0"/>
          <w:color w:val="000000"/>
          <w:sz w:val="32"/>
          <w:szCs w:val="32"/>
          <w:lang w:eastAsia="zh-CN"/>
        </w:rPr>
        <w:t>十九、卫生健康支出</w:t>
      </w:r>
      <w:r>
        <w:rPr>
          <w:rStyle w:val="16"/>
          <w:rFonts w:hint="eastAsia" w:ascii="仿宋_GB2312" w:eastAsia="仿宋_GB2312"/>
          <w:b w:val="0"/>
          <w:color w:val="000000"/>
          <w:sz w:val="32"/>
          <w:szCs w:val="32"/>
        </w:rPr>
        <w:t>（类）</w:t>
      </w:r>
      <w:r>
        <w:rPr>
          <w:rStyle w:val="16"/>
          <w:rFonts w:hint="eastAsia" w:ascii="仿宋_GB2312" w:eastAsia="仿宋_GB2312"/>
          <w:b w:val="0"/>
          <w:color w:val="000000"/>
          <w:sz w:val="32"/>
          <w:szCs w:val="32"/>
          <w:lang w:eastAsia="zh-CN"/>
        </w:rPr>
        <w:t>行政事业单位</w:t>
      </w:r>
      <w:r>
        <w:rPr>
          <w:rStyle w:val="16"/>
          <w:rFonts w:hint="eastAsia" w:ascii="仿宋_GB2312" w:eastAsia="仿宋_GB2312"/>
          <w:b w:val="0"/>
          <w:color w:val="000000"/>
          <w:sz w:val="32"/>
          <w:szCs w:val="32"/>
        </w:rPr>
        <w:t>医疗（款）行政单位医疗（项）</w:t>
      </w:r>
      <w:r>
        <w:rPr>
          <w:rStyle w:val="16"/>
          <w:rFonts w:ascii="仿宋_GB2312" w:eastAsia="仿宋_GB2312"/>
          <w:b w:val="0"/>
          <w:color w:val="000000"/>
          <w:sz w:val="32"/>
          <w:szCs w:val="32"/>
        </w:rPr>
        <w:t>:</w:t>
      </w:r>
      <w:r>
        <w:rPr>
          <w:rFonts w:hint="eastAsia" w:ascii="仿宋_GB2312" w:eastAsia="仿宋_GB2312"/>
          <w:color w:val="000000"/>
          <w:sz w:val="32"/>
          <w:szCs w:val="32"/>
        </w:rPr>
        <w:t>指反映财政部门集中安排的行政单位基本医疗保险缴费经费</w:t>
      </w:r>
      <w:r>
        <w:rPr>
          <w:rFonts w:hint="eastAsia" w:ascii="仿宋_GB2312" w:eastAsia="仿宋_GB2312"/>
          <w:color w:val="000000"/>
          <w:sz w:val="32"/>
          <w:szCs w:val="32"/>
          <w:lang w:eastAsia="zh-CN"/>
        </w:rPr>
        <w:t>，未参加医疗保险的行政单位的公费医疗经费，按国家规定享受离休人员、红军老战士待遇人员的医疗经费。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二十、</w:t>
      </w:r>
      <w:r>
        <w:rPr>
          <w:rFonts w:hint="eastAsia" w:ascii="仿宋_GB2312" w:eastAsia="仿宋_GB2312"/>
          <w:color w:val="000000"/>
          <w:sz w:val="32"/>
          <w:szCs w:val="32"/>
        </w:rPr>
        <w:t>城乡社区支出（类）城乡社区</w:t>
      </w:r>
      <w:r>
        <w:rPr>
          <w:rFonts w:hint="eastAsia" w:ascii="仿宋_GB2312" w:eastAsia="仿宋_GB2312"/>
          <w:color w:val="000000"/>
          <w:sz w:val="32"/>
          <w:szCs w:val="32"/>
          <w:lang w:eastAsia="zh-CN"/>
        </w:rPr>
        <w:t>公共设施</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其他城乡社区公共设施支出</w:t>
      </w:r>
      <w:r>
        <w:rPr>
          <w:rFonts w:hint="eastAsia" w:ascii="仿宋_GB2312" w:eastAsia="仿宋_GB2312"/>
          <w:color w:val="000000"/>
          <w:sz w:val="32"/>
          <w:szCs w:val="32"/>
        </w:rPr>
        <w:t>（项）：反映</w:t>
      </w:r>
      <w:r>
        <w:rPr>
          <w:rFonts w:hint="eastAsia" w:ascii="仿宋_GB2312" w:eastAsia="仿宋_GB2312"/>
          <w:color w:val="000000"/>
          <w:sz w:val="32"/>
          <w:szCs w:val="32"/>
          <w:lang w:eastAsia="zh-CN"/>
        </w:rPr>
        <w:t>除上述以外用于城乡社区公共设施方面的支出。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二十一、</w:t>
      </w:r>
      <w:r>
        <w:rPr>
          <w:rFonts w:hint="eastAsia" w:ascii="仿宋_GB2312" w:eastAsia="仿宋_GB2312"/>
          <w:color w:val="000000"/>
          <w:sz w:val="32"/>
          <w:szCs w:val="32"/>
        </w:rPr>
        <w:t>城乡社区支出（类）城乡社区环境卫生（款）城乡社区环境卫生（项）：反映城乡社区道路清扫、垃圾清运与处理、公布建设与维护、园林绿化等方面的支出。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二十二、</w:t>
      </w:r>
      <w:r>
        <w:rPr>
          <w:rFonts w:hint="eastAsia" w:ascii="仿宋_GB2312" w:eastAsia="仿宋_GB2312"/>
          <w:color w:val="000000"/>
          <w:sz w:val="32"/>
          <w:szCs w:val="32"/>
        </w:rPr>
        <w:t>城乡社区支出（类）</w:t>
      </w:r>
      <w:r>
        <w:rPr>
          <w:rFonts w:hint="eastAsia" w:ascii="仿宋_GB2312" w:eastAsia="仿宋_GB2312"/>
          <w:color w:val="000000"/>
          <w:sz w:val="32"/>
          <w:szCs w:val="32"/>
          <w:lang w:eastAsia="zh-CN"/>
        </w:rPr>
        <w:t>国有土地使用权出让收入安排的支出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征地拆迁补偿支出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：反映新疆生产建设兵团和地方政府在征地和收购土地过程中支付的土地补偿费、安置补助费、地上附着和青苗补偿费、拆迁补偿费支出。</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b w:val="0"/>
          <w:bCs w:val="0"/>
          <w:sz w:val="32"/>
          <w:szCs w:val="32"/>
          <w:lang w:eastAsia="zh-CN"/>
        </w:rPr>
      </w:pPr>
      <w:r>
        <w:rPr>
          <w:rFonts w:hint="eastAsia" w:ascii="仿宋_GB2312" w:eastAsia="仿宋_GB2312"/>
          <w:b w:val="0"/>
          <w:bCs w:val="0"/>
          <w:color w:val="000000"/>
          <w:sz w:val="32"/>
          <w:szCs w:val="32"/>
          <w:lang w:val="en-US" w:eastAsia="zh-CN"/>
        </w:rPr>
        <w:t xml:space="preserve">  </w:t>
      </w:r>
      <w:r>
        <w:rPr>
          <w:rFonts w:hint="eastAsia" w:ascii="仿宋_GB2312" w:eastAsia="仿宋_GB2312"/>
          <w:b w:val="0"/>
          <w:bCs w:val="0"/>
          <w:color w:val="000000"/>
          <w:sz w:val="32"/>
          <w:szCs w:val="32"/>
          <w:lang w:eastAsia="zh-CN"/>
        </w:rPr>
        <w:t>二十三、</w:t>
      </w:r>
      <w:r>
        <w:rPr>
          <w:rFonts w:hint="eastAsia" w:ascii="仿宋_GB2312" w:eastAsia="仿宋_GB2312"/>
          <w:b w:val="0"/>
          <w:bCs w:val="0"/>
          <w:color w:val="000000"/>
          <w:sz w:val="32"/>
          <w:szCs w:val="32"/>
        </w:rPr>
        <w:t>城乡社区支出（类）</w:t>
      </w:r>
      <w:r>
        <w:rPr>
          <w:rFonts w:hint="eastAsia" w:ascii="仿宋_GB2312" w:eastAsia="仿宋_GB2312"/>
          <w:b w:val="0"/>
          <w:bCs w:val="0"/>
          <w:color w:val="000000"/>
          <w:sz w:val="32"/>
          <w:szCs w:val="32"/>
          <w:lang w:eastAsia="zh-CN"/>
        </w:rPr>
        <w:t>国有土地使用权出让收入安排的支出</w:t>
      </w:r>
      <w:r>
        <w:rPr>
          <w:rFonts w:hint="eastAsia" w:ascii="仿宋_GB2312" w:eastAsia="仿宋_GB2312"/>
          <w:b w:val="0"/>
          <w:bCs w:val="0"/>
          <w:color w:val="000000"/>
          <w:sz w:val="32"/>
          <w:szCs w:val="32"/>
        </w:rPr>
        <w:t>（款）</w:t>
      </w:r>
      <w:r>
        <w:rPr>
          <w:rFonts w:hint="eastAsia" w:ascii="仿宋_GB2312" w:eastAsia="仿宋_GB2312"/>
          <w:b w:val="0"/>
          <w:bCs w:val="0"/>
          <w:color w:val="000000"/>
          <w:sz w:val="32"/>
          <w:szCs w:val="32"/>
          <w:lang w:eastAsia="zh-CN"/>
        </w:rPr>
        <w:t>土地开发支出</w:t>
      </w:r>
      <w:r>
        <w:rPr>
          <w:rFonts w:hint="eastAsia" w:ascii="仿宋_GB2312" w:eastAsia="仿宋_GB2312"/>
          <w:b w:val="0"/>
          <w:bCs w:val="0"/>
          <w:color w:val="000000"/>
          <w:sz w:val="32"/>
          <w:szCs w:val="32"/>
        </w:rPr>
        <w:t>（项）</w:t>
      </w:r>
      <w:r>
        <w:rPr>
          <w:rFonts w:hint="eastAsia" w:ascii="仿宋_GB2312" w:eastAsia="仿宋_GB2312"/>
          <w:b w:val="0"/>
          <w:bCs w:val="0"/>
          <w:color w:val="000000"/>
          <w:sz w:val="32"/>
          <w:szCs w:val="32"/>
          <w:lang w:eastAsia="zh-CN"/>
        </w:rPr>
        <w:t>：反映新疆生产建设兵团和地方政府用于前期土地开发支出以及与前期土地开发相关的费用等支出。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6"/>
          <w:rFonts w:ascii="仿宋_GB2312" w:eastAsia="仿宋_GB2312"/>
          <w:b w:val="0"/>
          <w:color w:val="000000"/>
          <w:sz w:val="32"/>
          <w:szCs w:val="32"/>
        </w:rPr>
      </w:pPr>
      <w:r>
        <w:rPr>
          <w:rFonts w:hint="eastAsia" w:ascii="仿宋_GB2312" w:eastAsia="仿宋_GB2312"/>
          <w:b w:val="0"/>
          <w:bCs w:val="0"/>
          <w:color w:val="000000"/>
          <w:sz w:val="32"/>
          <w:szCs w:val="32"/>
          <w:lang w:eastAsia="zh-CN"/>
        </w:rPr>
        <w:t>二十四、</w:t>
      </w:r>
      <w:r>
        <w:rPr>
          <w:rFonts w:hint="eastAsia" w:ascii="仿宋_GB2312" w:eastAsia="仿宋_GB2312"/>
          <w:b w:val="0"/>
          <w:bCs w:val="0"/>
          <w:color w:val="000000"/>
          <w:sz w:val="32"/>
          <w:szCs w:val="32"/>
        </w:rPr>
        <w:t>城乡社区支出（类）</w:t>
      </w:r>
      <w:r>
        <w:rPr>
          <w:rFonts w:hint="eastAsia" w:ascii="仿宋_GB2312" w:eastAsia="仿宋_GB2312"/>
          <w:b w:val="0"/>
          <w:bCs w:val="0"/>
          <w:color w:val="000000"/>
          <w:sz w:val="32"/>
          <w:szCs w:val="32"/>
          <w:lang w:eastAsia="zh-CN"/>
        </w:rPr>
        <w:t>国有土地使用权出让收入安排的支出</w:t>
      </w:r>
      <w:r>
        <w:rPr>
          <w:rFonts w:hint="eastAsia" w:ascii="仿宋_GB2312" w:eastAsia="仿宋_GB2312"/>
          <w:b w:val="0"/>
          <w:bCs w:val="0"/>
          <w:color w:val="000000"/>
          <w:sz w:val="32"/>
          <w:szCs w:val="32"/>
        </w:rPr>
        <w:t>（款）</w:t>
      </w:r>
      <w:r>
        <w:rPr>
          <w:rFonts w:hint="eastAsia" w:ascii="仿宋_GB2312" w:eastAsia="仿宋_GB2312"/>
          <w:b w:val="0"/>
          <w:bCs w:val="0"/>
          <w:color w:val="000000"/>
          <w:sz w:val="32"/>
          <w:szCs w:val="32"/>
          <w:lang w:eastAsia="zh-CN"/>
        </w:rPr>
        <w:t>农村基础设施建设支出</w:t>
      </w:r>
      <w:r>
        <w:rPr>
          <w:rFonts w:hint="eastAsia" w:ascii="仿宋_GB2312" w:eastAsia="仿宋_GB2312"/>
          <w:b w:val="0"/>
          <w:bCs w:val="0"/>
          <w:color w:val="000000"/>
          <w:sz w:val="32"/>
          <w:szCs w:val="32"/>
        </w:rPr>
        <w:t>（项）</w:t>
      </w:r>
      <w:r>
        <w:rPr>
          <w:rFonts w:hint="eastAsia" w:ascii="仿宋_GB2312" w:eastAsia="仿宋_GB2312"/>
          <w:b w:val="0"/>
          <w:bCs w:val="0"/>
          <w:color w:val="000000"/>
          <w:sz w:val="32"/>
          <w:szCs w:val="32"/>
          <w:lang w:eastAsia="zh-CN"/>
        </w:rPr>
        <w:t>：反映土地出让收入用于农村饮水、环境、卫生、教育以及文化等基础设施建设支出。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6"/>
          <w:rFonts w:ascii="仿宋_GB2312" w:eastAsia="仿宋_GB2312"/>
          <w:b w:val="0"/>
          <w:color w:val="000000"/>
          <w:sz w:val="32"/>
          <w:szCs w:val="32"/>
        </w:rPr>
      </w:pPr>
      <w:r>
        <w:rPr>
          <w:rFonts w:hint="eastAsia" w:ascii="仿宋_GB2312" w:eastAsia="仿宋_GB2312"/>
          <w:b w:val="0"/>
          <w:bCs w:val="0"/>
          <w:color w:val="000000"/>
          <w:sz w:val="32"/>
          <w:szCs w:val="32"/>
          <w:lang w:eastAsia="zh-CN"/>
        </w:rPr>
        <w:t>二十五、</w:t>
      </w:r>
      <w:r>
        <w:rPr>
          <w:rFonts w:hint="eastAsia" w:ascii="仿宋_GB2312" w:eastAsia="仿宋_GB2312"/>
          <w:b w:val="0"/>
          <w:bCs w:val="0"/>
          <w:color w:val="000000"/>
          <w:sz w:val="32"/>
          <w:szCs w:val="32"/>
        </w:rPr>
        <w:t>城乡社区支出（类）</w:t>
      </w:r>
      <w:r>
        <w:rPr>
          <w:rFonts w:hint="eastAsia" w:ascii="仿宋_GB2312" w:eastAsia="仿宋_GB2312"/>
          <w:b w:val="0"/>
          <w:bCs w:val="0"/>
          <w:color w:val="000000"/>
          <w:sz w:val="32"/>
          <w:szCs w:val="32"/>
          <w:lang w:eastAsia="zh-CN"/>
        </w:rPr>
        <w:t>国有土地使用权出让收入安排的支出</w:t>
      </w:r>
      <w:r>
        <w:rPr>
          <w:rFonts w:hint="eastAsia" w:ascii="仿宋_GB2312" w:eastAsia="仿宋_GB2312"/>
          <w:b w:val="0"/>
          <w:bCs w:val="0"/>
          <w:color w:val="000000"/>
          <w:sz w:val="32"/>
          <w:szCs w:val="32"/>
        </w:rPr>
        <w:t>（款）</w:t>
      </w:r>
      <w:r>
        <w:rPr>
          <w:rFonts w:hint="eastAsia" w:ascii="仿宋_GB2312" w:eastAsia="仿宋_GB2312"/>
          <w:b w:val="0"/>
          <w:bCs w:val="0"/>
          <w:color w:val="000000"/>
          <w:sz w:val="32"/>
          <w:szCs w:val="32"/>
          <w:lang w:eastAsia="zh-CN"/>
        </w:rPr>
        <w:t>其他国有土地使用权出让收入安排的支出</w:t>
      </w:r>
      <w:r>
        <w:rPr>
          <w:rFonts w:hint="eastAsia" w:ascii="仿宋_GB2312" w:eastAsia="仿宋_GB2312"/>
          <w:b w:val="0"/>
          <w:bCs w:val="0"/>
          <w:color w:val="000000"/>
          <w:sz w:val="32"/>
          <w:szCs w:val="32"/>
        </w:rPr>
        <w:t>（项）</w:t>
      </w:r>
      <w:r>
        <w:rPr>
          <w:rFonts w:hint="eastAsia" w:ascii="仿宋_GB2312" w:eastAsia="仿宋_GB2312"/>
          <w:b w:val="0"/>
          <w:bCs w:val="0"/>
          <w:color w:val="000000"/>
          <w:sz w:val="32"/>
          <w:szCs w:val="32"/>
          <w:lang w:eastAsia="zh-CN"/>
        </w:rPr>
        <w:t>：反映土地出让收入用于其他方面的支出。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lang w:eastAsia="zh-CN"/>
        </w:rPr>
        <w:t>二十六、</w:t>
      </w:r>
      <w:r>
        <w:rPr>
          <w:rStyle w:val="16"/>
          <w:rFonts w:hint="eastAsia" w:ascii="仿宋_GB2312" w:eastAsia="仿宋_GB2312"/>
          <w:b w:val="0"/>
          <w:color w:val="000000"/>
          <w:sz w:val="32"/>
          <w:szCs w:val="32"/>
        </w:rPr>
        <w:t>农林水（类）农业（款）事业运行（项）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指反映用于农业事业单位基本支出，事业单位设施、系统运行与资产维护等方面的支出。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000000"/>
          <w:sz w:val="32"/>
          <w:szCs w:val="32"/>
        </w:rPr>
      </w:pPr>
      <w:r>
        <w:rPr>
          <w:rStyle w:val="16"/>
          <w:rFonts w:hint="eastAsia" w:ascii="仿宋_GB2312" w:eastAsia="仿宋_GB2312"/>
          <w:b w:val="0"/>
          <w:color w:val="000000"/>
          <w:sz w:val="32"/>
          <w:szCs w:val="32"/>
          <w:lang w:eastAsia="zh-CN"/>
        </w:rPr>
        <w:t>二十七、</w:t>
      </w:r>
      <w:r>
        <w:rPr>
          <w:rStyle w:val="16"/>
          <w:rFonts w:hint="eastAsia" w:ascii="仿宋_GB2312" w:eastAsia="仿宋_GB2312"/>
          <w:b w:val="0"/>
          <w:color w:val="000000"/>
          <w:sz w:val="32"/>
          <w:szCs w:val="32"/>
        </w:rPr>
        <w:t>农林水（类）扶贫（款）其他扶贫支出（项）</w:t>
      </w:r>
      <w:r>
        <w:rPr>
          <w:rStyle w:val="16"/>
          <w:rFonts w:ascii="仿宋_GB2312" w:eastAsia="仿宋_GB2312"/>
          <w:b w:val="0"/>
          <w:color w:val="000000"/>
          <w:sz w:val="32"/>
          <w:szCs w:val="32"/>
        </w:rPr>
        <w:t>:</w:t>
      </w:r>
      <w:r>
        <w:rPr>
          <w:rFonts w:hint="eastAsia" w:ascii="仿宋_GB2312" w:eastAsia="仿宋_GB2312"/>
          <w:color w:val="000000"/>
          <w:sz w:val="32"/>
          <w:szCs w:val="32"/>
        </w:rPr>
        <w:t>指其他用于扶贫方面的支出。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6"/>
          <w:rFonts w:ascii="仿宋_GB2312" w:eastAsia="仿宋_GB2312"/>
          <w:b w:val="0"/>
          <w:color w:val="000000"/>
          <w:sz w:val="32"/>
          <w:szCs w:val="32"/>
        </w:rPr>
      </w:pPr>
      <w:r>
        <w:rPr>
          <w:rStyle w:val="16"/>
          <w:rFonts w:hint="eastAsia" w:ascii="仿宋_GB2312" w:eastAsia="仿宋_GB2312"/>
          <w:b w:val="0"/>
          <w:color w:val="000000"/>
          <w:sz w:val="32"/>
          <w:szCs w:val="32"/>
          <w:lang w:eastAsia="zh-CN"/>
        </w:rPr>
        <w:t>二十八、</w:t>
      </w:r>
      <w:r>
        <w:rPr>
          <w:rStyle w:val="16"/>
          <w:rFonts w:hint="eastAsia" w:ascii="仿宋_GB2312" w:eastAsia="仿宋_GB2312"/>
          <w:b w:val="0"/>
          <w:color w:val="000000"/>
          <w:sz w:val="32"/>
          <w:szCs w:val="32"/>
        </w:rPr>
        <w:t>农林水（类）农村综合改革（款）对村集体经济组织的补助（项）</w:t>
      </w:r>
      <w:r>
        <w:rPr>
          <w:rStyle w:val="16"/>
          <w:rFonts w:ascii="仿宋_GB2312" w:eastAsia="仿宋_GB2312"/>
          <w:b w:val="0"/>
          <w:color w:val="000000"/>
          <w:sz w:val="32"/>
          <w:szCs w:val="32"/>
        </w:rPr>
        <w:t>:</w:t>
      </w:r>
      <w:r>
        <w:rPr>
          <w:rStyle w:val="16"/>
          <w:rFonts w:hint="eastAsia" w:ascii="仿宋_GB2312" w:eastAsia="仿宋_GB2312"/>
          <w:b w:val="0"/>
          <w:color w:val="000000"/>
          <w:sz w:val="32"/>
          <w:szCs w:val="32"/>
        </w:rPr>
        <w:t>反映各级财政对农村改革示范试点、新型农业社会化服务体系建设等补助支出。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000000"/>
          <w:sz w:val="32"/>
          <w:szCs w:val="32"/>
        </w:rPr>
      </w:pPr>
      <w:r>
        <w:rPr>
          <w:rStyle w:val="16"/>
          <w:rFonts w:hint="eastAsia" w:ascii="仿宋_GB2312" w:eastAsia="仿宋_GB2312"/>
          <w:b w:val="0"/>
          <w:color w:val="000000"/>
          <w:sz w:val="32"/>
          <w:szCs w:val="32"/>
          <w:lang w:eastAsia="zh-CN"/>
        </w:rPr>
        <w:t>二十九、</w:t>
      </w:r>
      <w:r>
        <w:rPr>
          <w:rStyle w:val="16"/>
          <w:rFonts w:hint="eastAsia" w:ascii="仿宋_GB2312" w:eastAsia="仿宋_GB2312"/>
          <w:b w:val="0"/>
          <w:color w:val="000000"/>
          <w:sz w:val="32"/>
          <w:szCs w:val="32"/>
        </w:rPr>
        <w:t>农林水（类）农村综合改革（款）对村民委员会和村党支部的补助（项）</w:t>
      </w:r>
      <w:r>
        <w:rPr>
          <w:rStyle w:val="16"/>
          <w:rFonts w:ascii="仿宋_GB2312" w:eastAsia="仿宋_GB2312"/>
          <w:b w:val="0"/>
          <w:color w:val="000000"/>
          <w:sz w:val="32"/>
          <w:szCs w:val="32"/>
        </w:rPr>
        <w:t>:</w:t>
      </w:r>
      <w:r>
        <w:rPr>
          <w:rFonts w:hint="eastAsia" w:ascii="仿宋_GB2312" w:eastAsia="仿宋_GB2312"/>
          <w:color w:val="000000"/>
          <w:sz w:val="32"/>
          <w:szCs w:val="32"/>
        </w:rPr>
        <w:t>指反映各级财政对村民委员会村党支部的补助支出，以及支持建设县级基本财力保障机制安排村级组织运转奖补资金。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000000"/>
          <w:sz w:val="32"/>
          <w:szCs w:val="32"/>
        </w:rPr>
      </w:pPr>
      <w:r>
        <w:rPr>
          <w:rStyle w:val="16"/>
          <w:rFonts w:hint="eastAsia" w:ascii="仿宋_GB2312" w:eastAsia="仿宋_GB2312"/>
          <w:b w:val="0"/>
          <w:color w:val="000000"/>
          <w:sz w:val="32"/>
          <w:szCs w:val="32"/>
          <w:lang w:eastAsia="zh-CN"/>
        </w:rPr>
        <w:t>三十、</w:t>
      </w:r>
      <w:r>
        <w:rPr>
          <w:rStyle w:val="16"/>
          <w:rFonts w:hint="eastAsia" w:ascii="仿宋_GB2312" w:eastAsia="仿宋_GB2312"/>
          <w:b w:val="0"/>
          <w:color w:val="000000"/>
          <w:sz w:val="32"/>
          <w:szCs w:val="32"/>
        </w:rPr>
        <w:t>住房保障（类）住房改革支出（款）住房公积金（项）</w:t>
      </w:r>
      <w:r>
        <w:rPr>
          <w:rStyle w:val="16"/>
          <w:rFonts w:ascii="仿宋_GB2312" w:eastAsia="仿宋_GB2312"/>
          <w:b w:val="0"/>
          <w:color w:val="000000"/>
          <w:sz w:val="32"/>
          <w:szCs w:val="32"/>
        </w:rPr>
        <w:t>:</w:t>
      </w:r>
      <w:r>
        <w:rPr>
          <w:rFonts w:hint="eastAsia" w:ascii="仿宋_GB2312" w:eastAsia="仿宋_GB2312"/>
          <w:color w:val="000000"/>
          <w:sz w:val="32"/>
          <w:szCs w:val="32"/>
        </w:rPr>
        <w:t>指反映行政事业按人力资源和社会保障部、财政部规定的基本工资和津贴补贴以及规定比例为职工缴纳的住房公积金。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三十一、抗疫特别国债安排的支出（类）基础设施建设（款）生态环境治理（项）：反映抗疫特别国债资金安排的污水垃圾处理等生态环境治理支出。</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三十二、抗疫特别国债安排的支出（类）交通基础设施建设（款）生态环境治理（项）：反映抗疫特别国债资金安排的交通基础设施建设支出。</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三十三、抗疫特别国债安排的支出（类）抗疫相关支出（款）其他抗疫相关支出（项）：反映抗疫特别国债资金安排的其他抗疫相关支出。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三十四、</w:t>
      </w:r>
      <w:r>
        <w:rPr>
          <w:rFonts w:hint="eastAsia" w:ascii="仿宋_GB2312" w:eastAsia="仿宋_GB2312"/>
          <w:color w:val="auto"/>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三十五、</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三十六、</w:t>
      </w:r>
      <w:r>
        <w:rPr>
          <w:rFonts w:hint="eastAsia" w:ascii="仿宋_GB2312" w:eastAsia="仿宋_GB2312"/>
          <w:color w:val="auto"/>
          <w:sz w:val="32"/>
          <w:szCs w:val="32"/>
        </w:rPr>
        <w:t>经营支出：指事业单位在专业业务活动及其辅助活动之外开展非独立核算经营活动发生的支出。</w:t>
      </w:r>
    </w:p>
    <w:p>
      <w:pPr>
        <w:pStyle w:val="26"/>
        <w:keepNext w:val="0"/>
        <w:keepLines w:val="0"/>
        <w:pageBreakBefore w:val="0"/>
        <w:widowControl w:val="0"/>
        <w:kinsoku/>
        <w:wordWrap/>
        <w:overflowPunct/>
        <w:topLinePunct w:val="0"/>
        <w:bidi w:val="0"/>
        <w:snapToGrid/>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三十七、</w:t>
      </w:r>
      <w:r>
        <w:rPr>
          <w:rFonts w:hint="eastAsia" w:ascii="仿宋_GB2312" w:eastAsia="仿宋_GB2312"/>
          <w:color w:val="auto"/>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三十八、</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240" w:lineRule="auto"/>
        <w:jc w:val="left"/>
        <w:textAlignment w:val="auto"/>
        <w:rPr>
          <w:rFonts w:ascii="宋体"/>
          <w:b/>
          <w:color w:val="auto"/>
          <w:sz w:val="32"/>
          <w:szCs w:val="32"/>
        </w:rPr>
      </w:pPr>
    </w:p>
    <w:p>
      <w:pPr>
        <w:pStyle w:val="2"/>
        <w:rPr>
          <w:color w:val="auto"/>
          <w:sz w:val="32"/>
          <w:szCs w:val="32"/>
        </w:rPr>
      </w:pPr>
    </w:p>
    <w:bookmarkEnd w:id="55"/>
    <w:p>
      <w:pPr>
        <w:keepNext w:val="0"/>
        <w:keepLines w:val="0"/>
        <w:pageBreakBefore w:val="0"/>
        <w:kinsoku/>
        <w:wordWrap/>
        <w:overflowPunct/>
        <w:topLinePunct w:val="0"/>
        <w:autoSpaceDE/>
        <w:autoSpaceDN/>
        <w:bidi w:val="0"/>
        <w:snapToGrid/>
        <w:spacing w:line="600" w:lineRule="exact"/>
        <w:jc w:val="center"/>
        <w:textAlignment w:val="auto"/>
        <w:outlineLvl w:val="0"/>
        <w:rPr>
          <w:rStyle w:val="37"/>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color w:val="000000"/>
          <w:sz w:val="44"/>
          <w:szCs w:val="44"/>
        </w:rPr>
        <w:t>第</w:t>
      </w:r>
      <w:r>
        <w:rPr>
          <w:rStyle w:val="37"/>
          <w:rFonts w:hint="eastAsia" w:ascii="方正小标宋_GBK" w:hAnsi="方正小标宋_GBK" w:eastAsia="方正小标宋_GBK" w:cs="方正小标宋_GBK"/>
          <w:b w:val="0"/>
          <w:bCs w:val="0"/>
        </w:rPr>
        <w:t>四部分 附件</w:t>
      </w: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峨眉山市符溪镇人民政府</w:t>
      </w: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一、单位概况</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（一）机构组成</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符溪镇政府属于行政单位，是一级预算单位，执行行政单位会计制度，适应经济发展的需要，适时机构设置和职能调整。行政机构设置</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个综合性办公室：党政办公室、</w:t>
      </w:r>
      <w:r>
        <w:rPr>
          <w:rFonts w:hint="eastAsia" w:ascii="仿宋_GB2312" w:hAnsi="仿宋_GB2312" w:eastAsia="仿宋_GB2312" w:cs="仿宋_GB2312"/>
          <w:sz w:val="32"/>
          <w:szCs w:val="32"/>
          <w:lang w:eastAsia="zh-CN"/>
        </w:rPr>
        <w:t>党建办公室、社会事务办公室、综合执法办公室、规划建设管理办公室、乡村振兴办公室（脱贫攻坚办公室）、</w:t>
      </w:r>
      <w:r>
        <w:rPr>
          <w:rFonts w:hint="eastAsia" w:ascii="仿宋_GB2312" w:hAnsi="仿宋_GB2312" w:eastAsia="仿宋_GB2312" w:cs="仿宋_GB2312"/>
          <w:sz w:val="32"/>
          <w:szCs w:val="32"/>
        </w:rPr>
        <w:t>财政所、社会治理办公室</w:t>
      </w:r>
      <w:r>
        <w:rPr>
          <w:rFonts w:hint="eastAsia" w:ascii="仿宋_GB2312" w:hAnsi="仿宋_GB2312" w:eastAsia="仿宋_GB2312" w:cs="仿宋_GB2312"/>
          <w:sz w:val="32"/>
          <w:szCs w:val="32"/>
          <w:lang w:eastAsia="zh-CN"/>
        </w:rPr>
        <w:t>、自然资源和生态环境保护办公室</w:t>
      </w:r>
      <w:r>
        <w:rPr>
          <w:rFonts w:hint="eastAsia" w:ascii="仿宋_GB2312" w:hAnsi="仿宋_GB2312" w:eastAsia="仿宋_GB2312" w:cs="仿宋_GB2312"/>
          <w:sz w:val="32"/>
          <w:szCs w:val="32"/>
        </w:rPr>
        <w:t>。镇事业机构设置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便民服务中心(退役军人服务站)、农业综合服务中心、文化旅游服务中心、农民工服务中心</w:t>
      </w:r>
      <w:r>
        <w:rPr>
          <w:rFonts w:hint="eastAsia" w:ascii="仿宋_GB2312" w:hAnsi="仿宋_GB2312" w:eastAsia="仿宋_GB2312" w:cs="仿宋_GB2312"/>
          <w:sz w:val="32"/>
          <w:szCs w:val="32"/>
        </w:rPr>
        <w:t>。</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（二）机构职能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符溪镇人民政府的主要职能是</w:t>
      </w:r>
      <w:r>
        <w:rPr>
          <w:rFonts w:hint="eastAsia" w:ascii="仿宋_GB2312" w:hAnsi="仿宋_GB2312" w:eastAsia="仿宋_GB2312" w:cs="仿宋_GB2312"/>
          <w:sz w:val="32"/>
          <w:szCs w:val="32"/>
          <w:lang w:eastAsia="zh-CN"/>
        </w:rPr>
        <w:t>贯彻党的基本理论、基本路线、基本方略，宣传党的主张、落实党的决策部署，团结并组织党员、干部和群众，扎实做好改革发展稳定各项工作。</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年的主要事业成效：一、</w:t>
      </w:r>
      <w:r>
        <w:rPr>
          <w:rFonts w:hint="eastAsia" w:ascii="仿宋_GB2312" w:hAnsi="仿宋_GB2312" w:eastAsia="仿宋_GB2312" w:cs="仿宋_GB2312"/>
          <w:sz w:val="32"/>
          <w:szCs w:val="32"/>
          <w:lang w:val="en-US" w:eastAsia="zh-CN"/>
        </w:rPr>
        <w:t>从严管党治党</w:t>
      </w: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val="en-US" w:eastAsia="zh-CN"/>
        </w:rPr>
        <w:t>加强社会治理</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推进项目建设</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加快乡村振兴</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增进民生福祉</w:t>
      </w:r>
      <w:r>
        <w:rPr>
          <w:rFonts w:hint="eastAsia" w:ascii="仿宋_GB2312" w:hAnsi="仿宋_GB2312" w:eastAsia="仿宋_GB2312" w:cs="仿宋_GB2312"/>
          <w:sz w:val="32"/>
          <w:szCs w:val="32"/>
        </w:rPr>
        <w:t>。</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（三）人员概况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符溪镇核定</w:t>
      </w:r>
      <w:r>
        <w:rPr>
          <w:rFonts w:hint="eastAsia" w:ascii="仿宋_GB2312" w:hAnsi="仿宋_GB2312" w:eastAsia="仿宋_GB2312" w:cs="仿宋_GB2312"/>
          <w:sz w:val="32"/>
          <w:szCs w:val="32"/>
          <w:lang w:eastAsia="zh-CN"/>
        </w:rPr>
        <w:t>总编制</w:t>
      </w:r>
      <w:r>
        <w:rPr>
          <w:rFonts w:hint="eastAsia" w:ascii="仿宋_GB2312" w:hAnsi="仿宋_GB2312" w:eastAsia="仿宋_GB2312" w:cs="仿宋_GB2312"/>
          <w:sz w:val="32"/>
          <w:szCs w:val="32"/>
          <w:lang w:val="en-US" w:eastAsia="zh-CN"/>
        </w:rPr>
        <w:t>61人。其中：</w:t>
      </w:r>
      <w:r>
        <w:rPr>
          <w:rFonts w:hint="eastAsia" w:ascii="仿宋_GB2312" w:hAnsi="仿宋_GB2312" w:eastAsia="仿宋_GB2312" w:cs="仿宋_GB2312"/>
          <w:sz w:val="32"/>
          <w:szCs w:val="32"/>
        </w:rPr>
        <w:t>机关行政编制3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名，设领导职数</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名，中层领导职数1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名，另核机关工勤控制数2名，事业编制2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中层</w:t>
      </w:r>
      <w:r>
        <w:rPr>
          <w:rFonts w:hint="eastAsia" w:ascii="仿宋_GB2312" w:hAnsi="仿宋_GB2312" w:eastAsia="仿宋_GB2312" w:cs="仿宋_GB2312"/>
          <w:sz w:val="32"/>
          <w:szCs w:val="32"/>
        </w:rPr>
        <w:t>职数</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名。我镇除行政机关外，设置</w:t>
      </w:r>
      <w:r>
        <w:rPr>
          <w:rFonts w:hint="eastAsia" w:ascii="仿宋_GB2312" w:hAnsi="仿宋_GB2312" w:eastAsia="仿宋_GB2312" w:cs="仿宋_GB2312"/>
          <w:sz w:val="32"/>
          <w:szCs w:val="32"/>
          <w:lang w:eastAsia="zh-CN"/>
        </w:rPr>
        <w:t>文化</w:t>
      </w:r>
      <w:r>
        <w:rPr>
          <w:rFonts w:hint="eastAsia" w:ascii="仿宋_GB2312" w:hAnsi="仿宋_GB2312" w:eastAsia="仿宋_GB2312" w:cs="仿宋_GB2312"/>
          <w:sz w:val="32"/>
          <w:szCs w:val="32"/>
        </w:rPr>
        <w:t>旅游、</w:t>
      </w:r>
      <w:r>
        <w:rPr>
          <w:rFonts w:hint="eastAsia" w:ascii="仿宋_GB2312" w:hAnsi="仿宋_GB2312" w:eastAsia="仿宋_GB2312" w:cs="仿宋_GB2312"/>
          <w:sz w:val="32"/>
          <w:szCs w:val="32"/>
          <w:lang w:eastAsia="zh-CN"/>
        </w:rPr>
        <w:t>农民工中心</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eastAsia="zh-CN"/>
        </w:rPr>
        <w:t>综合服务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便民中心</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个事业部门。目前我镇共正式职工56人，行政31人，事业人员25人。本年公务员调入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吕超、秦志伟、廖建军、黄大远、胡迪、胡琼、薛琨</w:t>
      </w:r>
      <w:r>
        <w:rPr>
          <w:rFonts w:hint="eastAsia" w:ascii="仿宋_GB2312" w:hAnsi="仿宋_GB2312" w:eastAsia="仿宋_GB2312" w:cs="仿宋_GB2312"/>
          <w:sz w:val="32"/>
          <w:szCs w:val="32"/>
        </w:rPr>
        <w:t>），合计增加</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人，调出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陈志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李驰、赵科飞、雷光泽、周礼燕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，退休</w:t>
      </w:r>
      <w:r>
        <w:rPr>
          <w:rFonts w:hint="eastAsia" w:ascii="仿宋_GB2312" w:hAnsi="仿宋_GB2312" w:eastAsia="仿宋_GB2312" w:cs="仿宋_GB2312"/>
          <w:sz w:val="32"/>
          <w:szCs w:val="32"/>
          <w:lang w:val="en-US" w:eastAsia="zh-CN"/>
        </w:rPr>
        <w:t>2人（罗克成、童小清）</w:t>
      </w:r>
      <w:r>
        <w:rPr>
          <w:rFonts w:hint="eastAsia" w:ascii="仿宋_GB2312" w:hAnsi="仿宋_GB2312" w:eastAsia="仿宋_GB2312" w:cs="仿宋_GB2312"/>
          <w:sz w:val="32"/>
          <w:szCs w:val="32"/>
        </w:rPr>
        <w:t>；事业干部调入1人（</w:t>
      </w:r>
      <w:r>
        <w:rPr>
          <w:rFonts w:hint="eastAsia" w:ascii="仿宋_GB2312" w:hAnsi="仿宋_GB2312" w:eastAsia="仿宋_GB2312" w:cs="仿宋_GB2312"/>
          <w:sz w:val="32"/>
          <w:szCs w:val="32"/>
          <w:lang w:eastAsia="zh-CN"/>
        </w:rPr>
        <w:t>周仲宣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，退休</w:t>
      </w:r>
      <w:r>
        <w:rPr>
          <w:rFonts w:hint="eastAsia" w:ascii="仿宋_GB2312" w:hAnsi="仿宋_GB2312" w:eastAsia="仿宋_GB2312" w:cs="仿宋_GB2312"/>
          <w:sz w:val="32"/>
          <w:szCs w:val="32"/>
          <w:lang w:val="en-US" w:eastAsia="zh-CN"/>
        </w:rPr>
        <w:t>1 人（周琼芳）</w:t>
      </w:r>
      <w:r>
        <w:rPr>
          <w:rFonts w:hint="eastAsia" w:ascii="仿宋_GB2312" w:hAnsi="仿宋_GB2312" w:eastAsia="仿宋_GB2312" w:cs="仿宋_GB2312"/>
          <w:sz w:val="32"/>
          <w:szCs w:val="32"/>
        </w:rPr>
        <w:t>。</w:t>
      </w:r>
    </w:p>
    <w:p>
      <w:p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二、政府财政资金收支情况</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（一）政府财政资金收入情况。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年总收入</w:t>
      </w:r>
      <w:r>
        <w:rPr>
          <w:rFonts w:hint="eastAsia" w:ascii="仿宋_GB2312" w:hAnsi="仿宋_GB2312" w:eastAsia="仿宋_GB2312" w:cs="仿宋_GB2312"/>
          <w:sz w:val="32"/>
          <w:szCs w:val="32"/>
          <w:lang w:val="en-US" w:eastAsia="zh-CN"/>
        </w:rPr>
        <w:t>4269.36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4089.42</w:t>
      </w:r>
      <w:r>
        <w:rPr>
          <w:rFonts w:hint="eastAsia" w:ascii="仿宋_GB2312" w:hAnsi="仿宋_GB2312" w:eastAsia="仿宋_GB2312" w:cs="仿宋_GB2312"/>
          <w:sz w:val="32"/>
          <w:szCs w:val="32"/>
        </w:rPr>
        <w:t>万元，占总收入的</w:t>
      </w:r>
      <w:r>
        <w:rPr>
          <w:rFonts w:hint="eastAsia" w:ascii="仿宋_GB2312" w:hAnsi="仿宋_GB2312" w:eastAsia="仿宋_GB2312" w:cs="仿宋_GB2312"/>
          <w:sz w:val="32"/>
          <w:szCs w:val="32"/>
          <w:lang w:val="en-US" w:eastAsia="zh-CN"/>
        </w:rPr>
        <w:t>95.79</w:t>
      </w:r>
      <w:r>
        <w:rPr>
          <w:rFonts w:hint="eastAsia" w:ascii="仿宋_GB2312" w:hAnsi="仿宋_GB2312" w:eastAsia="仿宋_GB2312" w:cs="仿宋_GB2312"/>
          <w:sz w:val="32"/>
          <w:szCs w:val="32"/>
        </w:rPr>
        <w:t>%，（其中基本支出拨款</w:t>
      </w:r>
      <w:r>
        <w:rPr>
          <w:rFonts w:hint="eastAsia" w:ascii="仿宋_GB2312" w:hAnsi="仿宋_GB2312" w:eastAsia="仿宋_GB2312" w:cs="仿宋_GB2312"/>
          <w:sz w:val="32"/>
          <w:szCs w:val="32"/>
          <w:lang w:val="en-US" w:eastAsia="zh-CN"/>
        </w:rPr>
        <w:t>1021.01</w:t>
      </w:r>
      <w:r>
        <w:rPr>
          <w:rFonts w:hint="eastAsia" w:ascii="仿宋_GB2312" w:hAnsi="仿宋_GB2312" w:eastAsia="仿宋_GB2312" w:cs="仿宋_GB2312"/>
          <w:sz w:val="32"/>
          <w:szCs w:val="32"/>
        </w:rPr>
        <w:t>万元，项目支出拨款</w:t>
      </w:r>
      <w:r>
        <w:rPr>
          <w:rFonts w:hint="eastAsia" w:ascii="仿宋_GB2312" w:hAnsi="仿宋_GB2312" w:eastAsia="仿宋_GB2312" w:cs="仿宋_GB2312"/>
          <w:sz w:val="32"/>
          <w:szCs w:val="32"/>
          <w:lang w:val="en-US" w:eastAsia="zh-CN"/>
        </w:rPr>
        <w:t>1121.59</w:t>
      </w:r>
      <w:r>
        <w:rPr>
          <w:rFonts w:hint="eastAsia" w:ascii="仿宋_GB2312" w:hAnsi="仿宋_GB2312" w:eastAsia="仿宋_GB2312" w:cs="仿宋_GB2312"/>
          <w:sz w:val="32"/>
          <w:szCs w:val="32"/>
        </w:rPr>
        <w:t>万元，基金拨款收入</w:t>
      </w:r>
      <w:r>
        <w:rPr>
          <w:rFonts w:hint="eastAsia" w:ascii="仿宋_GB2312" w:hAnsi="仿宋_GB2312" w:eastAsia="仿宋_GB2312" w:cs="仿宋_GB2312"/>
          <w:sz w:val="32"/>
          <w:szCs w:val="32"/>
          <w:lang w:val="en-US" w:eastAsia="zh-CN"/>
        </w:rPr>
        <w:t>1946.82</w:t>
      </w:r>
      <w:r>
        <w:rPr>
          <w:rFonts w:hint="eastAsia" w:ascii="仿宋_GB2312" w:hAnsi="仿宋_GB2312" w:eastAsia="仿宋_GB2312" w:cs="仿宋_GB2312"/>
          <w:sz w:val="32"/>
          <w:szCs w:val="32"/>
        </w:rPr>
        <w:t>万元）。 其他收入（横向财政拨款）</w:t>
      </w:r>
      <w:r>
        <w:rPr>
          <w:rFonts w:hint="eastAsia" w:ascii="仿宋_GB2312" w:hAnsi="仿宋_GB2312" w:eastAsia="仿宋_GB2312" w:cs="仿宋_GB2312"/>
          <w:sz w:val="32"/>
          <w:szCs w:val="32"/>
          <w:lang w:val="en-US" w:eastAsia="zh-CN"/>
        </w:rPr>
        <w:t>179.94</w:t>
      </w:r>
      <w:r>
        <w:rPr>
          <w:rFonts w:hint="eastAsia" w:ascii="仿宋_GB2312" w:hAnsi="仿宋_GB2312" w:eastAsia="仿宋_GB2312" w:cs="仿宋_GB2312"/>
          <w:sz w:val="32"/>
          <w:szCs w:val="32"/>
        </w:rPr>
        <w:t>万元，占总收入的</w:t>
      </w:r>
      <w:r>
        <w:rPr>
          <w:rFonts w:hint="eastAsia" w:ascii="仿宋_GB2312" w:hAnsi="仿宋_GB2312" w:eastAsia="仿宋_GB2312" w:cs="仿宋_GB2312"/>
          <w:sz w:val="32"/>
          <w:szCs w:val="32"/>
          <w:lang w:val="en-US" w:eastAsia="zh-CN"/>
        </w:rPr>
        <w:t>4.21</w:t>
      </w:r>
      <w:r>
        <w:rPr>
          <w:rFonts w:hint="eastAsia" w:ascii="仿宋_GB2312" w:hAnsi="仿宋_GB2312" w:eastAsia="仿宋_GB2312" w:cs="仿宋_GB2312"/>
          <w:sz w:val="32"/>
          <w:szCs w:val="32"/>
        </w:rPr>
        <w:t>% 。</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（二）部门财政资金支出情况。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年总支出</w:t>
      </w:r>
      <w:r>
        <w:rPr>
          <w:rFonts w:hint="eastAsia" w:ascii="仿宋_GB2312" w:hAnsi="仿宋_GB2312" w:eastAsia="仿宋_GB2312" w:cs="仿宋_GB2312"/>
          <w:sz w:val="32"/>
          <w:szCs w:val="32"/>
          <w:lang w:val="en-US" w:eastAsia="zh-CN"/>
        </w:rPr>
        <w:t>4602.98</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4424.54</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96.12</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lang w:val="en-US" w:eastAsia="zh-CN"/>
        </w:rPr>
        <w:t>1021.01</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1315.47</w:t>
      </w:r>
      <w:r>
        <w:rPr>
          <w:rFonts w:hint="eastAsia" w:ascii="仿宋_GB2312" w:hAnsi="仿宋_GB2312" w:eastAsia="仿宋_GB2312" w:cs="仿宋_GB2312"/>
          <w:sz w:val="32"/>
          <w:szCs w:val="32"/>
        </w:rPr>
        <w:t>万元，基金支出</w:t>
      </w:r>
      <w:r>
        <w:rPr>
          <w:rFonts w:hint="eastAsia" w:ascii="仿宋_GB2312" w:hAnsi="仿宋_GB2312" w:eastAsia="仿宋_GB2312" w:cs="仿宋_GB2312"/>
          <w:sz w:val="32"/>
          <w:szCs w:val="32"/>
          <w:lang w:val="en-US" w:eastAsia="zh-CN"/>
        </w:rPr>
        <w:t>2088.06</w:t>
      </w:r>
      <w:r>
        <w:rPr>
          <w:rFonts w:hint="eastAsia" w:ascii="仿宋_GB2312" w:hAnsi="仿宋_GB2312" w:eastAsia="仿宋_GB2312" w:cs="仿宋_GB2312"/>
          <w:sz w:val="32"/>
          <w:szCs w:val="32"/>
        </w:rPr>
        <w:t>万元）。其他支出</w:t>
      </w:r>
      <w:r>
        <w:rPr>
          <w:rFonts w:hint="eastAsia" w:ascii="仿宋_GB2312" w:hAnsi="仿宋_GB2312" w:eastAsia="仿宋_GB2312" w:cs="仿宋_GB2312"/>
          <w:sz w:val="32"/>
          <w:szCs w:val="32"/>
          <w:lang w:val="en-US" w:eastAsia="zh-CN"/>
        </w:rPr>
        <w:t>178.44</w:t>
      </w:r>
      <w:r>
        <w:rPr>
          <w:rFonts w:hint="eastAsia" w:ascii="仿宋_GB2312" w:hAnsi="仿宋_GB2312" w:eastAsia="仿宋_GB2312" w:cs="仿宋_GB2312"/>
          <w:sz w:val="32"/>
          <w:szCs w:val="32"/>
        </w:rPr>
        <w:t>万元，占总支出的</w:t>
      </w:r>
      <w:r>
        <w:rPr>
          <w:rFonts w:hint="eastAsia" w:ascii="仿宋_GB2312" w:hAnsi="仿宋_GB2312" w:eastAsia="仿宋_GB2312" w:cs="仿宋_GB2312"/>
          <w:sz w:val="32"/>
          <w:szCs w:val="32"/>
          <w:lang w:val="en-US" w:eastAsia="zh-CN"/>
        </w:rPr>
        <w:t>3.88</w:t>
      </w:r>
      <w:r>
        <w:rPr>
          <w:rFonts w:hint="eastAsia" w:ascii="仿宋_GB2312" w:hAnsi="仿宋_GB2312" w:eastAsia="仿宋_GB2312" w:cs="仿宋_GB2312"/>
          <w:sz w:val="32"/>
          <w:szCs w:val="32"/>
        </w:rPr>
        <w:t>%。</w:t>
      </w:r>
    </w:p>
    <w:p>
      <w:p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三、部门财政支出管理情况</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（一）部门预算管理</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1、按照峨眉山市财政局关于编制20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年部门预算的通知和有关要求，按时完成基础款、项目库报送工作，绩效要素完整，涉及总体目标、数量指标、质量指标、时效性、社会效益等要素，按时完成预算编制工作并提交部门预算草案。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预算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3、进一步强化绩效理念，健全管理制度，提高绩效评价工作质量，细化部门预算编制。项目资金预算编制与乡镇的实际工作目标相适应，配合贴切。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4、在收到市财政部门批复后二十日内向社会公开本部门预算，包括财政资金安排的“三公经费”、机关运行经费的安排、使用情况等。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5、认真编报决算报表，无应编未编、虚假混编等现象。并按要求对重点支出项目、三公经费及结余结转情况进行公开。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6、本单位的资金使用严格遵循财经制度的规定，有严格的财政资金拨付程序，基本支出公用经费按月平均申请，项目资金严格按照项目开展进度在财政大平台申请拨款支付，大型项目支出实行直接支付。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6月全部项目支出执行均达到</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%以上。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9月项目支出执行均达到67.5%以上。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11月项目支出执行均达到82.5%以上。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全年执行进度除其他</w:t>
      </w:r>
      <w:r>
        <w:rPr>
          <w:rFonts w:hint="eastAsia" w:ascii="仿宋_GB2312" w:hAnsi="仿宋_GB2312" w:eastAsia="仿宋_GB2312" w:cs="仿宋_GB2312"/>
          <w:sz w:val="32"/>
          <w:szCs w:val="32"/>
          <w:lang w:eastAsia="zh-CN"/>
        </w:rPr>
        <w:t>农村综合改革</w:t>
      </w:r>
      <w:r>
        <w:rPr>
          <w:rFonts w:hint="eastAsia" w:ascii="仿宋_GB2312" w:hAnsi="仿宋_GB2312" w:eastAsia="仿宋_GB2312" w:cs="仿宋_GB2312"/>
          <w:sz w:val="32"/>
          <w:szCs w:val="32"/>
        </w:rPr>
        <w:t>支出、对村级一事一议的补助、对村集体经济的补助、</w:t>
      </w:r>
      <w:r>
        <w:rPr>
          <w:rFonts w:hint="eastAsia" w:ascii="仿宋_GB2312" w:hAnsi="仿宋_GB2312" w:eastAsia="仿宋_GB2312" w:cs="仿宋_GB2312"/>
          <w:sz w:val="32"/>
          <w:szCs w:val="32"/>
          <w:lang w:eastAsia="zh-CN"/>
        </w:rPr>
        <w:t>土地开发支出</w:t>
      </w:r>
      <w:r>
        <w:rPr>
          <w:rFonts w:hint="eastAsia" w:ascii="仿宋_GB2312" w:hAnsi="仿宋_GB2312" w:eastAsia="仿宋_GB2312" w:cs="仿宋_GB2312"/>
          <w:sz w:val="32"/>
          <w:szCs w:val="32"/>
        </w:rPr>
        <w:t>结转外，其余均达100%。</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7、我单位本着节约的原则开展工作，保证单位正常办公，严控“三公经费”，严格按照预算开支。无因公出国（境）费用、公务用车购置，精简会议次数，多个会议内容集中在一次开。</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（二）结果应用情况。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1、绩效评价：我单位规章制度建立健全，目前我单位共建立财政所财务制度等2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制度，会计核算、现金管理、转账支付、惠农资金发放等均按规章制度执行。做到专款专用，资金支付依据齐全、开支标准合理合法。项目资金、专项资金专项管理、专项使用，按进度、按比例付款，无挤占挪用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2、决算审查、决算公开、结余注销：均按市局统一要求完成，及时公开。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3、绩效管理：根据年初市财政局、镇党委、政府制定的目标绩效认真开展工作，时间到任务完成。</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（1）行政运转保障。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年，财政基本支出</w:t>
      </w:r>
      <w:r>
        <w:rPr>
          <w:rFonts w:hint="eastAsia" w:ascii="仿宋_GB2312" w:hAnsi="仿宋_GB2312" w:eastAsia="仿宋_GB2312" w:cs="仿宋_GB2312"/>
          <w:sz w:val="32"/>
          <w:szCs w:val="32"/>
          <w:lang w:val="en-US" w:eastAsia="zh-CN"/>
        </w:rPr>
        <w:t>1021.01</w:t>
      </w:r>
      <w:r>
        <w:rPr>
          <w:rFonts w:hint="eastAsia" w:ascii="仿宋_GB2312" w:hAnsi="仿宋_GB2312" w:eastAsia="仿宋_GB2312" w:cs="仿宋_GB2312"/>
          <w:sz w:val="32"/>
          <w:szCs w:val="32"/>
        </w:rPr>
        <w:t>万元，预算执行率100%,其中在职工资福利支出</w:t>
      </w:r>
      <w:r>
        <w:rPr>
          <w:rFonts w:hint="eastAsia" w:ascii="仿宋_GB2312" w:hAnsi="仿宋_GB2312" w:eastAsia="仿宋_GB2312" w:cs="仿宋_GB2312"/>
          <w:sz w:val="32"/>
          <w:szCs w:val="32"/>
          <w:lang w:val="en-US" w:eastAsia="zh-CN"/>
        </w:rPr>
        <w:t>900.94</w:t>
      </w:r>
      <w:r>
        <w:rPr>
          <w:rFonts w:hint="eastAsia" w:ascii="仿宋_GB2312" w:hAnsi="仿宋_GB2312" w:eastAsia="仿宋_GB2312" w:cs="仿宋_GB2312"/>
          <w:sz w:val="32"/>
          <w:szCs w:val="32"/>
        </w:rPr>
        <w:t>万元，公用经费支出</w:t>
      </w:r>
      <w:r>
        <w:rPr>
          <w:rFonts w:hint="eastAsia" w:ascii="仿宋_GB2312" w:hAnsi="仿宋_GB2312" w:eastAsia="仿宋_GB2312" w:cs="仿宋_GB2312"/>
          <w:sz w:val="32"/>
          <w:szCs w:val="32"/>
          <w:lang w:val="en-US" w:eastAsia="zh-CN"/>
        </w:rPr>
        <w:t>120.07</w:t>
      </w:r>
      <w:r>
        <w:rPr>
          <w:rFonts w:hint="eastAsia" w:ascii="仿宋_GB2312" w:hAnsi="仿宋_GB2312" w:eastAsia="仿宋_GB2312" w:cs="仿宋_GB2312"/>
          <w:sz w:val="32"/>
          <w:szCs w:val="32"/>
        </w:rPr>
        <w:t>万元，机关职工工资按时发放，能保障日常工作支出，政府各项工作能正常运转。</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（2）机关厉行节约。</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年，我镇严格执行中央八项规定，厉行节约，公务用车运行维护财政拨款支出数</w:t>
      </w:r>
      <w:r>
        <w:rPr>
          <w:rFonts w:hint="eastAsia" w:ascii="仿宋_GB2312" w:hAnsi="仿宋_GB2312" w:eastAsia="仿宋_GB2312" w:cs="仿宋_GB2312"/>
          <w:sz w:val="32"/>
          <w:szCs w:val="32"/>
          <w:lang w:val="en-US" w:eastAsia="zh-CN"/>
        </w:rPr>
        <w:t>8.0051</w:t>
      </w:r>
      <w:r>
        <w:rPr>
          <w:rFonts w:hint="eastAsia" w:ascii="仿宋_GB2312" w:hAnsi="仿宋_GB2312" w:eastAsia="仿宋_GB2312" w:cs="仿宋_GB2312"/>
          <w:sz w:val="32"/>
          <w:szCs w:val="32"/>
        </w:rPr>
        <w:t>万、会议支出</w:t>
      </w:r>
      <w:r>
        <w:rPr>
          <w:rFonts w:hint="eastAsia" w:ascii="仿宋_GB2312" w:hAnsi="仿宋_GB2312" w:eastAsia="仿宋_GB2312" w:cs="仿宋_GB2312"/>
          <w:sz w:val="32"/>
          <w:szCs w:val="32"/>
          <w:lang w:val="en-US" w:eastAsia="zh-CN"/>
        </w:rPr>
        <w:t>2.27</w:t>
      </w:r>
      <w:r>
        <w:rPr>
          <w:rFonts w:hint="eastAsia" w:ascii="仿宋_GB2312" w:hAnsi="仿宋_GB2312" w:eastAsia="仿宋_GB2312" w:cs="仿宋_GB2312"/>
          <w:sz w:val="32"/>
          <w:szCs w:val="32"/>
        </w:rPr>
        <w:t>万元，公务接待费0.</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万元，水费支出</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万元，培训费</w:t>
      </w:r>
      <w:r>
        <w:rPr>
          <w:rFonts w:hint="eastAsia" w:ascii="仿宋_GB2312" w:hAnsi="仿宋_GB2312" w:eastAsia="仿宋_GB2312" w:cs="仿宋_GB2312"/>
          <w:sz w:val="32"/>
          <w:szCs w:val="32"/>
          <w:lang w:val="en-US" w:eastAsia="zh-CN"/>
        </w:rPr>
        <w:t>3.46</w:t>
      </w:r>
      <w:r>
        <w:rPr>
          <w:rFonts w:hint="eastAsia" w:ascii="仿宋_GB2312" w:hAnsi="仿宋_GB2312" w:eastAsia="仿宋_GB2312" w:cs="仿宋_GB2312"/>
          <w:sz w:val="32"/>
          <w:szCs w:val="32"/>
        </w:rPr>
        <w:t>万元、电费支出</w:t>
      </w:r>
      <w:r>
        <w:rPr>
          <w:rFonts w:hint="eastAsia" w:ascii="仿宋_GB2312" w:hAnsi="仿宋_GB2312" w:eastAsia="仿宋_GB2312" w:cs="仿宋_GB2312"/>
          <w:sz w:val="32"/>
          <w:szCs w:val="32"/>
          <w:lang w:val="en-US" w:eastAsia="zh-CN"/>
        </w:rPr>
        <w:t>7.59</w:t>
      </w:r>
      <w:r>
        <w:rPr>
          <w:rFonts w:hint="eastAsia" w:ascii="仿宋_GB2312" w:hAnsi="仿宋_GB2312" w:eastAsia="仿宋_GB2312" w:cs="仿宋_GB2312"/>
          <w:sz w:val="32"/>
          <w:szCs w:val="32"/>
        </w:rPr>
        <w:t>万元 。无出国（境）费用及车辆购置费用。</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（三）财务管理情况。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法理财，严格按照财经纪律的要求，制定并严格执行财务管理制度，财政管理约法十章及财政所职责等21项制度，今年还建立了内部控制制度。部分财经制度上墙公示，确保财务工作人员在工作中严于修身、严于律已、加强监督；建立并严格执行对账制度，每月及时真实、准确完整编报财务报表，做到帐表、账证一致。我镇按规定设立、使用银行账户，银行存款、现金支付授权审批手续完善，无越权审批、支付行为。规范财务管理，财政所分设会计和出纳岗位，由专人分别负责印鉴的管理和票据的管理，分工明确，相互牵制，根据实际发生的经济业务事项及时进行会计核算，严禁虚列、多列、少列或不列费用，严禁私设账外账、小金库、公款私存等；强化镇纪委对财政所工作的监督管理，不断改进完善财务管理工作，配合镇纪检部门进行村集体财务情况清查。</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（四）绩效管理工作开展情况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文件精神要求，我镇着力加强绩效管理自评工作，通过部门自查、文件资料检查等方式加强对支出绩效，特别是资金量较大的财政支出的评价工作。我镇的省级小城镇建设资金进行了绩效评价，我镇在财政资金的管理使用中严格按照财政资金拨付流程和审批程序进行，资金使用良好，无违法违纪行为。</w:t>
      </w:r>
    </w:p>
    <w:p>
      <w:pPr>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评价结论及建议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通过绩效管理自评，我镇在预算支出中无存在违法违纪行为。自评得分</w:t>
      </w:r>
      <w:r>
        <w:rPr>
          <w:rFonts w:hint="eastAsia" w:ascii="仿宋_GB2312" w:hAnsi="仿宋_GB2312" w:eastAsia="仿宋_GB2312" w:cs="仿宋_GB2312"/>
          <w:sz w:val="32"/>
          <w:szCs w:val="32"/>
          <w:lang w:val="en-US" w:eastAsia="zh-CN"/>
        </w:rPr>
        <w:t>85.5</w:t>
      </w:r>
      <w:r>
        <w:rPr>
          <w:rFonts w:hint="eastAsia" w:ascii="仿宋_GB2312" w:hAnsi="仿宋_GB2312" w:eastAsia="仿宋_GB2312" w:cs="仿宋_GB2312"/>
          <w:sz w:val="32"/>
          <w:szCs w:val="32"/>
        </w:rPr>
        <w:t>分。我镇按照要求单独设立财政所，财政所现有工作人员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人，岗位设置</w:t>
      </w:r>
      <w:r>
        <w:rPr>
          <w:rFonts w:hint="eastAsia" w:ascii="仿宋_GB2312" w:hAnsi="仿宋_GB2312" w:eastAsia="仿宋_GB2312" w:cs="仿宋_GB2312"/>
          <w:sz w:val="32"/>
          <w:szCs w:val="32"/>
          <w:lang w:eastAsia="zh-CN"/>
        </w:rPr>
        <w:t>财政所负责人</w:t>
      </w:r>
      <w:r>
        <w:rPr>
          <w:rFonts w:hint="eastAsia" w:ascii="仿宋_GB2312" w:hAnsi="仿宋_GB2312" w:eastAsia="仿宋_GB2312" w:cs="仿宋_GB2312"/>
          <w:sz w:val="32"/>
          <w:szCs w:val="32"/>
        </w:rPr>
        <w:t>、会计、出纳，</w:t>
      </w:r>
      <w:r>
        <w:rPr>
          <w:rFonts w:hint="eastAsia" w:ascii="仿宋_GB2312" w:hAnsi="仿宋_GB2312" w:eastAsia="仿宋_GB2312" w:cs="仿宋_GB2312"/>
          <w:sz w:val="32"/>
          <w:szCs w:val="32"/>
          <w:lang w:eastAsia="zh-CN"/>
        </w:rPr>
        <w:t>财政所负责人兼会计，</w:t>
      </w:r>
      <w:r>
        <w:rPr>
          <w:rFonts w:hint="eastAsia" w:ascii="仿宋_GB2312" w:hAnsi="仿宋_GB2312" w:eastAsia="仿宋_GB2312" w:cs="仿宋_GB2312"/>
          <w:sz w:val="32"/>
          <w:szCs w:val="32"/>
        </w:rPr>
        <w:t>都有大专文凭及会计从业资证书；按要求完成了基础工作制度、公开公示制度、内部控制制度、廉政建设制度、惠农资金的建设工作；会计按月及时记账并装订账簿，按时并保质保量的完成年终部门决算工作、财政资金的对账工作、资产的登记、以及日常的报表及资料的报送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我认为财政局应对各部门下达的专项资金主管部门进行业务培训要求上级主管部门对相应的下级部门展开业务培训，让绩效管理深入人心，在行动上重视，配合镇财政部门完成相关绩效管理工作。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工作是个专业性、细致性非常强的工种，现在许多资金来自预算内，会计科目多，种类复杂，在业务方面还待加强学习和记忆，建议财政局对专项资金的使用范围多培训，对乡镇财务工作人员新知识点多培训，以便能适应工作的需要，搞好财务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jc w:val="center"/>
        <w:outlineLvl w:val="0"/>
        <w:rPr>
          <w:rFonts w:hint="eastAsia" w:ascii="黑体" w:hAnsi="黑体" w:eastAsia="黑体"/>
          <w:color w:val="000000"/>
          <w:sz w:val="44"/>
          <w:szCs w:val="44"/>
        </w:rPr>
      </w:pPr>
      <w:bookmarkStart w:id="57" w:name="_Toc15396618"/>
    </w:p>
    <w:p>
      <w:pPr>
        <w:pStyle w:val="35"/>
        <w:spacing w:line="240" w:lineRule="auto"/>
        <w:jc w:val="center"/>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eastAsia="zh-CN"/>
        </w:rPr>
        <w:t>社会治安综合治理经费</w:t>
      </w:r>
      <w:r>
        <w:rPr>
          <w:rFonts w:hint="eastAsia" w:ascii="方正小标宋_GBK" w:hAnsi="方正小标宋_GBK" w:eastAsia="方正小标宋_GBK" w:cs="方正小标宋_GBK"/>
          <w:b/>
          <w:sz w:val="44"/>
          <w:szCs w:val="44"/>
          <w:lang w:val="en-US" w:eastAsia="zh-CN"/>
        </w:rPr>
        <w:t>2020年</w:t>
      </w:r>
    </w:p>
    <w:p>
      <w:pPr>
        <w:pStyle w:val="35"/>
        <w:spacing w:line="240" w:lineRule="auto"/>
        <w:jc w:val="center"/>
        <w:rPr>
          <w:rFonts w:hint="eastAsia" w:ascii="方正小标宋_GBK" w:hAnsi="方正小标宋_GBK" w:eastAsia="方正小标宋_GBK" w:cs="方正小标宋_GBK"/>
          <w:color w:val="auto"/>
          <w:kern w:val="2"/>
          <w:sz w:val="44"/>
          <w:szCs w:val="44"/>
        </w:rPr>
      </w:pPr>
      <w:r>
        <w:rPr>
          <w:rFonts w:hint="eastAsia" w:ascii="方正小标宋_GBK" w:hAnsi="方正小标宋_GBK" w:eastAsia="方正小标宋_GBK" w:cs="方正小标宋_GBK"/>
          <w:b/>
          <w:sz w:val="44"/>
          <w:szCs w:val="44"/>
        </w:rPr>
        <w:t>绩效</w:t>
      </w:r>
      <w:r>
        <w:rPr>
          <w:rFonts w:hint="eastAsia" w:ascii="方正小标宋_GBK" w:hAnsi="方正小标宋_GBK" w:eastAsia="方正小标宋_GBK" w:cs="方正小标宋_GBK"/>
          <w:b/>
          <w:sz w:val="44"/>
          <w:szCs w:val="44"/>
          <w:lang w:eastAsia="zh-CN"/>
        </w:rPr>
        <w:t>评价</w:t>
      </w:r>
      <w:r>
        <w:rPr>
          <w:rFonts w:hint="eastAsia" w:ascii="方正小标宋_GBK" w:hAnsi="方正小标宋_GBK" w:eastAsia="方正小标宋_GBK" w:cs="方正小标宋_GBK"/>
          <w:b/>
          <w:sz w:val="44"/>
          <w:szCs w:val="44"/>
        </w:rPr>
        <w:t>报告</w:t>
      </w:r>
    </w:p>
    <w:p>
      <w:pPr>
        <w:adjustRightInd w:val="0"/>
        <w:snapToGrid w:val="0"/>
        <w:spacing w:line="560" w:lineRule="exact"/>
        <w:ind w:firstLine="960" w:firstLineChars="300"/>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adjustRightInd w:val="0"/>
        <w:snapToGrid w:val="0"/>
        <w:spacing w:line="560" w:lineRule="exact"/>
        <w:ind w:firstLine="72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0"/>
          <w:sz w:val="32"/>
          <w:szCs w:val="32"/>
          <w:shd w:val="clear" w:color="auto" w:fill="FFFFFF"/>
        </w:rPr>
        <w:t>加大依法治镇、治村力度，围绕“打防控”一体化建设，扎实开展治安防范有偿</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"http://chengbaohetongfanben.unjs.com/" </w:instrText>
      </w:r>
      <w:r>
        <w:rPr>
          <w:rFonts w:hint="eastAsia" w:ascii="仿宋_GB2312" w:hAnsi="仿宋_GB2312" w:eastAsia="仿宋_GB2312" w:cs="仿宋_GB2312"/>
          <w:color w:val="000000"/>
          <w:kern w:val="0"/>
          <w:sz w:val="32"/>
          <w:szCs w:val="32"/>
          <w:shd w:val="clear" w:color="auto" w:fill="FFFFFF"/>
        </w:rPr>
        <w:fldChar w:fldCharType="separate"/>
      </w:r>
      <w:r>
        <w:rPr>
          <w:rStyle w:val="18"/>
          <w:rFonts w:hint="eastAsia" w:ascii="仿宋_GB2312" w:hAnsi="仿宋_GB2312" w:eastAsia="仿宋_GB2312" w:cs="仿宋_GB2312"/>
          <w:color w:val="000000"/>
          <w:sz w:val="32"/>
          <w:szCs w:val="32"/>
          <w:u w:val="none"/>
          <w:shd w:val="clear" w:color="auto" w:fill="FFFFFF"/>
        </w:rPr>
        <w:t>承包</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，加大摸排调处矛盾纠纷力度，加强青少年教育</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"http://www.unjs.com/fanwenwang/gzzd/" </w:instrText>
      </w:r>
      <w:r>
        <w:rPr>
          <w:rFonts w:hint="eastAsia" w:ascii="仿宋_GB2312" w:hAnsi="仿宋_GB2312" w:eastAsia="仿宋_GB2312" w:cs="仿宋_GB2312"/>
          <w:color w:val="000000"/>
          <w:kern w:val="0"/>
          <w:sz w:val="32"/>
          <w:szCs w:val="32"/>
          <w:shd w:val="clear" w:color="auto" w:fill="FFFFFF"/>
        </w:rPr>
        <w:fldChar w:fldCharType="separate"/>
      </w:r>
      <w:r>
        <w:rPr>
          <w:rStyle w:val="18"/>
          <w:rFonts w:hint="eastAsia" w:ascii="仿宋_GB2312" w:hAnsi="仿宋_GB2312" w:eastAsia="仿宋_GB2312" w:cs="仿宋_GB2312"/>
          <w:color w:val="000000"/>
          <w:sz w:val="32"/>
          <w:szCs w:val="32"/>
          <w:u w:val="none"/>
          <w:shd w:val="clear" w:color="auto" w:fill="FFFFFF"/>
        </w:rPr>
        <w:t>管理</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，重视重点场所管理，狠抓禁毒和反邪教</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"http://gongzuosixianghuibao.unjs.com/" </w:instrText>
      </w:r>
      <w:r>
        <w:rPr>
          <w:rFonts w:hint="eastAsia" w:ascii="仿宋_GB2312" w:hAnsi="仿宋_GB2312" w:eastAsia="仿宋_GB2312" w:cs="仿宋_GB2312"/>
          <w:color w:val="000000"/>
          <w:kern w:val="0"/>
          <w:sz w:val="32"/>
          <w:szCs w:val="32"/>
          <w:shd w:val="clear" w:color="auto" w:fill="FFFFFF"/>
        </w:rPr>
        <w:fldChar w:fldCharType="separate"/>
      </w:r>
      <w:r>
        <w:rPr>
          <w:rStyle w:val="18"/>
          <w:rFonts w:hint="eastAsia" w:ascii="仿宋_GB2312" w:hAnsi="仿宋_GB2312" w:eastAsia="仿宋_GB2312" w:cs="仿宋_GB2312"/>
          <w:color w:val="000000"/>
          <w:sz w:val="32"/>
          <w:szCs w:val="32"/>
          <w:u w:val="none"/>
          <w:shd w:val="clear" w:color="auto" w:fill="FFFFFF"/>
        </w:rPr>
        <w:t>工作</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sz w:val="32"/>
          <w:szCs w:val="32"/>
          <w:lang w:val="en-US"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年年初我镇按严格预算编制要求，对</w:t>
      </w:r>
      <w:r>
        <w:rPr>
          <w:rFonts w:hint="eastAsia" w:ascii="仿宋_GB2312" w:hAnsi="仿宋_GB2312" w:eastAsia="仿宋_GB2312" w:cs="仿宋_GB2312"/>
          <w:sz w:val="32"/>
          <w:szCs w:val="32"/>
          <w:lang w:val="zh-CN" w:eastAsia="zh-CN"/>
        </w:rPr>
        <w:t>镇社会治安综合治理经费</w:t>
      </w:r>
      <w:r>
        <w:rPr>
          <w:rFonts w:hint="eastAsia" w:ascii="仿宋_GB2312" w:hAnsi="仿宋_GB2312" w:eastAsia="仿宋_GB2312" w:cs="仿宋_GB2312"/>
          <w:sz w:val="32"/>
          <w:szCs w:val="32"/>
          <w:lang w:val="zh-CN"/>
        </w:rPr>
        <w:t>进行预算编制，经市政府同意，报峨眉山市人民代表大会会议批准通过。</w:t>
      </w:r>
    </w:p>
    <w:p>
      <w:pPr>
        <w:adjustRightInd w:val="0"/>
        <w:snapToGrid w:val="0"/>
        <w:spacing w:line="560" w:lineRule="exact"/>
        <w:ind w:firstLine="640" w:firstLineChars="200"/>
        <w:rPr>
          <w:rFonts w:hint="eastAsia" w:ascii="楷体_GB2312" w:hAnsi="楷体_GB2312" w:eastAsia="楷体_GB2312" w:cs="楷体_GB2312"/>
          <w:b w:val="0"/>
          <w:bCs w:val="0"/>
          <w:sz w:val="32"/>
          <w:szCs w:val="32"/>
          <w:lang w:val="zh-CN" w:eastAsia="zh-CN"/>
        </w:rPr>
      </w:pPr>
      <w:r>
        <w:rPr>
          <w:rFonts w:hint="eastAsia" w:ascii="楷体_GB2312" w:hAnsi="楷体_GB2312" w:eastAsia="楷体_GB2312" w:cs="楷体_GB2312"/>
          <w:b w:val="0"/>
          <w:bCs w:val="0"/>
          <w:sz w:val="32"/>
          <w:szCs w:val="32"/>
          <w:lang w:val="zh-CN"/>
        </w:rPr>
        <w:t>（二）</w:t>
      </w:r>
      <w:r>
        <w:rPr>
          <w:rFonts w:hint="eastAsia" w:ascii="楷体_GB2312" w:hAnsi="楷体_GB2312" w:eastAsia="楷体_GB2312" w:cs="楷体_GB2312"/>
          <w:b w:val="0"/>
          <w:bCs w:val="0"/>
          <w:sz w:val="32"/>
          <w:szCs w:val="32"/>
          <w:lang w:val="zh-CN" w:eastAsia="zh-CN"/>
        </w:rPr>
        <w:t>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1、项目主要目标：</w:t>
      </w:r>
      <w:r>
        <w:rPr>
          <w:rFonts w:hint="eastAsia" w:ascii="仿宋_GB2312" w:hAnsi="仿宋_GB2312" w:eastAsia="仿宋_GB2312" w:cs="仿宋_GB2312"/>
          <w:color w:val="000000"/>
          <w:kern w:val="0"/>
          <w:sz w:val="32"/>
          <w:szCs w:val="32"/>
          <w:shd w:val="clear" w:color="auto" w:fill="FFFFFF"/>
        </w:rPr>
        <w:t>全镇社会治安保持了稳定祥和的良好局面，有力地推动了两个</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"http://wenming.unjs.com/" </w:instrText>
      </w:r>
      <w:r>
        <w:rPr>
          <w:rFonts w:hint="eastAsia" w:ascii="仿宋_GB2312" w:hAnsi="仿宋_GB2312" w:eastAsia="仿宋_GB2312" w:cs="仿宋_GB2312"/>
          <w:color w:val="000000"/>
          <w:kern w:val="0"/>
          <w:sz w:val="32"/>
          <w:szCs w:val="32"/>
          <w:shd w:val="clear" w:color="auto" w:fill="FFFFFF"/>
        </w:rPr>
        <w:fldChar w:fldCharType="separate"/>
      </w:r>
      <w:r>
        <w:rPr>
          <w:rStyle w:val="18"/>
          <w:rFonts w:hint="eastAsia" w:ascii="仿宋_GB2312" w:hAnsi="仿宋_GB2312" w:eastAsia="仿宋_GB2312" w:cs="仿宋_GB2312"/>
          <w:color w:val="000000"/>
          <w:sz w:val="32"/>
          <w:szCs w:val="32"/>
          <w:u w:val="none"/>
          <w:shd w:val="clear" w:color="auto" w:fill="FFFFFF"/>
        </w:rPr>
        <w:t>文明</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建设</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"http://www.unjs.com/xuexi/redianyuedu/" </w:instrText>
      </w:r>
      <w:r>
        <w:rPr>
          <w:rFonts w:hint="eastAsia" w:ascii="仿宋_GB2312" w:hAnsi="仿宋_GB2312" w:eastAsia="仿宋_GB2312" w:cs="仿宋_GB2312"/>
          <w:color w:val="000000"/>
          <w:kern w:val="0"/>
          <w:sz w:val="32"/>
          <w:szCs w:val="32"/>
          <w:shd w:val="clear" w:color="auto" w:fill="FFFFFF"/>
        </w:rPr>
        <w:fldChar w:fldCharType="separate"/>
      </w:r>
      <w:r>
        <w:rPr>
          <w:rStyle w:val="18"/>
          <w:rFonts w:hint="eastAsia" w:ascii="仿宋_GB2312" w:hAnsi="仿宋_GB2312" w:eastAsia="仿宋_GB2312" w:cs="仿宋_GB2312"/>
          <w:color w:val="000000"/>
          <w:sz w:val="32"/>
          <w:szCs w:val="32"/>
          <w:u w:val="none"/>
          <w:shd w:val="clear" w:color="auto" w:fill="FFFFFF"/>
        </w:rPr>
        <w:t>健康</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、协调的向前发展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通过预算编制，规划绩效目标：</w:t>
      </w:r>
      <w:r>
        <w:rPr>
          <w:rFonts w:hint="eastAsia" w:ascii="仿宋_GB2312" w:hAnsi="仿宋_GB2312" w:eastAsia="仿宋_GB2312" w:cs="仿宋_GB2312"/>
          <w:b w:val="0"/>
          <w:bCs w:val="0"/>
          <w:sz w:val="32"/>
          <w:szCs w:val="32"/>
          <w:lang w:val="zh-CN"/>
        </w:rPr>
        <w:t>通过</w:t>
      </w:r>
      <w:r>
        <w:rPr>
          <w:rFonts w:hint="eastAsia" w:ascii="仿宋_GB2312" w:hAnsi="仿宋_GB2312" w:eastAsia="仿宋_GB2312" w:cs="仿宋_GB2312"/>
          <w:b w:val="0"/>
          <w:bCs w:val="0"/>
          <w:color w:val="000000"/>
          <w:kern w:val="0"/>
          <w:sz w:val="32"/>
          <w:szCs w:val="32"/>
          <w:shd w:val="clear" w:color="auto" w:fill="FFFFFF"/>
          <w:lang w:eastAsia="zh-CN"/>
        </w:rPr>
        <w:t>多元矛盾化解、</w:t>
      </w:r>
      <w:r>
        <w:rPr>
          <w:rFonts w:hint="eastAsia" w:ascii="仿宋_GB2312" w:hAnsi="仿宋_GB2312" w:eastAsia="仿宋_GB2312" w:cs="仿宋_GB2312"/>
          <w:b w:val="0"/>
          <w:bCs w:val="0"/>
          <w:color w:val="000000"/>
          <w:kern w:val="0"/>
          <w:sz w:val="32"/>
          <w:szCs w:val="32"/>
          <w:shd w:val="clear" w:color="auto" w:fill="FFFFFF"/>
          <w:lang w:val="en-US" w:eastAsia="zh-CN"/>
        </w:rPr>
        <w:t>扫黑除恶专项斗争、</w:t>
      </w:r>
      <w:r>
        <w:rPr>
          <w:rFonts w:hint="eastAsia" w:ascii="仿宋_GB2312" w:hAnsi="仿宋_GB2312" w:eastAsia="仿宋_GB2312" w:cs="仿宋_GB2312"/>
          <w:b w:val="0"/>
          <w:bCs w:val="0"/>
          <w:color w:val="000000"/>
          <w:kern w:val="0"/>
          <w:sz w:val="32"/>
          <w:szCs w:val="32"/>
          <w:shd w:val="clear" w:color="auto" w:fill="FFFFFF"/>
        </w:rPr>
        <w:t>法</w:t>
      </w:r>
      <w:r>
        <w:rPr>
          <w:rFonts w:hint="eastAsia" w:ascii="仿宋_GB2312" w:hAnsi="仿宋_GB2312" w:eastAsia="仿宋_GB2312" w:cs="仿宋_GB2312"/>
          <w:b w:val="0"/>
          <w:bCs w:val="0"/>
          <w:color w:val="000000"/>
          <w:kern w:val="0"/>
          <w:sz w:val="32"/>
          <w:szCs w:val="32"/>
          <w:shd w:val="clear" w:color="auto" w:fill="FFFFFF"/>
          <w:lang w:eastAsia="zh-CN"/>
        </w:rPr>
        <w:t>治</w:t>
      </w:r>
      <w:r>
        <w:rPr>
          <w:rFonts w:hint="eastAsia" w:ascii="仿宋_GB2312" w:hAnsi="仿宋_GB2312" w:eastAsia="仿宋_GB2312" w:cs="仿宋_GB2312"/>
          <w:b w:val="0"/>
          <w:bCs w:val="0"/>
          <w:color w:val="000000"/>
          <w:kern w:val="0"/>
          <w:sz w:val="32"/>
          <w:szCs w:val="32"/>
          <w:shd w:val="clear" w:color="auto" w:fill="FFFFFF"/>
        </w:rPr>
        <w:t>宣传</w:t>
      </w:r>
      <w:r>
        <w:rPr>
          <w:rFonts w:hint="eastAsia" w:ascii="仿宋_GB2312" w:hAnsi="仿宋_GB2312" w:eastAsia="仿宋_GB2312" w:cs="仿宋_GB2312"/>
          <w:b w:val="0"/>
          <w:bCs w:val="0"/>
          <w:color w:val="000000"/>
          <w:kern w:val="0"/>
          <w:sz w:val="32"/>
          <w:szCs w:val="32"/>
          <w:shd w:val="clear" w:color="auto" w:fill="FFFFFF"/>
          <w:lang w:eastAsia="zh-CN"/>
        </w:rPr>
        <w:t>教育、</w:t>
      </w:r>
      <w:r>
        <w:rPr>
          <w:rFonts w:hint="eastAsia" w:ascii="仿宋_GB2312" w:hAnsi="仿宋_GB2312" w:eastAsia="仿宋_GB2312" w:cs="仿宋_GB2312"/>
          <w:b w:val="0"/>
          <w:bCs w:val="0"/>
          <w:color w:val="auto"/>
          <w:kern w:val="0"/>
          <w:sz w:val="32"/>
          <w:szCs w:val="32"/>
          <w:shd w:val="clear" w:color="auto" w:fill="FFFFFF"/>
          <w:lang w:eastAsia="zh-CN"/>
        </w:rPr>
        <w:t>信访与维稳、</w:t>
      </w:r>
      <w:r>
        <w:rPr>
          <w:rFonts w:hint="eastAsia" w:ascii="仿宋_GB2312" w:hAnsi="仿宋_GB2312" w:eastAsia="仿宋_GB2312" w:cs="仿宋_GB2312"/>
          <w:b w:val="0"/>
          <w:bCs w:val="0"/>
          <w:color w:val="auto"/>
          <w:kern w:val="0"/>
          <w:sz w:val="32"/>
          <w:szCs w:val="32"/>
          <w:shd w:val="clear" w:color="auto" w:fill="FFFFFF"/>
          <w:lang w:val="en-US" w:eastAsia="zh-CN"/>
        </w:rPr>
        <w:t>防邪、</w:t>
      </w:r>
      <w:r>
        <w:rPr>
          <w:rFonts w:hint="eastAsia" w:ascii="仿宋_GB2312" w:hAnsi="仿宋_GB2312" w:eastAsia="仿宋_GB2312" w:cs="仿宋_GB2312"/>
          <w:b w:val="0"/>
          <w:bCs w:val="0"/>
          <w:color w:val="000000"/>
          <w:kern w:val="0"/>
          <w:sz w:val="32"/>
          <w:szCs w:val="32"/>
          <w:shd w:val="clear" w:color="auto" w:fill="FFFFFF"/>
          <w:lang w:val="en-US" w:eastAsia="zh-CN"/>
        </w:rPr>
        <w:t>社区矫正、</w:t>
      </w:r>
      <w:r>
        <w:rPr>
          <w:rFonts w:hint="eastAsia" w:ascii="仿宋_GB2312" w:hAnsi="仿宋_GB2312" w:eastAsia="仿宋_GB2312" w:cs="仿宋_GB2312"/>
          <w:b w:val="0"/>
          <w:bCs w:val="0"/>
          <w:color w:val="auto"/>
          <w:kern w:val="0"/>
          <w:sz w:val="32"/>
          <w:szCs w:val="32"/>
          <w:shd w:val="clear" w:color="auto" w:fill="FFFFFF"/>
          <w:lang w:val="en-US" w:eastAsia="zh-CN"/>
        </w:rPr>
        <w:t>社戒社康等工作，</w:t>
      </w:r>
      <w:r>
        <w:rPr>
          <w:rFonts w:hint="eastAsia" w:ascii="仿宋_GB2312" w:hAnsi="仿宋_GB2312" w:eastAsia="仿宋_GB2312" w:cs="仿宋_GB2312"/>
          <w:sz w:val="32"/>
          <w:szCs w:val="32"/>
          <w:lang w:val="zh-CN"/>
        </w:rPr>
        <w:t>保障</w:t>
      </w:r>
      <w:r>
        <w:rPr>
          <w:rFonts w:hint="eastAsia" w:ascii="仿宋_GB2312" w:hAnsi="仿宋_GB2312" w:eastAsia="仿宋_GB2312" w:cs="仿宋_GB2312"/>
          <w:sz w:val="32"/>
          <w:szCs w:val="32"/>
          <w:lang w:val="zh-CN" w:eastAsia="zh-CN"/>
        </w:rPr>
        <w:t>社会的安定，提升了人民群众的获得感、幸福感、安全感。</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镇社会治安综合治理经费</w:t>
      </w:r>
      <w:r>
        <w:rPr>
          <w:rFonts w:hint="eastAsia" w:ascii="仿宋_GB2312" w:hAnsi="仿宋_GB2312" w:eastAsia="仿宋_GB2312" w:cs="仿宋_GB2312"/>
          <w:sz w:val="32"/>
          <w:szCs w:val="32"/>
          <w:lang w:val="zh-CN"/>
        </w:rPr>
        <w:t>服务当地人民群众，申报内容与实际相符，申报目标合理。</w:t>
      </w:r>
    </w:p>
    <w:p>
      <w:pPr>
        <w:adjustRightInd w:val="0"/>
        <w:snapToGrid w:val="0"/>
        <w:spacing w:line="56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二、项目资金申报及使用情况</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1、资金到位。</w:t>
      </w:r>
      <w:r>
        <w:rPr>
          <w:rFonts w:hint="eastAsia" w:ascii="仿宋_GB2312" w:hAnsi="仿宋_GB2312" w:eastAsia="仿宋_GB2312" w:cs="仿宋_GB2312"/>
          <w:sz w:val="32"/>
          <w:szCs w:val="32"/>
          <w:lang w:val="zh-CN" w:eastAsia="zh-CN"/>
        </w:rPr>
        <w:t>社会治安综合治理经费财政拨款</w:t>
      </w:r>
      <w:r>
        <w:rPr>
          <w:rFonts w:hint="eastAsia" w:ascii="仿宋_GB2312" w:hAnsi="仿宋_GB2312" w:eastAsia="仿宋_GB2312" w:cs="仿宋_GB2312"/>
          <w:sz w:val="32"/>
          <w:szCs w:val="32"/>
          <w:lang w:val="en-US" w:eastAsia="zh-CN"/>
        </w:rPr>
        <w:t>2020年预算4.00万元，属本级人民政府预算专项资金，经市人代会会议结束后到位。</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2、资金使用。</w:t>
      </w:r>
      <w:r>
        <w:rPr>
          <w:rFonts w:hint="eastAsia" w:ascii="仿宋_GB2312" w:hAnsi="仿宋_GB2312" w:eastAsia="仿宋_GB2312" w:cs="仿宋_GB2312"/>
          <w:sz w:val="32"/>
          <w:szCs w:val="32"/>
          <w:lang w:val="en-US" w:eastAsia="zh-CN"/>
        </w:rPr>
        <w:t>我镇</w:t>
      </w:r>
      <w:r>
        <w:rPr>
          <w:rFonts w:hint="eastAsia" w:ascii="仿宋_GB2312" w:hAnsi="仿宋_GB2312" w:eastAsia="仿宋_GB2312" w:cs="仿宋_GB2312"/>
          <w:sz w:val="32"/>
          <w:szCs w:val="32"/>
          <w:lang w:val="zh-CN" w:eastAsia="zh-CN"/>
        </w:rPr>
        <w:t>社会治安综合治理经费</w:t>
      </w:r>
      <w:r>
        <w:rPr>
          <w:rFonts w:hint="eastAsia" w:ascii="仿宋_GB2312" w:hAnsi="仿宋_GB2312" w:eastAsia="仿宋_GB2312" w:cs="仿宋_GB2312"/>
          <w:sz w:val="32"/>
          <w:szCs w:val="32"/>
          <w:lang w:val="en-US" w:eastAsia="zh-CN"/>
        </w:rPr>
        <w:t>使用4.00万元，使用率100%，用于安全宣传、流浪狗治理、禁毒标识标牌宣传制作、维稳开支等。</w:t>
      </w:r>
      <w:r>
        <w:rPr>
          <w:rFonts w:hint="eastAsia" w:ascii="仿宋_GB2312" w:hAnsi="仿宋_GB2312" w:eastAsia="仿宋_GB2312" w:cs="仿宋_GB2312"/>
          <w:sz w:val="32"/>
          <w:szCs w:val="32"/>
          <w:lang w:eastAsia="zh-CN"/>
        </w:rPr>
        <w:t>会计核算、现金管理、转账支付等均按规章制度执行，做到专款专用，资金支付依据齐全、开支标准合理合法、专项资金专项管理、专项使用，年初的绩效目标也基本完成。</w:t>
      </w:r>
    </w:p>
    <w:p>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val="zh-CN" w:eastAsia="zh-CN"/>
        </w:rPr>
        <w:t>项目财务管理情况。</w:t>
      </w:r>
      <w:r>
        <w:rPr>
          <w:rFonts w:hint="eastAsia" w:ascii="仿宋_GB2312" w:hAnsi="仿宋_GB2312" w:eastAsia="仿宋_GB2312" w:cs="仿宋_GB2312"/>
          <w:sz w:val="32"/>
          <w:szCs w:val="32"/>
          <w:lang w:val="zh-CN" w:eastAsia="zh-CN"/>
        </w:rPr>
        <w:t>财务管理制度健全，严格执行财管管理制度，账务处理及时，会计核算规范。</w:t>
      </w:r>
    </w:p>
    <w:p>
      <w:pPr>
        <w:adjustRightInd w:val="0"/>
        <w:snapToGrid w:val="0"/>
        <w:spacing w:line="56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三、项目实施及管理情况</w:t>
      </w:r>
    </w:p>
    <w:p>
      <w:pPr>
        <w:widowControl/>
        <w:numPr>
          <w:ilvl w:val="0"/>
          <w:numId w:val="0"/>
        </w:numPr>
        <w:ind w:firstLine="640" w:firstLineChars="200"/>
        <w:jc w:val="left"/>
        <w:rPr>
          <w:rFonts w:hint="eastAsia" w:ascii="楷体_GB2312" w:hAnsi="楷体_GB2312" w:eastAsia="楷体_GB2312" w:cs="楷体_GB2312"/>
          <w:b w:val="0"/>
          <w:bCs w:val="0"/>
          <w:color w:val="000000"/>
          <w:kern w:val="0"/>
          <w:sz w:val="32"/>
          <w:szCs w:val="32"/>
          <w:shd w:val="clear" w:color="auto" w:fill="FFFFFF"/>
        </w:rPr>
      </w:pPr>
      <w:r>
        <w:rPr>
          <w:rFonts w:hint="eastAsia" w:ascii="楷体_GB2312" w:hAnsi="楷体_GB2312" w:eastAsia="楷体_GB2312" w:cs="楷体_GB2312"/>
          <w:b w:val="0"/>
          <w:bCs w:val="0"/>
          <w:sz w:val="32"/>
          <w:szCs w:val="32"/>
          <w:lang w:val="zh-CN" w:eastAsia="zh-CN"/>
        </w:rPr>
        <w:t xml:space="preserve"> </w:t>
      </w: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color w:val="000000"/>
          <w:kern w:val="0"/>
          <w:sz w:val="32"/>
          <w:szCs w:val="32"/>
          <w:shd w:val="clear" w:color="auto" w:fill="FFFFFF"/>
          <w:lang w:eastAsia="zh-CN"/>
        </w:rPr>
        <w:t>、多元化解</w:t>
      </w:r>
      <w:r>
        <w:rPr>
          <w:rFonts w:hint="eastAsia" w:ascii="楷体_GB2312" w:hAnsi="楷体_GB2312" w:eastAsia="楷体_GB2312" w:cs="楷体_GB2312"/>
          <w:b w:val="0"/>
          <w:bCs w:val="0"/>
          <w:color w:val="000000"/>
          <w:kern w:val="0"/>
          <w:sz w:val="32"/>
          <w:szCs w:val="32"/>
          <w:shd w:val="clear" w:color="auto" w:fill="FFFFFF"/>
        </w:rPr>
        <w:t>工作</w:t>
      </w:r>
    </w:p>
    <w:p>
      <w:pPr>
        <w:widowControl/>
        <w:numPr>
          <w:ilvl w:val="0"/>
          <w:numId w:val="0"/>
        </w:numPr>
        <w:ind w:firstLine="640" w:firstLineChars="200"/>
        <w:jc w:val="left"/>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eastAsia="zh-CN"/>
        </w:rPr>
        <w:t>全镇共受理各类民事纠纷</w:t>
      </w:r>
      <w:r>
        <w:rPr>
          <w:rFonts w:hint="eastAsia" w:ascii="仿宋_GB2312" w:hAnsi="仿宋_GB2312" w:eastAsia="仿宋_GB2312" w:cs="仿宋_GB2312"/>
          <w:color w:val="000000"/>
          <w:kern w:val="0"/>
          <w:sz w:val="32"/>
          <w:szCs w:val="32"/>
          <w:shd w:val="clear" w:color="auto" w:fill="FFFFFF"/>
          <w:lang w:val="en-US" w:eastAsia="zh-CN"/>
        </w:rPr>
        <w:t>160余起（达成书面协议的21起，口头协议140余起），</w:t>
      </w:r>
      <w:r>
        <w:rPr>
          <w:rFonts w:hint="eastAsia" w:ascii="仿宋_GB2312" w:hAnsi="仿宋_GB2312" w:eastAsia="仿宋_GB2312" w:cs="仿宋_GB2312"/>
          <w:color w:val="000000"/>
          <w:kern w:val="0"/>
          <w:sz w:val="32"/>
          <w:szCs w:val="32"/>
          <w:shd w:val="clear" w:color="auto" w:fill="FFFFFF"/>
          <w:lang w:eastAsia="zh-CN"/>
        </w:rPr>
        <w:t>调解</w:t>
      </w:r>
      <w:r>
        <w:rPr>
          <w:rFonts w:hint="eastAsia" w:ascii="仿宋_GB2312" w:hAnsi="仿宋_GB2312" w:eastAsia="仿宋_GB2312" w:cs="仿宋_GB2312"/>
          <w:color w:val="000000"/>
          <w:kern w:val="0"/>
          <w:sz w:val="32"/>
          <w:szCs w:val="32"/>
          <w:shd w:val="clear" w:color="auto" w:fill="FFFFFF"/>
          <w:lang w:val="en-US" w:eastAsia="zh-CN"/>
        </w:rPr>
        <w:t>成功率100%，筑牢了第一道防线，有力维护了社会稳定。</w:t>
      </w:r>
      <w:r>
        <w:rPr>
          <w:rFonts w:hint="eastAsia" w:ascii="仿宋_GB2312" w:hAnsi="仿宋_GB2312" w:eastAsia="仿宋_GB2312" w:cs="仿宋_GB2312"/>
          <w:b/>
          <w:bCs/>
          <w:color w:val="000000"/>
          <w:kern w:val="0"/>
          <w:sz w:val="32"/>
          <w:szCs w:val="32"/>
          <w:shd w:val="clear" w:color="auto" w:fill="FFFFFF"/>
          <w:lang w:val="en-US" w:eastAsia="zh-CN"/>
        </w:rPr>
        <w:t xml:space="preserve">    </w:t>
      </w:r>
    </w:p>
    <w:p>
      <w:pPr>
        <w:widowControl/>
        <w:numPr>
          <w:ilvl w:val="0"/>
          <w:numId w:val="0"/>
        </w:numPr>
        <w:ind w:firstLine="640" w:firstLineChars="200"/>
        <w:jc w:val="left"/>
        <w:rPr>
          <w:rFonts w:hint="eastAsia" w:ascii="楷体_GB2312" w:hAnsi="楷体_GB2312" w:eastAsia="楷体_GB2312" w:cs="楷体_GB2312"/>
          <w:b w:val="0"/>
          <w:bCs w:val="0"/>
          <w:color w:val="000000"/>
          <w:kern w:val="0"/>
          <w:sz w:val="32"/>
          <w:szCs w:val="32"/>
          <w:shd w:val="clear" w:color="auto" w:fill="FFFFFF"/>
          <w:lang w:val="en-US" w:eastAsia="zh-CN"/>
        </w:rPr>
      </w:pPr>
      <w:r>
        <w:rPr>
          <w:rFonts w:hint="eastAsia" w:ascii="楷体_GB2312" w:hAnsi="楷体_GB2312" w:eastAsia="楷体_GB2312" w:cs="楷体_GB2312"/>
          <w:b w:val="0"/>
          <w:bCs w:val="0"/>
          <w:color w:val="000000"/>
          <w:kern w:val="0"/>
          <w:sz w:val="32"/>
          <w:szCs w:val="32"/>
          <w:shd w:val="clear" w:color="auto" w:fill="FFFFFF"/>
          <w:lang w:val="en-US" w:eastAsia="zh-CN"/>
        </w:rPr>
        <w:t>2、扫黑除恶专项斗争工作</w:t>
      </w:r>
    </w:p>
    <w:p>
      <w:pPr>
        <w:widowControl/>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在今年的村级建制调整改革工作中，镇、村、组全体动员，加强对涉黑涉恶打击宣传，全面摸排，营造出了“见黑必打”的社会氛围。全年共排查不稳定因素12条。</w:t>
      </w:r>
    </w:p>
    <w:p>
      <w:pPr>
        <w:widowControl/>
        <w:numPr>
          <w:ilvl w:val="0"/>
          <w:numId w:val="0"/>
        </w:numPr>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楷体_GB2312" w:hAnsi="楷体_GB2312" w:eastAsia="楷体_GB2312" w:cs="楷体_GB2312"/>
          <w:b w:val="0"/>
          <w:bCs w:val="0"/>
          <w:color w:val="000000"/>
          <w:kern w:val="0"/>
          <w:sz w:val="32"/>
          <w:szCs w:val="32"/>
          <w:shd w:val="clear" w:color="auto" w:fill="FFFFFF"/>
          <w:lang w:val="en-US" w:eastAsia="zh-CN"/>
        </w:rPr>
        <w:t>3、</w:t>
      </w:r>
      <w:r>
        <w:rPr>
          <w:rFonts w:hint="eastAsia" w:ascii="楷体_GB2312" w:hAnsi="楷体_GB2312" w:eastAsia="楷体_GB2312" w:cs="楷体_GB2312"/>
          <w:b w:val="0"/>
          <w:bCs w:val="0"/>
          <w:color w:val="000000"/>
          <w:kern w:val="0"/>
          <w:sz w:val="32"/>
          <w:szCs w:val="32"/>
          <w:shd w:val="clear" w:color="auto" w:fill="FFFFFF"/>
        </w:rPr>
        <w:t>法</w:t>
      </w:r>
      <w:r>
        <w:rPr>
          <w:rFonts w:hint="eastAsia" w:ascii="楷体_GB2312" w:hAnsi="楷体_GB2312" w:eastAsia="楷体_GB2312" w:cs="楷体_GB2312"/>
          <w:b w:val="0"/>
          <w:bCs w:val="0"/>
          <w:color w:val="000000"/>
          <w:kern w:val="0"/>
          <w:sz w:val="32"/>
          <w:szCs w:val="32"/>
          <w:shd w:val="clear" w:color="auto" w:fill="FFFFFF"/>
          <w:lang w:eastAsia="zh-CN"/>
        </w:rPr>
        <w:t>治</w:t>
      </w:r>
      <w:r>
        <w:rPr>
          <w:rFonts w:hint="eastAsia" w:ascii="楷体_GB2312" w:hAnsi="楷体_GB2312" w:eastAsia="楷体_GB2312" w:cs="楷体_GB2312"/>
          <w:b w:val="0"/>
          <w:bCs w:val="0"/>
          <w:color w:val="000000"/>
          <w:kern w:val="0"/>
          <w:sz w:val="32"/>
          <w:szCs w:val="32"/>
          <w:shd w:val="clear" w:color="auto" w:fill="FFFFFF"/>
        </w:rPr>
        <w:t>宣传</w:t>
      </w:r>
      <w:r>
        <w:rPr>
          <w:rFonts w:hint="eastAsia" w:ascii="楷体_GB2312" w:hAnsi="楷体_GB2312" w:eastAsia="楷体_GB2312" w:cs="楷体_GB2312"/>
          <w:b w:val="0"/>
          <w:bCs w:val="0"/>
          <w:color w:val="000000"/>
          <w:kern w:val="0"/>
          <w:sz w:val="32"/>
          <w:szCs w:val="32"/>
          <w:shd w:val="clear" w:color="auto" w:fill="FFFFFF"/>
          <w:lang w:eastAsia="zh-CN"/>
        </w:rPr>
        <w:t>教育工作</w:t>
      </w:r>
      <w:r>
        <w:rPr>
          <w:rFonts w:hint="eastAsia" w:ascii="楷体_GB2312" w:hAnsi="楷体_GB2312" w:eastAsia="楷体_GB2312" w:cs="楷体_GB2312"/>
          <w:b w:val="0"/>
          <w:bCs w:val="0"/>
          <w:color w:val="000000"/>
          <w:kern w:val="0"/>
          <w:sz w:val="32"/>
          <w:szCs w:val="32"/>
          <w:shd w:val="clear" w:color="auto" w:fill="FFFFFF"/>
        </w:rPr>
        <w:t> </w:t>
      </w:r>
      <w:r>
        <w:rPr>
          <w:rFonts w:hint="eastAsia" w:ascii="仿宋_GB2312" w:hAnsi="仿宋_GB2312" w:eastAsia="仿宋_GB2312" w:cs="仿宋_GB2312"/>
          <w:b w:val="0"/>
          <w:bCs w:val="0"/>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仿宋_GB2312" w:eastAsia="仿宋_GB2312" w:cs="仿宋_GB2312"/>
          <w:color w:val="000000"/>
          <w:kern w:val="0"/>
          <w:sz w:val="32"/>
          <w:szCs w:val="32"/>
          <w:shd w:val="clear" w:color="auto" w:fill="FFFFFF"/>
          <w:lang w:val="en-US" w:eastAsia="zh-CN"/>
        </w:rPr>
        <w:t xml:space="preserve"> 以“七五”普法为契机，</w:t>
      </w:r>
      <w:r>
        <w:rPr>
          <w:rFonts w:hint="eastAsia" w:ascii="仿宋_GB2312" w:hAnsi="仿宋_GB2312" w:eastAsia="仿宋_GB2312" w:cs="仿宋_GB2312"/>
          <w:color w:val="000000"/>
          <w:kern w:val="0"/>
          <w:sz w:val="32"/>
          <w:szCs w:val="32"/>
          <w:shd w:val="clear" w:color="auto" w:fill="FFFFFF"/>
        </w:rPr>
        <w:t>采取灵活多样的形式，开展</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6.26</w:t>
      </w:r>
      <w:r>
        <w:rPr>
          <w:rFonts w:hint="eastAsia" w:ascii="仿宋_GB2312" w:hAnsi="仿宋_GB2312" w:eastAsia="仿宋_GB2312" w:cs="仿宋_GB2312"/>
          <w:color w:val="000000"/>
          <w:kern w:val="0"/>
          <w:sz w:val="32"/>
          <w:szCs w:val="32"/>
          <w:shd w:val="clear" w:color="auto" w:fill="FFFFFF"/>
          <w:lang w:eastAsia="zh-CN"/>
        </w:rPr>
        <w:t>”禁毒宣传日、爱路护路宣传月、综治宣传月、扫黑除恶专项斗争、“</w:t>
      </w:r>
      <w:r>
        <w:rPr>
          <w:rFonts w:hint="eastAsia" w:ascii="仿宋_GB2312" w:hAnsi="仿宋_GB2312" w:eastAsia="仿宋_GB2312" w:cs="仿宋_GB2312"/>
          <w:color w:val="000000"/>
          <w:kern w:val="0"/>
          <w:sz w:val="32"/>
          <w:szCs w:val="32"/>
          <w:shd w:val="clear" w:color="auto" w:fill="FFFFFF"/>
          <w:lang w:val="en-US" w:eastAsia="zh-CN"/>
        </w:rPr>
        <w:t>12.4”宪法宣传日</w:t>
      </w:r>
      <w:r>
        <w:rPr>
          <w:rFonts w:hint="eastAsia" w:ascii="仿宋_GB2312" w:hAnsi="仿宋_GB2312" w:eastAsia="仿宋_GB2312" w:cs="仿宋_GB2312"/>
          <w:color w:val="000000"/>
          <w:kern w:val="0"/>
          <w:sz w:val="32"/>
          <w:szCs w:val="32"/>
          <w:shd w:val="clear" w:color="auto" w:fill="FFFFFF"/>
          <w:lang w:eastAsia="zh-CN"/>
        </w:rPr>
        <w:t>等</w:t>
      </w:r>
      <w:r>
        <w:rPr>
          <w:rFonts w:hint="eastAsia" w:ascii="仿宋_GB2312" w:hAnsi="仿宋_GB2312" w:eastAsia="仿宋_GB2312" w:cs="仿宋_GB2312"/>
          <w:color w:val="000000"/>
          <w:kern w:val="0"/>
          <w:sz w:val="32"/>
          <w:szCs w:val="32"/>
          <w:shd w:val="clear" w:color="auto" w:fill="FFFFFF"/>
        </w:rPr>
        <w:t>法</w:t>
      </w:r>
      <w:r>
        <w:rPr>
          <w:rFonts w:hint="eastAsia" w:ascii="仿宋_GB2312" w:hAnsi="仿宋_GB2312" w:eastAsia="仿宋_GB2312" w:cs="仿宋_GB2312"/>
          <w:color w:val="000000"/>
          <w:kern w:val="0"/>
          <w:sz w:val="32"/>
          <w:szCs w:val="32"/>
          <w:shd w:val="clear" w:color="auto" w:fill="FFFFFF"/>
          <w:lang w:eastAsia="zh-CN"/>
        </w:rPr>
        <w:t>治</w:t>
      </w:r>
      <w:r>
        <w:rPr>
          <w:rFonts w:hint="eastAsia" w:ascii="仿宋_GB2312" w:hAnsi="仿宋_GB2312" w:eastAsia="仿宋_GB2312" w:cs="仿宋_GB2312"/>
          <w:color w:val="000000"/>
          <w:kern w:val="0"/>
          <w:sz w:val="32"/>
          <w:szCs w:val="32"/>
          <w:shd w:val="clear" w:color="auto" w:fill="FFFFFF"/>
        </w:rPr>
        <w:t>宣传</w:t>
      </w:r>
      <w:r>
        <w:rPr>
          <w:rFonts w:hint="eastAsia" w:ascii="仿宋_GB2312" w:hAnsi="仿宋_GB2312" w:eastAsia="仿宋_GB2312" w:cs="仿宋_GB2312"/>
          <w:color w:val="000000"/>
          <w:kern w:val="0"/>
          <w:sz w:val="32"/>
          <w:szCs w:val="32"/>
          <w:shd w:val="clear" w:color="auto" w:fill="FFFFFF"/>
          <w:lang w:val="en-US" w:eastAsia="zh-CN"/>
        </w:rPr>
        <w:t>7次</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eastAsia="zh-CN"/>
        </w:rPr>
        <w:t>现场</w:t>
      </w:r>
      <w:r>
        <w:rPr>
          <w:rFonts w:hint="eastAsia" w:ascii="仿宋_GB2312" w:hAnsi="仿宋_GB2312" w:eastAsia="仿宋_GB2312" w:cs="仿宋_GB2312"/>
          <w:color w:val="000000"/>
          <w:kern w:val="0"/>
          <w:sz w:val="32"/>
          <w:szCs w:val="32"/>
          <w:shd w:val="clear" w:color="auto" w:fill="FFFFFF"/>
        </w:rPr>
        <w:t>解答群众提问</w:t>
      </w:r>
      <w:r>
        <w:rPr>
          <w:rFonts w:hint="eastAsia" w:ascii="仿宋_GB2312" w:hAnsi="仿宋_GB2312" w:eastAsia="仿宋_GB2312" w:cs="仿宋_GB2312"/>
          <w:color w:val="000000"/>
          <w:kern w:val="0"/>
          <w:sz w:val="32"/>
          <w:szCs w:val="32"/>
          <w:shd w:val="clear" w:color="auto" w:fill="FFFFFF"/>
          <w:lang w:val="en-US" w:eastAsia="zh-CN"/>
        </w:rPr>
        <w:t>580人次</w:t>
      </w:r>
      <w:r>
        <w:rPr>
          <w:rFonts w:hint="eastAsia" w:ascii="仿宋_GB2312" w:hAnsi="仿宋_GB2312" w:eastAsia="仿宋_GB2312" w:cs="仿宋_GB2312"/>
          <w:color w:val="000000"/>
          <w:kern w:val="0"/>
          <w:sz w:val="32"/>
          <w:szCs w:val="32"/>
          <w:shd w:val="clear" w:color="auto" w:fill="FFFFFF"/>
        </w:rPr>
        <w:t>，发放宣传</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"http://gaokaozuowensucai.unjs.com/" </w:instrText>
      </w:r>
      <w:r>
        <w:rPr>
          <w:rFonts w:hint="eastAsia" w:ascii="仿宋_GB2312" w:hAnsi="仿宋_GB2312" w:eastAsia="仿宋_GB2312" w:cs="仿宋_GB2312"/>
          <w:color w:val="000000"/>
          <w:kern w:val="0"/>
          <w:sz w:val="32"/>
          <w:szCs w:val="32"/>
          <w:shd w:val="clear" w:color="auto" w:fill="FFFFFF"/>
        </w:rPr>
        <w:fldChar w:fldCharType="separate"/>
      </w:r>
      <w:r>
        <w:rPr>
          <w:rStyle w:val="18"/>
          <w:rFonts w:hint="eastAsia" w:ascii="仿宋_GB2312" w:hAnsi="仿宋_GB2312" w:eastAsia="仿宋_GB2312" w:cs="仿宋_GB2312"/>
          <w:color w:val="000000"/>
          <w:sz w:val="32"/>
          <w:szCs w:val="32"/>
          <w:u w:val="none"/>
          <w:shd w:val="clear" w:color="auto" w:fill="FFFFFF"/>
        </w:rPr>
        <w:t>材料</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auto"/>
          <w:kern w:val="0"/>
          <w:sz w:val="32"/>
          <w:szCs w:val="32"/>
          <w:shd w:val="clear" w:color="auto" w:fill="FFFFFF"/>
          <w:lang w:val="en-US" w:eastAsia="zh-CN"/>
        </w:rPr>
        <w:t>25000</w:t>
      </w:r>
      <w:r>
        <w:rPr>
          <w:rFonts w:hint="eastAsia" w:ascii="仿宋_GB2312" w:hAnsi="仿宋_GB2312" w:eastAsia="仿宋_GB2312" w:cs="仿宋_GB2312"/>
          <w:color w:val="000000"/>
          <w:kern w:val="0"/>
          <w:sz w:val="32"/>
          <w:szCs w:val="32"/>
          <w:shd w:val="clear" w:color="auto" w:fill="FFFFFF"/>
          <w:lang w:val="en-US" w:eastAsia="zh-CN"/>
        </w:rPr>
        <w:t>余份，悬挂横幅30余幅</w:t>
      </w:r>
      <w:r>
        <w:rPr>
          <w:rFonts w:hint="eastAsia" w:ascii="仿宋_GB2312" w:hAnsi="仿宋_GB2312" w:eastAsia="仿宋_GB2312" w:cs="仿宋_GB2312"/>
          <w:color w:val="000000"/>
          <w:kern w:val="0"/>
          <w:sz w:val="32"/>
          <w:szCs w:val="32"/>
          <w:shd w:val="clear" w:color="auto" w:fill="FFFFFF"/>
        </w:rPr>
        <w:t>。 </w:t>
      </w:r>
    </w:p>
    <w:p>
      <w:pPr>
        <w:widowControl/>
        <w:numPr>
          <w:ilvl w:val="0"/>
          <w:numId w:val="0"/>
        </w:numPr>
        <w:ind w:firstLine="640" w:firstLineChars="200"/>
        <w:jc w:val="left"/>
        <w:rPr>
          <w:rFonts w:hint="eastAsia" w:ascii="楷体_GB2312" w:hAnsi="楷体_GB2312" w:eastAsia="楷体_GB2312" w:cs="楷体_GB2312"/>
          <w:b w:val="0"/>
          <w:bCs w:val="0"/>
          <w:color w:val="FF0000"/>
          <w:kern w:val="0"/>
          <w:sz w:val="32"/>
          <w:szCs w:val="32"/>
          <w:shd w:val="clear" w:color="auto" w:fill="FFFFFF"/>
          <w:lang w:val="en-US" w:eastAsia="zh-CN"/>
        </w:rPr>
      </w:pPr>
      <w:r>
        <w:rPr>
          <w:rFonts w:hint="eastAsia" w:ascii="楷体_GB2312" w:hAnsi="楷体_GB2312" w:eastAsia="楷体_GB2312" w:cs="楷体_GB2312"/>
          <w:b w:val="0"/>
          <w:bCs w:val="0"/>
          <w:color w:val="auto"/>
          <w:kern w:val="0"/>
          <w:sz w:val="32"/>
          <w:szCs w:val="32"/>
          <w:shd w:val="clear" w:color="auto" w:fill="FFFFFF"/>
          <w:lang w:val="en-US" w:eastAsia="zh-CN"/>
        </w:rPr>
        <w:t>4、</w:t>
      </w:r>
      <w:r>
        <w:rPr>
          <w:rFonts w:hint="eastAsia" w:ascii="楷体_GB2312" w:hAnsi="楷体_GB2312" w:eastAsia="楷体_GB2312" w:cs="楷体_GB2312"/>
          <w:b w:val="0"/>
          <w:bCs w:val="0"/>
          <w:color w:val="auto"/>
          <w:kern w:val="0"/>
          <w:sz w:val="32"/>
          <w:szCs w:val="32"/>
          <w:shd w:val="clear" w:color="auto" w:fill="FFFFFF"/>
          <w:lang w:eastAsia="zh-CN"/>
        </w:rPr>
        <w:t>信访与维稳工作</w:t>
      </w:r>
    </w:p>
    <w:p>
      <w:pPr>
        <w:numPr>
          <w:ilvl w:val="0"/>
          <w:numId w:val="0"/>
        </w:numPr>
        <w:ind w:firstLine="640" w:firstLineChars="200"/>
        <w:rPr>
          <w:rFonts w:hint="eastAsia"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i w:val="0"/>
          <w:caps w:val="0"/>
          <w:color w:val="000000"/>
          <w:spacing w:val="0"/>
          <w:sz w:val="32"/>
          <w:szCs w:val="32"/>
          <w:shd w:val="clear" w:color="auto" w:fill="FFFFFF"/>
        </w:rPr>
        <w:t>在今年元旦、</w:t>
      </w:r>
      <w:r>
        <w:rPr>
          <w:rFonts w:hint="eastAsia" w:ascii="仿宋_GB2312" w:hAnsi="仿宋_GB2312" w:eastAsia="仿宋_GB2312" w:cs="仿宋_GB2312"/>
          <w:b w:val="0"/>
          <w:i w:val="0"/>
          <w:caps w:val="0"/>
          <w:color w:val="000000"/>
          <w:spacing w:val="0"/>
          <w:sz w:val="32"/>
          <w:szCs w:val="32"/>
          <w:u w:val="none"/>
          <w:shd w:val="clear" w:color="auto" w:fill="FFFFFF"/>
        </w:rPr>
        <w:fldChar w:fldCharType="begin"/>
      </w:r>
      <w:r>
        <w:rPr>
          <w:rFonts w:hint="eastAsia" w:ascii="仿宋_GB2312" w:hAnsi="仿宋_GB2312" w:eastAsia="仿宋_GB2312" w:cs="仿宋_GB2312"/>
          <w:b w:val="0"/>
          <w:i w:val="0"/>
          <w:caps w:val="0"/>
          <w:color w:val="000000"/>
          <w:spacing w:val="0"/>
          <w:sz w:val="32"/>
          <w:szCs w:val="32"/>
          <w:u w:val="none"/>
          <w:shd w:val="clear" w:color="auto" w:fill="FFFFFF"/>
        </w:rPr>
        <w:instrText xml:space="preserve"> HYPERLINK "http://chuntian.sanwen8.cn/" \t "http://www.sanwen.net/zs/24292/_blank" </w:instrText>
      </w:r>
      <w:r>
        <w:rPr>
          <w:rFonts w:hint="eastAsia" w:ascii="仿宋_GB2312" w:hAnsi="仿宋_GB2312" w:eastAsia="仿宋_GB2312" w:cs="仿宋_GB2312"/>
          <w:b w:val="0"/>
          <w:i w:val="0"/>
          <w:caps w:val="0"/>
          <w:color w:val="000000"/>
          <w:spacing w:val="0"/>
          <w:sz w:val="32"/>
          <w:szCs w:val="32"/>
          <w:u w:val="none"/>
          <w:shd w:val="clear" w:color="auto" w:fill="FFFFFF"/>
        </w:rPr>
        <w:fldChar w:fldCharType="separate"/>
      </w:r>
      <w:r>
        <w:rPr>
          <w:rStyle w:val="18"/>
          <w:rFonts w:hint="eastAsia" w:ascii="仿宋_GB2312" w:hAnsi="仿宋_GB2312" w:eastAsia="仿宋_GB2312" w:cs="仿宋_GB2312"/>
          <w:b w:val="0"/>
          <w:i w:val="0"/>
          <w:caps w:val="0"/>
          <w:color w:val="000000"/>
          <w:spacing w:val="0"/>
          <w:sz w:val="32"/>
          <w:szCs w:val="32"/>
          <w:u w:val="none"/>
          <w:shd w:val="clear" w:color="auto" w:fill="FFFFFF"/>
        </w:rPr>
        <w:t>春</w:t>
      </w:r>
      <w:r>
        <w:rPr>
          <w:rFonts w:hint="eastAsia" w:ascii="仿宋_GB2312" w:hAnsi="仿宋_GB2312" w:eastAsia="仿宋_GB2312" w:cs="仿宋_GB2312"/>
          <w:b w:val="0"/>
          <w:i w:val="0"/>
          <w:caps w:val="0"/>
          <w:color w:val="000000"/>
          <w:spacing w:val="0"/>
          <w:sz w:val="32"/>
          <w:szCs w:val="32"/>
          <w:u w:val="none"/>
          <w:shd w:val="clear" w:color="auto" w:fill="FFFFFF"/>
        </w:rPr>
        <w:fldChar w:fldCharType="end"/>
      </w:r>
      <w:r>
        <w:rPr>
          <w:rFonts w:hint="eastAsia" w:ascii="仿宋_GB2312" w:hAnsi="仿宋_GB2312" w:eastAsia="仿宋_GB2312" w:cs="仿宋_GB2312"/>
          <w:b w:val="0"/>
          <w:i w:val="0"/>
          <w:caps w:val="0"/>
          <w:color w:val="000000"/>
          <w:spacing w:val="0"/>
          <w:sz w:val="32"/>
          <w:szCs w:val="32"/>
          <w:shd w:val="clear" w:color="auto" w:fill="FFFFFF"/>
        </w:rPr>
        <w:t>节、五一、全国两会、省两会、</w:t>
      </w:r>
      <w:r>
        <w:rPr>
          <w:rFonts w:hint="eastAsia" w:ascii="仿宋_GB2312" w:hAnsi="仿宋_GB2312" w:eastAsia="仿宋_GB2312" w:cs="仿宋_GB2312"/>
          <w:b w:val="0"/>
          <w:i w:val="0"/>
          <w:caps w:val="0"/>
          <w:color w:val="000000"/>
          <w:spacing w:val="0"/>
          <w:sz w:val="32"/>
          <w:szCs w:val="32"/>
          <w:shd w:val="clear" w:color="auto" w:fill="FFFFFF"/>
          <w:lang w:eastAsia="zh-CN"/>
        </w:rPr>
        <w:t>“文旅”三会、五中全会期间</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做到了无一人到省进京上访。截止目前为止，共受理信访件</w:t>
      </w:r>
      <w:r>
        <w:rPr>
          <w:rFonts w:hint="eastAsia" w:ascii="仿宋_GB2312" w:hAnsi="仿宋_GB2312" w:eastAsia="仿宋_GB2312" w:cs="仿宋_GB2312"/>
          <w:b w:val="0"/>
          <w:i w:val="0"/>
          <w:caps w:val="0"/>
          <w:color w:val="000000"/>
          <w:spacing w:val="0"/>
          <w:sz w:val="32"/>
          <w:szCs w:val="32"/>
          <w:shd w:val="clear" w:color="auto" w:fill="FFFFFF"/>
          <w:lang w:val="en-US" w:eastAsia="zh-CN"/>
        </w:rPr>
        <w:t>43件，其中省委巡视组转办件17件；给省委书记留言转办件1件；省长信箱转办件2件；给市委书记留言转办件2件；市长信箱转办件1件；网上投诉2件；心连心热线12件；其他转办件8件。信访回复率100%。接待来访群众98批，共212人次。</w:t>
      </w:r>
    </w:p>
    <w:p>
      <w:pPr>
        <w:widowControl/>
        <w:ind w:firstLine="640" w:firstLineChars="200"/>
        <w:jc w:val="left"/>
        <w:rPr>
          <w:rFonts w:hint="eastAsia" w:ascii="楷体_GB2312" w:hAnsi="楷体_GB2312" w:eastAsia="楷体_GB2312" w:cs="楷体_GB2312"/>
          <w:b w:val="0"/>
          <w:bCs w:val="0"/>
          <w:color w:val="auto"/>
          <w:kern w:val="0"/>
          <w:sz w:val="32"/>
          <w:szCs w:val="32"/>
          <w:shd w:val="clear" w:color="auto" w:fill="FFFFFF"/>
        </w:rPr>
      </w:pPr>
      <w:r>
        <w:rPr>
          <w:rFonts w:hint="eastAsia" w:ascii="楷体_GB2312" w:hAnsi="楷体_GB2312" w:eastAsia="楷体_GB2312" w:cs="楷体_GB2312"/>
          <w:b w:val="0"/>
          <w:bCs w:val="0"/>
          <w:color w:val="auto"/>
          <w:kern w:val="0"/>
          <w:sz w:val="32"/>
          <w:szCs w:val="32"/>
          <w:shd w:val="clear" w:color="auto" w:fill="FFFFFF"/>
          <w:lang w:val="en-US" w:eastAsia="zh-CN"/>
        </w:rPr>
        <w:t>5、防邪工作</w:t>
      </w:r>
    </w:p>
    <w:p>
      <w:pPr>
        <w:spacing w:beforeLines="0" w:afterLines="0"/>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今年以来，通过广播站、标语、横幅等形式开展了大量的反邪教宣传，在防范邪教宣传月活动中，利用赶集开展集中宣传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次，现场接受群众咨询</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余人次，发放传单</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000余份。全镇做到无邪教人员上访。</w:t>
      </w:r>
    </w:p>
    <w:p>
      <w:pPr>
        <w:widowControl/>
        <w:numPr>
          <w:ilvl w:val="0"/>
          <w:numId w:val="0"/>
        </w:numPr>
        <w:ind w:firstLine="640" w:firstLineChars="200"/>
        <w:jc w:val="left"/>
        <w:rPr>
          <w:rFonts w:hint="eastAsia" w:ascii="楷体_GB2312" w:hAnsi="楷体_GB2312" w:eastAsia="楷体_GB2312" w:cs="楷体_GB2312"/>
          <w:b w:val="0"/>
          <w:bCs w:val="0"/>
          <w:color w:val="000000"/>
          <w:kern w:val="0"/>
          <w:sz w:val="32"/>
          <w:szCs w:val="32"/>
          <w:shd w:val="clear" w:color="auto" w:fill="FFFFFF"/>
          <w:lang w:val="en-US" w:eastAsia="zh-CN"/>
        </w:rPr>
      </w:pPr>
      <w:r>
        <w:rPr>
          <w:rFonts w:hint="eastAsia" w:ascii="楷体_GB2312" w:hAnsi="楷体_GB2312" w:eastAsia="楷体_GB2312" w:cs="楷体_GB2312"/>
          <w:b w:val="0"/>
          <w:bCs w:val="0"/>
          <w:color w:val="000000"/>
          <w:kern w:val="0"/>
          <w:sz w:val="32"/>
          <w:szCs w:val="32"/>
          <w:shd w:val="clear" w:color="auto" w:fill="FFFFFF"/>
          <w:lang w:val="en-US" w:eastAsia="zh-CN"/>
        </w:rPr>
        <w:t>6、社区矫正工作。</w:t>
      </w:r>
    </w:p>
    <w:p>
      <w:pPr>
        <w:widowControl/>
        <w:numPr>
          <w:ilvl w:val="0"/>
          <w:numId w:val="0"/>
        </w:numPr>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我镇目前在册社区矫正对象共17人，今年以来，新接收社区矫正对象12人，期满解除矫正10人，1人因病死亡终止矫正，1人执行地变更。司法所通过每月一次走访、电话报到、定位报到，加强对矫正对象的监管，及时掌握矫正对象动态。通过每月一次集中学习和8小时公益劳动，提高矫正对象法治观念、道德水平和心理健康，减少其重新犯罪几率，杜绝脱管、漏管现象发生。</w:t>
      </w:r>
    </w:p>
    <w:p>
      <w:pPr>
        <w:widowControl/>
        <w:ind w:firstLine="640" w:firstLineChars="200"/>
        <w:jc w:val="left"/>
        <w:rPr>
          <w:rFonts w:hint="eastAsia" w:ascii="楷体_GB2312" w:hAnsi="楷体_GB2312" w:eastAsia="楷体_GB2312" w:cs="楷体_GB2312"/>
          <w:b/>
          <w:bCs/>
          <w:color w:val="auto"/>
          <w:kern w:val="0"/>
          <w:sz w:val="32"/>
          <w:szCs w:val="32"/>
          <w:shd w:val="clear" w:color="auto" w:fill="FFFFFF"/>
          <w:lang w:val="en-US" w:eastAsia="zh-CN"/>
        </w:rPr>
      </w:pPr>
      <w:r>
        <w:rPr>
          <w:rFonts w:hint="eastAsia" w:ascii="楷体_GB2312" w:hAnsi="楷体_GB2312" w:eastAsia="楷体_GB2312" w:cs="楷体_GB2312"/>
          <w:b w:val="0"/>
          <w:bCs w:val="0"/>
          <w:color w:val="auto"/>
          <w:kern w:val="0"/>
          <w:sz w:val="32"/>
          <w:szCs w:val="32"/>
          <w:shd w:val="clear" w:color="auto" w:fill="FFFFFF"/>
          <w:lang w:val="en-US" w:eastAsia="zh-CN"/>
        </w:rPr>
        <w:t>7、社戒社康工作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目前全镇共有社戒社康人员</w:t>
      </w:r>
      <w:r>
        <w:rPr>
          <w:rFonts w:hint="eastAsia" w:ascii="仿宋_GB2312" w:hAnsi="仿宋_GB2312" w:eastAsia="仿宋_GB2312" w:cs="仿宋_GB2312"/>
          <w:sz w:val="32"/>
          <w:szCs w:val="32"/>
          <w:lang w:val="en-US" w:eastAsia="zh-CN"/>
        </w:rPr>
        <w:t>18人，其中</w:t>
      </w:r>
      <w:r>
        <w:rPr>
          <w:rFonts w:hint="eastAsia" w:ascii="仿宋_GB2312" w:hAnsi="仿宋_GB2312" w:eastAsia="仿宋_GB2312" w:cs="仿宋_GB2312"/>
          <w:sz w:val="32"/>
          <w:szCs w:val="32"/>
          <w:lang w:eastAsia="zh-CN"/>
        </w:rPr>
        <w:t>社戒人员</w:t>
      </w:r>
      <w:r>
        <w:rPr>
          <w:rFonts w:hint="eastAsia" w:ascii="仿宋_GB2312" w:hAnsi="仿宋_GB2312" w:eastAsia="仿宋_GB2312" w:cs="仿宋_GB2312"/>
          <w:sz w:val="32"/>
          <w:szCs w:val="32"/>
          <w:lang w:val="en-US" w:eastAsia="zh-CN"/>
        </w:rPr>
        <w:t>10人，社康人员8人，全年解除社戒1人，死亡1人。</w:t>
      </w:r>
    </w:p>
    <w:p>
      <w:pPr>
        <w:widowControl/>
        <w:numPr>
          <w:ilvl w:val="0"/>
          <w:numId w:val="0"/>
        </w:numPr>
        <w:ind w:firstLine="640" w:firstLineChars="200"/>
        <w:jc w:val="left"/>
        <w:rPr>
          <w:rFonts w:hint="eastAsia" w:ascii="楷体_GB2312" w:hAnsi="楷体_GB2312" w:eastAsia="楷体_GB2312" w:cs="楷体_GB2312"/>
          <w:b w:val="0"/>
          <w:bCs w:val="0"/>
          <w:color w:val="000000"/>
          <w:kern w:val="0"/>
          <w:sz w:val="32"/>
          <w:szCs w:val="32"/>
          <w:shd w:val="clear" w:color="auto" w:fill="FFFFFF"/>
          <w:lang w:val="en-US" w:eastAsia="zh-CN"/>
        </w:rPr>
      </w:pPr>
      <w:r>
        <w:rPr>
          <w:rFonts w:hint="eastAsia" w:ascii="楷体_GB2312" w:hAnsi="楷体_GB2312" w:eastAsia="楷体_GB2312" w:cs="楷体_GB2312"/>
          <w:b w:val="0"/>
          <w:bCs w:val="0"/>
          <w:color w:val="000000"/>
          <w:kern w:val="0"/>
          <w:sz w:val="32"/>
          <w:szCs w:val="32"/>
          <w:shd w:val="clear" w:color="auto" w:fill="FFFFFF"/>
          <w:lang w:val="en-US" w:eastAsia="zh-CN"/>
        </w:rPr>
        <w:t>8、“雪亮工程”工作</w:t>
      </w:r>
    </w:p>
    <w:p>
      <w:pPr>
        <w:widowControl/>
        <w:ind w:firstLine="640" w:firstLineChars="200"/>
        <w:jc w:val="left"/>
        <w:rPr>
          <w:rFonts w:hint="eastAsia" w:ascii="楷体_GB2312" w:hAnsi="楷体_GB2312" w:eastAsia="楷体_GB2312" w:cs="楷体_GB2312"/>
          <w:b w:val="0"/>
          <w:bCs w:val="0"/>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lang w:eastAsia="zh-CN"/>
        </w:rPr>
        <w:t>目前，全镇“雪亮工程”共有</w:t>
      </w:r>
      <w:r>
        <w:rPr>
          <w:rFonts w:hint="eastAsia" w:ascii="仿宋_GB2312" w:hAnsi="仿宋_GB2312" w:eastAsia="仿宋_GB2312" w:cs="仿宋_GB2312"/>
          <w:color w:val="000000"/>
          <w:kern w:val="0"/>
          <w:sz w:val="32"/>
          <w:szCs w:val="32"/>
          <w:shd w:val="clear" w:color="auto" w:fill="FFFFFF"/>
          <w:lang w:val="en-US" w:eastAsia="zh-CN"/>
        </w:rPr>
        <w:t>39个点位，安装摄像头78个，“雪亮工程”的开展</w:t>
      </w:r>
      <w:r>
        <w:rPr>
          <w:rFonts w:hint="eastAsia" w:ascii="仿宋_GB2312" w:hAnsi="仿宋_GB2312" w:eastAsia="仿宋_GB2312" w:cs="仿宋_GB2312"/>
          <w:color w:val="000000"/>
          <w:kern w:val="0"/>
          <w:sz w:val="32"/>
          <w:szCs w:val="32"/>
          <w:shd w:val="clear" w:color="auto" w:fill="FFFFFF"/>
          <w:lang w:eastAsia="zh-CN"/>
        </w:rPr>
        <w:t>不仅为群防群治注入新的内涵，焕发新的活力，更减少了各种治安案件，增强了群众对社会治安的认同感和主体责任感，居民的安全感和满意度大幅提升。</w:t>
      </w:r>
      <w:r>
        <w:rPr>
          <w:rFonts w:hint="eastAsia" w:ascii="仿宋_GB2312" w:hAnsi="仿宋_GB2312" w:eastAsia="仿宋_GB2312" w:cs="仿宋_GB2312"/>
          <w:color w:val="000000"/>
          <w:kern w:val="0"/>
          <w:sz w:val="32"/>
          <w:szCs w:val="32"/>
          <w:shd w:val="clear" w:color="auto" w:fill="FFFFFF"/>
          <w:lang w:eastAsia="zh-CN"/>
        </w:rPr>
        <w:br w:type="textWrapping"/>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b/>
          <w:bCs/>
          <w:color w:val="000000"/>
          <w:kern w:val="0"/>
          <w:sz w:val="32"/>
          <w:szCs w:val="32"/>
          <w:shd w:val="clear" w:color="auto" w:fill="FFFFFF"/>
          <w:lang w:val="en-US" w:eastAsia="zh-CN"/>
        </w:rPr>
        <w:t xml:space="preserve"> </w:t>
      </w:r>
      <w:r>
        <w:rPr>
          <w:rFonts w:hint="eastAsia" w:ascii="楷体_GB2312" w:hAnsi="楷体_GB2312" w:eastAsia="楷体_GB2312" w:cs="楷体_GB2312"/>
          <w:b/>
          <w:bCs/>
          <w:color w:val="000000"/>
          <w:kern w:val="0"/>
          <w:sz w:val="32"/>
          <w:szCs w:val="32"/>
          <w:shd w:val="clear" w:color="auto" w:fill="FFFFFF"/>
          <w:lang w:val="en-US" w:eastAsia="zh-CN"/>
        </w:rPr>
        <w:t xml:space="preserve"> </w:t>
      </w:r>
      <w:r>
        <w:rPr>
          <w:rFonts w:hint="eastAsia" w:ascii="楷体_GB2312" w:hAnsi="楷体_GB2312" w:eastAsia="楷体_GB2312" w:cs="楷体_GB2312"/>
          <w:b w:val="0"/>
          <w:bCs w:val="0"/>
          <w:color w:val="000000"/>
          <w:kern w:val="0"/>
          <w:sz w:val="32"/>
          <w:szCs w:val="32"/>
          <w:shd w:val="clear" w:color="auto" w:fill="FFFFFF"/>
          <w:lang w:val="en-US" w:eastAsia="zh-CN"/>
        </w:rPr>
        <w:t>9、</w:t>
      </w:r>
      <w:r>
        <w:rPr>
          <w:rFonts w:hint="eastAsia" w:ascii="楷体_GB2312" w:hAnsi="楷体_GB2312" w:eastAsia="楷体_GB2312" w:cs="楷体_GB2312"/>
          <w:b w:val="0"/>
          <w:bCs w:val="0"/>
          <w:color w:val="000000"/>
          <w:kern w:val="0"/>
          <w:sz w:val="32"/>
          <w:szCs w:val="32"/>
          <w:shd w:val="clear" w:color="auto" w:fill="FFFFFF"/>
          <w:lang w:eastAsia="zh-CN"/>
        </w:rPr>
        <w:t>铁路护路和</w:t>
      </w:r>
      <w:r>
        <w:rPr>
          <w:rFonts w:hint="eastAsia" w:ascii="楷体_GB2312" w:hAnsi="楷体_GB2312" w:eastAsia="楷体_GB2312" w:cs="楷体_GB2312"/>
          <w:b w:val="0"/>
          <w:bCs w:val="0"/>
          <w:color w:val="000000"/>
          <w:kern w:val="0"/>
          <w:sz w:val="32"/>
          <w:szCs w:val="32"/>
          <w:shd w:val="clear" w:color="auto" w:fill="FFFFFF"/>
        </w:rPr>
        <w:t>三电”设施保护</w:t>
      </w:r>
      <w:r>
        <w:rPr>
          <w:rFonts w:hint="eastAsia" w:ascii="楷体_GB2312" w:hAnsi="楷体_GB2312" w:eastAsia="楷体_GB2312" w:cs="楷体_GB2312"/>
          <w:b w:val="0"/>
          <w:bCs w:val="0"/>
          <w:color w:val="000000"/>
          <w:kern w:val="0"/>
          <w:sz w:val="32"/>
          <w:szCs w:val="32"/>
          <w:shd w:val="clear" w:color="auto" w:fill="FFFFFF"/>
          <w:lang w:eastAsia="zh-CN"/>
        </w:rPr>
        <w:t>工作</w:t>
      </w:r>
    </w:p>
    <w:p>
      <w:pPr>
        <w:widowControl/>
        <w:ind w:firstLine="640" w:firstLineChars="200"/>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在重点电力、电信、广播电视线路(站点)</w:t>
      </w:r>
      <w:r>
        <w:rPr>
          <w:rFonts w:hint="eastAsia" w:ascii="仿宋_GB2312" w:hAnsi="仿宋_GB2312" w:eastAsia="仿宋_GB2312" w:cs="仿宋_GB2312"/>
          <w:color w:val="000000"/>
          <w:kern w:val="0"/>
          <w:sz w:val="32"/>
          <w:szCs w:val="32"/>
          <w:shd w:val="clear" w:color="auto" w:fill="FFFFFF"/>
          <w:lang w:eastAsia="zh-CN"/>
        </w:rPr>
        <w:t>、铁路</w:t>
      </w:r>
      <w:r>
        <w:rPr>
          <w:rFonts w:hint="eastAsia" w:ascii="仿宋_GB2312" w:hAnsi="仿宋_GB2312" w:eastAsia="仿宋_GB2312" w:cs="仿宋_GB2312"/>
          <w:color w:val="000000"/>
          <w:kern w:val="0"/>
          <w:sz w:val="32"/>
          <w:szCs w:val="32"/>
          <w:shd w:val="clear" w:color="auto" w:fill="FFFFFF"/>
        </w:rPr>
        <w:t>和案件易发路线、地段配备必要的防控设施，加大物防、技防投入，完善防范机制</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构建保护“三电”设施</w:t>
      </w:r>
      <w:r>
        <w:rPr>
          <w:rFonts w:hint="eastAsia" w:ascii="仿宋_GB2312" w:hAnsi="仿宋_GB2312" w:eastAsia="仿宋_GB2312" w:cs="仿宋_GB2312"/>
          <w:color w:val="000000"/>
          <w:kern w:val="0"/>
          <w:sz w:val="32"/>
          <w:szCs w:val="32"/>
          <w:shd w:val="clear" w:color="auto" w:fill="FFFFFF"/>
          <w:lang w:eastAsia="zh-CN"/>
        </w:rPr>
        <w:t>、铁路</w:t>
      </w:r>
      <w:r>
        <w:rPr>
          <w:rFonts w:hint="eastAsia" w:ascii="仿宋_GB2312" w:hAnsi="仿宋_GB2312" w:eastAsia="仿宋_GB2312" w:cs="仿宋_GB2312"/>
          <w:color w:val="000000"/>
          <w:kern w:val="0"/>
          <w:sz w:val="32"/>
          <w:szCs w:val="32"/>
          <w:shd w:val="clear" w:color="auto" w:fill="FFFFFF"/>
        </w:rPr>
        <w:t>安全的长效机制。　　</w:t>
      </w:r>
    </w:p>
    <w:p>
      <w:pPr>
        <w:widowControl/>
        <w:ind w:firstLine="640" w:firstLineChars="200"/>
        <w:jc w:val="left"/>
        <w:rPr>
          <w:rFonts w:hint="eastAsia" w:ascii="楷体_GB2312" w:hAnsi="楷体_GB2312" w:eastAsia="楷体_GB2312" w:cs="楷体_GB2312"/>
          <w:b w:val="0"/>
          <w:bCs w:val="0"/>
          <w:color w:val="000000"/>
          <w:kern w:val="0"/>
          <w:sz w:val="32"/>
          <w:szCs w:val="32"/>
          <w:shd w:val="clear" w:color="auto" w:fill="FFFFFF"/>
          <w:lang w:eastAsia="zh-CN"/>
        </w:rPr>
      </w:pPr>
      <w:r>
        <w:rPr>
          <w:rFonts w:hint="eastAsia" w:ascii="楷体_GB2312" w:hAnsi="楷体_GB2312" w:eastAsia="楷体_GB2312" w:cs="楷体_GB2312"/>
          <w:b w:val="0"/>
          <w:bCs w:val="0"/>
          <w:color w:val="000000"/>
          <w:kern w:val="0"/>
          <w:sz w:val="32"/>
          <w:szCs w:val="32"/>
          <w:shd w:val="clear" w:color="auto" w:fill="FFFFFF"/>
          <w:lang w:val="en-US" w:eastAsia="zh-CN"/>
        </w:rPr>
        <w:t>10、</w:t>
      </w:r>
      <w:r>
        <w:rPr>
          <w:rFonts w:hint="eastAsia" w:ascii="楷体_GB2312" w:hAnsi="楷体_GB2312" w:eastAsia="楷体_GB2312" w:cs="楷体_GB2312"/>
          <w:b w:val="0"/>
          <w:bCs w:val="0"/>
          <w:color w:val="000000"/>
          <w:kern w:val="0"/>
          <w:sz w:val="32"/>
          <w:szCs w:val="32"/>
          <w:shd w:val="clear" w:color="auto" w:fill="FFFFFF"/>
          <w:lang w:eastAsia="zh-CN"/>
        </w:rPr>
        <w:t>网格化服务管理工作</w:t>
      </w:r>
    </w:p>
    <w:p>
      <w:pPr>
        <w:spacing w:line="360" w:lineRule="auto"/>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村级建制调整改革后，全镇现有</w:t>
      </w:r>
      <w:r>
        <w:rPr>
          <w:rFonts w:hint="eastAsia" w:ascii="仿宋_GB2312" w:hAnsi="仿宋_GB2312" w:eastAsia="仿宋_GB2312" w:cs="仿宋_GB2312"/>
          <w:sz w:val="32"/>
          <w:szCs w:val="32"/>
          <w:lang w:val="en-US" w:eastAsia="zh-CN"/>
        </w:rPr>
        <w:t>9个</w:t>
      </w:r>
      <w:r>
        <w:rPr>
          <w:rFonts w:hint="eastAsia" w:ascii="仿宋_GB2312" w:hAnsi="仿宋_GB2312" w:eastAsia="仿宋_GB2312" w:cs="仿宋_GB2312"/>
          <w:sz w:val="32"/>
          <w:szCs w:val="32"/>
          <w:lang w:eastAsia="zh-CN"/>
        </w:rPr>
        <w:t>农村网格片区</w:t>
      </w:r>
      <w:r>
        <w:rPr>
          <w:rFonts w:hint="eastAsia" w:ascii="仿宋_GB2312" w:hAnsi="仿宋_GB2312" w:eastAsia="仿宋_GB2312" w:cs="仿宋_GB2312"/>
          <w:sz w:val="32"/>
          <w:szCs w:val="32"/>
          <w:lang w:val="en-US" w:eastAsia="zh-CN"/>
        </w:rPr>
        <w:t>；集镇有13个网格片区，制定了以各村（社区）支部书记为网格长和片区网格员进行网格化服务管理体系，</w:t>
      </w:r>
      <w:r>
        <w:rPr>
          <w:rFonts w:hint="eastAsia" w:ascii="仿宋_GB2312" w:hAnsi="仿宋_GB2312" w:eastAsia="仿宋_GB2312" w:cs="仿宋_GB2312"/>
          <w:sz w:val="32"/>
          <w:szCs w:val="32"/>
          <w:lang w:eastAsia="zh-CN"/>
        </w:rPr>
        <w:t>更好的</w:t>
      </w:r>
      <w:r>
        <w:rPr>
          <w:rFonts w:hint="eastAsia" w:ascii="仿宋_GB2312" w:hAnsi="仿宋_GB2312" w:eastAsia="仿宋_GB2312" w:cs="仿宋_GB2312"/>
          <w:sz w:val="32"/>
          <w:szCs w:val="32"/>
        </w:rPr>
        <w:t>为群众服务</w:t>
      </w:r>
      <w:r>
        <w:rPr>
          <w:rFonts w:hint="eastAsia" w:ascii="仿宋_GB2312" w:hAnsi="仿宋_GB2312" w:eastAsia="仿宋_GB2312" w:cs="仿宋_GB2312"/>
          <w:sz w:val="32"/>
          <w:szCs w:val="32"/>
          <w:lang w:eastAsia="zh-CN"/>
        </w:rPr>
        <w:t>。</w:t>
      </w:r>
    </w:p>
    <w:p>
      <w:pPr>
        <w:numPr>
          <w:ilvl w:val="0"/>
          <w:numId w:val="4"/>
        </w:numPr>
        <w:adjustRightInd w:val="0"/>
        <w:snapToGrid w:val="0"/>
        <w:spacing w:line="560" w:lineRule="exact"/>
        <w:ind w:left="880" w:leftChars="0" w:firstLine="0" w:firstLineChars="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项目绩效目标</w:t>
      </w:r>
    </w:p>
    <w:p>
      <w:pPr>
        <w:numPr>
          <w:ilvl w:val="0"/>
          <w:numId w:val="5"/>
        </w:num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、项目完成情况</w:t>
      </w:r>
    </w:p>
    <w:p>
      <w:pPr>
        <w:numPr>
          <w:numId w:val="0"/>
        </w:numPr>
        <w:adjustRightInd w:val="0"/>
        <w:snapToGrid w:val="0"/>
        <w:spacing w:line="560" w:lineRule="exact"/>
        <w:ind w:firstLine="640" w:firstLineChars="200"/>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全镇社会治安保持了稳定祥和的良好局面，有力地推动了两个</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"http://wenming.unjs.com/" </w:instrText>
      </w:r>
      <w:r>
        <w:rPr>
          <w:rFonts w:hint="eastAsia" w:ascii="仿宋_GB2312" w:hAnsi="仿宋_GB2312" w:eastAsia="仿宋_GB2312" w:cs="仿宋_GB2312"/>
          <w:color w:val="000000"/>
          <w:kern w:val="0"/>
          <w:sz w:val="32"/>
          <w:szCs w:val="32"/>
          <w:shd w:val="clear" w:color="auto" w:fill="FFFFFF"/>
        </w:rPr>
        <w:fldChar w:fldCharType="separate"/>
      </w:r>
      <w:r>
        <w:rPr>
          <w:rStyle w:val="18"/>
          <w:rFonts w:hint="eastAsia" w:ascii="仿宋_GB2312" w:hAnsi="仿宋_GB2312" w:eastAsia="仿宋_GB2312" w:cs="仿宋_GB2312"/>
          <w:color w:val="000000"/>
          <w:sz w:val="32"/>
          <w:szCs w:val="32"/>
          <w:u w:val="none"/>
          <w:shd w:val="clear" w:color="auto" w:fill="FFFFFF"/>
        </w:rPr>
        <w:t>文明</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建设</w:t>
      </w:r>
      <w:r>
        <w:rPr>
          <w:rFonts w:hint="eastAsia" w:ascii="仿宋_GB2312" w:hAnsi="仿宋_GB2312" w:eastAsia="仿宋_GB2312" w:cs="仿宋_GB2312"/>
          <w:color w:val="000000"/>
          <w:kern w:val="0"/>
          <w:sz w:val="32"/>
          <w:szCs w:val="32"/>
          <w:shd w:val="clear" w:color="auto" w:fill="FFFFFF"/>
        </w:rPr>
        <w:fldChar w:fldCharType="begin"/>
      </w:r>
      <w:r>
        <w:rPr>
          <w:rFonts w:hint="eastAsia" w:ascii="仿宋_GB2312" w:hAnsi="仿宋_GB2312" w:eastAsia="仿宋_GB2312" w:cs="仿宋_GB2312"/>
          <w:color w:val="000000"/>
          <w:kern w:val="0"/>
          <w:sz w:val="32"/>
          <w:szCs w:val="32"/>
          <w:shd w:val="clear" w:color="auto" w:fill="FFFFFF"/>
        </w:rPr>
        <w:instrText xml:space="preserve"> HYPERLINK "http://www.unjs.com/xuexi/redianyuedu/" </w:instrText>
      </w:r>
      <w:r>
        <w:rPr>
          <w:rFonts w:hint="eastAsia" w:ascii="仿宋_GB2312" w:hAnsi="仿宋_GB2312" w:eastAsia="仿宋_GB2312" w:cs="仿宋_GB2312"/>
          <w:color w:val="000000"/>
          <w:kern w:val="0"/>
          <w:sz w:val="32"/>
          <w:szCs w:val="32"/>
          <w:shd w:val="clear" w:color="auto" w:fill="FFFFFF"/>
        </w:rPr>
        <w:fldChar w:fldCharType="separate"/>
      </w:r>
      <w:r>
        <w:rPr>
          <w:rStyle w:val="18"/>
          <w:rFonts w:hint="eastAsia" w:ascii="仿宋_GB2312" w:hAnsi="仿宋_GB2312" w:eastAsia="仿宋_GB2312" w:cs="仿宋_GB2312"/>
          <w:color w:val="000000"/>
          <w:sz w:val="32"/>
          <w:szCs w:val="32"/>
          <w:u w:val="none"/>
          <w:shd w:val="clear" w:color="auto" w:fill="FFFFFF"/>
        </w:rPr>
        <w:t>健康</w:t>
      </w:r>
      <w:r>
        <w:rPr>
          <w:rFonts w:hint="eastAsia" w:ascii="仿宋_GB2312" w:hAnsi="仿宋_GB2312" w:eastAsia="仿宋_GB2312" w:cs="仿宋_GB2312"/>
          <w:color w:val="000000"/>
          <w:kern w:val="0"/>
          <w:sz w:val="32"/>
          <w:szCs w:val="32"/>
          <w:shd w:val="clear" w:color="auto" w:fill="FFFFFF"/>
        </w:rPr>
        <w:fldChar w:fldCharType="end"/>
      </w:r>
      <w:r>
        <w:rPr>
          <w:rFonts w:hint="eastAsia" w:ascii="仿宋_GB2312" w:hAnsi="仿宋_GB2312" w:eastAsia="仿宋_GB2312" w:cs="仿宋_GB2312"/>
          <w:color w:val="000000"/>
          <w:kern w:val="0"/>
          <w:sz w:val="32"/>
          <w:szCs w:val="32"/>
          <w:shd w:val="clear" w:color="auto" w:fill="FFFFFF"/>
        </w:rPr>
        <w:t>、协调的向前发展</w:t>
      </w:r>
      <w:r>
        <w:rPr>
          <w:rFonts w:hint="eastAsia" w:ascii="仿宋_GB2312" w:hAnsi="仿宋_GB2312" w:eastAsia="仿宋_GB2312" w:cs="仿宋_GB2312"/>
          <w:color w:val="000000"/>
          <w:kern w:val="0"/>
          <w:sz w:val="32"/>
          <w:szCs w:val="32"/>
          <w:shd w:val="clear" w:color="auto" w:fill="FFFFFF"/>
          <w:lang w:eastAsia="zh-CN"/>
        </w:rPr>
        <w:t>。</w:t>
      </w:r>
    </w:p>
    <w:p>
      <w:pPr>
        <w:numPr>
          <w:ilvl w:val="0"/>
          <w:numId w:val="0"/>
        </w:numPr>
        <w:adjustRightInd w:val="0"/>
        <w:snapToGrid w:val="0"/>
        <w:spacing w:line="560" w:lineRule="exact"/>
        <w:ind w:firstLine="320" w:firstLineChars="100"/>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b w:val="0"/>
          <w:bCs w:val="0"/>
          <w:sz w:val="32"/>
          <w:szCs w:val="32"/>
          <w:lang w:val="en-US" w:eastAsia="zh-CN"/>
        </w:rPr>
        <w:t>五、评价结论及建议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（一）存在的问题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color w:val="000000"/>
          <w:kern w:val="0"/>
          <w:sz w:val="32"/>
          <w:szCs w:val="32"/>
          <w:shd w:val="clear" w:color="auto" w:fill="FFFFFF"/>
        </w:rPr>
        <w:t>1、法制宣传深度广度还不够，一些群众的法律意识不强，矛盾纠纷时有发生。2、盗窃案件仍然发生，防范措施不到位，对群众的防范意识、教育抓得不够。 </w:t>
      </w:r>
      <w:r>
        <w:rPr>
          <w:rFonts w:hint="eastAsia" w:ascii="仿宋_GB2312" w:hAnsi="仿宋_GB2312" w:eastAsia="仿宋_GB2312" w:cs="仿宋_GB2312"/>
          <w:color w:val="000000"/>
          <w:kern w:val="0"/>
          <w:sz w:val="32"/>
          <w:szCs w:val="32"/>
          <w:shd w:val="clear" w:color="auto" w:fill="FFFFFF"/>
        </w:rPr>
        <w:br w:type="textWrapping"/>
      </w: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楷体_GB2312" w:hAnsi="楷体_GB2312" w:eastAsia="楷体_GB2312" w:cs="楷体_GB2312"/>
          <w:sz w:val="32"/>
          <w:szCs w:val="32"/>
          <w:lang w:val="en-US" w:eastAsia="zh-CN"/>
        </w:rPr>
        <w:t>（二）相关建议</w:t>
      </w:r>
    </w:p>
    <w:p>
      <w:pPr>
        <w:pStyle w:val="2"/>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shd w:val="clear" w:color="auto" w:fill="FFFFFF"/>
        </w:rPr>
        <w:t>按照</w:t>
      </w:r>
      <w:r>
        <w:rPr>
          <w:rFonts w:hint="eastAsia" w:ascii="仿宋_GB2312" w:hAnsi="仿宋_GB2312" w:eastAsia="仿宋_GB2312" w:cs="仿宋_GB2312"/>
          <w:b w:val="0"/>
          <w:bCs w:val="0"/>
          <w:color w:val="000000"/>
          <w:kern w:val="0"/>
          <w:sz w:val="32"/>
          <w:szCs w:val="32"/>
          <w:shd w:val="clear" w:color="auto" w:fill="FFFFFF"/>
          <w:lang w:eastAsia="zh-CN"/>
        </w:rPr>
        <w:t>年初</w:t>
      </w:r>
      <w:r>
        <w:rPr>
          <w:rFonts w:hint="eastAsia" w:ascii="仿宋_GB2312" w:hAnsi="仿宋_GB2312" w:eastAsia="仿宋_GB2312" w:cs="仿宋_GB2312"/>
          <w:b w:val="0"/>
          <w:bCs w:val="0"/>
          <w:color w:val="000000"/>
          <w:kern w:val="0"/>
          <w:sz w:val="32"/>
          <w:szCs w:val="32"/>
          <w:shd w:val="clear" w:color="auto" w:fill="FFFFFF"/>
        </w:rPr>
        <w:t>工作计划，一项一项抓落实。针对存在问题差缺补漏，制定措施。重视“打防控”体系建设，抓好社会治安防范有偿承包措施落实；做好矛盾纠纷排查、调处工作，在工作中不断创新；加强治安工作的指导、监督和考核；有针对性地开展法制宣传，认真及时抓好矛盾纠纷的摸排、调</w:t>
      </w:r>
      <w:r>
        <w:rPr>
          <w:rFonts w:hint="eastAsia" w:ascii="仿宋_GB2312" w:hAnsi="仿宋_GB2312" w:eastAsia="仿宋_GB2312" w:cs="仿宋_GB2312"/>
          <w:b w:val="0"/>
          <w:bCs w:val="0"/>
          <w:color w:val="000000"/>
          <w:kern w:val="0"/>
          <w:sz w:val="32"/>
          <w:szCs w:val="32"/>
          <w:shd w:val="clear" w:color="auto" w:fill="FFFFFF"/>
          <w:lang w:eastAsia="zh-CN"/>
        </w:rPr>
        <w:t>查</w:t>
      </w:r>
      <w:r>
        <w:rPr>
          <w:rFonts w:hint="eastAsia" w:ascii="仿宋_GB2312" w:hAnsi="仿宋_GB2312" w:eastAsia="仿宋_GB2312" w:cs="仿宋_GB2312"/>
          <w:b w:val="0"/>
          <w:bCs w:val="0"/>
          <w:color w:val="000000"/>
          <w:kern w:val="0"/>
          <w:sz w:val="32"/>
          <w:szCs w:val="32"/>
          <w:shd w:val="clear" w:color="auto" w:fill="FFFFFF"/>
        </w:rPr>
        <w:t>工作，全力维护社会稳定</w:t>
      </w:r>
      <w:r>
        <w:rPr>
          <w:rFonts w:hint="eastAsia" w:ascii="仿宋_GB2312" w:hAnsi="仿宋_GB2312" w:eastAsia="仿宋_GB2312" w:cs="仿宋_GB2312"/>
          <w:b w:val="0"/>
          <w:bCs w:val="0"/>
          <w:color w:val="000000"/>
          <w:kern w:val="0"/>
          <w:sz w:val="32"/>
          <w:szCs w:val="32"/>
          <w:shd w:val="clear" w:color="auto" w:fill="FFFFFF"/>
          <w:lang w:eastAsia="zh-CN"/>
        </w:rPr>
        <w:t>。</w:t>
      </w:r>
    </w:p>
    <w:p>
      <w:pPr>
        <w:rPr>
          <w:rFonts w:hint="eastAsia"/>
          <w:lang w:eastAsia="zh-CN"/>
        </w:rPr>
      </w:pPr>
    </w:p>
    <w:p>
      <w:pPr>
        <w:pStyle w:val="35"/>
        <w:spacing w:line="240" w:lineRule="auto"/>
        <w:jc w:val="center"/>
        <w:rPr>
          <w:rFonts w:hint="eastAsia" w:ascii="宋体" w:hAnsi="宋体"/>
          <w:b/>
          <w:sz w:val="44"/>
          <w:szCs w:val="44"/>
          <w:lang w:val="en-US" w:eastAsia="zh-CN"/>
        </w:rPr>
      </w:pPr>
    </w:p>
    <w:p>
      <w:pPr>
        <w:pStyle w:val="35"/>
        <w:spacing w:line="240" w:lineRule="auto"/>
        <w:jc w:val="center"/>
        <w:rPr>
          <w:rFonts w:hint="eastAsia" w:ascii="方正小标宋_GBK" w:hAnsi="方正小标宋_GBK" w:eastAsia="方正小标宋_GBK" w:cs="方正小标宋_GBK"/>
          <w:color w:val="auto"/>
          <w:kern w:val="2"/>
          <w:sz w:val="44"/>
          <w:szCs w:val="44"/>
        </w:rPr>
      </w:pPr>
      <w:r>
        <w:rPr>
          <w:rFonts w:hint="eastAsia" w:ascii="方正小标宋_GBK" w:hAnsi="方正小标宋_GBK" w:eastAsia="方正小标宋_GBK" w:cs="方正小标宋_GBK"/>
          <w:b/>
          <w:sz w:val="44"/>
          <w:szCs w:val="44"/>
          <w:lang w:val="en-US" w:eastAsia="zh-CN"/>
        </w:rPr>
        <w:t>环境综合整治专项经费（沿河新增区域保洁费）2020年</w:t>
      </w:r>
      <w:r>
        <w:rPr>
          <w:rFonts w:hint="eastAsia" w:ascii="方正小标宋_GBK" w:hAnsi="方正小标宋_GBK" w:eastAsia="方正小标宋_GBK" w:cs="方正小标宋_GBK"/>
          <w:b/>
          <w:sz w:val="44"/>
          <w:szCs w:val="44"/>
        </w:rPr>
        <w:t>绩效</w:t>
      </w:r>
      <w:r>
        <w:rPr>
          <w:rFonts w:hint="eastAsia" w:ascii="方正小标宋_GBK" w:hAnsi="方正小标宋_GBK" w:eastAsia="方正小标宋_GBK" w:cs="方正小标宋_GBK"/>
          <w:b/>
          <w:sz w:val="44"/>
          <w:szCs w:val="44"/>
          <w:lang w:eastAsia="zh-CN"/>
        </w:rPr>
        <w:t>评价</w:t>
      </w:r>
      <w:r>
        <w:rPr>
          <w:rFonts w:hint="eastAsia" w:ascii="方正小标宋_GBK" w:hAnsi="方正小标宋_GBK" w:eastAsia="方正小标宋_GBK" w:cs="方正小标宋_GBK"/>
          <w:b/>
          <w:sz w:val="44"/>
          <w:szCs w:val="44"/>
        </w:rPr>
        <w:t>报告</w:t>
      </w:r>
    </w:p>
    <w:p>
      <w:pPr>
        <w:adjustRightInd w:val="0"/>
        <w:snapToGrid w:val="0"/>
        <w:spacing w:line="560" w:lineRule="exact"/>
        <w:ind w:firstLine="1325" w:firstLineChars="300"/>
        <w:rPr>
          <w:rFonts w:hint="eastAsia" w:ascii="仿宋_GB2312" w:hAnsi="仿宋_GB2312" w:eastAsia="仿宋_GB2312" w:cs="仿宋_GB2312"/>
          <w:b/>
          <w:bCs/>
          <w:sz w:val="44"/>
          <w:szCs w:val="44"/>
        </w:rPr>
      </w:pPr>
    </w:p>
    <w:p>
      <w:pPr>
        <w:adjustRightInd w:val="0"/>
        <w:snapToGrid w:val="0"/>
        <w:spacing w:line="560" w:lineRule="exact"/>
        <w:ind w:firstLine="960" w:firstLineChars="300"/>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pStyle w:val="35"/>
        <w:spacing w:line="240" w:lineRule="auto"/>
        <w:ind w:firstLine="640" w:firstLineChars="200"/>
        <w:jc w:val="left"/>
        <w:rPr>
          <w:rFonts w:hint="eastAsia" w:ascii="仿宋_GB2312" w:hAnsi="仿宋_GB2312" w:eastAsia="仿宋_GB2312" w:cs="仿宋_GB2312"/>
          <w:b w:val="0"/>
          <w:bCs/>
          <w:sz w:val="32"/>
          <w:szCs w:val="32"/>
          <w:lang w:val="zh-CN" w:eastAsia="zh-CN"/>
        </w:rPr>
      </w:pPr>
      <w:r>
        <w:rPr>
          <w:rFonts w:hint="eastAsia" w:ascii="楷体_GB2312" w:hAnsi="楷体_GB2312" w:eastAsia="楷体_GB2312" w:cs="楷体_GB2312"/>
          <w:b w:val="0"/>
          <w:bCs/>
          <w:sz w:val="32"/>
          <w:szCs w:val="32"/>
          <w:lang w:val="zh-CN" w:eastAsia="zh-CN"/>
        </w:rPr>
        <w:t>（一）项目资金申报及批复情况。</w:t>
      </w:r>
      <w:r>
        <w:rPr>
          <w:rFonts w:hint="eastAsia" w:ascii="仿宋_GB2312" w:hAnsi="仿宋_GB2312" w:eastAsia="仿宋_GB2312" w:cs="仿宋_GB2312"/>
          <w:b w:val="0"/>
          <w:bCs/>
          <w:sz w:val="32"/>
          <w:szCs w:val="32"/>
          <w:lang w:val="zh-CN" w:eastAsia="zh-CN"/>
        </w:rPr>
        <w:t>随着我镇“百镇建设试点”行动深入推进，集镇新增区域面积逐步增大，从</w:t>
      </w:r>
      <w:r>
        <w:rPr>
          <w:rFonts w:hint="eastAsia" w:ascii="仿宋_GB2312" w:hAnsi="仿宋_GB2312" w:eastAsia="仿宋_GB2312" w:cs="仿宋_GB2312"/>
          <w:b w:val="0"/>
          <w:bCs/>
          <w:sz w:val="32"/>
          <w:szCs w:val="32"/>
          <w:lang w:val="en-US" w:eastAsia="zh-CN"/>
        </w:rPr>
        <w:t>2013年的150万平方米扩展到300万平方米，并有三个公厕未纳入市上环卫保洁管理，市上配备的环卫工人只能对老集镇区域进行环卫保洁。 为完成我镇现有</w:t>
      </w:r>
      <w:r>
        <w:rPr>
          <w:rFonts w:hint="eastAsia" w:ascii="仿宋_GB2312" w:hAnsi="仿宋_GB2312" w:eastAsia="仿宋_GB2312" w:cs="仿宋_GB2312"/>
          <w:b w:val="0"/>
          <w:bCs/>
          <w:sz w:val="32"/>
          <w:szCs w:val="32"/>
          <w:lang w:val="zh-CN" w:eastAsia="zh-CN"/>
        </w:rPr>
        <w:t>区域环境卫生整治要求，我镇向市财政申请将新增区域环卫经费纳入市财政预算，进行常态化保洁，市财政按峨财预追（</w:t>
      </w:r>
      <w:r>
        <w:rPr>
          <w:rFonts w:hint="eastAsia" w:ascii="仿宋_GB2312" w:hAnsi="仿宋_GB2312" w:eastAsia="仿宋_GB2312" w:cs="仿宋_GB2312"/>
          <w:b w:val="0"/>
          <w:bCs/>
          <w:sz w:val="32"/>
          <w:szCs w:val="32"/>
          <w:lang w:val="en-US" w:eastAsia="zh-CN"/>
        </w:rPr>
        <w:t>2020）132号文件，下达预算资金85万元</w:t>
      </w:r>
      <w:r>
        <w:rPr>
          <w:rFonts w:hint="eastAsia" w:ascii="仿宋_GB2312" w:hAnsi="仿宋_GB2312" w:eastAsia="仿宋_GB2312" w:cs="仿宋_GB2312"/>
          <w:b w:val="0"/>
          <w:bCs/>
          <w:sz w:val="32"/>
          <w:szCs w:val="32"/>
          <w:lang w:val="zh-CN" w:eastAsia="zh-CN"/>
        </w:rPr>
        <w:t>。</w:t>
      </w:r>
    </w:p>
    <w:p>
      <w:pPr>
        <w:pStyle w:val="35"/>
        <w:spacing w:line="240" w:lineRule="auto"/>
        <w:ind w:firstLine="640" w:firstLineChars="200"/>
        <w:jc w:val="left"/>
        <w:rPr>
          <w:rFonts w:hint="eastAsia" w:ascii="仿宋_GB2312" w:hAnsi="仿宋_GB2312" w:eastAsia="仿宋_GB2312" w:cs="仿宋_GB2312"/>
          <w:b w:val="0"/>
          <w:bCs/>
          <w:sz w:val="32"/>
          <w:szCs w:val="32"/>
          <w:lang w:val="zh-CN" w:eastAsia="zh-CN"/>
        </w:rPr>
      </w:pPr>
      <w:r>
        <w:rPr>
          <w:rFonts w:hint="eastAsia" w:ascii="楷体_GB2312" w:hAnsi="楷体_GB2312" w:eastAsia="楷体_GB2312" w:cs="楷体_GB2312"/>
          <w:b w:val="0"/>
          <w:bCs/>
          <w:sz w:val="32"/>
          <w:szCs w:val="32"/>
          <w:lang w:val="zh-CN" w:eastAsia="zh-CN"/>
        </w:rPr>
        <w:t>（二）项目绩效目标。</w:t>
      </w:r>
      <w:r>
        <w:rPr>
          <w:rFonts w:hint="eastAsia" w:ascii="仿宋_GB2312" w:hAnsi="仿宋_GB2312" w:eastAsia="仿宋_GB2312" w:cs="仿宋_GB2312"/>
          <w:b w:val="0"/>
          <w:bCs/>
          <w:sz w:val="32"/>
          <w:szCs w:val="32"/>
          <w:lang w:val="zh-CN" w:eastAsia="zh-CN"/>
        </w:rPr>
        <w:t>对集镇新增区域环境常态化清扫保洁、三个公厕保洁、垃圾清运、集镇秩序维护、新增区域绿化改造等，确保镇容镇貌焕然一新，秩序井然，群众的环保意识增强。</w:t>
      </w:r>
    </w:p>
    <w:p>
      <w:pPr>
        <w:pStyle w:val="35"/>
        <w:spacing w:line="240" w:lineRule="auto"/>
        <w:ind w:firstLine="640" w:firstLineChars="200"/>
        <w:jc w:val="left"/>
        <w:rPr>
          <w:rFonts w:hint="eastAsia" w:ascii="仿宋_GB2312" w:hAnsi="仿宋_GB2312" w:eastAsia="仿宋_GB2312" w:cs="仿宋_GB2312"/>
          <w:b/>
          <w:sz w:val="32"/>
          <w:szCs w:val="32"/>
          <w:lang w:eastAsia="zh-CN"/>
        </w:rPr>
      </w:pPr>
      <w:r>
        <w:rPr>
          <w:rFonts w:hint="eastAsia" w:ascii="楷体_GB2312" w:hAnsi="楷体_GB2312" w:eastAsia="楷体_GB2312" w:cs="楷体_GB2312"/>
          <w:b w:val="0"/>
          <w:bCs/>
          <w:sz w:val="32"/>
          <w:szCs w:val="32"/>
          <w:lang w:val="zh-CN" w:eastAsia="zh-CN"/>
        </w:rPr>
        <w:t>（三）项目资金申报相符性。</w:t>
      </w:r>
      <w:r>
        <w:rPr>
          <w:rFonts w:hint="eastAsia" w:ascii="仿宋_GB2312" w:hAnsi="仿宋_GB2312" w:eastAsia="仿宋_GB2312" w:cs="仿宋_GB2312"/>
          <w:b w:val="0"/>
          <w:bCs/>
          <w:sz w:val="32"/>
          <w:szCs w:val="32"/>
          <w:lang w:eastAsia="zh-CN"/>
        </w:rPr>
        <w:t>项目申报内容与具体实施内容相符，申报目标合理可行。</w:t>
      </w:r>
    </w:p>
    <w:p>
      <w:pPr>
        <w:pStyle w:val="35"/>
        <w:spacing w:line="240" w:lineRule="auto"/>
        <w:ind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二、项目实施及管理情况</w:t>
      </w:r>
    </w:p>
    <w:p>
      <w:pPr>
        <w:pStyle w:val="35"/>
        <w:spacing w:line="240" w:lineRule="auto"/>
        <w:ind w:firstLine="640" w:firstLineChars="200"/>
        <w:jc w:val="both"/>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zh-CN" w:eastAsia="zh-CN"/>
        </w:rPr>
        <w:t>（一）资金计划、到位及使用情况</w:t>
      </w:r>
    </w:p>
    <w:p>
      <w:pPr>
        <w:pStyle w:val="35"/>
        <w:spacing w:line="240" w:lineRule="auto"/>
        <w:jc w:val="center"/>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val="zh-CN" w:eastAsia="zh-CN"/>
        </w:rPr>
        <w:t>1．资金计划及到位。年初预算</w:t>
      </w:r>
      <w:r>
        <w:rPr>
          <w:rFonts w:hint="eastAsia" w:ascii="仿宋_GB2312" w:hAnsi="仿宋_GB2312" w:eastAsia="仿宋_GB2312" w:cs="仿宋_GB2312"/>
          <w:b w:val="0"/>
          <w:bCs/>
          <w:sz w:val="32"/>
          <w:szCs w:val="32"/>
          <w:lang w:val="en-US" w:eastAsia="zh-CN"/>
        </w:rPr>
        <w:t>85</w:t>
      </w:r>
      <w:r>
        <w:rPr>
          <w:rFonts w:hint="eastAsia" w:ascii="仿宋_GB2312" w:hAnsi="仿宋_GB2312" w:eastAsia="仿宋_GB2312" w:cs="仿宋_GB2312"/>
          <w:b w:val="0"/>
          <w:bCs/>
          <w:sz w:val="32"/>
          <w:szCs w:val="32"/>
          <w:lang w:val="zh-CN" w:eastAsia="zh-CN"/>
        </w:rPr>
        <w:t>万元。全年对该项目资金按工作开展进度申请使用，资金到位率100%，到位及时。</w:t>
      </w:r>
    </w:p>
    <w:p>
      <w:pPr>
        <w:pStyle w:val="35"/>
        <w:spacing w:line="240" w:lineRule="auto"/>
        <w:ind w:firstLine="640" w:firstLineChars="200"/>
        <w:jc w:val="left"/>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2．资金使用。截止评价时点项目资金已使用</w:t>
      </w:r>
      <w:r>
        <w:rPr>
          <w:rFonts w:hint="eastAsia" w:ascii="仿宋_GB2312" w:hAnsi="仿宋_GB2312" w:eastAsia="仿宋_GB2312" w:cs="仿宋_GB2312"/>
          <w:b w:val="0"/>
          <w:bCs/>
          <w:sz w:val="32"/>
          <w:szCs w:val="32"/>
          <w:lang w:val="en-US" w:eastAsia="zh-CN"/>
        </w:rPr>
        <w:t>66.90</w:t>
      </w:r>
      <w:r>
        <w:rPr>
          <w:rFonts w:hint="eastAsia" w:ascii="仿宋_GB2312" w:hAnsi="仿宋_GB2312" w:eastAsia="仿宋_GB2312" w:cs="仿宋_GB2312"/>
          <w:b w:val="0"/>
          <w:bCs/>
          <w:sz w:val="32"/>
          <w:szCs w:val="32"/>
          <w:lang w:val="zh-CN" w:eastAsia="zh-CN"/>
        </w:rPr>
        <w:t>万元，支付比例占预算数的</w:t>
      </w:r>
      <w:r>
        <w:rPr>
          <w:rFonts w:hint="eastAsia" w:ascii="仿宋_GB2312" w:hAnsi="仿宋_GB2312" w:eastAsia="仿宋_GB2312" w:cs="仿宋_GB2312"/>
          <w:b w:val="0"/>
          <w:bCs/>
          <w:sz w:val="32"/>
          <w:szCs w:val="32"/>
          <w:lang w:val="en-US" w:eastAsia="zh-CN"/>
        </w:rPr>
        <w:t>78.7%，主要</w:t>
      </w:r>
      <w:r>
        <w:rPr>
          <w:rFonts w:hint="eastAsia" w:ascii="仿宋_GB2312" w:hAnsi="仿宋_GB2312" w:eastAsia="仿宋_GB2312" w:cs="仿宋_GB2312"/>
          <w:b w:val="0"/>
          <w:bCs/>
          <w:sz w:val="32"/>
          <w:szCs w:val="32"/>
          <w:lang w:val="zh-CN" w:eastAsia="zh-CN"/>
        </w:rPr>
        <w:t>用于集镇新增区域的环境常态化清扫保洁、三个公厕保洁、集镇秩序维护、新增区域绿化改造等。项目资金在规定使用范围内依据项目实施进度支付。支付依据合规合法，资金支付与预算要求相符。</w:t>
      </w:r>
    </w:p>
    <w:p>
      <w:pPr>
        <w:pStyle w:val="35"/>
        <w:spacing w:line="240" w:lineRule="auto"/>
        <w:ind w:firstLine="640" w:firstLineChars="200"/>
        <w:jc w:val="both"/>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zh-CN" w:eastAsia="zh-CN"/>
        </w:rPr>
        <w:t>（二）项目财务管理情况</w:t>
      </w:r>
    </w:p>
    <w:p>
      <w:pPr>
        <w:pStyle w:val="35"/>
        <w:spacing w:line="240" w:lineRule="auto"/>
        <w:ind w:firstLine="640" w:firstLineChars="200"/>
        <w:jc w:val="both"/>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eastAsia="zh-CN"/>
        </w:rPr>
        <w:t>集镇新增区域环卫经费项目资金作为财政下达给单位整个城乡环境财政经费中的一部分，纳入单位整体财务核算。在财务处理上单独纳入“城乡环境”智能核算。项目</w:t>
      </w:r>
      <w:r>
        <w:rPr>
          <w:rFonts w:hint="eastAsia" w:ascii="仿宋_GB2312" w:hAnsi="仿宋_GB2312" w:eastAsia="仿宋_GB2312" w:cs="仿宋_GB2312"/>
          <w:b w:val="0"/>
          <w:bCs/>
          <w:sz w:val="32"/>
          <w:szCs w:val="32"/>
          <w:lang w:val="zh-CN" w:eastAsia="zh-CN"/>
        </w:rPr>
        <w:t>严格执行财务管理制度，财务处理及时，会计核算规范。</w:t>
      </w:r>
    </w:p>
    <w:p>
      <w:pPr>
        <w:pStyle w:val="35"/>
        <w:spacing w:line="240" w:lineRule="auto"/>
        <w:ind w:firstLine="640" w:firstLineChars="200"/>
        <w:jc w:val="left"/>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zh-CN" w:eastAsia="zh-CN"/>
        </w:rPr>
        <w:t>（三）项目组织实施情况</w:t>
      </w:r>
    </w:p>
    <w:p>
      <w:pPr>
        <w:pStyle w:val="35"/>
        <w:spacing w:line="240" w:lineRule="auto"/>
        <w:jc w:val="left"/>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val="zh-CN" w:eastAsia="zh-CN"/>
        </w:rPr>
        <w:t>我镇集镇新增区域环境常态化清扫保洁、三个公厕保洁、集镇秩序维护（白天）实行劳务外包。在镇政府作为采购业主的劳务外包中按市交易中心对服务类的政府采购要求，进行三家比选，在同样保证环卫质量的前提下，价格最低投标公司中标；对集镇垃圾清运、迎检大规模环境整治等；对集镇新增区域的绿化改造、对金威利外水沟环境整治等。</w:t>
      </w:r>
    </w:p>
    <w:p>
      <w:pPr>
        <w:pStyle w:val="35"/>
        <w:spacing w:line="240" w:lineRule="auto"/>
        <w:ind w:firstLine="640" w:firstLineChars="200"/>
        <w:jc w:val="both"/>
        <w:rPr>
          <w:rFonts w:hint="eastAsia" w:ascii="黑体" w:hAnsi="黑体" w:eastAsia="黑体" w:cs="黑体"/>
          <w:b/>
          <w:bCs w:val="0"/>
          <w:sz w:val="32"/>
          <w:szCs w:val="32"/>
          <w:lang w:val="zh-CN" w:eastAsia="zh-CN"/>
        </w:rPr>
      </w:pPr>
      <w:r>
        <w:rPr>
          <w:rFonts w:hint="eastAsia" w:ascii="黑体" w:hAnsi="黑体" w:eastAsia="黑体" w:cs="黑体"/>
          <w:b w:val="0"/>
          <w:bCs/>
          <w:sz w:val="32"/>
          <w:szCs w:val="32"/>
          <w:lang w:eastAsia="zh-CN"/>
        </w:rPr>
        <w:t>三、项目绩效情况</w:t>
      </w:r>
      <w:r>
        <w:rPr>
          <w:rFonts w:hint="eastAsia" w:ascii="黑体" w:hAnsi="黑体" w:eastAsia="黑体" w:cs="黑体"/>
          <w:b/>
          <w:bCs w:val="0"/>
          <w:sz w:val="32"/>
          <w:szCs w:val="32"/>
          <w:lang w:val="zh-CN" w:eastAsia="zh-CN"/>
        </w:rPr>
        <w:tab/>
      </w:r>
    </w:p>
    <w:p>
      <w:pPr>
        <w:pStyle w:val="35"/>
        <w:spacing w:line="240" w:lineRule="auto"/>
        <w:ind w:firstLine="640" w:firstLineChars="200"/>
        <w:jc w:val="both"/>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zh-CN" w:eastAsia="zh-CN"/>
        </w:rPr>
        <w:t>（一）项目完成情况</w:t>
      </w:r>
    </w:p>
    <w:p>
      <w:pPr>
        <w:pStyle w:val="35"/>
        <w:spacing w:line="240" w:lineRule="auto"/>
        <w:ind w:firstLine="640" w:firstLineChars="200"/>
        <w:jc w:val="left"/>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截止评价时点，实际运行完成目标额为</w:t>
      </w:r>
      <w:r>
        <w:rPr>
          <w:rFonts w:hint="eastAsia" w:ascii="仿宋_GB2312" w:hAnsi="仿宋_GB2312" w:eastAsia="仿宋_GB2312" w:cs="仿宋_GB2312"/>
          <w:b w:val="0"/>
          <w:bCs/>
          <w:sz w:val="32"/>
          <w:szCs w:val="32"/>
          <w:lang w:val="en-US" w:eastAsia="zh-CN"/>
        </w:rPr>
        <w:t>66.90</w:t>
      </w:r>
      <w:r>
        <w:rPr>
          <w:rFonts w:hint="eastAsia" w:ascii="仿宋_GB2312" w:hAnsi="仿宋_GB2312" w:eastAsia="仿宋_GB2312" w:cs="仿宋_GB2312"/>
          <w:b w:val="0"/>
          <w:bCs/>
          <w:sz w:val="32"/>
          <w:szCs w:val="32"/>
          <w:lang w:val="zh-CN" w:eastAsia="zh-CN"/>
        </w:rPr>
        <w:t>万元，任务量完成情况为预算资金的</w:t>
      </w:r>
      <w:r>
        <w:rPr>
          <w:rFonts w:hint="eastAsia" w:ascii="仿宋_GB2312" w:hAnsi="仿宋_GB2312" w:eastAsia="仿宋_GB2312" w:cs="仿宋_GB2312"/>
          <w:b w:val="0"/>
          <w:bCs/>
          <w:sz w:val="32"/>
          <w:szCs w:val="32"/>
          <w:lang w:val="en-US" w:eastAsia="zh-CN"/>
        </w:rPr>
        <w:t>78.7</w:t>
      </w:r>
      <w:r>
        <w:rPr>
          <w:rFonts w:hint="eastAsia" w:ascii="仿宋_GB2312" w:hAnsi="仿宋_GB2312" w:eastAsia="仿宋_GB2312" w:cs="仿宋_GB2312"/>
          <w:b w:val="0"/>
          <w:bCs/>
          <w:sz w:val="32"/>
          <w:szCs w:val="32"/>
          <w:lang w:val="zh-CN" w:eastAsia="zh-CN"/>
        </w:rPr>
        <w:t>%。</w:t>
      </w:r>
    </w:p>
    <w:p>
      <w:pPr>
        <w:pStyle w:val="35"/>
        <w:spacing w:line="240" w:lineRule="auto"/>
        <w:ind w:firstLine="640"/>
        <w:jc w:val="left"/>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目前，我镇牢固树立乡村振兴战略、绿色发展理念，镇容镇貌大幅提升，环境干净、整洁、舒适、清新，宜居宜养，群众环保理念有了新认识、新提高，全镇对外形象有了新提升，很多镇外人员到我镇闲耍游玩，对我镇的城乡环境变化赞誉不绝。</w:t>
      </w:r>
    </w:p>
    <w:p>
      <w:pPr>
        <w:pStyle w:val="35"/>
        <w:spacing w:line="240" w:lineRule="auto"/>
        <w:ind w:firstLine="640" w:firstLineChars="200"/>
        <w:jc w:val="left"/>
        <w:rPr>
          <w:rFonts w:hint="eastAsia" w:ascii="楷体_GB2312" w:hAnsi="楷体_GB2312" w:eastAsia="楷体_GB2312" w:cs="楷体_GB2312"/>
          <w:b w:val="0"/>
          <w:bCs/>
          <w:sz w:val="32"/>
          <w:szCs w:val="32"/>
          <w:lang w:val="zh-CN" w:eastAsia="zh-CN"/>
        </w:rPr>
      </w:pPr>
      <w:r>
        <w:rPr>
          <w:rFonts w:hint="eastAsia" w:ascii="楷体_GB2312" w:hAnsi="楷体_GB2312" w:eastAsia="楷体_GB2312" w:cs="楷体_GB2312"/>
          <w:b w:val="0"/>
          <w:bCs/>
          <w:sz w:val="32"/>
          <w:szCs w:val="32"/>
          <w:lang w:val="zh-CN" w:eastAsia="zh-CN"/>
        </w:rPr>
        <w:t>（二）项目效益情况</w:t>
      </w:r>
    </w:p>
    <w:p>
      <w:pPr>
        <w:pStyle w:val="35"/>
        <w:spacing w:line="240" w:lineRule="auto"/>
        <w:ind w:firstLine="640" w:firstLineChars="200"/>
        <w:jc w:val="left"/>
        <w:rPr>
          <w:rFonts w:hint="eastAsia" w:ascii="仿宋_GB2312" w:hAnsi="仿宋_GB2312" w:eastAsia="仿宋_GB2312" w:cs="仿宋_GB2312"/>
          <w:b w:val="0"/>
          <w:bCs/>
          <w:sz w:val="32"/>
          <w:szCs w:val="32"/>
          <w:lang w:val="zh-CN" w:eastAsia="zh-CN"/>
        </w:rPr>
      </w:pPr>
      <w:r>
        <w:rPr>
          <w:rFonts w:hint="eastAsia" w:ascii="仿宋_GB2312" w:hAnsi="仿宋_GB2312" w:eastAsia="仿宋_GB2312" w:cs="仿宋_GB2312"/>
          <w:b w:val="0"/>
          <w:bCs/>
          <w:sz w:val="32"/>
          <w:szCs w:val="32"/>
          <w:lang w:val="zh-CN" w:eastAsia="zh-CN"/>
        </w:rPr>
        <w:t>我镇人居环境持续改善，老百姓的获得感、幸福感、安全感增强。</w:t>
      </w:r>
    </w:p>
    <w:p>
      <w:pPr>
        <w:pStyle w:val="35"/>
        <w:spacing w:line="240" w:lineRule="auto"/>
        <w:ind w:firstLine="640" w:firstLineChars="200"/>
        <w:jc w:val="left"/>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四、问题及建议</w:t>
      </w:r>
    </w:p>
    <w:p>
      <w:pPr>
        <w:pStyle w:val="35"/>
        <w:spacing w:line="240" w:lineRule="auto"/>
        <w:ind w:firstLine="640" w:firstLineChars="200"/>
        <w:jc w:val="left"/>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val="0"/>
          <w:bCs/>
          <w:sz w:val="32"/>
          <w:szCs w:val="32"/>
          <w:lang w:val="zh-CN" w:eastAsia="zh-CN"/>
        </w:rPr>
        <w:t>（一）存在的问题</w:t>
      </w:r>
      <w:r>
        <w:rPr>
          <w:rFonts w:hint="eastAsia" w:ascii="仿宋_GB2312" w:hAnsi="仿宋_GB2312" w:eastAsia="仿宋_GB2312" w:cs="仿宋_GB2312"/>
          <w:b w:val="0"/>
          <w:bCs/>
          <w:sz w:val="32"/>
          <w:szCs w:val="32"/>
          <w:lang w:val="en-US" w:eastAsia="zh-CN"/>
        </w:rPr>
        <w:t xml:space="preserve"> 少数老百姓的环卫意识不强，厨余垃圾随处倒、白色垃圾随手扔。</w:t>
      </w:r>
    </w:p>
    <w:p>
      <w:pPr>
        <w:pStyle w:val="35"/>
        <w:spacing w:line="240" w:lineRule="auto"/>
        <w:ind w:firstLine="640" w:firstLineChars="200"/>
        <w:jc w:val="left"/>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val="0"/>
          <w:bCs/>
          <w:sz w:val="32"/>
          <w:szCs w:val="32"/>
          <w:lang w:val="zh-CN" w:eastAsia="zh-CN"/>
        </w:rPr>
        <w:t>（二）相关建议</w:t>
      </w:r>
      <w:r>
        <w:rPr>
          <w:rFonts w:hint="eastAsia" w:ascii="楷体_GB2312" w:hAnsi="楷体_GB2312" w:eastAsia="楷体_GB2312" w:cs="楷体_GB2312"/>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 xml:space="preserve"> 加强环保宣传，规范群众文明行为，养成良好卫生习惯。</w:t>
      </w:r>
    </w:p>
    <w:p>
      <w:pPr>
        <w:pStyle w:val="35"/>
        <w:spacing w:line="240" w:lineRule="auto"/>
        <w:jc w:val="center"/>
        <w:rPr>
          <w:rFonts w:hint="eastAsia" w:ascii="宋体" w:hAnsi="宋体"/>
          <w:b/>
          <w:sz w:val="44"/>
          <w:szCs w:val="44"/>
          <w:lang w:eastAsia="zh-CN"/>
        </w:rPr>
      </w:pPr>
    </w:p>
    <w:p>
      <w:pPr>
        <w:pStyle w:val="35"/>
        <w:spacing w:line="240" w:lineRule="auto"/>
        <w:jc w:val="center"/>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eastAsia="zh-CN"/>
        </w:rPr>
        <w:t>食品药品监管站工作经费</w:t>
      </w:r>
      <w:r>
        <w:rPr>
          <w:rFonts w:hint="eastAsia" w:ascii="方正小标宋_GBK" w:hAnsi="方正小标宋_GBK" w:eastAsia="方正小标宋_GBK" w:cs="方正小标宋_GBK"/>
          <w:b/>
          <w:sz w:val="44"/>
          <w:szCs w:val="44"/>
        </w:rPr>
        <w:t>项目</w:t>
      </w:r>
      <w:r>
        <w:rPr>
          <w:rFonts w:hint="eastAsia" w:ascii="方正小标宋_GBK" w:hAnsi="方正小标宋_GBK" w:eastAsia="方正小标宋_GBK" w:cs="方正小标宋_GBK"/>
          <w:b/>
          <w:sz w:val="44"/>
          <w:szCs w:val="44"/>
          <w:lang w:val="en-US" w:eastAsia="zh-CN"/>
        </w:rPr>
        <w:t>2020年</w:t>
      </w:r>
    </w:p>
    <w:p>
      <w:pPr>
        <w:pStyle w:val="35"/>
        <w:spacing w:line="240" w:lineRule="auto"/>
        <w:jc w:val="center"/>
        <w:rPr>
          <w:rFonts w:hint="eastAsia" w:ascii="方正小标宋_GBK" w:hAnsi="方正小标宋_GBK" w:eastAsia="方正小标宋_GBK" w:cs="方正小标宋_GBK"/>
          <w:color w:val="auto"/>
          <w:kern w:val="2"/>
          <w:sz w:val="44"/>
          <w:szCs w:val="44"/>
        </w:rPr>
      </w:pPr>
      <w:r>
        <w:rPr>
          <w:rFonts w:hint="eastAsia" w:ascii="方正小标宋_GBK" w:hAnsi="方正小标宋_GBK" w:eastAsia="方正小标宋_GBK" w:cs="方正小标宋_GBK"/>
          <w:b/>
          <w:sz w:val="44"/>
          <w:szCs w:val="44"/>
        </w:rPr>
        <w:t>绩效</w:t>
      </w:r>
      <w:r>
        <w:rPr>
          <w:rFonts w:hint="eastAsia" w:ascii="方正小标宋_GBK" w:hAnsi="方正小标宋_GBK" w:eastAsia="方正小标宋_GBK" w:cs="方正小标宋_GBK"/>
          <w:b/>
          <w:sz w:val="44"/>
          <w:szCs w:val="44"/>
          <w:lang w:eastAsia="zh-CN"/>
        </w:rPr>
        <w:t>评价</w:t>
      </w:r>
      <w:r>
        <w:rPr>
          <w:rFonts w:hint="eastAsia" w:ascii="方正小标宋_GBK" w:hAnsi="方正小标宋_GBK" w:eastAsia="方正小标宋_GBK" w:cs="方正小标宋_GBK"/>
          <w:b/>
          <w:sz w:val="44"/>
          <w:szCs w:val="44"/>
        </w:rPr>
        <w:t>报告</w:t>
      </w:r>
    </w:p>
    <w:p>
      <w:pPr>
        <w:adjustRightInd w:val="0"/>
        <w:snapToGrid w:val="0"/>
        <w:spacing w:line="560" w:lineRule="exact"/>
        <w:ind w:firstLine="960" w:firstLineChars="300"/>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adjustRightInd w:val="0"/>
        <w:snapToGrid w:val="0"/>
        <w:spacing w:line="560" w:lineRule="exact"/>
        <w:ind w:firstLine="72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全面贯彻实施“以人为本，安全第一，综合治理，保障平安”的方针，</w:t>
      </w:r>
      <w:r>
        <w:rPr>
          <w:rFonts w:hint="eastAsia" w:ascii="仿宋_GB2312" w:hAnsi="仿宋_GB2312" w:eastAsia="仿宋_GB2312" w:cs="仿宋_GB2312"/>
          <w:sz w:val="32"/>
          <w:szCs w:val="32"/>
        </w:rPr>
        <w:t>推进食品安全机制创新，构建最严格的监管体系</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年年初我镇按严格预算编制要求，对食品药品监管站工作经费进行预算编制，经市政府同意，报峨眉山市人民代表大会会议批准通过。</w:t>
      </w:r>
    </w:p>
    <w:p>
      <w:pPr>
        <w:adjustRightInd w:val="0"/>
        <w:snapToGrid w:val="0"/>
        <w:spacing w:line="560" w:lineRule="exact"/>
        <w:ind w:firstLine="640" w:firstLineChars="200"/>
        <w:rPr>
          <w:rFonts w:hint="eastAsia" w:ascii="楷体_GB2312" w:hAnsi="楷体_GB2312" w:eastAsia="楷体_GB2312" w:cs="楷体_GB2312"/>
          <w:b w:val="0"/>
          <w:bCs w:val="0"/>
          <w:sz w:val="32"/>
          <w:szCs w:val="32"/>
          <w:lang w:val="zh-CN" w:eastAsia="zh-CN"/>
        </w:rPr>
      </w:pPr>
      <w:r>
        <w:rPr>
          <w:rFonts w:hint="eastAsia" w:ascii="楷体_GB2312" w:hAnsi="楷体_GB2312" w:eastAsia="楷体_GB2312" w:cs="楷体_GB2312"/>
          <w:b w:val="0"/>
          <w:bCs w:val="0"/>
          <w:sz w:val="32"/>
          <w:szCs w:val="32"/>
          <w:lang w:val="zh-CN"/>
        </w:rPr>
        <w:t>（二）</w:t>
      </w:r>
      <w:r>
        <w:rPr>
          <w:rFonts w:hint="eastAsia" w:ascii="楷体_GB2312" w:hAnsi="楷体_GB2312" w:eastAsia="楷体_GB2312" w:cs="楷体_GB2312"/>
          <w:b w:val="0"/>
          <w:bCs w:val="0"/>
          <w:sz w:val="32"/>
          <w:szCs w:val="32"/>
          <w:lang w:val="zh-CN" w:eastAsia="zh-CN"/>
        </w:rPr>
        <w:t>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1、项目主要目标：</w:t>
      </w:r>
      <w:r>
        <w:rPr>
          <w:rFonts w:hint="eastAsia" w:ascii="仿宋_GB2312" w:hAnsi="仿宋_GB2312" w:eastAsia="仿宋_GB2312" w:cs="仿宋_GB2312"/>
          <w:color w:val="000000"/>
          <w:sz w:val="32"/>
          <w:szCs w:val="32"/>
        </w:rPr>
        <w:t>保障</w:t>
      </w:r>
      <w:r>
        <w:rPr>
          <w:rFonts w:hint="eastAsia" w:ascii="仿宋_GB2312" w:hAnsi="仿宋_GB2312" w:eastAsia="仿宋_GB2312" w:cs="仿宋_GB2312"/>
          <w:color w:val="000000"/>
          <w:sz w:val="32"/>
          <w:szCs w:val="32"/>
          <w:lang w:eastAsia="zh-CN"/>
        </w:rPr>
        <w:t>广大群众生命安全，提高消费者安全意识和自我保护能力，保护好儿童的生长发育。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通过预算编制，规划绩效目标：（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加强日常工作监管，（</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重视节日期间检查工作</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扎实开展安全专项行动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有组织、有步骤地深入开展食品安全工作，</w:t>
      </w:r>
      <w:r>
        <w:rPr>
          <w:rFonts w:hint="eastAsia" w:ascii="仿宋_GB2312" w:hAnsi="仿宋_GB2312" w:eastAsia="仿宋_GB2312" w:cs="仿宋_GB2312"/>
          <w:sz w:val="32"/>
          <w:szCs w:val="32"/>
          <w:lang w:eastAsia="zh-CN"/>
        </w:rPr>
        <w:t>不折不扣落实防控各项措施，</w:t>
      </w:r>
      <w:r>
        <w:rPr>
          <w:rFonts w:hint="eastAsia" w:ascii="仿宋_GB2312" w:hAnsi="仿宋_GB2312" w:eastAsia="仿宋_GB2312" w:cs="仿宋_GB2312"/>
          <w:sz w:val="32"/>
          <w:szCs w:val="32"/>
        </w:rPr>
        <w:t>推进食品安全机制创新，构建最严格的监管体系，全镇食品安全工作取得了显著成绩</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二、项目资金申报及使用情况</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1、资金到位。</w:t>
      </w:r>
      <w:r>
        <w:rPr>
          <w:rFonts w:hint="eastAsia" w:ascii="仿宋_GB2312" w:hAnsi="仿宋_GB2312" w:eastAsia="仿宋_GB2312" w:cs="仿宋_GB2312"/>
          <w:sz w:val="32"/>
          <w:szCs w:val="32"/>
          <w:lang w:val="zh-CN"/>
        </w:rPr>
        <w:t>食品药品监管站工作经费</w:t>
      </w:r>
      <w:r>
        <w:rPr>
          <w:rFonts w:hint="eastAsia" w:ascii="仿宋_GB2312" w:hAnsi="仿宋_GB2312" w:eastAsia="仿宋_GB2312" w:cs="仿宋_GB2312"/>
          <w:sz w:val="32"/>
          <w:szCs w:val="32"/>
          <w:lang w:val="zh-CN" w:eastAsia="zh-CN"/>
        </w:rPr>
        <w:t>财政拨款</w:t>
      </w:r>
      <w:r>
        <w:rPr>
          <w:rFonts w:hint="eastAsia" w:ascii="仿宋_GB2312" w:hAnsi="仿宋_GB2312" w:eastAsia="仿宋_GB2312" w:cs="仿宋_GB2312"/>
          <w:sz w:val="32"/>
          <w:szCs w:val="32"/>
          <w:lang w:val="en-US" w:eastAsia="zh-CN"/>
        </w:rPr>
        <w:t>2020年预算8万元，属本级人民政府预算专项资金，经市人代会会议结束后到位。</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2、资金使用。</w:t>
      </w:r>
      <w:r>
        <w:rPr>
          <w:rFonts w:hint="eastAsia" w:ascii="仿宋_GB2312" w:hAnsi="仿宋_GB2312" w:eastAsia="仿宋_GB2312" w:cs="仿宋_GB2312"/>
          <w:sz w:val="32"/>
          <w:szCs w:val="32"/>
          <w:lang w:val="en-US" w:eastAsia="zh-CN"/>
        </w:rPr>
        <w:t>我镇</w:t>
      </w:r>
      <w:r>
        <w:rPr>
          <w:rFonts w:hint="eastAsia" w:ascii="仿宋_GB2312" w:hAnsi="仿宋_GB2312" w:eastAsia="仿宋_GB2312" w:cs="仿宋_GB2312"/>
          <w:sz w:val="32"/>
          <w:szCs w:val="32"/>
          <w:lang w:val="zh-CN"/>
        </w:rPr>
        <w:t>食品药品监管站工作经费</w:t>
      </w:r>
      <w:r>
        <w:rPr>
          <w:rFonts w:hint="eastAsia" w:ascii="仿宋_GB2312" w:hAnsi="仿宋_GB2312" w:eastAsia="仿宋_GB2312" w:cs="仿宋_GB2312"/>
          <w:sz w:val="32"/>
          <w:szCs w:val="32"/>
          <w:lang w:val="en-US" w:eastAsia="zh-CN"/>
        </w:rPr>
        <w:t>使用8万元，使用率100%，用于</w:t>
      </w:r>
      <w:r>
        <w:rPr>
          <w:rFonts w:hint="eastAsia" w:ascii="仿宋_GB2312" w:hAnsi="仿宋_GB2312" w:eastAsia="仿宋_GB2312" w:cs="仿宋_GB2312"/>
          <w:sz w:val="32"/>
          <w:szCs w:val="32"/>
        </w:rPr>
        <w:t>食品生产企业、学校食堂、劳动密集型企业食堂进行重点检查，对农村群体性聚餐工作进行重点监管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在春节、“五一”、中秋、国庆等节日期间，组织人员对辖区的餐饮、超市、酒店等进行专项检查，确保群众饮食安全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多次开展校园周边食品安全专项检查，清理博睿特校门临时摊位，规范峨眉七中外</w:t>
      </w:r>
      <w:r>
        <w:rPr>
          <w:rFonts w:hint="eastAsia" w:ascii="仿宋_GB2312" w:hAnsi="仿宋_GB2312" w:eastAsia="仿宋_GB2312" w:cs="仿宋_GB2312"/>
          <w:sz w:val="32"/>
          <w:szCs w:val="32"/>
          <w:lang w:eastAsia="zh-CN"/>
        </w:rPr>
        <w:t>流动</w:t>
      </w:r>
      <w:r>
        <w:rPr>
          <w:rFonts w:hint="eastAsia" w:ascii="仿宋_GB2312" w:hAnsi="仿宋_GB2312" w:eastAsia="仿宋_GB2312" w:cs="仿宋_GB2312"/>
          <w:sz w:val="32"/>
          <w:szCs w:val="32"/>
        </w:rPr>
        <w:t>小摊贩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农村群体性聚餐申报</w:t>
      </w:r>
      <w:r>
        <w:rPr>
          <w:rFonts w:hint="eastAsia" w:ascii="仿宋_GB2312" w:hAnsi="仿宋_GB2312" w:eastAsia="仿宋_GB2312" w:cs="仿宋_GB2312"/>
          <w:sz w:val="32"/>
          <w:szCs w:val="32"/>
          <w:lang w:eastAsia="zh-CN"/>
        </w:rPr>
        <w:t>监管。会计核算、现金管理、转账支付等均按规章制度执行，做到专款专用，资金支付依据齐全、开支标准合理合法、专项资金专项管理、专项使用，年初的绩效目标也基本完成。</w:t>
      </w:r>
    </w:p>
    <w:p>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val="zh-CN" w:eastAsia="zh-CN"/>
        </w:rPr>
        <w:t>项目财务管理情况。</w:t>
      </w:r>
      <w:r>
        <w:rPr>
          <w:rFonts w:hint="eastAsia" w:ascii="仿宋_GB2312" w:hAnsi="仿宋_GB2312" w:eastAsia="仿宋_GB2312" w:cs="仿宋_GB2312"/>
          <w:sz w:val="32"/>
          <w:szCs w:val="32"/>
          <w:lang w:val="zh-CN" w:eastAsia="zh-CN"/>
        </w:rPr>
        <w:t>财务管理制度健全，严格执行财管管理制度，账务处理及时，会计核算规范。</w:t>
      </w:r>
    </w:p>
    <w:p>
      <w:pPr>
        <w:adjustRightInd w:val="0"/>
        <w:snapToGrid w:val="0"/>
        <w:spacing w:line="56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三、项目实施及管理情况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 xml:space="preserve"> 1.建立健全食品安全监管体系。</w:t>
      </w:r>
      <w:r>
        <w:rPr>
          <w:rFonts w:hint="eastAsia" w:ascii="仿宋_GB2312" w:hAnsi="仿宋_GB2312" w:eastAsia="仿宋_GB2312" w:cs="仿宋_GB2312"/>
          <w:sz w:val="32"/>
          <w:szCs w:val="32"/>
          <w:lang w:val="zh-CN" w:eastAsia="zh-CN"/>
        </w:rPr>
        <w:t>成立镇食品安全领导小组，设立食品安全监管办公室，村（社区）设立食品协管员。</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2.建立食品安全共享和工作机制。</w:t>
      </w:r>
      <w:r>
        <w:rPr>
          <w:rFonts w:hint="eastAsia" w:ascii="仿宋_GB2312" w:hAnsi="仿宋_GB2312" w:eastAsia="仿宋_GB2312" w:cs="仿宋_GB2312"/>
          <w:sz w:val="32"/>
          <w:szCs w:val="32"/>
          <w:lang w:val="zh-CN" w:eastAsia="zh-CN"/>
        </w:rPr>
        <w:t>联合综合执法办、社会事务办、符溪市场监管所、符溪交警中队、符溪派出所等部门组成食品安全工作组，开展食品安全检查。</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3.加强监管，严格申报，现场指导。</w:t>
      </w:r>
      <w:r>
        <w:rPr>
          <w:rFonts w:hint="eastAsia" w:ascii="仿宋_GB2312" w:hAnsi="仿宋_GB2312" w:eastAsia="仿宋_GB2312" w:cs="仿宋_GB2312"/>
          <w:sz w:val="32"/>
          <w:szCs w:val="32"/>
          <w:lang w:val="zh-CN" w:eastAsia="zh-CN"/>
        </w:rPr>
        <w:t>群体性聚餐实行严格审批的程序，最大限度预防食品安全事故。</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4.联合符溪市场监管所、镇综合执法办进一步加强对农贸市场规范的管理，疫情期间加大对活禽宰杀、市场消毒等工作监管力度。</w:t>
      </w:r>
    </w:p>
    <w:p>
      <w:pPr>
        <w:numPr>
          <w:ilvl w:val="0"/>
          <w:numId w:val="0"/>
        </w:numPr>
        <w:adjustRightInd w:val="0"/>
        <w:snapToGrid w:val="0"/>
        <w:spacing w:line="56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四、项目绩效目标</w:t>
      </w:r>
    </w:p>
    <w:p>
      <w:pPr>
        <w:numPr>
          <w:ilvl w:val="0"/>
          <w:numId w:val="0"/>
        </w:num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一是加强日常监管工作。</w:t>
      </w:r>
      <w:r>
        <w:rPr>
          <w:rFonts w:hint="eastAsia" w:ascii="仿宋_GB2312" w:hAnsi="仿宋_GB2312" w:eastAsia="仿宋_GB2312" w:cs="仿宋_GB2312"/>
          <w:sz w:val="32"/>
          <w:szCs w:val="32"/>
          <w:lang w:val="zh-CN" w:eastAsia="zh-CN"/>
        </w:rPr>
        <w:t>联合综合执法办、社会事务办、符溪市场监管所、符溪交警中队、符溪派出所等部门组成食品安全工作组，完成对嘉峨茶谷、中小学、幼儿园食堂、小型餐馆、母婴用品店等开展食品安全检查6次</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eastAsia="zh-CN"/>
        </w:rPr>
        <w:t>完成对</w:t>
      </w:r>
      <w:r>
        <w:rPr>
          <w:rFonts w:hint="eastAsia" w:ascii="仿宋_GB2312" w:hAnsi="仿宋_GB2312" w:eastAsia="仿宋_GB2312" w:cs="仿宋_GB2312"/>
          <w:sz w:val="32"/>
          <w:szCs w:val="32"/>
          <w:lang w:val="zh-CN" w:eastAsia="zh-CN"/>
        </w:rPr>
        <w:t>我镇群众聚餐共计134场次，2399桌的登记备案，没有发生食品安全事故</w:t>
      </w:r>
      <w:r>
        <w:rPr>
          <w:rFonts w:hint="eastAsia" w:ascii="仿宋_GB2312" w:hAnsi="仿宋_GB2312" w:eastAsia="仿宋_GB2312" w:cs="仿宋_GB2312"/>
          <w:sz w:val="32"/>
          <w:szCs w:val="32"/>
        </w:rPr>
        <w:t>。三是</w:t>
      </w:r>
      <w:r>
        <w:rPr>
          <w:rFonts w:hint="eastAsia" w:ascii="仿宋_GB2312" w:hAnsi="仿宋_GB2312" w:eastAsia="仿宋_GB2312" w:cs="仿宋_GB2312"/>
          <w:sz w:val="32"/>
          <w:szCs w:val="32"/>
          <w:lang w:val="zh-CN" w:eastAsia="zh-CN"/>
        </w:rPr>
        <w:t>联合符溪市场监管所、镇综合执法办进一步完成对农贸市场规范的管理，疫情期间加大对活禽宰杀、市场消毒等工作监管力度</w:t>
      </w:r>
      <w:r>
        <w:rPr>
          <w:rFonts w:hint="eastAsia" w:ascii="仿宋_GB2312" w:hAnsi="仿宋_GB2312" w:eastAsia="仿宋_GB2312" w:cs="仿宋_GB2312"/>
          <w:sz w:val="32"/>
          <w:szCs w:val="32"/>
        </w:rPr>
        <w:t>。</w:t>
      </w:r>
    </w:p>
    <w:p>
      <w:pPr>
        <w:numPr>
          <w:ilvl w:val="0"/>
          <w:numId w:val="0"/>
        </w:numPr>
        <w:adjustRightInd w:val="0"/>
        <w:snapToGrid w:val="0"/>
        <w:spacing w:line="560" w:lineRule="exact"/>
        <w:ind w:left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五、评价结论及建议</w:t>
      </w:r>
    </w:p>
    <w:p>
      <w:pPr>
        <w:numPr>
          <w:ilvl w:val="0"/>
          <w:numId w:val="0"/>
        </w:numPr>
        <w:adjustRightInd w:val="0"/>
        <w:snapToGrid w:val="0"/>
        <w:spacing w:line="560" w:lineRule="exact"/>
        <w:ind w:left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（一）存在的问题</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小作坊监控力度难，流动摊贩流动性强，管理难度较大。</w:t>
      </w:r>
    </w:p>
    <w:p>
      <w:pPr>
        <w:numPr>
          <w:ilvl w:val="0"/>
          <w:numId w:val="0"/>
        </w:numPr>
        <w:adjustRightInd w:val="0"/>
        <w:snapToGrid w:val="0"/>
        <w:spacing w:line="560" w:lineRule="exact"/>
        <w:ind w:firstLine="320" w:firstLineChars="1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（二）相关建议</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加强对食品的准入管理和日常监控，严格实行食品市场准入制度严格执行生产加工标准，配合相关部门严厉打击无证生产和冒用许可证违法行为，确保食品质量稳步提高。三是组织各村、组干部培训食品安全知识，知晓危害，提高认识，从思想上重视食品安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加强巡查，鼓励对流动摊贩实施备案登记，加强对小作坊的监管。特别是加大力量组织实施对校园周边环境的整治，保护好祖国的下一代免受垃圾食品的侵害。</w:t>
      </w:r>
    </w:p>
    <w:p>
      <w:pPr>
        <w:numPr>
          <w:ilvl w:val="0"/>
          <w:numId w:val="0"/>
        </w:numPr>
        <w:adjustRightInd w:val="0"/>
        <w:snapToGrid w:val="0"/>
        <w:spacing w:line="560" w:lineRule="exact"/>
        <w:rPr>
          <w:rFonts w:hint="eastAsia" w:ascii="楷体_GB2312" w:hAnsi="楷体_GB2312" w:eastAsia="楷体_GB2312" w:cs="楷体_GB2312"/>
          <w:sz w:val="32"/>
          <w:szCs w:val="32"/>
          <w:lang w:val="en-US" w:eastAsia="zh-CN"/>
        </w:rPr>
      </w:pPr>
    </w:p>
    <w:p>
      <w:pPr>
        <w:pStyle w:val="35"/>
        <w:spacing w:line="240" w:lineRule="auto"/>
        <w:jc w:val="center"/>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eastAsia="zh-CN"/>
        </w:rPr>
        <w:t>武装工作经费</w:t>
      </w:r>
      <w:r>
        <w:rPr>
          <w:rFonts w:hint="eastAsia" w:ascii="方正小标宋_GBK" w:hAnsi="方正小标宋_GBK" w:eastAsia="方正小标宋_GBK" w:cs="方正小标宋_GBK"/>
          <w:b/>
          <w:sz w:val="44"/>
          <w:szCs w:val="44"/>
          <w:lang w:val="en-US" w:eastAsia="zh-CN"/>
        </w:rPr>
        <w:t>2020年</w:t>
      </w:r>
    </w:p>
    <w:p>
      <w:pPr>
        <w:pStyle w:val="35"/>
        <w:spacing w:line="240" w:lineRule="auto"/>
        <w:jc w:val="center"/>
        <w:rPr>
          <w:rFonts w:hint="eastAsia" w:ascii="方正小标宋_GBK" w:hAnsi="方正小标宋_GBK" w:eastAsia="方正小标宋_GBK" w:cs="方正小标宋_GBK"/>
          <w:color w:val="auto"/>
          <w:kern w:val="2"/>
          <w:sz w:val="44"/>
          <w:szCs w:val="44"/>
        </w:rPr>
      </w:pPr>
      <w:r>
        <w:rPr>
          <w:rFonts w:hint="eastAsia" w:ascii="方正小标宋_GBK" w:hAnsi="方正小标宋_GBK" w:eastAsia="方正小标宋_GBK" w:cs="方正小标宋_GBK"/>
          <w:b/>
          <w:sz w:val="44"/>
          <w:szCs w:val="44"/>
        </w:rPr>
        <w:t>绩效</w:t>
      </w:r>
      <w:r>
        <w:rPr>
          <w:rFonts w:hint="eastAsia" w:ascii="方正小标宋_GBK" w:hAnsi="方正小标宋_GBK" w:eastAsia="方正小标宋_GBK" w:cs="方正小标宋_GBK"/>
          <w:b/>
          <w:sz w:val="44"/>
          <w:szCs w:val="44"/>
          <w:lang w:eastAsia="zh-CN"/>
        </w:rPr>
        <w:t>评价</w:t>
      </w:r>
      <w:r>
        <w:rPr>
          <w:rFonts w:hint="eastAsia" w:ascii="方正小标宋_GBK" w:hAnsi="方正小标宋_GBK" w:eastAsia="方正小标宋_GBK" w:cs="方正小标宋_GBK"/>
          <w:b/>
          <w:sz w:val="44"/>
          <w:szCs w:val="44"/>
        </w:rPr>
        <w:t>报告</w:t>
      </w:r>
    </w:p>
    <w:p>
      <w:pPr>
        <w:adjustRightInd w:val="0"/>
        <w:snapToGrid w:val="0"/>
        <w:spacing w:line="560" w:lineRule="exact"/>
        <w:ind w:firstLine="964" w:firstLineChars="300"/>
        <w:rPr>
          <w:rFonts w:hint="eastAsia" w:ascii="仿宋_GB2312" w:hAnsi="仿宋_GB2312" w:eastAsia="仿宋_GB2312" w:cs="仿宋_GB2312"/>
          <w:b/>
          <w:bCs/>
          <w:sz w:val="32"/>
          <w:szCs w:val="32"/>
        </w:rPr>
      </w:pPr>
    </w:p>
    <w:p>
      <w:pPr>
        <w:adjustRightInd w:val="0"/>
        <w:snapToGrid w:val="0"/>
        <w:spacing w:line="560" w:lineRule="exact"/>
        <w:ind w:firstLine="960" w:firstLineChars="300"/>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adjustRightInd w:val="0"/>
        <w:snapToGrid w:val="0"/>
        <w:spacing w:line="560" w:lineRule="exact"/>
        <w:ind w:firstLine="72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坚持以“习近平新时代强军思想”为指导，坚持把武装工作纳入党委的重要议事日程，建立健全各类组织，规范武装部正规化建设。</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年年初我镇按严格预算编制要求，对人武经费进行预算编制，经市政府同意，报峨眉山市人民代表大会会议批准通过。</w:t>
      </w:r>
    </w:p>
    <w:p>
      <w:pPr>
        <w:adjustRightInd w:val="0"/>
        <w:snapToGrid w:val="0"/>
        <w:spacing w:line="560" w:lineRule="exact"/>
        <w:ind w:firstLine="640" w:firstLineChars="200"/>
        <w:rPr>
          <w:rFonts w:hint="eastAsia" w:ascii="楷体_GB2312" w:hAnsi="楷体_GB2312" w:eastAsia="楷体_GB2312" w:cs="楷体_GB2312"/>
          <w:b w:val="0"/>
          <w:bCs w:val="0"/>
          <w:sz w:val="32"/>
          <w:szCs w:val="32"/>
          <w:lang w:val="zh-CN" w:eastAsia="zh-CN"/>
        </w:rPr>
      </w:pPr>
      <w:r>
        <w:rPr>
          <w:rFonts w:hint="eastAsia" w:ascii="楷体_GB2312" w:hAnsi="楷体_GB2312" w:eastAsia="楷体_GB2312" w:cs="楷体_GB2312"/>
          <w:b w:val="0"/>
          <w:bCs w:val="0"/>
          <w:sz w:val="32"/>
          <w:szCs w:val="32"/>
          <w:lang w:val="zh-CN"/>
        </w:rPr>
        <w:t>（二）</w:t>
      </w:r>
      <w:r>
        <w:rPr>
          <w:rFonts w:hint="eastAsia" w:ascii="楷体_GB2312" w:hAnsi="楷体_GB2312" w:eastAsia="楷体_GB2312" w:cs="楷体_GB2312"/>
          <w:b w:val="0"/>
          <w:bCs w:val="0"/>
          <w:sz w:val="32"/>
          <w:szCs w:val="32"/>
          <w:lang w:val="zh-CN" w:eastAsia="zh-CN"/>
        </w:rPr>
        <w:t>项目绩效目标</w:t>
      </w:r>
    </w:p>
    <w:p>
      <w:pPr>
        <w:numPr>
          <w:ilvl w:val="0"/>
          <w:numId w:val="0"/>
        </w:numPr>
        <w:adjustRightInd w:val="0"/>
        <w:snapToGrid w:val="0"/>
        <w:spacing w:line="560" w:lineRule="exact"/>
        <w:ind w:firstLine="900" w:firstLineChars="3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1、项目主要目标：</w:t>
      </w:r>
      <w:r>
        <w:rPr>
          <w:rFonts w:hint="eastAsia" w:ascii="仿宋_GB2312" w:hAnsi="仿宋_GB2312" w:eastAsia="仿宋_GB2312" w:cs="仿宋_GB2312"/>
          <w:sz w:val="30"/>
          <w:szCs w:val="30"/>
          <w:lang w:val="zh-CN" w:eastAsia="zh-CN"/>
        </w:rPr>
        <w:t>切实履行党管武装职责，真正体现了党管武装原则，提高我镇群众的思想素质和政治觉悟，增强了广大民兵的国防观念和爱国热情。</w:t>
      </w:r>
    </w:p>
    <w:p>
      <w:pPr>
        <w:keepNext w:val="0"/>
        <w:keepLines w:val="0"/>
        <w:pageBreakBefore w:val="0"/>
        <w:widowControl w:val="0"/>
        <w:numPr>
          <w:ilvl w:val="0"/>
          <w:numId w:val="0"/>
        </w:numPr>
        <w:kinsoku/>
        <w:wordWrap/>
        <w:overflowPunct/>
        <w:topLinePunct w:val="0"/>
        <w:autoSpaceDE/>
        <w:autoSpaceDN/>
        <w:bidi w:val="0"/>
        <w:spacing w:line="240" w:lineRule="auto"/>
        <w:ind w:left="0" w:leftChars="0" w:firstLine="900" w:firstLineChars="3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zh-CN"/>
        </w:rPr>
        <w:t>通过预算编制，规划绩效目标：（</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民兵整组和规范化建设</w:t>
      </w:r>
      <w:r>
        <w:rPr>
          <w:rFonts w:hint="eastAsia" w:ascii="仿宋_GB2312" w:hAnsi="仿宋_GB2312" w:eastAsia="仿宋_GB2312" w:cs="仿宋_GB2312"/>
          <w:sz w:val="30"/>
          <w:szCs w:val="30"/>
          <w:lang w:val="en-US" w:eastAsia="zh-CN"/>
        </w:rPr>
        <w:t>；（2）、政治教育工作；（3）、兵役登记和征兵工作。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val="zh-CN"/>
        </w:rPr>
        <w:t>人武经费服务当地人民群众，申报内容与实际相符，申报目标合理。</w:t>
      </w:r>
    </w:p>
    <w:p>
      <w:pPr>
        <w:adjustRightInd w:val="0"/>
        <w:snapToGrid w:val="0"/>
        <w:spacing w:line="56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二、项目资金申报及使用情况</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1、资金到位。</w:t>
      </w:r>
      <w:r>
        <w:rPr>
          <w:rFonts w:hint="eastAsia" w:ascii="仿宋_GB2312" w:hAnsi="仿宋_GB2312" w:eastAsia="仿宋_GB2312" w:cs="仿宋_GB2312"/>
          <w:sz w:val="32"/>
          <w:szCs w:val="32"/>
          <w:lang w:val="zh-CN" w:eastAsia="zh-CN"/>
        </w:rPr>
        <w:t>人武经费财政拨款</w:t>
      </w:r>
      <w:r>
        <w:rPr>
          <w:rFonts w:hint="eastAsia" w:ascii="仿宋_GB2312" w:hAnsi="仿宋_GB2312" w:eastAsia="仿宋_GB2312" w:cs="仿宋_GB2312"/>
          <w:sz w:val="32"/>
          <w:szCs w:val="32"/>
          <w:lang w:val="en-US" w:eastAsia="zh-CN"/>
        </w:rPr>
        <w:t>2020年预算3.00万元，属本级人民政府预算专项资金，经市人代会会议结束后到位。</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2、资金使用。</w:t>
      </w:r>
      <w:r>
        <w:rPr>
          <w:rFonts w:hint="eastAsia" w:ascii="仿宋_GB2312" w:hAnsi="仿宋_GB2312" w:eastAsia="仿宋_GB2312" w:cs="仿宋_GB2312"/>
          <w:sz w:val="32"/>
          <w:szCs w:val="32"/>
          <w:lang w:val="en-US" w:eastAsia="zh-CN"/>
        </w:rPr>
        <w:t>我镇人武经费使用3.00万元，使用率100%，用于民兵点验、兵役登记和征兵、武装部正规化建设。</w:t>
      </w:r>
      <w:r>
        <w:rPr>
          <w:rFonts w:hint="eastAsia" w:ascii="仿宋_GB2312" w:hAnsi="仿宋_GB2312" w:eastAsia="仿宋_GB2312" w:cs="仿宋_GB2312"/>
          <w:sz w:val="32"/>
          <w:szCs w:val="32"/>
          <w:lang w:eastAsia="zh-CN"/>
        </w:rPr>
        <w:t>会计核算、现金管理、转账支付等均按规章制度执行，做到专款专用，资金支付依据齐全、开支标准合理合法、专项资金专项管理、专项使用，年初的绩效目标也基本完成。</w:t>
      </w:r>
    </w:p>
    <w:p>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val="zh-CN" w:eastAsia="zh-CN"/>
        </w:rPr>
        <w:t>项目财务管理情况。</w:t>
      </w:r>
      <w:r>
        <w:rPr>
          <w:rFonts w:hint="eastAsia" w:ascii="仿宋_GB2312" w:hAnsi="仿宋_GB2312" w:eastAsia="仿宋_GB2312" w:cs="仿宋_GB2312"/>
          <w:sz w:val="32"/>
          <w:szCs w:val="32"/>
          <w:lang w:val="zh-CN" w:eastAsia="zh-CN"/>
        </w:rPr>
        <w:t>财务管理制度健全，严格执行财管管理制度，账务处理及时，会计核算规范。</w:t>
      </w:r>
    </w:p>
    <w:p>
      <w:pPr>
        <w:adjustRightInd w:val="0"/>
        <w:snapToGrid w:val="0"/>
        <w:spacing w:line="560" w:lineRule="exact"/>
        <w:ind w:firstLine="640" w:firstLineChars="200"/>
        <w:rPr>
          <w:rFonts w:hint="eastAsia" w:ascii="黑体" w:hAnsi="黑体" w:eastAsia="黑体" w:cs="黑体"/>
          <w:b/>
          <w:bCs/>
          <w:sz w:val="32"/>
          <w:szCs w:val="32"/>
          <w:lang w:val="zh-CN" w:eastAsia="zh-CN"/>
        </w:rPr>
      </w:pPr>
      <w:r>
        <w:rPr>
          <w:rFonts w:hint="eastAsia" w:ascii="黑体" w:hAnsi="黑体" w:eastAsia="黑体" w:cs="黑体"/>
          <w:b w:val="0"/>
          <w:bCs w:val="0"/>
          <w:sz w:val="32"/>
          <w:szCs w:val="32"/>
          <w:lang w:val="zh-CN" w:eastAsia="zh-CN"/>
        </w:rPr>
        <w:t>三、项目实施及管理情况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 xml:space="preserve"> 1.</w:t>
      </w:r>
      <w:r>
        <w:rPr>
          <w:rFonts w:hint="eastAsia" w:ascii="楷体_GB2312" w:hAnsi="楷体_GB2312" w:eastAsia="楷体_GB2312" w:cs="楷体_GB2312"/>
          <w:sz w:val="32"/>
          <w:szCs w:val="32"/>
        </w:rPr>
        <w:t>民兵政治工作</w:t>
      </w:r>
      <w:r>
        <w:rPr>
          <w:rFonts w:hint="eastAsia" w:ascii="仿宋_GB2312" w:hAnsi="仿宋_GB2312" w:eastAsia="仿宋_GB2312" w:cs="仿宋_GB2312"/>
          <w:sz w:val="32"/>
          <w:szCs w:val="32"/>
        </w:rPr>
        <w:t>（1）党管武装。镇党委政府高度重视武装工作，将武装工作纳入重要会议议程。各类保障到位；政治教导员、专武干部认真履职尽责，积极参加上级军事机关组织的活动，认真完成上级军事机关赋予的各项任务。（2）民兵政治教育。健全民兵预备役政治教育制度，突出基干民兵政治教育这根主线，结合实际拟定民兵政治教育计划，积极组织开展全民国防教育</w:t>
      </w:r>
      <w:r>
        <w:rPr>
          <w:rFonts w:hint="eastAsia" w:ascii="仿宋_GB2312" w:hAnsi="仿宋_GB2312" w:eastAsia="仿宋_GB2312" w:cs="仿宋_GB2312"/>
          <w:sz w:val="32"/>
          <w:szCs w:val="32"/>
          <w:lang w:val="zh-CN"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zh-CN" w:eastAsia="zh-CN"/>
        </w:rPr>
        <w:t>2.</w:t>
      </w:r>
      <w:r>
        <w:rPr>
          <w:rFonts w:hint="eastAsia" w:ascii="楷体_GB2312" w:hAnsi="楷体_GB2312" w:eastAsia="楷体_GB2312" w:cs="楷体_GB2312"/>
          <w:sz w:val="32"/>
          <w:szCs w:val="32"/>
        </w:rPr>
        <w:t>民兵整组和规范化建设。</w:t>
      </w:r>
      <w:r>
        <w:rPr>
          <w:rFonts w:hint="eastAsia" w:ascii="仿宋_GB2312" w:hAnsi="仿宋_GB2312" w:eastAsia="仿宋_GB2312" w:cs="仿宋_GB2312"/>
          <w:sz w:val="32"/>
          <w:szCs w:val="32"/>
        </w:rPr>
        <w:t>（1）组织落实。落实年度民兵整组工作，按上级要求做到民兵连、排、应急小分队建制齐全，程序规范</w:t>
      </w:r>
      <w:r>
        <w:rPr>
          <w:rFonts w:hint="eastAsia" w:ascii="仿宋_GB2312" w:hAnsi="仿宋_GB2312" w:eastAsia="仿宋_GB2312" w:cs="仿宋_GB2312"/>
          <w:sz w:val="32"/>
          <w:szCs w:val="32"/>
          <w:lang w:eastAsia="zh-CN"/>
        </w:rPr>
        <w:t>。（2）规范化建设。按照上级武装正规化建设要求，投入3万余元规范了“三图”“二案”和储备库室的建设工作，应急物资器材装备按要求配套齐全，做到存放有序并做好出入库登记。</w:t>
      </w:r>
    </w:p>
    <w:p>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zh-CN" w:eastAsia="zh-CN"/>
        </w:rPr>
        <w:t>3.兵役登记和征兵工作。</w:t>
      </w:r>
      <w:r>
        <w:rPr>
          <w:rFonts w:hint="eastAsia" w:ascii="仿宋_GB2312" w:hAnsi="仿宋_GB2312" w:eastAsia="仿宋_GB2312" w:cs="仿宋_GB2312"/>
          <w:sz w:val="32"/>
          <w:szCs w:val="32"/>
          <w:lang w:val="zh-CN" w:eastAsia="zh-CN"/>
        </w:rPr>
        <w:t>（1）兵役登记统计。全年按照适龄青年18周岁的青年76人全部进行兵役登记，在全国征兵网的权限范围回复适龄青年问题2次；按要求整理好的兵役登记资料。（2）征兵宣传。认真搞好征兵宣传工作，召开征兵工作会议，采取制作横幅、微信群、宣传车进村入户等的方式进行，并加大对征兵政策和有关法律法规知识的宣传力度。</w:t>
      </w:r>
    </w:p>
    <w:p>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val="zh-CN" w:eastAsia="zh-CN"/>
        </w:rPr>
        <w:t>、应急抢险救援任务。</w:t>
      </w:r>
      <w:r>
        <w:rPr>
          <w:rFonts w:hint="eastAsia" w:ascii="仿宋_GB2312" w:hAnsi="仿宋_GB2312" w:eastAsia="仿宋_GB2312" w:cs="仿宋_GB2312"/>
          <w:sz w:val="32"/>
          <w:szCs w:val="32"/>
          <w:lang w:val="zh-CN" w:eastAsia="zh-CN"/>
        </w:rPr>
        <w:t>按照上级命令，组织民兵在疫情期间在各村主要村道进行体温检测、入户宣传疫情知识等，组织民兵25人对夹江县“8.18”受灾进行救援。完成任务较好。</w:t>
      </w:r>
    </w:p>
    <w:p>
      <w:pPr>
        <w:adjustRightInd w:val="0"/>
        <w:snapToGrid w:val="0"/>
        <w:spacing w:line="560" w:lineRule="exact"/>
        <w:ind w:firstLine="720"/>
        <w:rPr>
          <w:rFonts w:hint="eastAsia" w:ascii="黑体" w:hAnsi="黑体" w:eastAsia="黑体" w:cs="黑体"/>
          <w:b w:val="0"/>
          <w:bCs w:val="0"/>
          <w:sz w:val="32"/>
          <w:szCs w:val="32"/>
          <w:lang w:val="zh-CN"/>
        </w:rPr>
      </w:pPr>
      <w:r>
        <w:rPr>
          <w:rFonts w:hint="eastAsia" w:ascii="黑体" w:hAnsi="黑体" w:eastAsia="黑体" w:cs="黑体"/>
          <w:sz w:val="32"/>
          <w:szCs w:val="32"/>
          <w:lang w:val="en-US" w:eastAsia="zh-CN"/>
        </w:rPr>
        <w:t xml:space="preserve"> </w:t>
      </w:r>
      <w:r>
        <w:rPr>
          <w:rFonts w:hint="eastAsia" w:ascii="黑体" w:hAnsi="黑体" w:eastAsia="黑体" w:cs="黑体"/>
          <w:b w:val="0"/>
          <w:bCs w:val="0"/>
          <w:sz w:val="32"/>
          <w:szCs w:val="32"/>
          <w:lang w:val="zh-CN"/>
        </w:rPr>
        <w:t>四、项目绩效目标</w:t>
      </w:r>
    </w:p>
    <w:p>
      <w:pPr>
        <w:numPr>
          <w:ilvl w:val="0"/>
          <w:numId w:val="0"/>
        </w:num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1）全年共开展政治教育14次，累计25.5课时。（3）国防教育。积极组织开展全民国防教育，利用征兵期间到学校开展国防教育累次5次。</w:t>
      </w:r>
      <w:r>
        <w:rPr>
          <w:rFonts w:hint="eastAsia" w:ascii="仿宋_GB2312" w:hAnsi="仿宋_GB2312" w:eastAsia="仿宋_GB2312" w:cs="仿宋_GB2312"/>
          <w:sz w:val="32"/>
          <w:szCs w:val="32"/>
          <w:lang w:val="zh-CN" w:eastAsia="zh-CN"/>
        </w:rPr>
        <w:t>通过广泛的政治教育，切实提高我镇民兵的思想素质和政治觉悟，增强了广大民兵的国防观念和爱国热情，为各项任务的完成和民兵工作的发挥提供了有力保证。</w:t>
      </w:r>
      <w:r>
        <w:rPr>
          <w:rFonts w:hint="eastAsia" w:ascii="仿宋_GB2312" w:hAnsi="仿宋_GB2312" w:eastAsia="仿宋_GB2312" w:cs="仿宋_GB2312"/>
          <w:sz w:val="32"/>
          <w:szCs w:val="32"/>
          <w:lang w:val="zh-CN"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投入3万余元规范了“三图”“二案”和储备库室的建设工作，应急物资器材装备按要求配套齐全，做到存放有序并做好出入库登记。民兵点验到点率达100%。基层人民武装部规范化建设水平，得到了乐山军分区领导和市人武部领导检查的一致好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组织专武干部进行培训1次，按计划分2批次参加了民兵军事训练，参训率达100%。按照训练大纲分类进行专业考核，参训民兵考核率达100%。</w:t>
      </w:r>
    </w:p>
    <w:p>
      <w:pPr>
        <w:adjustRightInd w:val="0"/>
        <w:snapToGrid w:val="0"/>
        <w:spacing w:line="560" w:lineRule="exact"/>
        <w:ind w:firstLine="640" w:firstLineChars="200"/>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zh-CN" w:eastAsia="zh-CN"/>
        </w:rPr>
        <w:t>征兵政考。认真按照上级关于应征青年政治考核的有关规定搞好政考工作，落实征兵工作责任制，严把文化关、年龄关和病史调查关，政考合格率达100%。按要求进行政治考核，规范填写政治考核表。根据市征兵办下达的任务数，严格按照送检要求，足额送检，完成任务率达100%，为国家输送优质兵员。</w:t>
      </w:r>
    </w:p>
    <w:p>
      <w:pPr>
        <w:pStyle w:val="2"/>
        <w:jc w:val="both"/>
        <w:rPr>
          <w:rFonts w:hint="default"/>
          <w:lang w:val="en-US" w:eastAsia="zh-CN"/>
        </w:rPr>
      </w:pPr>
      <w:r>
        <w:rPr>
          <w:rFonts w:hint="eastAsia" w:ascii="仿宋_GB2312" w:hAnsi="仿宋_GB2312" w:eastAsia="仿宋_GB2312" w:cs="仿宋_GB2312"/>
          <w:b w:val="0"/>
          <w:bCs w:val="0"/>
          <w:sz w:val="32"/>
          <w:szCs w:val="32"/>
          <w:lang w:val="en-US" w:eastAsia="zh-CN"/>
        </w:rPr>
        <w:t xml:space="preserve">    （5）组织民兵在疫情期间在各村主要村道进行体温检测、入户宣传疫情知识等，组织民兵25人对夹江县“8.18”受灾进行救援，完成任务较好；共抽调干部与民兵预备役人员300余人分6次参与景区违建整治工作，随时抽调人员参与集中攻坚，落实人员负责蹲点驻守，其中一次共计50人的干部与民兵预备役人员中蹲点驻守13天。</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五、评价结论及建议</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（一）存在的问题</w:t>
      </w:r>
    </w:p>
    <w:p>
      <w:pPr>
        <w:numPr>
          <w:ilvl w:val="0"/>
          <w:numId w:val="0"/>
        </w:numPr>
        <w:adjustRightInd w:val="0"/>
        <w:snapToGrid w:val="0"/>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年轻人吃苦能力和承压能力不强。</w:t>
      </w:r>
    </w:p>
    <w:p>
      <w:pPr>
        <w:numPr>
          <w:ilvl w:val="0"/>
          <w:numId w:val="0"/>
        </w:numPr>
        <w:adjustRightInd w:val="0"/>
        <w:snapToGrid w:val="0"/>
        <w:spacing w:line="560" w:lineRule="exact"/>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US" w:eastAsia="zh-CN"/>
        </w:rPr>
        <w:t>相关建议</w:t>
      </w:r>
    </w:p>
    <w:p>
      <w:pPr>
        <w:numPr>
          <w:numId w:val="0"/>
        </w:num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民兵思想教育、军事训练、组织整顿、征兵工作等大项工作中发挥优点克服不足，争取更大的进步。</w:t>
      </w:r>
    </w:p>
    <w:p>
      <w:pPr>
        <w:pStyle w:val="2"/>
        <w:rPr>
          <w:rFonts w:hint="eastAsia"/>
          <w:lang w:val="en-US" w:eastAsia="zh-CN"/>
        </w:rPr>
      </w:pPr>
    </w:p>
    <w:p>
      <w:pPr>
        <w:rPr>
          <w:rFonts w:hint="eastAsia"/>
          <w:lang w:val="en-US" w:eastAsia="zh-CN"/>
        </w:rPr>
      </w:pPr>
    </w:p>
    <w:p>
      <w:pPr>
        <w:pStyle w:val="35"/>
        <w:spacing w:line="240" w:lineRule="auto"/>
        <w:jc w:val="center"/>
        <w:rPr>
          <w:rFonts w:hint="eastAsia" w:ascii="方正小标宋_GBK" w:hAnsi="方正小标宋_GBK" w:eastAsia="方正小标宋_GBK" w:cs="方正小标宋_GBK"/>
          <w:b/>
          <w:sz w:val="44"/>
          <w:szCs w:val="44"/>
          <w:lang w:val="en-US" w:eastAsia="zh-CN"/>
        </w:rPr>
      </w:pPr>
      <w:r>
        <w:rPr>
          <w:rFonts w:hint="eastAsia" w:ascii="方正小标宋_GBK" w:hAnsi="方正小标宋_GBK" w:eastAsia="方正小标宋_GBK" w:cs="方正小标宋_GBK"/>
          <w:b/>
          <w:sz w:val="44"/>
          <w:szCs w:val="44"/>
          <w:lang w:val="en-US" w:eastAsia="zh-CN"/>
        </w:rPr>
        <w:t>安全监管（含道路交通）经费2020年</w:t>
      </w:r>
    </w:p>
    <w:p>
      <w:pPr>
        <w:pStyle w:val="35"/>
        <w:spacing w:line="240" w:lineRule="auto"/>
        <w:jc w:val="center"/>
        <w:rPr>
          <w:rFonts w:hint="eastAsia" w:ascii="方正小标宋_GBK" w:hAnsi="方正小标宋_GBK" w:eastAsia="方正小标宋_GBK" w:cs="方正小标宋_GBK"/>
          <w:color w:val="auto"/>
          <w:kern w:val="2"/>
          <w:sz w:val="44"/>
          <w:szCs w:val="44"/>
        </w:rPr>
      </w:pPr>
      <w:r>
        <w:rPr>
          <w:rFonts w:hint="eastAsia" w:ascii="方正小标宋_GBK" w:hAnsi="方正小标宋_GBK" w:eastAsia="方正小标宋_GBK" w:cs="方正小标宋_GBK"/>
          <w:b/>
          <w:sz w:val="44"/>
          <w:szCs w:val="44"/>
        </w:rPr>
        <w:t>绩效</w:t>
      </w:r>
      <w:r>
        <w:rPr>
          <w:rFonts w:hint="eastAsia" w:ascii="方正小标宋_GBK" w:hAnsi="方正小标宋_GBK" w:eastAsia="方正小标宋_GBK" w:cs="方正小标宋_GBK"/>
          <w:b/>
          <w:sz w:val="44"/>
          <w:szCs w:val="44"/>
          <w:lang w:eastAsia="zh-CN"/>
        </w:rPr>
        <w:t>评价</w:t>
      </w:r>
      <w:r>
        <w:rPr>
          <w:rFonts w:hint="eastAsia" w:ascii="方正小标宋_GBK" w:hAnsi="方正小标宋_GBK" w:eastAsia="方正小标宋_GBK" w:cs="方正小标宋_GBK"/>
          <w:b/>
          <w:sz w:val="44"/>
          <w:szCs w:val="44"/>
        </w:rPr>
        <w:t>报告</w:t>
      </w:r>
    </w:p>
    <w:p>
      <w:pPr>
        <w:adjustRightInd w:val="0"/>
        <w:snapToGrid w:val="0"/>
        <w:spacing w:line="560" w:lineRule="exact"/>
        <w:ind w:firstLine="1320" w:firstLineChars="300"/>
        <w:rPr>
          <w:rFonts w:hint="eastAsia" w:ascii="黑体" w:hAnsi="宋体" w:eastAsia="黑体"/>
          <w:sz w:val="44"/>
          <w:szCs w:val="44"/>
        </w:rPr>
      </w:pPr>
    </w:p>
    <w:p>
      <w:pPr>
        <w:adjustRightInd w:val="0"/>
        <w:snapToGrid w:val="0"/>
        <w:spacing w:line="560" w:lineRule="exact"/>
        <w:ind w:firstLine="960" w:firstLineChars="300"/>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adjustRightInd w:val="0"/>
        <w:snapToGrid w:val="0"/>
        <w:spacing w:line="560" w:lineRule="exact"/>
        <w:ind w:firstLine="72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1、乡镇安全生产工作关系到广大人民群众的生命和财产安全，是一项尤其重要的基层社会管理工作，生产领域涉及道路交通、烟花爆竹、各生产企业、建筑施工企业及相关单位，点多面广，安全问题直接影响整个乡镇社会稳定大局。</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年年初我镇按严格预算编制要求，对</w:t>
      </w:r>
      <w:r>
        <w:rPr>
          <w:rFonts w:hint="eastAsia" w:ascii="仿宋_GB2312" w:hAnsi="仿宋_GB2312" w:eastAsia="仿宋_GB2312" w:cs="仿宋_GB2312"/>
          <w:sz w:val="32"/>
          <w:szCs w:val="32"/>
          <w:lang w:val="zh-CN" w:eastAsia="zh-CN"/>
        </w:rPr>
        <w:t>安全监管（含道路交通）经费</w:t>
      </w:r>
      <w:r>
        <w:rPr>
          <w:rFonts w:hint="eastAsia" w:ascii="仿宋_GB2312" w:hAnsi="仿宋_GB2312" w:eastAsia="仿宋_GB2312" w:cs="仿宋_GB2312"/>
          <w:sz w:val="32"/>
          <w:szCs w:val="32"/>
          <w:lang w:val="zh-CN"/>
        </w:rPr>
        <w:t>进行预算编制，经市政府同意，报峨眉山市人民代表大会会议批准通过。</w:t>
      </w:r>
    </w:p>
    <w:p>
      <w:pPr>
        <w:adjustRightInd w:val="0"/>
        <w:snapToGrid w:val="0"/>
        <w:spacing w:line="560" w:lineRule="exact"/>
        <w:ind w:firstLine="640" w:firstLineChars="200"/>
        <w:rPr>
          <w:rFonts w:hint="eastAsia" w:ascii="楷体_GB2312" w:hAnsi="楷体_GB2312" w:eastAsia="楷体_GB2312" w:cs="楷体_GB2312"/>
          <w:b w:val="0"/>
          <w:bCs w:val="0"/>
          <w:sz w:val="32"/>
          <w:szCs w:val="32"/>
          <w:lang w:val="zh-CN" w:eastAsia="zh-CN"/>
        </w:rPr>
      </w:pPr>
      <w:r>
        <w:rPr>
          <w:rFonts w:hint="eastAsia" w:ascii="楷体_GB2312" w:hAnsi="楷体_GB2312" w:eastAsia="楷体_GB2312" w:cs="楷体_GB2312"/>
          <w:b w:val="0"/>
          <w:bCs w:val="0"/>
          <w:sz w:val="32"/>
          <w:szCs w:val="32"/>
          <w:lang w:val="zh-CN"/>
        </w:rPr>
        <w:t>（二）</w:t>
      </w:r>
      <w:r>
        <w:rPr>
          <w:rFonts w:hint="eastAsia" w:ascii="楷体_GB2312" w:hAnsi="楷体_GB2312" w:eastAsia="楷体_GB2312" w:cs="楷体_GB2312"/>
          <w:b w:val="0"/>
          <w:bCs w:val="0"/>
          <w:sz w:val="32"/>
          <w:szCs w:val="32"/>
          <w:lang w:val="zh-CN" w:eastAsia="zh-CN"/>
        </w:rPr>
        <w:t>项目绩效目标</w:t>
      </w:r>
    </w:p>
    <w:p>
      <w:pPr>
        <w:numPr>
          <w:ilvl w:val="0"/>
          <w:numId w:val="0"/>
        </w:numPr>
        <w:adjustRightInd w:val="0"/>
        <w:snapToGrid w:val="0"/>
        <w:spacing w:line="560" w:lineRule="exact"/>
        <w:ind w:firstLine="960" w:firstLineChars="3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项目主要目标：组织干部群众学习安全生产法律、法规和安全知识，努力增强全民安全意识，加强安全生产管理，落实安全生产责任，真正做到”安全生产，人人有责”，减少安全事故，以人为本，保障劳动者的生命安全和职业健康，促进经济建设的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通过预算编制，规划绩效目标：（</w:t>
      </w:r>
      <w:r>
        <w:rPr>
          <w:rFonts w:hint="eastAsia" w:ascii="仿宋_GB2312" w:hAnsi="仿宋_GB2312" w:eastAsia="仿宋_GB2312" w:cs="仿宋_GB2312"/>
          <w:sz w:val="32"/>
          <w:szCs w:val="32"/>
          <w:lang w:val="en-US" w:eastAsia="zh-CN"/>
        </w:rPr>
        <w:t>1）、做好疫情防控工作，引导企业复工复产；（2）、</w:t>
      </w:r>
      <w:r>
        <w:rPr>
          <w:rFonts w:hint="eastAsia" w:ascii="仿宋_GB2312" w:hAnsi="仿宋_GB2312" w:eastAsia="仿宋_GB2312" w:cs="仿宋_GB2312"/>
          <w:sz w:val="32"/>
          <w:szCs w:val="32"/>
          <w:lang w:eastAsia="zh-CN"/>
        </w:rPr>
        <w:t>稳步推进安全生产清单制定工作</w:t>
      </w:r>
      <w:r>
        <w:rPr>
          <w:rFonts w:hint="eastAsia" w:ascii="仿宋_GB2312" w:hAnsi="仿宋_GB2312" w:eastAsia="仿宋_GB2312" w:cs="仿宋_GB2312"/>
          <w:sz w:val="32"/>
          <w:szCs w:val="32"/>
          <w:lang w:val="en-US" w:eastAsia="zh-CN"/>
        </w:rPr>
        <w:t>；（3）、全面开展</w:t>
      </w:r>
      <w:r>
        <w:rPr>
          <w:rFonts w:hint="eastAsia" w:ascii="仿宋_GB2312" w:hAnsi="黑体" w:eastAsia="仿宋_GB2312"/>
          <w:sz w:val="32"/>
          <w:szCs w:val="32"/>
          <w:lang w:eastAsia="zh-CN"/>
        </w:rPr>
        <w:t>安全生产专项整治三年行动、</w:t>
      </w:r>
      <w:r>
        <w:rPr>
          <w:rFonts w:hint="eastAsia" w:ascii="仿宋_GB2312" w:hAnsi="仿宋_GB2312" w:eastAsia="仿宋_GB2312" w:cs="仿宋_GB2312"/>
          <w:sz w:val="32"/>
          <w:szCs w:val="32"/>
          <w:lang w:eastAsia="zh-CN"/>
        </w:rPr>
        <w:t>排险除患专项行动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（4）组织开展安全生产宣传教育；（5）积极履行消防安全监管职责；（6）</w:t>
      </w:r>
      <w:r>
        <w:rPr>
          <w:rFonts w:hint="eastAsia" w:ascii="仿宋_GB2312" w:hAnsi="仿宋_GB2312" w:eastAsia="仿宋_GB2312" w:cs="仿宋_GB2312"/>
          <w:sz w:val="32"/>
          <w:szCs w:val="32"/>
          <w:lang w:val="en-US" w:eastAsia="zh-CN"/>
        </w:rPr>
        <w:t>修订《符溪镇总体应急预案》。</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3、安全监管（含道路交通）经费</w:t>
      </w:r>
      <w:r>
        <w:rPr>
          <w:rFonts w:hint="eastAsia" w:ascii="仿宋_GB2312" w:hAnsi="仿宋_GB2312" w:eastAsia="仿宋_GB2312" w:cs="仿宋_GB2312"/>
          <w:sz w:val="32"/>
          <w:szCs w:val="32"/>
          <w:lang w:val="zh-CN"/>
        </w:rPr>
        <w:t>服务当地人民群众生命财产安全，申报内容与实际相符，申报目标合理。</w:t>
      </w:r>
    </w:p>
    <w:p>
      <w:pPr>
        <w:adjustRightInd w:val="0"/>
        <w:snapToGrid w:val="0"/>
        <w:spacing w:line="56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二、项目资金申报及使用情况</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1、资金到位。</w:t>
      </w:r>
      <w:r>
        <w:rPr>
          <w:rFonts w:hint="eastAsia" w:ascii="仿宋_GB2312" w:hAnsi="仿宋_GB2312" w:eastAsia="仿宋_GB2312" w:cs="仿宋_GB2312"/>
          <w:sz w:val="32"/>
          <w:szCs w:val="32"/>
          <w:lang w:val="en-US" w:eastAsia="zh-CN"/>
        </w:rPr>
        <w:t>安全监管（含道路交通）经费</w:t>
      </w:r>
      <w:r>
        <w:rPr>
          <w:rFonts w:hint="eastAsia" w:ascii="仿宋_GB2312" w:hAnsi="仿宋_GB2312" w:eastAsia="仿宋_GB2312" w:cs="仿宋_GB2312"/>
          <w:sz w:val="32"/>
          <w:szCs w:val="32"/>
          <w:lang w:val="zh-CN" w:eastAsia="zh-CN"/>
        </w:rPr>
        <w:t>财政拨款</w:t>
      </w:r>
      <w:r>
        <w:rPr>
          <w:rFonts w:hint="eastAsia" w:ascii="仿宋_GB2312" w:hAnsi="仿宋_GB2312" w:eastAsia="仿宋_GB2312" w:cs="仿宋_GB2312"/>
          <w:sz w:val="32"/>
          <w:szCs w:val="32"/>
          <w:lang w:val="en-US" w:eastAsia="zh-CN"/>
        </w:rPr>
        <w:t>2020年预算20.00万元，属本级人民政府预算专项资金，经市人代会会议结束后到位。</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2、资金使用。</w:t>
      </w:r>
      <w:r>
        <w:rPr>
          <w:rFonts w:hint="eastAsia" w:ascii="仿宋_GB2312" w:hAnsi="仿宋_GB2312" w:eastAsia="仿宋_GB2312" w:cs="仿宋_GB2312"/>
          <w:sz w:val="32"/>
          <w:szCs w:val="32"/>
          <w:lang w:val="en-US" w:eastAsia="zh-CN"/>
        </w:rPr>
        <w:t>我镇安全监管（含道路交通）经费经费使用20.00万元，使用率100%，用于森林防火应急演练、春节巡逻人员误工、集镇井盖道路维修、安全生产宣传、抗灾救险等。</w:t>
      </w:r>
      <w:r>
        <w:rPr>
          <w:rFonts w:hint="eastAsia" w:ascii="仿宋_GB2312" w:hAnsi="仿宋_GB2312" w:eastAsia="仿宋_GB2312" w:cs="仿宋_GB2312"/>
          <w:sz w:val="32"/>
          <w:szCs w:val="32"/>
          <w:lang w:eastAsia="zh-CN"/>
        </w:rPr>
        <w:t>会计核算、现金管理、转账支付等均按规章制度执行，做到专款专用，资金支付依据齐全、开支标准合理合法、专项资金专项管理、专项使用，年初的绩效目标也基本完成。</w:t>
      </w:r>
    </w:p>
    <w:p>
      <w:pPr>
        <w:adjustRightInd w:val="0"/>
        <w:snapToGrid w:val="0"/>
        <w:spacing w:line="56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val="zh-CN" w:eastAsia="zh-CN"/>
        </w:rPr>
        <w:t>项目财务管理情况。</w:t>
      </w:r>
      <w:r>
        <w:rPr>
          <w:rFonts w:hint="eastAsia" w:ascii="仿宋_GB2312" w:hAnsi="仿宋_GB2312" w:eastAsia="仿宋_GB2312" w:cs="仿宋_GB2312"/>
          <w:sz w:val="32"/>
          <w:szCs w:val="32"/>
          <w:lang w:val="zh-CN" w:eastAsia="zh-CN"/>
        </w:rPr>
        <w:t>财务管理制度健全，严格执行财管管理制度，账务处理及时，会计核算规范。</w:t>
      </w:r>
    </w:p>
    <w:p>
      <w:pPr>
        <w:adjustRightInd w:val="0"/>
        <w:snapToGrid w:val="0"/>
        <w:spacing w:line="56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三、项目实施及管理情况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做好疫情防控工作，引导企业复工复产</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督促指导辖区企业做好疫情防控和安全管控工作。根据疫情防控工作要求，制定《关于做好节后企业复工相关工作的紧急通知》（符府发〔2020〕3号），指导辖区企业有序做好疫情应对和防控工作，落实疫情防控、安全管控责任。定期现场检查企业落实疫情防控、安全管控责任情况，做到疫情防控、复工复产、安全生产“三手抓、三不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lang w:eastAsia="zh-CN"/>
        </w:rPr>
        <w:t>稳步推进安全生产清单制定工作。</w:t>
      </w:r>
      <w:r>
        <w:rPr>
          <w:rFonts w:hint="eastAsia" w:ascii="仿宋_GB2312" w:hAnsi="仿宋_GB2312" w:eastAsia="仿宋_GB2312" w:cs="仿宋_GB2312"/>
          <w:i w:val="0"/>
          <w:caps w:val="0"/>
          <w:color w:val="000000"/>
          <w:spacing w:val="0"/>
          <w:sz w:val="32"/>
          <w:szCs w:val="32"/>
          <w:u w:val="none"/>
          <w:lang w:eastAsia="zh-CN"/>
        </w:rPr>
        <w:t>将安全生产清单制管理工作主动抓、重点抓，</w:t>
      </w:r>
      <w:r>
        <w:rPr>
          <w:rFonts w:hint="eastAsia" w:ascii="仿宋_GB2312" w:hAnsi="仿宋_GB2312" w:eastAsia="仿宋_GB2312" w:cs="仿宋_GB2312"/>
          <w:i w:val="0"/>
          <w:caps w:val="0"/>
          <w:color w:val="000000"/>
          <w:spacing w:val="0"/>
          <w:sz w:val="32"/>
          <w:szCs w:val="32"/>
          <w:u w:val="none"/>
          <w:lang w:val="en-US" w:eastAsia="zh-CN"/>
        </w:rPr>
        <w:t xml:space="preserve">制定《符溪镇安全生产清单制管理工作方案》（符府发〔2020〕26号）， </w:t>
      </w:r>
      <w:r>
        <w:rPr>
          <w:rFonts w:hint="eastAsia" w:ascii="仿宋_GB2312" w:hAnsi="仿宋_GB2312" w:eastAsia="仿宋_GB2312" w:cs="仿宋_GB2312"/>
          <w:i w:val="0"/>
          <w:caps w:val="0"/>
          <w:color w:val="000000"/>
          <w:spacing w:val="0"/>
          <w:sz w:val="32"/>
          <w:szCs w:val="32"/>
          <w:u w:val="none"/>
          <w:lang w:eastAsia="zh-CN"/>
        </w:rPr>
        <w:t>逐层逐级开展安全生产职责梳理，指导督促企业开展风险动态摸排，落实精准管控。</w:t>
      </w:r>
      <w:r>
        <w:rPr>
          <w:rFonts w:hint="eastAsia" w:ascii="仿宋_GB2312" w:hAnsi="仿宋_GB2312" w:eastAsia="仿宋_GB2312" w:cs="仿宋_GB2312"/>
          <w:sz w:val="32"/>
          <w:szCs w:val="32"/>
          <w:lang w:eastAsia="zh-CN"/>
        </w:rPr>
        <w:t>专题召开党委会和学习培训会，认真学习党委政府属地安全生产领导责任制清单参考模板，并结合实际情况以及主要领导及班子成员反复讨论，制定</w:t>
      </w:r>
      <w:r>
        <w:rPr>
          <w:rFonts w:hint="eastAsia" w:ascii="仿宋_GB2312" w:hAnsi="仿宋_GB2312" w:eastAsia="仿宋_GB2312" w:cs="仿宋_GB2312"/>
          <w:color w:val="auto"/>
          <w:sz w:val="32"/>
          <w:szCs w:val="32"/>
        </w:rPr>
        <w:t>《符溪镇党委、政府领导安全生产职责清单》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符委发〔2020〕</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落实领导责任、部门、每一个责任人安全监管责任清单</w:t>
      </w:r>
      <w:r>
        <w:rPr>
          <w:rFonts w:hint="eastAsia" w:ascii="仿宋_GB2312" w:hAnsi="仿宋_GB2312" w:eastAsia="仿宋_GB2312" w:cs="仿宋_GB2312"/>
          <w:i w:val="0"/>
          <w:caps w:val="0"/>
          <w:color w:val="000000"/>
          <w:spacing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sz w:val="32"/>
          <w:szCs w:val="32"/>
          <w:lang w:val="en-US" w:eastAsia="zh-CN"/>
        </w:rPr>
        <w:t>3.全面开展</w:t>
      </w:r>
      <w:r>
        <w:rPr>
          <w:rFonts w:hint="eastAsia" w:ascii="仿宋_GB2312" w:hAnsi="黑体" w:eastAsia="仿宋_GB2312"/>
          <w:sz w:val="32"/>
          <w:szCs w:val="32"/>
          <w:lang w:eastAsia="zh-CN"/>
        </w:rPr>
        <w:t>安全生产专项整治三年行动、</w:t>
      </w:r>
      <w:r>
        <w:rPr>
          <w:rFonts w:hint="eastAsia" w:ascii="仿宋_GB2312" w:hAnsi="仿宋_GB2312" w:eastAsia="仿宋_GB2312" w:cs="仿宋_GB2312"/>
          <w:sz w:val="32"/>
          <w:szCs w:val="32"/>
          <w:lang w:eastAsia="zh-CN"/>
        </w:rPr>
        <w:t>排险除患专项行动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制定并印发《符溪镇安全生产专项整治三年行动计划》（</w:t>
      </w:r>
      <w:r>
        <w:rPr>
          <w:rFonts w:hint="eastAsia" w:ascii="仿宋_GB2312" w:eastAsia="仿宋_GB2312"/>
          <w:sz w:val="32"/>
          <w:szCs w:val="32"/>
        </w:rPr>
        <w:t>符委发</w:t>
      </w:r>
      <w:r>
        <w:rPr>
          <w:rFonts w:hint="eastAsia" w:ascii="仿宋_GB2312" w:hAnsi="Arial Unicode MS" w:eastAsia="仿宋_GB2312" w:cs="Arial Unicode MS"/>
          <w:sz w:val="32"/>
          <w:szCs w:val="32"/>
        </w:rPr>
        <w:t>〔20</w:t>
      </w:r>
      <w:r>
        <w:rPr>
          <w:rFonts w:hint="eastAsia" w:ascii="仿宋_GB2312" w:hAnsi="Arial Unicode MS" w:eastAsia="仿宋_GB2312" w:cs="Arial Unicode MS"/>
          <w:sz w:val="32"/>
          <w:szCs w:val="32"/>
          <w:lang w:val="en-US" w:eastAsia="zh-CN"/>
        </w:rPr>
        <w:t>20</w:t>
      </w:r>
      <w:r>
        <w:rPr>
          <w:rFonts w:hint="eastAsia" w:ascii="仿宋_GB2312" w:hAnsi="Arial Unicode MS" w:eastAsia="仿宋_GB2312" w:cs="Arial Unicode MS"/>
          <w:sz w:val="32"/>
          <w:szCs w:val="32"/>
        </w:rPr>
        <w:t>〕</w:t>
      </w:r>
      <w:r>
        <w:rPr>
          <w:rFonts w:hint="eastAsia" w:ascii="仿宋_GB2312" w:hAnsi="Arial Unicode MS" w:eastAsia="仿宋_GB2312" w:cs="Arial Unicode MS"/>
          <w:sz w:val="32"/>
          <w:szCs w:val="32"/>
          <w:lang w:val="en-US" w:eastAsia="zh-CN"/>
        </w:rPr>
        <w:t>34</w:t>
      </w:r>
      <w:r>
        <w:rPr>
          <w:rFonts w:hint="eastAsia" w:ascii="仿宋_GB2312" w:hAnsi="Arial Unicode MS" w:eastAsia="仿宋_GB2312" w:cs="Arial Unicode MS"/>
          <w:sz w:val="32"/>
          <w:szCs w:val="32"/>
        </w:rPr>
        <w:t>号</w:t>
      </w:r>
      <w:r>
        <w:rPr>
          <w:rFonts w:hint="eastAsia" w:ascii="仿宋_GB2312" w:hAnsi="仿宋_GB2312" w:eastAsia="仿宋_GB2312" w:cs="仿宋_GB2312"/>
          <w:sz w:val="32"/>
          <w:szCs w:val="32"/>
          <w:lang w:eastAsia="zh-CN"/>
        </w:rPr>
        <w:t>）、《符溪镇安全生产“排险除患”集中整治工作方案》（符府发〔20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号），紧紧围绕“风险辨识管控+隐患排查整治”两大核心任务，</w:t>
      </w:r>
      <w:r>
        <w:rPr>
          <w:rFonts w:hint="eastAsia" w:ascii="仿宋_GB2312" w:hAnsi="仿宋_GB2312" w:eastAsia="仿宋_GB2312" w:cs="仿宋_GB2312"/>
          <w:i w:val="0"/>
          <w:caps w:val="0"/>
          <w:color w:val="333333"/>
          <w:spacing w:val="0"/>
          <w:sz w:val="32"/>
          <w:szCs w:val="32"/>
          <w:shd w:val="clear" w:fill="FFFFFF"/>
          <w:lang w:eastAsia="zh-CN"/>
        </w:rPr>
        <w:t>围绕我镇三年专项整治方案中的</w:t>
      </w:r>
      <w:r>
        <w:rPr>
          <w:rFonts w:hint="eastAsia" w:ascii="仿宋_GB2312" w:hAnsi="仿宋_GB2312" w:eastAsia="仿宋_GB2312" w:cs="仿宋_GB2312"/>
          <w:i w:val="0"/>
          <w:caps w:val="0"/>
          <w:color w:val="333333"/>
          <w:spacing w:val="0"/>
          <w:sz w:val="32"/>
          <w:szCs w:val="32"/>
          <w:shd w:val="clear" w:fill="FFFFFF"/>
          <w:lang w:val="en-US" w:eastAsia="zh-CN"/>
        </w:rPr>
        <w:t>11个整治内容，突出抓好消防、危险化学品、道路交通、建筑施工、工贸企业等风险领域隐患排查整治工作。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开展安全生产宣传教育，开展以“消除事故隐患，筑牢安全防线”为主题的安全生产月宣传活动，以深入学习贯彻习近平总书记关于应急管理和安全生产重要论述、安全生产警示教育、应急安全知识应知应会测试、“赶场”宣传教育、安全宣传“五进”等活动，进一步提升了广大群众的安全意识，在全镇营造全民关注安全的浓厚氛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修订《符溪镇总体应急预案》（符府发〔2020〕19号）、《符溪镇2020年度安全生产工作应急预案》（符府发〔2020〕20号）、《2020年突发性地质灾害应急预案》（符府发〔2020〕16号）、《符溪镇2020年防汛工作预案》（符府发〔2020〕12号）《符溪镇2020年度森林防火应急预案》等应急预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6.积极履行消防安全监管职责，完成市政府、安委会下达的消防安全专项任务，全年未发生较大及以上火灾事故。</w:t>
      </w:r>
      <w:r>
        <w:rPr>
          <w:rFonts w:hint="eastAsia" w:ascii="仿宋_GB2312" w:hAnsi="仿宋_GB2312" w:eastAsia="仿宋_GB2312" w:cs="仿宋_GB2312"/>
          <w:i w:val="0"/>
          <w:caps w:val="0"/>
          <w:color w:val="000000"/>
          <w:spacing w:val="0"/>
          <w:sz w:val="32"/>
          <w:szCs w:val="32"/>
          <w:u w:val="none"/>
          <w:lang w:val="en-US" w:eastAsia="zh-CN"/>
        </w:rPr>
        <w:t>组织派出所、供电所、燃气公司、径山社区等相关单位以集镇消防安全为重点，对集镇</w:t>
      </w:r>
      <w:r>
        <w:rPr>
          <w:rFonts w:hint="eastAsia" w:ascii="仿宋_GB2312" w:hAnsi="仿宋_GB2312" w:eastAsia="仿宋_GB2312" w:cs="仿宋_GB2312"/>
          <w:sz w:val="32"/>
          <w:szCs w:val="32"/>
          <w:lang w:val="en-US" w:eastAsia="zh-CN"/>
        </w:rPr>
        <w:t>老旧房屋区域开展了消防安全大检查。</w:t>
      </w:r>
    </w:p>
    <w:p>
      <w:pPr>
        <w:adjustRightInd w:val="0"/>
        <w:snapToGrid w:val="0"/>
        <w:spacing w:line="56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四、项目绩效目标</w:t>
      </w:r>
    </w:p>
    <w:p>
      <w:pPr>
        <w:numPr>
          <w:ilvl w:val="0"/>
          <w:numId w:val="0"/>
        </w:num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做好疫情防控工作，引导企业复工复产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截至目前，全镇15家规模以上工业企业以及辖区内规下企业均复工复产。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稳步推进安全生产清单制定工作。强化统筹安排，配合各行业主管部门指导各企业制定清单，全镇金威利、龙马木业、伊心动漫、正宇塑业等规上企业已基本完成制定工作，并持续修订完善。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3.全面开展</w:t>
      </w:r>
      <w:r>
        <w:rPr>
          <w:rFonts w:hint="eastAsia" w:ascii="仿宋_GB2312" w:hAnsi="黑体" w:eastAsia="仿宋_GB2312"/>
          <w:sz w:val="32"/>
          <w:szCs w:val="32"/>
          <w:lang w:eastAsia="zh-CN"/>
        </w:rPr>
        <w:t>安全生产专项整治三年行动、</w:t>
      </w:r>
      <w:r>
        <w:rPr>
          <w:rFonts w:hint="eastAsia" w:ascii="仿宋_GB2312" w:hAnsi="仿宋_GB2312" w:eastAsia="仿宋_GB2312" w:cs="仿宋_GB2312"/>
          <w:sz w:val="32"/>
          <w:szCs w:val="32"/>
          <w:lang w:eastAsia="zh-CN"/>
        </w:rPr>
        <w:t>排险除患专项行动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制定并印发《符溪镇安全生产专项整治三年行动计划》（</w:t>
      </w:r>
      <w:r>
        <w:rPr>
          <w:rFonts w:hint="eastAsia" w:ascii="仿宋_GB2312" w:eastAsia="仿宋_GB2312"/>
          <w:sz w:val="32"/>
          <w:szCs w:val="32"/>
        </w:rPr>
        <w:t>符委发</w:t>
      </w:r>
      <w:r>
        <w:rPr>
          <w:rFonts w:hint="eastAsia" w:ascii="仿宋_GB2312" w:hAnsi="Arial Unicode MS" w:eastAsia="仿宋_GB2312" w:cs="Arial Unicode MS"/>
          <w:sz w:val="32"/>
          <w:szCs w:val="32"/>
        </w:rPr>
        <w:t>〔20</w:t>
      </w:r>
      <w:r>
        <w:rPr>
          <w:rFonts w:hint="eastAsia" w:ascii="仿宋_GB2312" w:hAnsi="Arial Unicode MS" w:eastAsia="仿宋_GB2312" w:cs="Arial Unicode MS"/>
          <w:sz w:val="32"/>
          <w:szCs w:val="32"/>
          <w:lang w:val="en-US" w:eastAsia="zh-CN"/>
        </w:rPr>
        <w:t>20</w:t>
      </w:r>
      <w:r>
        <w:rPr>
          <w:rFonts w:hint="eastAsia" w:ascii="仿宋_GB2312" w:hAnsi="Arial Unicode MS" w:eastAsia="仿宋_GB2312" w:cs="Arial Unicode MS"/>
          <w:sz w:val="32"/>
          <w:szCs w:val="32"/>
        </w:rPr>
        <w:t>〕</w:t>
      </w:r>
      <w:r>
        <w:rPr>
          <w:rFonts w:hint="eastAsia" w:ascii="仿宋_GB2312" w:hAnsi="Arial Unicode MS" w:eastAsia="仿宋_GB2312" w:cs="Arial Unicode MS"/>
          <w:sz w:val="32"/>
          <w:szCs w:val="32"/>
          <w:lang w:val="en-US" w:eastAsia="zh-CN"/>
        </w:rPr>
        <w:t>34</w:t>
      </w:r>
      <w:r>
        <w:rPr>
          <w:rFonts w:hint="eastAsia" w:ascii="仿宋_GB2312" w:hAnsi="Arial Unicode MS" w:eastAsia="仿宋_GB2312" w:cs="Arial Unicode MS"/>
          <w:sz w:val="32"/>
          <w:szCs w:val="32"/>
        </w:rPr>
        <w:t>号</w:t>
      </w:r>
      <w:r>
        <w:rPr>
          <w:rFonts w:hint="eastAsia" w:ascii="仿宋_GB2312" w:hAnsi="仿宋_GB2312" w:eastAsia="仿宋_GB2312" w:cs="仿宋_GB2312"/>
          <w:sz w:val="32"/>
          <w:szCs w:val="32"/>
          <w:lang w:eastAsia="zh-CN"/>
        </w:rPr>
        <w:t>）、《符溪镇安全生产“排险除患”集中整治工作方案》（符府发〔20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号）。共</w:t>
      </w:r>
      <w:r>
        <w:rPr>
          <w:rFonts w:hint="eastAsia" w:ascii="仿宋_GB2312" w:hAnsi="仿宋_GB2312" w:eastAsia="仿宋_GB2312" w:cs="仿宋_GB2312"/>
          <w:sz w:val="32"/>
          <w:szCs w:val="32"/>
          <w:lang w:val="en-US" w:eastAsia="zh-CN"/>
        </w:rPr>
        <w:t>检查32家企事业单位，排查各类隐84条，整改率100%。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开展安全生产宣传教育，开展以“消除事故隐患，筑牢安全防线”为主题的安全生产月宣传活动，以深入学习贯彻习近平总书记关于应急管理和安全生产重要论述、安全生产警示教育、应急安全知识应知应会测试、“赶场”宣传教育、安全宣传“五进”等活动，进一步提升了广大群众的安全意识，在全镇营造全民关注安全的浓厚氛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5.修订《符溪镇总体应急预案》（符府发〔2020〕19号）、2020年4月20日，在丰收村模拟现场开展了防汛地灾综合应急演练。开展应急宣教培训1次，镇、村（社区）上成立10支应急队伍，应急物资储备齐全。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6.积极履行消防安全监管职责，</w:t>
      </w:r>
      <w:r>
        <w:rPr>
          <w:rFonts w:hint="eastAsia" w:ascii="仿宋_GB2312" w:hAnsi="仿宋_GB2312" w:eastAsia="仿宋_GB2312" w:cs="仿宋_GB2312"/>
          <w:i w:val="0"/>
          <w:caps w:val="0"/>
          <w:color w:val="000000"/>
          <w:spacing w:val="0"/>
          <w:sz w:val="32"/>
          <w:szCs w:val="32"/>
          <w:u w:val="none"/>
          <w:lang w:val="en-US" w:eastAsia="zh-CN"/>
        </w:rPr>
        <w:t>对集镇</w:t>
      </w:r>
      <w:r>
        <w:rPr>
          <w:rFonts w:hint="eastAsia" w:ascii="仿宋_GB2312" w:hAnsi="仿宋_GB2312" w:eastAsia="仿宋_GB2312" w:cs="仿宋_GB2312"/>
          <w:sz w:val="32"/>
          <w:szCs w:val="32"/>
          <w:lang w:val="en-US" w:eastAsia="zh-CN"/>
        </w:rPr>
        <w:t>老旧房屋区域开展了消防安全大检查，并对排查的安全隐患进行了整改，增配20个灭火器，确保辖区消防安全。</w:t>
      </w:r>
    </w:p>
    <w:p>
      <w:pPr>
        <w:numPr>
          <w:ilvl w:val="0"/>
          <w:numId w:val="0"/>
        </w:numPr>
        <w:adjustRightInd w:val="0"/>
        <w:snapToGrid w:val="0"/>
        <w:spacing w:line="560" w:lineRule="exact"/>
        <w:ind w:firstLine="320" w:firstLineChars="100"/>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b w:val="0"/>
          <w:bCs w:val="0"/>
          <w:sz w:val="32"/>
          <w:szCs w:val="32"/>
          <w:lang w:val="en-US" w:eastAsia="zh-CN"/>
        </w:rPr>
        <w:t>五、评价结论及建议</w:t>
      </w:r>
    </w:p>
    <w:p>
      <w:pPr>
        <w:numPr>
          <w:ilvl w:val="0"/>
          <w:numId w:val="0"/>
        </w:numPr>
        <w:adjustRightInd w:val="0"/>
        <w:snapToGrid w:val="0"/>
        <w:spacing w:line="560" w:lineRule="exact"/>
        <w:ind w:left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（一）存在的问题</w:t>
      </w:r>
    </w:p>
    <w:p>
      <w:pPr>
        <w:numPr>
          <w:ilvl w:val="0"/>
          <w:numId w:val="0"/>
        </w:numPr>
        <w:adjustRightInd w:val="0"/>
        <w:snapToGrid w:val="0"/>
        <w:spacing w:line="560" w:lineRule="exact"/>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企业主体安全意识不强，安全意识在心上没有形成烙印，有点被镇安监部门追着走的感觉。</w:t>
      </w:r>
    </w:p>
    <w:p>
      <w:pPr>
        <w:numPr>
          <w:ilvl w:val="0"/>
          <w:numId w:val="0"/>
        </w:numPr>
        <w:adjustRightInd w:val="0"/>
        <w:snapToGrid w:val="0"/>
        <w:spacing w:line="560" w:lineRule="exact"/>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（二）相关建议</w:t>
      </w:r>
    </w:p>
    <w:p>
      <w:pPr>
        <w:spacing w:line="600" w:lineRule="exact"/>
        <w:ind w:firstLine="640" w:firstLineChars="200"/>
        <w:jc w:val="left"/>
        <w:outlineLvl w:val="0"/>
        <w:rPr>
          <w:rFonts w:hint="eastAsia" w:ascii="黑体" w:hAnsi="黑体" w:eastAsia="黑体"/>
          <w:color w:val="000000"/>
          <w:sz w:val="32"/>
          <w:szCs w:val="32"/>
        </w:rPr>
      </w:pPr>
      <w:r>
        <w:rPr>
          <w:rFonts w:hint="eastAsia" w:ascii="仿宋_GB2312" w:hAnsi="仿宋_GB2312" w:eastAsia="仿宋_GB2312" w:cs="仿宋_GB2312"/>
          <w:b w:val="0"/>
          <w:bCs w:val="0"/>
          <w:sz w:val="32"/>
          <w:szCs w:val="32"/>
          <w:lang w:val="en-US" w:eastAsia="zh-CN"/>
        </w:rPr>
        <w:t xml:space="preserve">加强教育和监管，多做宣传，在企业责任人心上形成强烈的安全意识。   </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bookmarkEnd w:id="56"/>
    <w:bookmarkEnd w:id="57"/>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第五部分 附表</w:t>
      </w:r>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bookmarkStart w:id="58" w:name="_Toc15396619"/>
      <w:r>
        <w:rPr>
          <w:rFonts w:hint="eastAsia" w:ascii="仿宋_GB2312" w:hAnsi="仿宋_GB2312" w:eastAsia="仿宋_GB2312" w:cs="仿宋_GB2312"/>
          <w:b w:val="0"/>
          <w:color w:val="000000"/>
          <w:sz w:val="32"/>
          <w:szCs w:val="32"/>
        </w:rPr>
        <w:t>一、收</w:t>
      </w:r>
      <w:r>
        <w:rPr>
          <w:rStyle w:val="29"/>
          <w:rFonts w:hint="eastAsia" w:ascii="仿宋_GB2312" w:hAnsi="仿宋_GB2312" w:eastAsia="仿宋_GB2312" w:cs="仿宋_GB2312"/>
          <w:b w:val="0"/>
          <w:bCs w:val="0"/>
          <w:sz w:val="32"/>
          <w:szCs w:val="32"/>
        </w:rPr>
        <w:t>入支出决算总表</w:t>
      </w:r>
      <w:bookmarkEnd w:id="58"/>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bookmarkStart w:id="59" w:name="_Toc15396620"/>
      <w:r>
        <w:rPr>
          <w:rFonts w:hint="eastAsia" w:ascii="仿宋_GB2312" w:hAnsi="仿宋_GB2312" w:eastAsia="仿宋_GB2312" w:cs="仿宋_GB2312"/>
          <w:b w:val="0"/>
          <w:color w:val="000000"/>
          <w:sz w:val="32"/>
          <w:szCs w:val="32"/>
        </w:rPr>
        <w:t>二、收</w:t>
      </w:r>
      <w:r>
        <w:rPr>
          <w:rStyle w:val="29"/>
          <w:rFonts w:hint="eastAsia" w:ascii="仿宋_GB2312" w:hAnsi="仿宋_GB2312" w:eastAsia="仿宋_GB2312" w:cs="仿宋_GB2312"/>
          <w:b w:val="0"/>
          <w:bCs w:val="0"/>
          <w:sz w:val="32"/>
          <w:szCs w:val="32"/>
        </w:rPr>
        <w:t>入决算表</w:t>
      </w:r>
      <w:bookmarkEnd w:id="59"/>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bookmarkStart w:id="60" w:name="_Toc15396621"/>
      <w:r>
        <w:rPr>
          <w:rStyle w:val="29"/>
          <w:rFonts w:hint="eastAsia" w:ascii="仿宋_GB2312" w:hAnsi="仿宋_GB2312" w:eastAsia="仿宋_GB2312" w:cs="仿宋_GB2312"/>
          <w:b w:val="0"/>
          <w:bCs w:val="0"/>
          <w:sz w:val="32"/>
          <w:szCs w:val="32"/>
        </w:rPr>
        <w:t>三、</w:t>
      </w:r>
      <w:r>
        <w:rPr>
          <w:rFonts w:hint="eastAsia" w:ascii="仿宋_GB2312" w:hAnsi="仿宋_GB2312" w:eastAsia="仿宋_GB2312" w:cs="仿宋_GB2312"/>
          <w:b w:val="0"/>
          <w:color w:val="000000"/>
          <w:sz w:val="32"/>
          <w:szCs w:val="32"/>
        </w:rPr>
        <w:t>支</w:t>
      </w:r>
      <w:r>
        <w:rPr>
          <w:rStyle w:val="29"/>
          <w:rFonts w:hint="eastAsia" w:ascii="仿宋_GB2312" w:hAnsi="仿宋_GB2312" w:eastAsia="仿宋_GB2312" w:cs="仿宋_GB2312"/>
          <w:b w:val="0"/>
          <w:bCs w:val="0"/>
          <w:sz w:val="32"/>
          <w:szCs w:val="32"/>
        </w:rPr>
        <w:t>出决算表</w:t>
      </w:r>
      <w:bookmarkEnd w:id="60"/>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color w:val="000000"/>
          <w:sz w:val="32"/>
          <w:szCs w:val="32"/>
        </w:rPr>
      </w:pPr>
      <w:bookmarkStart w:id="61" w:name="_Toc15396622"/>
      <w:r>
        <w:rPr>
          <w:rStyle w:val="29"/>
          <w:rFonts w:hint="eastAsia" w:ascii="仿宋_GB2312" w:hAnsi="仿宋_GB2312" w:eastAsia="仿宋_GB2312" w:cs="仿宋_GB2312"/>
          <w:b w:val="0"/>
          <w:bCs w:val="0"/>
          <w:sz w:val="32"/>
          <w:szCs w:val="32"/>
        </w:rPr>
        <w:t>四、</w:t>
      </w:r>
      <w:r>
        <w:rPr>
          <w:rFonts w:hint="eastAsia" w:ascii="仿宋_GB2312" w:hAnsi="仿宋_GB2312" w:eastAsia="仿宋_GB2312" w:cs="仿宋_GB2312"/>
          <w:b w:val="0"/>
          <w:color w:val="000000"/>
          <w:sz w:val="32"/>
          <w:szCs w:val="32"/>
        </w:rPr>
        <w:t>财</w:t>
      </w:r>
      <w:r>
        <w:rPr>
          <w:rStyle w:val="29"/>
          <w:rFonts w:hint="eastAsia" w:ascii="仿宋_GB2312" w:hAnsi="仿宋_GB2312" w:eastAsia="仿宋_GB2312" w:cs="仿宋_GB2312"/>
          <w:b w:val="0"/>
          <w:bCs w:val="0"/>
          <w:sz w:val="32"/>
          <w:szCs w:val="32"/>
        </w:rPr>
        <w:t>政拨款收入支出决算总表</w:t>
      </w:r>
      <w:bookmarkEnd w:id="61"/>
    </w:p>
    <w:p>
      <w:pPr>
        <w:keepNext/>
        <w:keepLines/>
        <w:pageBreakBefore w:val="0"/>
        <w:widowControl w:val="0"/>
        <w:kinsoku/>
        <w:wordWrap/>
        <w:overflowPunct/>
        <w:topLinePunct w:val="0"/>
        <w:autoSpaceDE/>
        <w:autoSpaceDN/>
        <w:bidi w:val="0"/>
        <w:adjustRightInd/>
        <w:snapToGrid/>
        <w:spacing w:line="600" w:lineRule="exact"/>
        <w:textAlignment w:val="auto"/>
        <w:outlineLvl w:val="9"/>
        <w:rPr>
          <w:rStyle w:val="29"/>
          <w:rFonts w:hint="eastAsia" w:ascii="仿宋_GB2312" w:hAnsi="仿宋_GB2312" w:eastAsia="仿宋_GB2312" w:cs="仿宋_GB2312"/>
          <w:b w:val="0"/>
          <w:bCs w:val="0"/>
          <w:sz w:val="32"/>
          <w:szCs w:val="32"/>
        </w:rPr>
      </w:pPr>
      <w:bookmarkStart w:id="62" w:name="_Toc15396623"/>
      <w:r>
        <w:rPr>
          <w:rStyle w:val="29"/>
          <w:rFonts w:hint="eastAsia" w:ascii="仿宋_GB2312" w:hAnsi="仿宋_GB2312" w:eastAsia="仿宋_GB2312" w:cs="仿宋_GB2312"/>
          <w:b w:val="0"/>
          <w:bCs w:val="0"/>
          <w:sz w:val="32"/>
          <w:szCs w:val="32"/>
        </w:rPr>
        <w:t>五、</w:t>
      </w:r>
      <w:r>
        <w:rPr>
          <w:rFonts w:hint="eastAsia" w:ascii="仿宋_GB2312" w:hAnsi="仿宋_GB2312" w:eastAsia="仿宋_GB2312" w:cs="仿宋_GB2312"/>
          <w:b w:val="0"/>
          <w:color w:val="000000"/>
          <w:sz w:val="32"/>
          <w:szCs w:val="32"/>
        </w:rPr>
        <w:t>财</w:t>
      </w:r>
      <w:r>
        <w:rPr>
          <w:rStyle w:val="29"/>
          <w:rFonts w:hint="eastAsia" w:ascii="仿宋_GB2312" w:hAnsi="仿宋_GB2312" w:eastAsia="仿宋_GB2312" w:cs="仿宋_GB2312"/>
          <w:b w:val="0"/>
          <w:bCs w:val="0"/>
          <w:sz w:val="32"/>
          <w:szCs w:val="32"/>
        </w:rPr>
        <w:t>政拨款支出决算明细表</w:t>
      </w:r>
      <w:bookmarkEnd w:id="62"/>
      <w:bookmarkStart w:id="63" w:name="_Toc15396624"/>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r>
        <w:rPr>
          <w:rStyle w:val="29"/>
          <w:rFonts w:hint="eastAsia" w:ascii="仿宋_GB2312" w:hAnsi="仿宋_GB2312" w:eastAsia="仿宋_GB2312" w:cs="仿宋_GB2312"/>
          <w:b w:val="0"/>
          <w:bCs w:val="0"/>
          <w:sz w:val="32"/>
          <w:szCs w:val="32"/>
        </w:rPr>
        <w:t>六、</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般公共预算财政拨款支出决算表</w:t>
      </w:r>
      <w:bookmarkEnd w:id="63"/>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bookmarkStart w:id="64" w:name="_Toc15396625"/>
      <w:r>
        <w:rPr>
          <w:rStyle w:val="29"/>
          <w:rFonts w:hint="eastAsia" w:ascii="仿宋_GB2312" w:hAnsi="仿宋_GB2312" w:eastAsia="仿宋_GB2312" w:cs="仿宋_GB2312"/>
          <w:b w:val="0"/>
          <w:bCs w:val="0"/>
          <w:sz w:val="32"/>
          <w:szCs w:val="32"/>
        </w:rPr>
        <w:t>七、</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般公共预算财政拨款支出决算明细表</w:t>
      </w:r>
      <w:bookmarkEnd w:id="64"/>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bookmarkStart w:id="65" w:name="_Toc15396626"/>
      <w:r>
        <w:rPr>
          <w:rStyle w:val="29"/>
          <w:rFonts w:hint="eastAsia" w:ascii="仿宋_GB2312" w:hAnsi="仿宋_GB2312" w:eastAsia="仿宋_GB2312" w:cs="仿宋_GB2312"/>
          <w:b w:val="0"/>
          <w:bCs w:val="0"/>
          <w:sz w:val="32"/>
          <w:szCs w:val="32"/>
        </w:rPr>
        <w:t>八、</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般公共预算财政拨款基本支出决算表</w:t>
      </w:r>
      <w:bookmarkEnd w:id="65"/>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bookmarkStart w:id="66" w:name="_Toc15396627"/>
      <w:r>
        <w:rPr>
          <w:rStyle w:val="29"/>
          <w:rFonts w:hint="eastAsia" w:ascii="仿宋_GB2312" w:hAnsi="仿宋_GB2312" w:eastAsia="仿宋_GB2312" w:cs="仿宋_GB2312"/>
          <w:b w:val="0"/>
          <w:bCs w:val="0"/>
          <w:sz w:val="32"/>
          <w:szCs w:val="32"/>
        </w:rPr>
        <w:t>九、</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般公共预算财政拨款项目支出决算表</w:t>
      </w:r>
      <w:bookmarkEnd w:id="66"/>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bookmarkStart w:id="67" w:name="_Toc15396628"/>
      <w:r>
        <w:rPr>
          <w:rStyle w:val="29"/>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color w:val="000000"/>
          <w:sz w:val="32"/>
          <w:szCs w:val="32"/>
        </w:rPr>
        <w:t>一</w:t>
      </w:r>
      <w:r>
        <w:rPr>
          <w:rStyle w:val="29"/>
          <w:rFonts w:hint="eastAsia" w:ascii="仿宋_GB2312" w:hAnsi="仿宋_GB2312" w:eastAsia="仿宋_GB2312" w:cs="仿宋_GB2312"/>
          <w:b w:val="0"/>
          <w:bCs w:val="0"/>
          <w:sz w:val="32"/>
          <w:szCs w:val="32"/>
        </w:rPr>
        <w:t>般公共预算财政拨款“三公”经费支出决算表</w:t>
      </w:r>
      <w:bookmarkEnd w:id="67"/>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bookmarkStart w:id="68" w:name="_Toc15396629"/>
      <w:r>
        <w:rPr>
          <w:rStyle w:val="29"/>
          <w:rFonts w:hint="eastAsia" w:ascii="仿宋_GB2312" w:hAnsi="仿宋_GB2312" w:eastAsia="仿宋_GB2312" w:cs="仿宋_GB2312"/>
          <w:b w:val="0"/>
          <w:bCs w:val="0"/>
          <w:sz w:val="32"/>
          <w:szCs w:val="32"/>
        </w:rPr>
        <w:t>十一、</w:t>
      </w:r>
      <w:r>
        <w:rPr>
          <w:rFonts w:hint="eastAsia" w:ascii="仿宋_GB2312" w:hAnsi="仿宋_GB2312" w:eastAsia="仿宋_GB2312" w:cs="仿宋_GB2312"/>
          <w:b w:val="0"/>
          <w:color w:val="000000"/>
          <w:sz w:val="32"/>
          <w:szCs w:val="32"/>
        </w:rPr>
        <w:t>政</w:t>
      </w:r>
      <w:r>
        <w:rPr>
          <w:rStyle w:val="29"/>
          <w:rFonts w:hint="eastAsia" w:ascii="仿宋_GB2312" w:hAnsi="仿宋_GB2312" w:eastAsia="仿宋_GB2312" w:cs="仿宋_GB2312"/>
          <w:b w:val="0"/>
          <w:bCs w:val="0"/>
          <w:sz w:val="32"/>
          <w:szCs w:val="32"/>
        </w:rPr>
        <w:t>府性基金预算财政拨款收入支出决算表</w:t>
      </w:r>
      <w:bookmarkEnd w:id="68"/>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rPr>
      </w:pPr>
      <w:bookmarkStart w:id="69" w:name="_Toc15396630"/>
      <w:r>
        <w:rPr>
          <w:rStyle w:val="29"/>
          <w:rFonts w:hint="eastAsia" w:ascii="仿宋_GB2312" w:hAnsi="仿宋_GB2312" w:eastAsia="仿宋_GB2312" w:cs="仿宋_GB2312"/>
          <w:b w:val="0"/>
          <w:bCs w:val="0"/>
          <w:sz w:val="32"/>
          <w:szCs w:val="32"/>
        </w:rPr>
        <w:t>十二、</w:t>
      </w:r>
      <w:r>
        <w:rPr>
          <w:rFonts w:hint="eastAsia" w:ascii="仿宋_GB2312" w:hAnsi="仿宋_GB2312" w:eastAsia="仿宋_GB2312" w:cs="仿宋_GB2312"/>
          <w:b w:val="0"/>
          <w:color w:val="000000"/>
          <w:sz w:val="32"/>
          <w:szCs w:val="32"/>
        </w:rPr>
        <w:t>政</w:t>
      </w:r>
      <w:r>
        <w:rPr>
          <w:rStyle w:val="29"/>
          <w:rFonts w:hint="eastAsia" w:ascii="仿宋_GB2312" w:hAnsi="仿宋_GB2312" w:eastAsia="仿宋_GB2312" w:cs="仿宋_GB2312"/>
          <w:b w:val="0"/>
          <w:bCs w:val="0"/>
          <w:sz w:val="32"/>
          <w:szCs w:val="32"/>
        </w:rPr>
        <w:t>府性基金预算财政拨款“三公”经费支出决算表</w:t>
      </w:r>
      <w:bookmarkEnd w:id="69"/>
    </w:p>
    <w:p>
      <w:pPr>
        <w:keepNext/>
        <w:keepLines/>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bookmarkStart w:id="70" w:name="_Toc15396631"/>
      <w:r>
        <w:rPr>
          <w:rStyle w:val="29"/>
          <w:rFonts w:hint="eastAsia" w:ascii="仿宋_GB2312" w:hAnsi="仿宋_GB2312" w:eastAsia="仿宋_GB2312" w:cs="仿宋_GB2312"/>
          <w:b w:val="0"/>
          <w:bCs w:val="0"/>
          <w:sz w:val="32"/>
          <w:szCs w:val="32"/>
        </w:rPr>
        <w:t>十三、</w:t>
      </w:r>
      <w:r>
        <w:rPr>
          <w:rFonts w:hint="eastAsia" w:ascii="仿宋_GB2312" w:hAnsi="仿宋_GB2312" w:eastAsia="仿宋_GB2312" w:cs="仿宋_GB2312"/>
          <w:b w:val="0"/>
          <w:color w:val="000000"/>
          <w:sz w:val="32"/>
          <w:szCs w:val="32"/>
        </w:rPr>
        <w:t>国</w:t>
      </w:r>
      <w:r>
        <w:rPr>
          <w:rStyle w:val="29"/>
          <w:rFonts w:hint="eastAsia" w:ascii="仿宋_GB2312" w:hAnsi="仿宋_GB2312" w:eastAsia="仿宋_GB2312" w:cs="仿宋_GB2312"/>
          <w:b w:val="0"/>
          <w:bCs w:val="0"/>
          <w:sz w:val="32"/>
          <w:szCs w:val="32"/>
        </w:rPr>
        <w:t>有资本经营预算支出决算表</w:t>
      </w:r>
      <w:bookmarkEnd w:id="7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A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繁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11"/>
                                <w:jc w:val="center"/>
                              </w:pPr>
                              <w:r>
                                <w:fldChar w:fldCharType="begin"/>
                              </w:r>
                              <w:r>
                                <w:instrText xml:space="preserve">PAGE   \* MERGEFORMAT</w:instrText>
                              </w:r>
                              <w:r>
                                <w:fldChar w:fldCharType="separate"/>
                              </w:r>
                              <w:r>
                                <w:rPr>
                                  <w:lang w:val="zh-CN"/>
                                </w:rPr>
                                <w:t>24</w:t>
                              </w:r>
                              <w:r>
                                <w:fldChar w:fldCharType="end"/>
                              </w:r>
                            </w:p>
                          </w:sdtContent>
                        </w:sdt>
                        <w:p>
                          <w:pPr>
                            <w:pStyle w:val="2"/>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2LSYK8BAABL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GfKXHc4oh2v37ufv/d/Xki5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N2LSYK8BAABL&#10;AwAADgAAAAAAAAABACAAAAAeAQAAZHJzL2Uyb0RvYy54bWxQSwUGAAAAAAYABgBZAQAAPwUAAAAA&#10;">
              <v:fill on="f" focussize="0,0"/>
              <v:stroke on="f"/>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24</w:t>
                        </w:r>
                        <w:r>
                          <w:fldChar w:fldCharType="end"/>
                        </w:r>
                      </w:p>
                    </w:sdtContent>
                  </w:sdt>
                  <w:p>
                    <w:pPr>
                      <w:pStyle w:val="2"/>
                    </w:pP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932B9"/>
    <w:multiLevelType w:val="singleLevel"/>
    <w:tmpl w:val="80D932B9"/>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0E180F9"/>
    <w:multiLevelType w:val="singleLevel"/>
    <w:tmpl w:val="D0E180F9"/>
    <w:lvl w:ilvl="0" w:tentative="0">
      <w:start w:val="4"/>
      <w:numFmt w:val="chineseCounting"/>
      <w:suff w:val="nothing"/>
      <w:lvlText w:val="%1、"/>
      <w:lvlJc w:val="left"/>
      <w:pPr>
        <w:ind w:left="880" w:leftChars="0" w:firstLine="0" w:firstLineChars="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47C6DD4"/>
    <w:multiLevelType w:val="singleLevel"/>
    <w:tmpl w:val="347C6DD4"/>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E491C"/>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E7447"/>
    <w:rsid w:val="03DF61F3"/>
    <w:rsid w:val="06BF7C08"/>
    <w:rsid w:val="06D028AD"/>
    <w:rsid w:val="07676D7A"/>
    <w:rsid w:val="0A8B1B73"/>
    <w:rsid w:val="0C513F94"/>
    <w:rsid w:val="0C596D04"/>
    <w:rsid w:val="0F98330D"/>
    <w:rsid w:val="0FFA0742"/>
    <w:rsid w:val="100F012F"/>
    <w:rsid w:val="10C055FF"/>
    <w:rsid w:val="16BB723D"/>
    <w:rsid w:val="16DC16FF"/>
    <w:rsid w:val="17D938F5"/>
    <w:rsid w:val="20E840EC"/>
    <w:rsid w:val="223377E9"/>
    <w:rsid w:val="22887209"/>
    <w:rsid w:val="240371BF"/>
    <w:rsid w:val="250B4942"/>
    <w:rsid w:val="253A11CA"/>
    <w:rsid w:val="25507487"/>
    <w:rsid w:val="25523CFC"/>
    <w:rsid w:val="259B13E2"/>
    <w:rsid w:val="26133831"/>
    <w:rsid w:val="27DB5085"/>
    <w:rsid w:val="27E24CCD"/>
    <w:rsid w:val="29306BB3"/>
    <w:rsid w:val="29FD04D3"/>
    <w:rsid w:val="2AB9611A"/>
    <w:rsid w:val="2ACE41B6"/>
    <w:rsid w:val="2B6F4A4E"/>
    <w:rsid w:val="2C2A56C3"/>
    <w:rsid w:val="2DBF4E05"/>
    <w:rsid w:val="2E572292"/>
    <w:rsid w:val="2EE1676C"/>
    <w:rsid w:val="301915F2"/>
    <w:rsid w:val="319F7F4E"/>
    <w:rsid w:val="324C0839"/>
    <w:rsid w:val="356156B4"/>
    <w:rsid w:val="35FC7BAF"/>
    <w:rsid w:val="366755F8"/>
    <w:rsid w:val="374326FB"/>
    <w:rsid w:val="39F950DA"/>
    <w:rsid w:val="3A7C6941"/>
    <w:rsid w:val="3CED0DA9"/>
    <w:rsid w:val="3E4104FE"/>
    <w:rsid w:val="40B86A58"/>
    <w:rsid w:val="431B761D"/>
    <w:rsid w:val="44C43EC8"/>
    <w:rsid w:val="48697D7E"/>
    <w:rsid w:val="486B7B93"/>
    <w:rsid w:val="4B811A2B"/>
    <w:rsid w:val="4C0C7F41"/>
    <w:rsid w:val="4EA04DA6"/>
    <w:rsid w:val="4ECE2238"/>
    <w:rsid w:val="52EF6223"/>
    <w:rsid w:val="5358129C"/>
    <w:rsid w:val="537C4101"/>
    <w:rsid w:val="5630760B"/>
    <w:rsid w:val="56C25A54"/>
    <w:rsid w:val="56F35A47"/>
    <w:rsid w:val="5A7947C7"/>
    <w:rsid w:val="5E226F46"/>
    <w:rsid w:val="5E48152B"/>
    <w:rsid w:val="5FA12912"/>
    <w:rsid w:val="60552A83"/>
    <w:rsid w:val="622C2AEA"/>
    <w:rsid w:val="62C75587"/>
    <w:rsid w:val="63E50395"/>
    <w:rsid w:val="675F473B"/>
    <w:rsid w:val="692873A3"/>
    <w:rsid w:val="695E42F1"/>
    <w:rsid w:val="6B113FF7"/>
    <w:rsid w:val="6C4250F4"/>
    <w:rsid w:val="6D680AAA"/>
    <w:rsid w:val="70711F6F"/>
    <w:rsid w:val="72734D90"/>
    <w:rsid w:val="74B263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Document Map"/>
    <w:basedOn w:val="1"/>
    <w:qFormat/>
    <w:uiPriority w:val="0"/>
    <w:rPr>
      <w:rFonts w:ascii="宋体" w:eastAsia="宋体"/>
      <w:sz w:val="18"/>
      <w:szCs w:val="18"/>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cs="Courier New"/>
      <w:szCs w:val="21"/>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page number"/>
    <w:basedOn w:val="15"/>
    <w:qFormat/>
    <w:uiPriority w:val="0"/>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10"/>
    <w:semiHidden/>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Heading 1 Char"/>
    <w:basedOn w:val="15"/>
    <w:link w:val="3"/>
    <w:qFormat/>
    <w:locked/>
    <w:uiPriority w:val="99"/>
    <w:rPr>
      <w:rFonts w:ascii="Times New Roman" w:hAnsi="Times New Roman" w:cs="Times New Roman"/>
      <w:b/>
      <w:bCs/>
      <w:kern w:val="44"/>
      <w:sz w:val="44"/>
      <w:szCs w:val="44"/>
    </w:rPr>
  </w:style>
  <w:style w:type="paragraph" w:customStyle="1" w:styleId="35">
    <w:name w:val="四号正文"/>
    <w:basedOn w:val="1"/>
    <w:qFormat/>
    <w:uiPriority w:val="0"/>
    <w:pPr>
      <w:spacing w:line="360" w:lineRule="auto"/>
    </w:pPr>
    <w:rPr>
      <w:rFonts w:ascii="??" w:hAnsi="??" w:eastAsia="宋体" w:cs="宋体"/>
      <w:color w:val="000000"/>
      <w:kern w:val="0"/>
      <w:sz w:val="28"/>
      <w:szCs w:val="21"/>
    </w:rPr>
  </w:style>
  <w:style w:type="paragraph" w:customStyle="1" w:styleId="36">
    <w:name w:val="图表目录1"/>
    <w:basedOn w:val="1"/>
    <w:next w:val="1"/>
    <w:qFormat/>
    <w:uiPriority w:val="0"/>
    <w:pPr>
      <w:ind w:left="200" w:leftChars="200" w:hanging="200" w:hangingChars="200"/>
    </w:pPr>
    <w:rPr>
      <w:rFonts w:ascii="Calibri" w:hAnsi="Calibri" w:eastAsia="宋体"/>
    </w:rPr>
  </w:style>
  <w:style w:type="character" w:customStyle="1" w:styleId="37">
    <w:name w:val="标题 1 字符"/>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USERFILES\Desktop\&#26032;&#24314;%20XLS%20&#24037;&#20316;&#34920;%20(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USERFILES\Desktop\&#26032;&#24314;%20XLS%20&#24037;&#20316;&#34920;%20(2).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USERFILES\Desktop\&#26032;&#24314;%20XLS%20&#24037;&#20316;&#34920;%20(2).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USERFILES\Desktop\&#26032;&#24314;%20XLS%20&#24037;&#20316;&#34920;%20(2).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USERFILES\Desktop\&#26032;&#24314;%20XLS%20&#24037;&#20316;&#34920;%20(2).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USERFILES\Desktop\&#26032;&#24314;%20XLS%20&#24037;&#20316;&#34920;%20(2).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USERFILES\Desktop\&#26032;&#24314;%20XLS%20&#24037;&#20316;&#34920;%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r>
              <a:rPr u="none" strike="noStrike" cap="none" normalizeH="0">
                <a:solidFill>
                  <a:schemeClr val="tx1"/>
                </a:solidFill>
                <a:uFill>
                  <a:solidFill>
                    <a:schemeClr val="tx1"/>
                  </a:solidFill>
                </a:uFill>
                <a:ea typeface="仿宋_GB2312" panose="02010609030101010101" pitchFamily="3" charset="-122"/>
              </a:rPr>
              <a:t>收、支决算总计变动情况图</a:t>
            </a:r>
            <a:endParaRPr u="none" strike="noStrike" cap="none" normalizeH="0">
              <a:solidFill>
                <a:schemeClr val="tx1"/>
              </a:solidFill>
              <a:uFill>
                <a:solidFill>
                  <a:schemeClr val="tx1"/>
                </a:solidFill>
              </a:uFill>
              <a:ea typeface="仿宋_GB2312" panose="02010609030101010101" pitchFamily="3" charset="-122"/>
            </a:endParaRPr>
          </a:p>
          <a:p>
            <a:pPr defTabSz="914400">
              <a:defRPr lang="zh-CN" sz="14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endParaRPr u="none" strike="noStrike" cap="none" normalizeH="0">
              <a:solidFill>
                <a:schemeClr val="tx1"/>
              </a:solidFill>
              <a:uFill>
                <a:solidFill>
                  <a:schemeClr val="tx1"/>
                </a:solidFill>
              </a:uFill>
              <a:ea typeface="仿宋_GB2312" panose="02010609030101010101" pitchFamily="3" charset="-122"/>
            </a:endParaRPr>
          </a:p>
        </c:rich>
      </c:tx>
      <c:layout/>
      <c:overlay val="0"/>
      <c:spPr>
        <a:noFill/>
        <a:ln>
          <a:noFill/>
        </a:ln>
        <a:effectLst/>
      </c:spPr>
    </c:title>
    <c:autoTitleDeleted val="0"/>
    <c:plotArea>
      <c:layout/>
      <c:barChart>
        <c:barDir val="col"/>
        <c:grouping val="clustered"/>
        <c:varyColors val="0"/>
        <c:ser>
          <c:idx val="0"/>
          <c:order val="0"/>
          <c:tx>
            <c:strRef>
              <c:f>'[新建 XLS 工作表 (2).xls]Sheet1'!$A$3</c:f>
              <c:strCache>
                <c:ptCount val="1"/>
                <c:pt idx="0">
                  <c:v>2019年</c:v>
                </c:pt>
              </c:strCache>
            </c:strRef>
          </c:tx>
          <c:spPr>
            <a:solidFill>
              <a:schemeClr val="accent1"/>
            </a:solidFill>
            <a:ln>
              <a:noFill/>
            </a:ln>
            <a:effectLst/>
          </c:spPr>
          <c:invertIfNegative val="0"/>
          <c:dLbls>
            <c:delete val="1"/>
          </c:dLbls>
          <c:cat>
            <c:strRef>
              <c:f>'[新建 XLS 工作表 (2).xls]Sheet1'!$B$2:$C$2</c:f>
              <c:strCache>
                <c:ptCount val="2"/>
                <c:pt idx="0">
                  <c:v>收入</c:v>
                </c:pt>
                <c:pt idx="1">
                  <c:v>支出</c:v>
                </c:pt>
              </c:strCache>
            </c:strRef>
          </c:cat>
          <c:val>
            <c:numRef>
              <c:f>'[新建 XLS 工作表 (2).xls]Sheet1'!$B$3:$C$3</c:f>
              <c:numCache>
                <c:formatCode>General</c:formatCode>
                <c:ptCount val="2"/>
                <c:pt idx="0">
                  <c:v>6214.73</c:v>
                </c:pt>
                <c:pt idx="1">
                  <c:v>7878.67</c:v>
                </c:pt>
              </c:numCache>
            </c:numRef>
          </c:val>
        </c:ser>
        <c:ser>
          <c:idx val="1"/>
          <c:order val="1"/>
          <c:tx>
            <c:strRef>
              <c:f>'[新建 XLS 工作表 (2).xls]Sheet1'!$A$4</c:f>
              <c:strCache>
                <c:ptCount val="1"/>
                <c:pt idx="0">
                  <c:v>2020年</c:v>
                </c:pt>
              </c:strCache>
            </c:strRef>
          </c:tx>
          <c:spPr>
            <a:solidFill>
              <a:schemeClr val="accent2"/>
            </a:solidFill>
            <a:ln>
              <a:noFill/>
            </a:ln>
            <a:effectLst/>
          </c:spPr>
          <c:invertIfNegative val="0"/>
          <c:dLbls>
            <c:delete val="1"/>
          </c:dLbls>
          <c:cat>
            <c:strRef>
              <c:f>'[新建 XLS 工作表 (2).xls]Sheet1'!$B$2:$C$2</c:f>
              <c:strCache>
                <c:ptCount val="2"/>
                <c:pt idx="0">
                  <c:v>收入</c:v>
                </c:pt>
                <c:pt idx="1">
                  <c:v>支出</c:v>
                </c:pt>
              </c:strCache>
            </c:strRef>
          </c:cat>
          <c:val>
            <c:numRef>
              <c:f>'[新建 XLS 工作表 (2).xls]Sheet1'!$B$4:$C$4</c:f>
              <c:numCache>
                <c:formatCode>General</c:formatCode>
                <c:ptCount val="2"/>
                <c:pt idx="0">
                  <c:v>4269.36</c:v>
                </c:pt>
                <c:pt idx="1">
                  <c:v>4602.98</c:v>
                </c:pt>
              </c:numCache>
            </c:numRef>
          </c:val>
        </c:ser>
        <c:dLbls>
          <c:showLegendKey val="0"/>
          <c:showVal val="0"/>
          <c:showCatName val="0"/>
          <c:showSerName val="0"/>
          <c:showPercent val="0"/>
          <c:showBubbleSize val="0"/>
        </c:dLbls>
        <c:gapWidth val="219"/>
        <c:overlap val="-27"/>
        <c:axId val="255226562"/>
        <c:axId val="359984651"/>
      </c:barChart>
      <c:catAx>
        <c:axId val="2552265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p>
        </c:txPr>
        <c:crossAx val="359984651"/>
        <c:crosses val="autoZero"/>
        <c:auto val="1"/>
        <c:lblAlgn val="ctr"/>
        <c:lblOffset val="100"/>
        <c:noMultiLvlLbl val="0"/>
      </c:catAx>
      <c:valAx>
        <c:axId val="3599846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p>
        </c:txPr>
        <c:crossAx val="25522656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u="none" strike="noStrike" kern="1200" cap="none" spc="0" normalizeH="0">
          <a:solidFill>
            <a:schemeClr val="tx1"/>
          </a:solidFill>
          <a:uFill>
            <a:solidFill>
              <a:schemeClr val="tx1"/>
            </a:solidFill>
          </a:uFill>
          <a:ea typeface="仿宋_GB2312" panose="0201060903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r>
              <a:rPr u="none" strike="noStrike" cap="none" normalizeH="0">
                <a:solidFill>
                  <a:schemeClr val="tx1">
                    <a:lumMod val="65000"/>
                    <a:lumOff val="35000"/>
                  </a:schemeClr>
                </a:solidFill>
                <a:uFill>
                  <a:solidFill>
                    <a:schemeClr val="tx1">
                      <a:lumMod val="65000"/>
                      <a:lumOff val="35000"/>
                    </a:schemeClr>
                  </a:solidFill>
                </a:uFill>
                <a:ea typeface="仿宋_GB2312" panose="02010609030101010101" pitchFamily="3" charset="-122"/>
              </a:rPr>
              <a:t>收入决算结构图</a:t>
            </a:r>
            <a:endParaRPr u="none" strike="noStrike" cap="none" normalizeH="0">
              <a:solidFill>
                <a:schemeClr val="tx1">
                  <a:lumMod val="65000"/>
                  <a:lumOff val="35000"/>
                </a:schemeClr>
              </a:solidFill>
              <a:uFill>
                <a:solidFill>
                  <a:schemeClr val="tx1">
                    <a:lumMod val="65000"/>
                    <a:lumOff val="35000"/>
                  </a:schemeClr>
                </a:solidFill>
              </a:uFill>
              <a:ea typeface="仿宋_GB2312" panose="02010609030101010101" pitchFamily="3" charset="-122"/>
            </a:endParaRPr>
          </a:p>
        </c:rich>
      </c:tx>
      <c:layout>
        <c:manualLayout>
          <c:xMode val="edge"/>
          <c:yMode val="edge"/>
          <c:x val="0.356111111111111"/>
          <c:y val="0.0277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(2).xls]Sheet1'!$A$3:$A$5</c:f>
              <c:strCache>
                <c:ptCount val="3"/>
                <c:pt idx="0">
                  <c:v>一般公共预算财政拨款收入</c:v>
                </c:pt>
                <c:pt idx="1">
                  <c:v>政府性基金预算财政拨款收入</c:v>
                </c:pt>
                <c:pt idx="2">
                  <c:v>其他收入</c:v>
                </c:pt>
              </c:strCache>
            </c:strRef>
          </c:cat>
          <c:val>
            <c:numRef>
              <c:f>'[新建 XLS 工作表 (2).xls]Sheet1'!$B$3:$B$5</c:f>
              <c:numCache>
                <c:formatCode>0.00%</c:formatCode>
                <c:ptCount val="3"/>
                <c:pt idx="0">
                  <c:v>0.5019</c:v>
                </c:pt>
                <c:pt idx="1">
                  <c:v>0.456</c:v>
                </c:pt>
                <c:pt idx="2">
                  <c:v>0.0421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legendEntry>
      <c:legendEntry>
        <c:idx val="2"/>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r>
              <a:rPr u="none" strike="noStrike" cap="none" normalizeH="0">
                <a:solidFill>
                  <a:schemeClr val="tx1"/>
                </a:solidFill>
                <a:uFill>
                  <a:solidFill>
                    <a:schemeClr val="tx1"/>
                  </a:solidFill>
                </a:uFill>
                <a:ea typeface="仿宋_GB2312" panose="02010609030101010101" pitchFamily="3" charset="-122"/>
              </a:rPr>
              <a:t>支出决算结构图</a:t>
            </a:r>
            <a:endParaRPr u="none" strike="noStrike" cap="none" normalizeH="0">
              <a:solidFill>
                <a:schemeClr val="tx1"/>
              </a:solidFill>
              <a:uFill>
                <a:solidFill>
                  <a:schemeClr val="tx1"/>
                </a:solidFill>
              </a:uFill>
              <a:ea typeface="仿宋_GB2312" panose="02010609030101010101" pitchFamily="3" charset="-122"/>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(2).xls]Sheet1'!$A$3:$A$4</c:f>
              <c:strCache>
                <c:ptCount val="2"/>
                <c:pt idx="0">
                  <c:v>基本支出</c:v>
                </c:pt>
                <c:pt idx="1">
                  <c:v>项目支出</c:v>
                </c:pt>
              </c:strCache>
            </c:strRef>
          </c:cat>
          <c:val>
            <c:numRef>
              <c:f>'[新建 XLS 工作表 (2).xls]Sheet1'!$B$3:$B$4</c:f>
              <c:numCache>
                <c:formatCode>0.00%</c:formatCode>
                <c:ptCount val="2"/>
                <c:pt idx="0">
                  <c:v>0.2325</c:v>
                </c:pt>
                <c:pt idx="1">
                  <c:v>0.7675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仿宋_GB2312" panose="0201060903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u="none" strike="noStrike" kern="1200" cap="none" spc="0" normalizeH="0">
          <a:solidFill>
            <a:schemeClr val="tx1"/>
          </a:solidFill>
          <a:uFill>
            <a:solidFill>
              <a:schemeClr val="tx1"/>
            </a:solidFill>
          </a:uFill>
          <a:ea typeface="仿宋_GB2312" panose="0201060903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a:t>
            </a:r>
            <a:r>
              <a:rPr>
                <a:solidFill>
                  <a:schemeClr val="tx1">
                    <a:lumMod val="65000"/>
                    <a:lumOff val="35000"/>
                  </a:schemeClr>
                </a:solidFill>
                <a:uFillTx/>
                <a:ea typeface="仿宋_GB2312" panose="02010609030101010101" pitchFamily="3" charset="-122"/>
              </a:rPr>
              <a:t>拨款</a:t>
            </a:r>
            <a:r>
              <a:t>收、支决算总计变动情况</a:t>
            </a:r>
          </a:p>
        </c:rich>
      </c:tx>
      <c:layout/>
      <c:overlay val="0"/>
      <c:spPr>
        <a:noFill/>
        <a:ln>
          <a:noFill/>
        </a:ln>
        <a:effectLst/>
      </c:spPr>
    </c:title>
    <c:autoTitleDeleted val="0"/>
    <c:plotArea>
      <c:layout/>
      <c:barChart>
        <c:barDir val="col"/>
        <c:grouping val="clustered"/>
        <c:varyColors val="0"/>
        <c:ser>
          <c:idx val="0"/>
          <c:order val="0"/>
          <c:tx>
            <c:strRef>
              <c:f>'[新建 XLS 工作表 (2).xls]Sheet1'!$A$4</c:f>
              <c:strCache>
                <c:ptCount val="1"/>
                <c:pt idx="0">
                  <c:v>财政拨款收入</c:v>
                </c:pt>
              </c:strCache>
            </c:strRef>
          </c:tx>
          <c:spPr>
            <a:solidFill>
              <a:schemeClr val="accent1"/>
            </a:solidFill>
            <a:ln>
              <a:noFill/>
            </a:ln>
            <a:effectLst/>
          </c:spPr>
          <c:invertIfNegative val="0"/>
          <c:dLbls>
            <c:delete val="1"/>
          </c:dLbls>
          <c:cat>
            <c:strRef>
              <c:f>'[新建 XLS 工作表 (2).xls]Sheet1'!$B$3:$C$3</c:f>
              <c:strCache>
                <c:ptCount val="2"/>
                <c:pt idx="0" c:formatCode="0.00%">
                  <c:v>2019年</c:v>
                </c:pt>
                <c:pt idx="1">
                  <c:v>2020年</c:v>
                </c:pt>
              </c:strCache>
            </c:strRef>
          </c:cat>
          <c:val>
            <c:numRef>
              <c:f>'[新建 XLS 工作表 (2).xls]Sheet1'!$B$4:$C$4</c:f>
              <c:numCache>
                <c:formatCode>General</c:formatCode>
                <c:ptCount val="2"/>
                <c:pt idx="0">
                  <c:v>6082.1</c:v>
                </c:pt>
                <c:pt idx="1">
                  <c:v>4089.42</c:v>
                </c:pt>
              </c:numCache>
            </c:numRef>
          </c:val>
        </c:ser>
        <c:ser>
          <c:idx val="1"/>
          <c:order val="1"/>
          <c:tx>
            <c:strRef>
              <c:f>'[新建 XLS 工作表 (2).xls]Sheet1'!$A$5</c:f>
              <c:strCache>
                <c:ptCount val="1"/>
                <c:pt idx="0">
                  <c:v>财政拨款支出</c:v>
                </c:pt>
              </c:strCache>
            </c:strRef>
          </c:tx>
          <c:spPr>
            <a:solidFill>
              <a:schemeClr val="accent2"/>
            </a:solidFill>
            <a:ln>
              <a:noFill/>
            </a:ln>
            <a:effectLst/>
          </c:spPr>
          <c:invertIfNegative val="0"/>
          <c:dLbls>
            <c:delete val="1"/>
          </c:dLbls>
          <c:cat>
            <c:strRef>
              <c:f>'[新建 XLS 工作表 (2).xls]Sheet1'!$B$3:$C$3</c:f>
              <c:strCache>
                <c:ptCount val="2"/>
                <c:pt idx="0" c:formatCode="0.00%">
                  <c:v>2019年</c:v>
                </c:pt>
                <c:pt idx="1">
                  <c:v>2020年</c:v>
                </c:pt>
              </c:strCache>
            </c:strRef>
          </c:cat>
          <c:val>
            <c:numRef>
              <c:f>'[新建 XLS 工作表 (2).xls]Sheet1'!$B$5:$C$5</c:f>
              <c:numCache>
                <c:formatCode>General</c:formatCode>
                <c:ptCount val="2"/>
                <c:pt idx="0">
                  <c:v>7772.12</c:v>
                </c:pt>
                <c:pt idx="1">
                  <c:v>4424.54</c:v>
                </c:pt>
              </c:numCache>
            </c:numRef>
          </c:val>
        </c:ser>
        <c:dLbls>
          <c:showLegendKey val="0"/>
          <c:showVal val="0"/>
          <c:showCatName val="0"/>
          <c:showSerName val="0"/>
          <c:showPercent val="0"/>
          <c:showBubbleSize val="0"/>
        </c:dLbls>
        <c:gapWidth val="219"/>
        <c:overlap val="-27"/>
        <c:axId val="356657519"/>
        <c:axId val="307354241"/>
      </c:barChart>
      <c:catAx>
        <c:axId val="3566575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crossAx val="307354241"/>
        <c:crosses val="autoZero"/>
        <c:auto val="1"/>
        <c:lblAlgn val="ctr"/>
        <c:lblOffset val="100"/>
        <c:noMultiLvlLbl val="0"/>
      </c:catAx>
      <c:valAx>
        <c:axId val="3073542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65751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a:t>
            </a:r>
            <a:r>
              <a:rPr>
                <a:solidFill>
                  <a:schemeClr val="tx1">
                    <a:lumMod val="65000"/>
                    <a:lumOff val="35000"/>
                  </a:schemeClr>
                </a:solidFill>
                <a:uFillTx/>
                <a:latin typeface="仿宋_GB2312" panose="02010609030101010101" pitchFamily="3" charset="-122"/>
                <a:ea typeface="仿宋_GB2312" panose="02010609030101010101" pitchFamily="3" charset="-122"/>
              </a:rPr>
              <a:t>预算</a:t>
            </a:r>
            <a:r>
              <a:t>财政拨款支出决算变动情况</a:t>
            </a:r>
          </a:p>
        </c:rich>
      </c:tx>
      <c:layout/>
      <c:overlay val="0"/>
      <c:spPr>
        <a:noFill/>
        <a:ln>
          <a:noFill/>
        </a:ln>
        <a:effectLst/>
      </c:spPr>
    </c:title>
    <c:autoTitleDeleted val="0"/>
    <c:plotArea>
      <c:layout/>
      <c:barChart>
        <c:barDir val="col"/>
        <c:grouping val="clustered"/>
        <c:varyColors val="0"/>
        <c:ser>
          <c:idx val="0"/>
          <c:order val="0"/>
          <c:tx>
            <c:strRef>
              <c:f>'[新建 XLS 工作表 (2).xls]Sheet1'!$A$4</c:f>
              <c:strCache>
                <c:ptCount val="1"/>
                <c:pt idx="0">
                  <c:v>一般公共预算财政拨款</c:v>
                </c:pt>
              </c:strCache>
            </c:strRef>
          </c:tx>
          <c:spPr>
            <a:solidFill>
              <a:schemeClr val="accent1"/>
            </a:solidFill>
            <a:ln>
              <a:noFill/>
            </a:ln>
            <a:effectLst/>
          </c:spPr>
          <c:invertIfNegative val="0"/>
          <c:dLbls>
            <c:delete val="1"/>
          </c:dLbls>
          <c:cat>
            <c:strRef>
              <c:f>'[新建 XLS 工作表 (2).xls]Sheet1'!$B$3:$C$3</c:f>
              <c:strCache>
                <c:ptCount val="2"/>
                <c:pt idx="0" c:formatCode="0.00%">
                  <c:v>2019年</c:v>
                </c:pt>
                <c:pt idx="1">
                  <c:v>2020年</c:v>
                </c:pt>
              </c:strCache>
            </c:strRef>
          </c:cat>
          <c:val>
            <c:numRef>
              <c:f>'[新建 XLS 工作表 (2).xls]Sheet1'!$B$4:$C$4</c:f>
              <c:numCache>
                <c:formatCode>General</c:formatCode>
                <c:ptCount val="2"/>
                <c:pt idx="0">
                  <c:v>3845.45</c:v>
                </c:pt>
                <c:pt idx="1">
                  <c:v>2336.48</c:v>
                </c:pt>
              </c:numCache>
            </c:numRef>
          </c:val>
        </c:ser>
        <c:ser>
          <c:idx val="1"/>
          <c:order val="1"/>
          <c:tx>
            <c:strRef>
              <c:f>'[新建 XLS 工作表 (2).xls]Sheet1'!$A$5</c:f>
              <c:strCache>
                <c:ptCount val="1"/>
                <c:pt idx="0">
                  <c:v/>
                </c:pt>
              </c:strCache>
            </c:strRef>
          </c:tx>
          <c:spPr>
            <a:solidFill>
              <a:schemeClr val="accent2"/>
            </a:solidFill>
            <a:ln>
              <a:noFill/>
            </a:ln>
            <a:effectLst/>
          </c:spPr>
          <c:invertIfNegative val="0"/>
          <c:dLbls>
            <c:delete val="1"/>
          </c:dLbls>
          <c:cat>
            <c:strRef>
              <c:f>'[新建 XLS 工作表 (2).xls]Sheet1'!$B$3:$C$3</c:f>
              <c:strCache>
                <c:ptCount val="2"/>
                <c:pt idx="0" c:formatCode="0.00%">
                  <c:v>2019年</c:v>
                </c:pt>
                <c:pt idx="1">
                  <c:v>2020年</c:v>
                </c:pt>
              </c:strCache>
            </c:strRef>
          </c:cat>
          <c:val>
            <c:numRef>
              <c:f>'[新建 XLS 工作表 (2).xls]Sheet1'!$B$5:$C$5</c:f>
              <c:numCache>
                <c:formatCode>General</c:formatCode>
                <c:ptCount val="2"/>
              </c:numCache>
            </c:numRef>
          </c:val>
        </c:ser>
        <c:dLbls>
          <c:showLegendKey val="0"/>
          <c:showVal val="0"/>
          <c:showCatName val="0"/>
          <c:showSerName val="0"/>
          <c:showPercent val="0"/>
          <c:showBubbleSize val="0"/>
        </c:dLbls>
        <c:gapWidth val="219"/>
        <c:overlap val="-27"/>
        <c:axId val="356657519"/>
        <c:axId val="307354241"/>
      </c:barChart>
      <c:catAx>
        <c:axId val="3566575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crossAx val="307354241"/>
        <c:crosses val="autoZero"/>
        <c:auto val="1"/>
        <c:lblAlgn val="ctr"/>
        <c:lblOffset val="100"/>
        <c:noMultiLvlLbl val="0"/>
      </c:catAx>
      <c:valAx>
        <c:axId val="3073542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65751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legendEntry>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仿宋_GB2312" panose="0201060903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185277777777778"/>
          <c:y val="0.01736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(2).xls]Sheet1'!$A$4:$A$10</c:f>
              <c:strCache>
                <c:ptCount val="7"/>
                <c:pt idx="0">
                  <c:v>一般公共服务支出</c:v>
                </c:pt>
                <c:pt idx="1">
                  <c:v>文化旅游体育与传媒支出</c:v>
                </c:pt>
                <c:pt idx="2">
                  <c:v>社会保障和就业</c:v>
                </c:pt>
                <c:pt idx="3">
                  <c:v>卫生健康支出</c:v>
                </c:pt>
                <c:pt idx="4">
                  <c:v>城乡社区支出</c:v>
                </c:pt>
                <c:pt idx="5">
                  <c:v>农林水支出</c:v>
                </c:pt>
                <c:pt idx="6">
                  <c:v>住房保障支出</c:v>
                </c:pt>
              </c:strCache>
            </c:strRef>
          </c:cat>
          <c:val>
            <c:numRef>
              <c:f>'[新建 XLS 工作表 (2).xls]Sheet1'!$B$4:$B$10</c:f>
              <c:numCache>
                <c:formatCode>0.00%</c:formatCode>
                <c:ptCount val="7"/>
                <c:pt idx="0">
                  <c:v>0.2778</c:v>
                </c:pt>
                <c:pt idx="1">
                  <c:v>0.0336</c:v>
                </c:pt>
                <c:pt idx="2">
                  <c:v>0.0833</c:v>
                </c:pt>
                <c:pt idx="3">
                  <c:v>0.0097</c:v>
                </c:pt>
                <c:pt idx="4">
                  <c:v>0.2178</c:v>
                </c:pt>
                <c:pt idx="5">
                  <c:v>0.3437</c:v>
                </c:pt>
                <c:pt idx="6">
                  <c:v>0.0341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a:t>
            </a:r>
            <a:r>
              <a:rPr>
                <a:solidFill>
                  <a:schemeClr val="tx1">
                    <a:lumMod val="65000"/>
                    <a:lumOff val="35000"/>
                  </a:schemeClr>
                </a:solidFill>
                <a:uFillTx/>
                <a:ea typeface="仿宋_GB2312" panose="02010609030101010101" pitchFamily="3" charset="-122"/>
              </a:rPr>
              <a:t>拨款</a:t>
            </a:r>
            <a:r>
              <a:t>支出结构</a:t>
            </a:r>
          </a:p>
        </c:rich>
      </c:tx>
      <c:layout>
        <c:manualLayout>
          <c:xMode val="edge"/>
          <c:yMode val="edge"/>
          <c:x val="0.229027777777778"/>
          <c:y val="0.052083333333333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140688768363235"/>
                  <c:y val="0.0223066192775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(2).xls]Sheet1'!$A$3:$A$5</c:f>
              <c:strCache>
                <c:ptCount val="3"/>
                <c:pt idx="0">
                  <c:v>因公出国（境）费</c:v>
                </c:pt>
                <c:pt idx="1">
                  <c:v>公务用车购置及运行维护费</c:v>
                </c:pt>
                <c:pt idx="2">
                  <c:v>公务接待费</c:v>
                </c:pt>
              </c:strCache>
            </c:strRef>
          </c:cat>
          <c:val>
            <c:numRef>
              <c:f>'[新建 XLS 工作表 (2).xls]Sheet1'!$B$3:$B$5</c:f>
              <c:numCache>
                <c:formatCode>0.00%</c:formatCode>
                <c:ptCount val="3"/>
                <c:pt idx="0">
                  <c:v>0</c:v>
                </c:pt>
                <c:pt idx="1">
                  <c:v>0.9889</c:v>
                </c:pt>
                <c:pt idx="2">
                  <c:v>0.0111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仿宋_GB2312" panose="02010609030101010101" pitchFamily="3" charset="-122"/>
                <a:ea typeface="仿宋_GB2312" panose="02010609030101010101" pitchFamily="3" charset="-122"/>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仿宋_GB2312" panose="02010609030101010101" pitchFamily="3" charset="-122"/>
                <a:ea typeface="仿宋_GB2312" panose="02010609030101010101" pitchFamily="3" charset="-122"/>
                <a:cs typeface="+mn-cs"/>
              </a:defRPr>
            </a:pPr>
          </a:p>
        </c:txPr>
      </c:legendEntry>
      <c:legendEntry>
        <c:idx val="2"/>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仿宋_GB2312" panose="02010609030101010101" pitchFamily="3" charset="-122"/>
                <a:ea typeface="仿宋_GB2312" panose="02010609030101010101" pitchFamily="3" charset="-122"/>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仿宋_GB2312" panose="02010609030101010101" pitchFamily="3" charset="-122"/>
              <a:ea typeface="仿宋_GB2312" panose="02010609030101010101" pitchFamily="3"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26</TotalTime>
  <ScaleCrop>false</ScaleCrop>
  <LinksUpToDate>false</LinksUpToDate>
  <CharactersWithSpaces>8536</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峨眉山市符溪镇人民政府</cp:lastModifiedBy>
  <cp:lastPrinted>2021-10-18T02:27:00Z</cp:lastPrinted>
  <dcterms:modified xsi:type="dcterms:W3CDTF">2022-05-31T07:32:55Z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997AF8D077F244FCB7E42E06C8B30BDC</vt:lpwstr>
  </property>
</Properties>
</file>