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峨眉山市教育部门2021年预算公开表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五、财政拨款支出预算表（政府经济分类科目）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六、基本支出预算表 </w:t>
      </w:r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、一般公共预算支出总表</w:t>
      </w:r>
    </w:p>
    <w:p>
      <w:p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八、一般公共预算基本支出预算表</w:t>
      </w:r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val="en-US" w:eastAsia="zh-CN" w:bidi="ar"/>
        </w:rPr>
        <w:t>九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、一般公共预算支出预算表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十、一般公共预算项目支出预算表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十一、政府性基金预算表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十二、国有资本经营支出预算表 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十</w:t>
      </w: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、社会保险基金预算表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十五、政府采购预算表</w:t>
      </w:r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val="en-US" w:eastAsia="zh-CN" w:bidi="ar"/>
        </w:rPr>
        <w:t>十六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、部门（单位）整体支出绩效目标申报表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十七、2021年项目绩效目标统计表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102AA0"/>
    <w:rsid w:val="108933A1"/>
    <w:rsid w:val="150936CC"/>
    <w:rsid w:val="192066CD"/>
    <w:rsid w:val="319F176C"/>
    <w:rsid w:val="4B3C2E2A"/>
    <w:rsid w:val="4DC13868"/>
    <w:rsid w:val="61617CBB"/>
    <w:rsid w:val="67A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dcterms:modified xsi:type="dcterms:W3CDTF">2022-06-02T02:29:32Z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