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04829127"/>
      <w:bookmarkStart w:id="1" w:name="_Toc104829783"/>
      <w:bookmarkStart w:id="2" w:name="_Toc104829729"/>
      <w:bookmarkStart w:id="3" w:name="_Toc104830190"/>
      <w:r>
        <w:rPr>
          <w:rFonts w:hint="eastAsia" w:ascii="方正小标宋简体" w:hAnsi="宋体" w:eastAsia="方正小标宋简体"/>
          <w:color w:val="000000"/>
          <w:sz w:val="72"/>
          <w:szCs w:val="72"/>
        </w:rPr>
        <w:t>峨眉山市</w:t>
      </w:r>
      <w:bookmarkEnd w:id="0"/>
      <w:r>
        <w:rPr>
          <w:rFonts w:hint="eastAsia" w:ascii="方正小标宋简体" w:hAnsi="宋体" w:eastAsia="方正小标宋简体"/>
          <w:color w:val="000000"/>
          <w:sz w:val="72"/>
          <w:szCs w:val="72"/>
        </w:rPr>
        <w:t>社区卫生服务中心</w:t>
      </w:r>
      <w:bookmarkEnd w:id="1"/>
      <w:bookmarkEnd w:id="2"/>
      <w:bookmarkEnd w:id="3"/>
    </w:p>
    <w:p>
      <w:pPr>
        <w:adjustRightInd w:val="0"/>
        <w:snapToGrid w:val="0"/>
        <w:spacing w:line="360" w:lineRule="auto"/>
        <w:jc w:val="center"/>
        <w:outlineLvl w:val="0"/>
        <w:rPr>
          <w:rFonts w:ascii="方正小标宋简体" w:hAnsi="宋体" w:eastAsia="方正小标宋简体"/>
          <w:color w:val="000000"/>
          <w:sz w:val="72"/>
          <w:szCs w:val="72"/>
        </w:rPr>
      </w:pPr>
      <w:bookmarkStart w:id="4" w:name="_Toc104829128"/>
      <w:bookmarkStart w:id="5" w:name="_Toc104824582"/>
      <w:bookmarkStart w:id="6" w:name="_Toc104830191"/>
      <w:bookmarkStart w:id="7" w:name="_Toc104829730"/>
      <w:bookmarkStart w:id="8" w:name="_Toc104829784"/>
      <w:r>
        <w:rPr>
          <w:rFonts w:hint="eastAsia" w:ascii="方正小标宋简体" w:hAnsi="宋体" w:eastAsia="方正小标宋简体"/>
          <w:color w:val="000000"/>
          <w:sz w:val="72"/>
          <w:szCs w:val="72"/>
        </w:rPr>
        <w:t>2022年预算编制说明</w:t>
      </w:r>
      <w:bookmarkEnd w:id="4"/>
      <w:bookmarkEnd w:id="5"/>
      <w:bookmarkEnd w:id="6"/>
      <w:bookmarkEnd w:id="7"/>
      <w:bookmarkEnd w:id="8"/>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ascii="黑体" w:eastAsia="黑体"/>
          <w:color w:val="000000" w:themeColor="text1"/>
          <w:sz w:val="32"/>
          <w:szCs w:val="32"/>
        </w:rPr>
      </w:pPr>
    </w:p>
    <w:p>
      <w:pPr>
        <w:spacing w:line="600" w:lineRule="exact"/>
        <w:outlineLvl w:val="0"/>
        <w:rPr>
          <w:rFonts w:hint="eastAsia" w:asciiTheme="minorHAnsi" w:hAnsiTheme="minorHAnsi" w:eastAsiaTheme="minorEastAsia" w:cstheme="minorBidi"/>
        </w:rPr>
      </w:pPr>
    </w:p>
    <w:sdt>
      <w:sdtPr>
        <w:rPr>
          <w:lang w:val="zh-CN"/>
        </w:rPr>
        <w:id w:val="35067621"/>
        <w:docPartObj>
          <w:docPartGallery w:val="Table of Contents"/>
          <w:docPartUnique/>
        </w:docPartObj>
      </w:sdtPr>
      <w:sdtEndPr>
        <w:rPr>
          <w:rFonts w:cs="Times New Roman" w:asciiTheme="minorEastAsia" w:hAnsiTheme="minorEastAsia" w:eastAsiaTheme="minorEastAsia"/>
          <w:b w:val="0"/>
          <w:bCs w:val="0"/>
          <w:color w:val="auto"/>
          <w:kern w:val="2"/>
          <w:sz w:val="30"/>
          <w:szCs w:val="30"/>
          <w:lang w:val="en-US"/>
        </w:rPr>
      </w:sdtEndPr>
      <w:sdtContent>
        <w:p>
          <w:pPr>
            <w:pStyle w:val="18"/>
            <w:jc w:val="center"/>
            <w:rPr>
              <w:color w:val="000000" w:themeColor="text1"/>
              <w:sz w:val="30"/>
              <w:szCs w:val="30"/>
            </w:rPr>
          </w:pPr>
          <w:r>
            <w:rPr>
              <w:rFonts w:asciiTheme="minorEastAsia" w:hAnsiTheme="minorEastAsia" w:eastAsiaTheme="minorEastAsia"/>
              <w:color w:val="000000" w:themeColor="text1"/>
              <w:sz w:val="32"/>
              <w:szCs w:val="32"/>
              <w:lang w:val="zh-CN"/>
            </w:rPr>
            <w:t>目录</w:t>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"1-3" \h \z \u </w:instrText>
          </w:r>
          <w:r>
            <w:rPr>
              <w:rFonts w:asciiTheme="minorEastAsia" w:hAnsiTheme="minorEastAsia" w:eastAsiaTheme="minorEastAsia"/>
              <w:sz w:val="30"/>
              <w:szCs w:val="30"/>
            </w:rPr>
            <w:fldChar w:fldCharType="separate"/>
          </w:r>
        </w:p>
        <w:p>
          <w:pPr>
            <w:pStyle w:val="7"/>
            <w:tabs>
              <w:tab w:val="right" w:leader="dot" w:pos="8960"/>
            </w:tabs>
            <w:rPr>
              <w:rFonts w:asciiTheme="minorEastAsia" w:hAnsiTheme="minorEastAsia" w:eastAsiaTheme="minorEastAsia" w:cstheme="minorBidi"/>
              <w:sz w:val="30"/>
              <w:szCs w:val="30"/>
            </w:rPr>
          </w:pPr>
          <w:r>
            <w:fldChar w:fldCharType="begin"/>
          </w:r>
          <w:r>
            <w:instrText xml:space="preserve"> HYPERLINK \l "_Toc104830192" </w:instrText>
          </w:r>
          <w:r>
            <w:fldChar w:fldCharType="separate"/>
          </w:r>
          <w:r>
            <w:rPr>
              <w:rStyle w:val="11"/>
              <w:rFonts w:hint="eastAsia" w:asciiTheme="minorEastAsia" w:hAnsiTheme="minorEastAsia" w:eastAsiaTheme="minorEastAsia"/>
              <w:sz w:val="30"/>
              <w:szCs w:val="30"/>
            </w:rPr>
            <w:t>第一部分</w:t>
          </w:r>
          <w:r>
            <w:rPr>
              <w:rStyle w:val="11"/>
              <w:rFonts w:asciiTheme="minorEastAsia" w:hAnsiTheme="minorEastAsia" w:eastAsiaTheme="minorEastAsia"/>
              <w:sz w:val="30"/>
              <w:szCs w:val="30"/>
            </w:rPr>
            <w:t xml:space="preserve">  </w:t>
          </w:r>
          <w:r>
            <w:rPr>
              <w:rStyle w:val="11"/>
              <w:rFonts w:hint="eastAsia" w:asciiTheme="minorEastAsia" w:hAnsiTheme="minorEastAsia" w:eastAsiaTheme="minorEastAsia"/>
              <w:sz w:val="30"/>
              <w:szCs w:val="30"/>
            </w:rPr>
            <w:t>关于峨眉山市社区卫生服务中心</w:t>
          </w:r>
          <w:r>
            <w:rPr>
              <w:rStyle w:val="11"/>
              <w:rFonts w:asciiTheme="minorEastAsia" w:hAnsiTheme="minorEastAsia" w:eastAsiaTheme="minorEastAsia"/>
              <w:sz w:val="30"/>
              <w:szCs w:val="30"/>
            </w:rPr>
            <w:t>2022</w:t>
          </w:r>
          <w:r>
            <w:rPr>
              <w:rStyle w:val="11"/>
              <w:rFonts w:hint="eastAsia" w:asciiTheme="minorEastAsia" w:hAnsiTheme="minorEastAsia" w:eastAsiaTheme="minorEastAsia"/>
              <w:sz w:val="30"/>
              <w:szCs w:val="30"/>
            </w:rPr>
            <w:t>年预算编制的说明</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_Toc104830192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4</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"_Toc104830194" </w:instrText>
          </w:r>
          <w:r>
            <w:fldChar w:fldCharType="separate"/>
          </w:r>
          <w:r>
            <w:rPr>
              <w:rStyle w:val="11"/>
              <w:rFonts w:hint="eastAsia" w:asciiTheme="minorEastAsia" w:hAnsiTheme="minorEastAsia" w:eastAsiaTheme="minorEastAsia"/>
              <w:sz w:val="30"/>
              <w:szCs w:val="30"/>
            </w:rPr>
            <w:t>一、基本职能及主要工作</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_Toc104830194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4</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"_Toc104830202" </w:instrText>
          </w:r>
          <w:r>
            <w:fldChar w:fldCharType="separate"/>
          </w:r>
          <w:r>
            <w:rPr>
              <w:rStyle w:val="11"/>
              <w:rFonts w:hint="eastAsia" w:asciiTheme="minorEastAsia" w:hAnsiTheme="minorEastAsia" w:eastAsiaTheme="minorEastAsia"/>
              <w:sz w:val="30"/>
              <w:szCs w:val="30"/>
            </w:rPr>
            <w:t>二、部门概况</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_Toc104830202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6</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"_Toc104830203" </w:instrText>
          </w:r>
          <w:r>
            <w:fldChar w:fldCharType="separate"/>
          </w:r>
          <w:r>
            <w:rPr>
              <w:rStyle w:val="11"/>
              <w:rFonts w:hint="eastAsia" w:asciiTheme="minorEastAsia" w:hAnsiTheme="minorEastAsia" w:eastAsiaTheme="minorEastAsia"/>
              <w:sz w:val="30"/>
              <w:szCs w:val="30"/>
            </w:rPr>
            <w:t>三、收支预算总体情况</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_Toc104830203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6</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"_Toc104830204" </w:instrText>
          </w:r>
          <w:r>
            <w:fldChar w:fldCharType="separate"/>
          </w:r>
          <w:r>
            <w:rPr>
              <w:rStyle w:val="11"/>
              <w:rFonts w:hint="eastAsia" w:asciiTheme="minorEastAsia" w:hAnsiTheme="minorEastAsia" w:eastAsiaTheme="minorEastAsia"/>
              <w:sz w:val="30"/>
              <w:szCs w:val="30"/>
            </w:rPr>
            <w:t>四、财政拨款支出预算安排情况</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_Toc104830204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7</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"_Toc104830205" </w:instrText>
          </w:r>
          <w:r>
            <w:fldChar w:fldCharType="separate"/>
          </w:r>
          <w:r>
            <w:rPr>
              <w:rStyle w:val="11"/>
              <w:rFonts w:hint="eastAsia" w:asciiTheme="minorEastAsia" w:hAnsiTheme="minorEastAsia" w:eastAsiaTheme="minorEastAsia"/>
              <w:sz w:val="30"/>
              <w:szCs w:val="30"/>
            </w:rPr>
            <w:t>五、一般公共预算当年拨款情况说明</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_Toc104830205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7</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"_Toc104830206" </w:instrText>
          </w:r>
          <w:r>
            <w:fldChar w:fldCharType="separate"/>
          </w:r>
          <w:r>
            <w:rPr>
              <w:rStyle w:val="11"/>
              <w:rFonts w:hint="eastAsia" w:asciiTheme="minorEastAsia" w:hAnsiTheme="minorEastAsia" w:eastAsiaTheme="minorEastAsia"/>
              <w:sz w:val="30"/>
              <w:szCs w:val="30"/>
            </w:rPr>
            <w:t>六、一般公共预算基本支出情况说明</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_Toc104830206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8</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"_Toc104830210" </w:instrText>
          </w:r>
          <w:r>
            <w:fldChar w:fldCharType="separate"/>
          </w:r>
          <w:r>
            <w:rPr>
              <w:rStyle w:val="11"/>
              <w:rFonts w:hint="eastAsia" w:asciiTheme="minorEastAsia" w:hAnsiTheme="minorEastAsia" w:eastAsiaTheme="minorEastAsia"/>
              <w:sz w:val="30"/>
              <w:szCs w:val="30"/>
            </w:rPr>
            <w:t>七、政府性基金预算支出规模及变化情况说明</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_Toc104830210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9</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"_Toc104830212" </w:instrText>
          </w:r>
          <w:r>
            <w:fldChar w:fldCharType="separate"/>
          </w:r>
          <w:r>
            <w:rPr>
              <w:rStyle w:val="11"/>
              <w:rFonts w:hint="eastAsia" w:asciiTheme="minorEastAsia" w:hAnsiTheme="minorEastAsia" w:eastAsiaTheme="minorEastAsia"/>
              <w:sz w:val="30"/>
              <w:szCs w:val="30"/>
            </w:rPr>
            <w:t>八、“三公”经费预算安排情况说明</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_Toc104830212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9</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"_Toc104830218" </w:instrText>
          </w:r>
          <w:r>
            <w:fldChar w:fldCharType="separate"/>
          </w:r>
          <w:r>
            <w:rPr>
              <w:rStyle w:val="11"/>
              <w:rFonts w:hint="eastAsia" w:asciiTheme="minorEastAsia" w:hAnsiTheme="minorEastAsia" w:eastAsiaTheme="minorEastAsia"/>
              <w:sz w:val="30"/>
              <w:szCs w:val="30"/>
            </w:rPr>
            <w:t>九、其他重要事项的情况说明</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_Toc104830218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9</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"_Toc104830227" </w:instrText>
          </w:r>
          <w:r>
            <w:fldChar w:fldCharType="separate"/>
          </w:r>
          <w:r>
            <w:rPr>
              <w:rStyle w:val="11"/>
              <w:rFonts w:hint="eastAsia" w:asciiTheme="minorEastAsia" w:hAnsiTheme="minorEastAsia" w:eastAsiaTheme="minorEastAsia"/>
              <w:sz w:val="30"/>
              <w:szCs w:val="30"/>
            </w:rPr>
            <w:t>十、名词解释</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_Toc104830227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10</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7"/>
            <w:tabs>
              <w:tab w:val="right" w:leader="dot" w:pos="8960"/>
            </w:tabs>
            <w:rPr>
              <w:rFonts w:asciiTheme="minorEastAsia" w:hAnsiTheme="minorEastAsia" w:eastAsiaTheme="minorEastAsia" w:cstheme="minorBidi"/>
              <w:sz w:val="30"/>
              <w:szCs w:val="30"/>
            </w:rPr>
          </w:pPr>
          <w:r>
            <w:fldChar w:fldCharType="begin"/>
          </w:r>
          <w:r>
            <w:instrText xml:space="preserve"> HYPERLINK \l "_Toc104830228" </w:instrText>
          </w:r>
          <w:r>
            <w:fldChar w:fldCharType="separate"/>
          </w:r>
          <w:r>
            <w:rPr>
              <w:rStyle w:val="11"/>
              <w:rFonts w:hint="eastAsia" w:asciiTheme="minorEastAsia" w:hAnsiTheme="minorEastAsia" w:eastAsiaTheme="minorEastAsia"/>
              <w:sz w:val="30"/>
              <w:szCs w:val="30"/>
            </w:rPr>
            <w:t>第二部分</w:t>
          </w:r>
          <w:r>
            <w:rPr>
              <w:rStyle w:val="11"/>
              <w:rFonts w:asciiTheme="minorEastAsia" w:hAnsiTheme="minorEastAsia" w:eastAsiaTheme="minorEastAsia"/>
              <w:sz w:val="30"/>
              <w:szCs w:val="30"/>
            </w:rPr>
            <w:t xml:space="preserve">  </w:t>
          </w:r>
          <w:r>
            <w:rPr>
              <w:rStyle w:val="11"/>
              <w:rFonts w:hint="eastAsia" w:asciiTheme="minorEastAsia" w:hAnsiTheme="minorEastAsia" w:eastAsiaTheme="minorEastAsia"/>
              <w:sz w:val="30"/>
              <w:szCs w:val="30"/>
            </w:rPr>
            <w:t>峨眉山市社区卫生服务中心</w:t>
          </w:r>
          <w:r>
            <w:rPr>
              <w:rStyle w:val="11"/>
              <w:rFonts w:asciiTheme="minorEastAsia" w:hAnsiTheme="minorEastAsia" w:eastAsiaTheme="minorEastAsia"/>
              <w:sz w:val="30"/>
              <w:szCs w:val="30"/>
            </w:rPr>
            <w:t>2022</w:t>
          </w:r>
          <w:r>
            <w:rPr>
              <w:rStyle w:val="11"/>
              <w:rFonts w:hint="eastAsia" w:asciiTheme="minorEastAsia" w:hAnsiTheme="minorEastAsia" w:eastAsiaTheme="minorEastAsia"/>
              <w:sz w:val="30"/>
              <w:szCs w:val="30"/>
            </w:rPr>
            <w:t>年预算编制的说明附表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_Toc104830228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ind w:left="0" w:leftChars="0" w:firstLine="420" w:firstLineChars="200"/>
            <w:rPr>
              <w:rFonts w:asciiTheme="minorEastAsia" w:hAnsiTheme="minorEastAsia" w:eastAsiaTheme="minorEastAsia" w:cstheme="minorBidi"/>
              <w:sz w:val="30"/>
              <w:szCs w:val="30"/>
            </w:rPr>
          </w:pPr>
          <w:r>
            <w:fldChar w:fldCharType="begin"/>
          </w:r>
          <w:r>
            <w:instrText xml:space="preserve"> HYPERLINK \l "_Toc104830230" </w:instrText>
          </w:r>
          <w:r>
            <w:fldChar w:fldCharType="separate"/>
          </w:r>
          <w:r>
            <w:rPr>
              <w:rStyle w:val="11"/>
              <w:rFonts w:hint="eastAsia" w:asciiTheme="minorEastAsia" w:hAnsiTheme="minorEastAsia" w:eastAsiaTheme="minorEastAsia"/>
              <w:sz w:val="30"/>
              <w:szCs w:val="30"/>
            </w:rPr>
            <w:t>一、收支预算总表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_Toc104830230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"_Toc104830231" </w:instrText>
          </w:r>
          <w:r>
            <w:fldChar w:fldCharType="separate"/>
          </w:r>
          <w:r>
            <w:rPr>
              <w:rStyle w:val="11"/>
              <w:rFonts w:hint="eastAsia" w:asciiTheme="minorEastAsia" w:hAnsiTheme="minorEastAsia" w:eastAsiaTheme="minorEastAsia"/>
              <w:sz w:val="30"/>
              <w:szCs w:val="30"/>
            </w:rPr>
            <w:t>二、收入预算总表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_Toc104830231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"_Toc104830232" </w:instrText>
          </w:r>
          <w:r>
            <w:fldChar w:fldCharType="separate"/>
          </w:r>
          <w:r>
            <w:rPr>
              <w:rStyle w:val="11"/>
              <w:rFonts w:hint="eastAsia" w:asciiTheme="minorEastAsia" w:hAnsiTheme="minorEastAsia" w:eastAsiaTheme="minorEastAsia"/>
              <w:sz w:val="30"/>
              <w:szCs w:val="30"/>
            </w:rPr>
            <w:t>三、支出预算总表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_Toc104830232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"_Toc104830233" </w:instrText>
          </w:r>
          <w:r>
            <w:fldChar w:fldCharType="separate"/>
          </w:r>
          <w:r>
            <w:rPr>
              <w:rStyle w:val="11"/>
              <w:rFonts w:hint="eastAsia" w:asciiTheme="minorEastAsia" w:hAnsiTheme="minorEastAsia" w:eastAsiaTheme="minorEastAsia"/>
              <w:sz w:val="30"/>
              <w:szCs w:val="30"/>
            </w:rPr>
            <w:t>四、财政拨款预算总表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_Toc104830233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"_Toc104830234" </w:instrText>
          </w:r>
          <w:r>
            <w:fldChar w:fldCharType="separate"/>
          </w:r>
          <w:r>
            <w:rPr>
              <w:rStyle w:val="11"/>
              <w:rFonts w:hint="eastAsia" w:asciiTheme="minorEastAsia" w:hAnsiTheme="minorEastAsia" w:eastAsiaTheme="minorEastAsia"/>
              <w:sz w:val="30"/>
              <w:szCs w:val="30"/>
            </w:rPr>
            <w:t>五、一般公共预算支出表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_Toc104830234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"_Toc104830235" </w:instrText>
          </w:r>
          <w:r>
            <w:fldChar w:fldCharType="separate"/>
          </w:r>
          <w:r>
            <w:rPr>
              <w:rStyle w:val="11"/>
              <w:rFonts w:hint="eastAsia" w:asciiTheme="minorEastAsia" w:hAnsiTheme="minorEastAsia" w:eastAsiaTheme="minorEastAsia"/>
              <w:sz w:val="30"/>
              <w:szCs w:val="30"/>
            </w:rPr>
            <w:t>六、一般公共预算基本支出表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_Toc104830235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"_Toc104830236" </w:instrText>
          </w:r>
          <w:r>
            <w:fldChar w:fldCharType="separate"/>
          </w:r>
          <w:r>
            <w:rPr>
              <w:rStyle w:val="11"/>
              <w:rFonts w:hint="eastAsia" w:asciiTheme="minorEastAsia" w:hAnsiTheme="minorEastAsia" w:eastAsiaTheme="minorEastAsia"/>
              <w:sz w:val="30"/>
              <w:szCs w:val="30"/>
            </w:rPr>
            <w:t>七、一般公共预算“三公”经费支出预算表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_Toc104830236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"_Toc104830237" </w:instrText>
          </w:r>
          <w:r>
            <w:fldChar w:fldCharType="separate"/>
          </w:r>
          <w:r>
            <w:rPr>
              <w:rStyle w:val="11"/>
              <w:rFonts w:hint="eastAsia" w:asciiTheme="minorEastAsia" w:hAnsiTheme="minorEastAsia" w:eastAsiaTheme="minorEastAsia"/>
              <w:sz w:val="30"/>
              <w:szCs w:val="30"/>
            </w:rPr>
            <w:t>八、政府性基金预算支出表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_Toc104830237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11</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"_Toc104830238" </w:instrText>
          </w:r>
          <w:r>
            <w:fldChar w:fldCharType="separate"/>
          </w:r>
          <w:r>
            <w:rPr>
              <w:rStyle w:val="11"/>
              <w:rFonts w:hint="eastAsia" w:asciiTheme="minorEastAsia" w:hAnsiTheme="minorEastAsia" w:eastAsiaTheme="minorEastAsia"/>
              <w:sz w:val="30"/>
              <w:szCs w:val="30"/>
            </w:rPr>
            <w:t>九、国有资本经营预算支出表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_Toc104830238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"_Toc104830239" </w:instrText>
          </w:r>
          <w:r>
            <w:fldChar w:fldCharType="separate"/>
          </w:r>
          <w:r>
            <w:rPr>
              <w:rStyle w:val="11"/>
              <w:rFonts w:hint="eastAsia" w:asciiTheme="minorEastAsia" w:hAnsiTheme="minorEastAsia" w:eastAsiaTheme="minorEastAsia"/>
              <w:sz w:val="30"/>
              <w:szCs w:val="30"/>
            </w:rPr>
            <w:t>十、</w:t>
          </w:r>
          <w:r>
            <w:rPr>
              <w:rStyle w:val="11"/>
              <w:rFonts w:asciiTheme="minorEastAsia" w:hAnsiTheme="minorEastAsia" w:eastAsiaTheme="minorEastAsia"/>
              <w:sz w:val="30"/>
              <w:szCs w:val="30"/>
            </w:rPr>
            <w:t xml:space="preserve"> </w:t>
          </w:r>
          <w:r>
            <w:rPr>
              <w:rStyle w:val="11"/>
              <w:rFonts w:hint="eastAsia" w:asciiTheme="minorEastAsia" w:hAnsiTheme="minorEastAsia" w:eastAsiaTheme="minorEastAsia"/>
              <w:sz w:val="30"/>
              <w:szCs w:val="30"/>
            </w:rPr>
            <w:t>支出功能分类预算表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_Toc104830239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"_Toc104830240" </w:instrText>
          </w:r>
          <w:r>
            <w:fldChar w:fldCharType="separate"/>
          </w:r>
          <w:r>
            <w:rPr>
              <w:rStyle w:val="11"/>
              <w:rFonts w:hint="eastAsia" w:asciiTheme="minorEastAsia" w:hAnsiTheme="minorEastAsia" w:eastAsiaTheme="minorEastAsia"/>
              <w:sz w:val="30"/>
              <w:szCs w:val="30"/>
            </w:rPr>
            <w:t>十一、</w:t>
          </w:r>
          <w:r>
            <w:rPr>
              <w:rStyle w:val="11"/>
              <w:rFonts w:asciiTheme="minorEastAsia" w:hAnsiTheme="minorEastAsia" w:eastAsiaTheme="minorEastAsia"/>
              <w:sz w:val="30"/>
              <w:szCs w:val="30"/>
            </w:rPr>
            <w:t xml:space="preserve"> </w:t>
          </w:r>
          <w:r>
            <w:rPr>
              <w:rStyle w:val="11"/>
              <w:rFonts w:hint="eastAsia" w:asciiTheme="minorEastAsia" w:hAnsiTheme="minorEastAsia" w:eastAsiaTheme="minorEastAsia"/>
              <w:sz w:val="30"/>
              <w:szCs w:val="30"/>
            </w:rPr>
            <w:t>支出经济分类预算表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_Toc104830240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"_Toc104830241" </w:instrText>
          </w:r>
          <w:r>
            <w:fldChar w:fldCharType="separate"/>
          </w:r>
          <w:r>
            <w:rPr>
              <w:rStyle w:val="11"/>
              <w:rFonts w:hint="eastAsia" w:asciiTheme="minorEastAsia" w:hAnsiTheme="minorEastAsia" w:eastAsiaTheme="minorEastAsia"/>
              <w:sz w:val="30"/>
              <w:szCs w:val="30"/>
            </w:rPr>
            <w:t>十二、</w:t>
          </w:r>
          <w:r>
            <w:rPr>
              <w:rStyle w:val="11"/>
              <w:rFonts w:asciiTheme="minorEastAsia" w:hAnsiTheme="minorEastAsia" w:eastAsiaTheme="minorEastAsia"/>
              <w:sz w:val="30"/>
              <w:szCs w:val="30"/>
            </w:rPr>
            <w:t xml:space="preserve"> </w:t>
          </w:r>
          <w:r>
            <w:rPr>
              <w:rStyle w:val="11"/>
              <w:rFonts w:hint="eastAsia" w:asciiTheme="minorEastAsia" w:hAnsiTheme="minorEastAsia" w:eastAsiaTheme="minorEastAsia"/>
              <w:sz w:val="30"/>
              <w:szCs w:val="30"/>
            </w:rPr>
            <w:t>项目支出表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_Toc104830241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pStyle w:val="8"/>
            <w:tabs>
              <w:tab w:val="right" w:leader="dot" w:pos="8960"/>
            </w:tabs>
            <w:rPr>
              <w:rFonts w:asciiTheme="minorEastAsia" w:hAnsiTheme="minorEastAsia" w:eastAsiaTheme="minorEastAsia" w:cstheme="minorBidi"/>
              <w:sz w:val="30"/>
              <w:szCs w:val="30"/>
            </w:rPr>
          </w:pPr>
          <w:r>
            <w:fldChar w:fldCharType="begin"/>
          </w:r>
          <w:r>
            <w:instrText xml:space="preserve"> HYPERLINK \l "_Toc104830242" </w:instrText>
          </w:r>
          <w:r>
            <w:fldChar w:fldCharType="separate"/>
          </w:r>
          <w:r>
            <w:rPr>
              <w:rStyle w:val="11"/>
              <w:rFonts w:hint="eastAsia" w:asciiTheme="minorEastAsia" w:hAnsiTheme="minorEastAsia" w:eastAsiaTheme="minorEastAsia"/>
              <w:sz w:val="30"/>
              <w:szCs w:val="30"/>
            </w:rPr>
            <w:t>十三、</w:t>
          </w:r>
          <w:r>
            <w:rPr>
              <w:rStyle w:val="11"/>
              <w:rFonts w:asciiTheme="minorEastAsia" w:hAnsiTheme="minorEastAsia" w:eastAsiaTheme="minorEastAsia"/>
              <w:sz w:val="30"/>
              <w:szCs w:val="30"/>
            </w:rPr>
            <w:t xml:space="preserve"> </w:t>
          </w:r>
          <w:r>
            <w:rPr>
              <w:rStyle w:val="11"/>
              <w:rFonts w:hint="eastAsia" w:asciiTheme="minorEastAsia" w:hAnsiTheme="minorEastAsia" w:eastAsiaTheme="minorEastAsia"/>
              <w:sz w:val="30"/>
              <w:szCs w:val="30"/>
            </w:rPr>
            <w:t>项目支出预算明细表</w:t>
          </w:r>
          <w:r>
            <w:rPr>
              <w:rFonts w:asciiTheme="minorEastAsia" w:hAnsiTheme="minorEastAsia" w:eastAsiaTheme="minorEastAsia"/>
              <w:sz w:val="30"/>
              <w:szCs w:val="30"/>
            </w:rPr>
            <w:tab/>
          </w: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PAGEREF _Toc104830242 \h </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rPr>
            <w:t>12</w:t>
          </w:r>
          <w:r>
            <w:rPr>
              <w:rFonts w:asciiTheme="minorEastAsia" w:hAnsiTheme="minorEastAsia" w:eastAsiaTheme="minorEastAsia"/>
              <w:sz w:val="30"/>
              <w:szCs w:val="30"/>
            </w:rPr>
            <w:fldChar w:fldCharType="end"/>
          </w:r>
          <w:r>
            <w:rPr>
              <w:rFonts w:asciiTheme="minorEastAsia" w:hAnsiTheme="minorEastAsia" w:eastAsiaTheme="minorEastAsia"/>
              <w:sz w:val="30"/>
              <w:szCs w:val="30"/>
            </w:rPr>
            <w:fldChar w:fldCharType="end"/>
          </w:r>
        </w:p>
        <w:p>
          <w:pPr>
            <w:rPr>
              <w:rFonts w:asciiTheme="minorEastAsia" w:hAnsiTheme="minorEastAsia" w:eastAsiaTheme="minorEastAsia"/>
              <w:sz w:val="30"/>
              <w:szCs w:val="30"/>
            </w:rPr>
          </w:pPr>
          <w:r>
            <w:rPr>
              <w:rFonts w:asciiTheme="minorEastAsia" w:hAnsiTheme="minorEastAsia" w:eastAsiaTheme="minorEastAsia"/>
              <w:sz w:val="30"/>
              <w:szCs w:val="30"/>
            </w:rPr>
            <w:fldChar w:fldCharType="end"/>
          </w:r>
        </w:p>
      </w:sdtContent>
    </w:sdt>
    <w:p>
      <w:pPr>
        <w:spacing w:line="600" w:lineRule="exact"/>
        <w:outlineLvl w:val="0"/>
        <w:rPr>
          <w:rFonts w:hint="eastAsia" w:asciiTheme="minorEastAsia" w:hAnsiTheme="minorEastAsia" w:eastAsiaTheme="minorEastAsia" w:cstheme="minorBidi"/>
          <w:sz w:val="30"/>
          <w:szCs w:val="30"/>
        </w:rPr>
      </w:pPr>
    </w:p>
    <w:p>
      <w:pPr>
        <w:spacing w:line="600" w:lineRule="exact"/>
        <w:outlineLvl w:val="0"/>
        <w:rPr>
          <w:rFonts w:hint="eastAsia" w:asciiTheme="minorEastAsia" w:hAnsiTheme="minorEastAsia" w:eastAsiaTheme="minorEastAsia" w:cstheme="minorBidi"/>
          <w:sz w:val="30"/>
          <w:szCs w:val="30"/>
        </w:rPr>
      </w:pPr>
    </w:p>
    <w:p>
      <w:pPr>
        <w:spacing w:line="600" w:lineRule="exact"/>
        <w:outlineLvl w:val="0"/>
        <w:rPr>
          <w:rFonts w:hint="eastAsia" w:asciiTheme="minorEastAsia" w:hAnsiTheme="minorEastAsia" w:eastAsiaTheme="minorEastAsia"/>
          <w:color w:val="000000" w:themeColor="text1"/>
          <w:sz w:val="30"/>
          <w:szCs w:val="30"/>
        </w:rPr>
      </w:pPr>
    </w:p>
    <w:p>
      <w:pPr>
        <w:spacing w:line="600" w:lineRule="exact"/>
        <w:outlineLvl w:val="0"/>
        <w:rPr>
          <w:rFonts w:hint="eastAsia" w:asciiTheme="minorEastAsia" w:hAnsiTheme="minorEastAsia" w:eastAsiaTheme="minorEastAsia"/>
          <w:color w:val="000000" w:themeColor="text1"/>
          <w:sz w:val="30"/>
          <w:szCs w:val="30"/>
        </w:rPr>
      </w:pPr>
    </w:p>
    <w:p>
      <w:pPr>
        <w:spacing w:line="600" w:lineRule="exact"/>
        <w:outlineLvl w:val="0"/>
        <w:rPr>
          <w:rFonts w:hint="eastAsia" w:asciiTheme="minorEastAsia" w:hAnsiTheme="minorEastAsia" w:eastAsiaTheme="minorEastAsia"/>
          <w:color w:val="000000" w:themeColor="text1"/>
          <w:sz w:val="30"/>
          <w:szCs w:val="30"/>
        </w:rPr>
      </w:pPr>
    </w:p>
    <w:p>
      <w:pPr>
        <w:spacing w:line="600" w:lineRule="exact"/>
        <w:outlineLvl w:val="0"/>
        <w:rPr>
          <w:rFonts w:hint="eastAsia" w:asciiTheme="minorEastAsia" w:hAnsiTheme="minorEastAsia" w:eastAsiaTheme="minorEastAsia"/>
          <w:color w:val="000000" w:themeColor="text1"/>
          <w:sz w:val="30"/>
          <w:szCs w:val="30"/>
        </w:rPr>
      </w:pPr>
    </w:p>
    <w:p>
      <w:pPr>
        <w:spacing w:line="600" w:lineRule="exact"/>
        <w:outlineLvl w:val="0"/>
        <w:rPr>
          <w:rFonts w:hint="eastAsia" w:asciiTheme="minorEastAsia" w:hAnsiTheme="minorEastAsia" w:eastAsiaTheme="minorEastAsia"/>
          <w:color w:val="000000" w:themeColor="text1"/>
          <w:sz w:val="30"/>
          <w:szCs w:val="30"/>
        </w:rPr>
      </w:pPr>
    </w:p>
    <w:p>
      <w:pPr>
        <w:spacing w:line="600" w:lineRule="exact"/>
        <w:outlineLvl w:val="0"/>
        <w:rPr>
          <w:rFonts w:hint="eastAsia" w:asciiTheme="minorEastAsia" w:hAnsiTheme="minorEastAsia" w:eastAsiaTheme="minorEastAsia"/>
          <w:color w:val="000000" w:themeColor="text1"/>
          <w:sz w:val="30"/>
          <w:szCs w:val="30"/>
        </w:rPr>
      </w:pPr>
    </w:p>
    <w:p>
      <w:pPr>
        <w:spacing w:line="600" w:lineRule="exact"/>
        <w:outlineLvl w:val="0"/>
        <w:rPr>
          <w:rFonts w:hint="eastAsia" w:asciiTheme="minorEastAsia" w:hAnsiTheme="minorEastAsia" w:eastAsiaTheme="minorEastAsia"/>
          <w:color w:val="000000" w:themeColor="text1"/>
          <w:sz w:val="30"/>
          <w:szCs w:val="30"/>
        </w:rPr>
      </w:pPr>
    </w:p>
    <w:p>
      <w:pPr>
        <w:spacing w:line="600" w:lineRule="exact"/>
        <w:outlineLvl w:val="0"/>
        <w:rPr>
          <w:rFonts w:hint="eastAsia" w:asciiTheme="minorEastAsia" w:hAnsiTheme="minorEastAsia" w:eastAsiaTheme="minorEastAsia"/>
          <w:color w:val="000000" w:themeColor="text1"/>
          <w:sz w:val="30"/>
          <w:szCs w:val="30"/>
        </w:rPr>
      </w:pPr>
    </w:p>
    <w:p>
      <w:pPr>
        <w:spacing w:line="600" w:lineRule="exact"/>
        <w:outlineLvl w:val="0"/>
        <w:rPr>
          <w:rFonts w:hint="eastAsia" w:asciiTheme="minorEastAsia" w:hAnsiTheme="minorEastAsia" w:eastAsiaTheme="minorEastAsia"/>
          <w:color w:val="000000" w:themeColor="text1"/>
          <w:sz w:val="30"/>
          <w:szCs w:val="30"/>
        </w:rPr>
      </w:pPr>
    </w:p>
    <w:p>
      <w:pPr>
        <w:spacing w:line="600" w:lineRule="exact"/>
        <w:outlineLvl w:val="0"/>
        <w:rPr>
          <w:rFonts w:asciiTheme="minorEastAsia" w:hAnsiTheme="minorEastAsia" w:eastAsiaTheme="minorEastAsia"/>
          <w:color w:val="000000" w:themeColor="text1"/>
          <w:sz w:val="30"/>
          <w:szCs w:val="30"/>
        </w:rPr>
      </w:pPr>
    </w:p>
    <w:p>
      <w:pPr>
        <w:spacing w:line="600" w:lineRule="exact"/>
        <w:jc w:val="center"/>
        <w:outlineLvl w:val="0"/>
        <w:rPr>
          <w:rFonts w:hint="eastAsia" w:asciiTheme="minorEastAsia" w:hAnsiTheme="minorEastAsia" w:eastAsiaTheme="minorEastAsia"/>
          <w:color w:val="000000" w:themeColor="text1"/>
          <w:sz w:val="30"/>
          <w:szCs w:val="30"/>
        </w:rPr>
      </w:pPr>
    </w:p>
    <w:p>
      <w:pPr>
        <w:spacing w:line="600" w:lineRule="exact"/>
        <w:jc w:val="center"/>
        <w:outlineLvl w:val="0"/>
        <w:rPr>
          <w:rFonts w:ascii="方正小标宋简体" w:eastAsia="方正小标宋简体"/>
          <w:color w:val="000000" w:themeColor="text1"/>
          <w:sz w:val="44"/>
          <w:szCs w:val="44"/>
        </w:rPr>
      </w:pPr>
      <w:bookmarkStart w:id="9" w:name="_Toc104830192"/>
      <w:r>
        <w:rPr>
          <w:rFonts w:hint="eastAsia" w:ascii="方正小标宋简体" w:eastAsia="方正小标宋简体"/>
          <w:color w:val="000000" w:themeColor="text1"/>
          <w:sz w:val="44"/>
          <w:szCs w:val="44"/>
        </w:rPr>
        <w:t>第一部分  关于峨眉山市社区卫生服务中心</w:t>
      </w:r>
      <w:bookmarkEnd w:id="9"/>
    </w:p>
    <w:p>
      <w:pPr>
        <w:spacing w:line="600" w:lineRule="exact"/>
        <w:jc w:val="center"/>
        <w:outlineLvl w:val="0"/>
        <w:rPr>
          <w:rFonts w:ascii="方正小标宋简体" w:eastAsia="方正小标宋简体"/>
          <w:color w:val="000000" w:themeColor="text1"/>
          <w:sz w:val="44"/>
          <w:szCs w:val="44"/>
        </w:rPr>
      </w:pPr>
      <w:bookmarkStart w:id="10" w:name="_Toc104829786"/>
      <w:bookmarkStart w:id="11" w:name="_Toc104830193"/>
      <w:r>
        <w:rPr>
          <w:rFonts w:hint="eastAsia" w:ascii="方正小标宋简体" w:eastAsia="方正小标宋简体"/>
          <w:color w:val="000000" w:themeColor="text1"/>
          <w:sz w:val="44"/>
          <w:szCs w:val="44"/>
        </w:rPr>
        <w:t>20</w:t>
      </w:r>
      <w:r>
        <w:rPr>
          <w:rFonts w:ascii="方正小标宋简体" w:eastAsia="方正小标宋简体"/>
          <w:color w:val="000000" w:themeColor="text1"/>
          <w:sz w:val="44"/>
          <w:szCs w:val="44"/>
        </w:rPr>
        <w:t>2</w:t>
      </w:r>
      <w:r>
        <w:rPr>
          <w:rFonts w:hint="eastAsia" w:ascii="方正小标宋简体" w:eastAsia="方正小标宋简体"/>
          <w:color w:val="000000" w:themeColor="text1"/>
          <w:sz w:val="44"/>
          <w:szCs w:val="44"/>
        </w:rPr>
        <w:t>2年预算编制的说明</w:t>
      </w:r>
      <w:bookmarkEnd w:id="10"/>
      <w:bookmarkEnd w:id="11"/>
    </w:p>
    <w:p>
      <w:pPr>
        <w:spacing w:line="600" w:lineRule="exact"/>
        <w:ind w:firstLine="640" w:firstLineChars="200"/>
        <w:rPr>
          <w:rFonts w:ascii="仿宋_GB2312" w:eastAsia="仿宋_GB2312"/>
          <w:color w:val="000000" w:themeColor="text1"/>
          <w:sz w:val="32"/>
          <w:szCs w:val="32"/>
        </w:rPr>
      </w:pP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rPr>
      </w:pPr>
      <w:bookmarkStart w:id="12" w:name="_Toc104830194"/>
      <w:r>
        <w:rPr>
          <w:rFonts w:hint="eastAsia" w:ascii="黑体" w:eastAsia="黑体"/>
          <w:color w:val="000000" w:themeColor="text1"/>
          <w:sz w:val="32"/>
          <w:szCs w:val="32"/>
        </w:rPr>
        <w:t>一、基本职能及主要工作</w:t>
      </w:r>
      <w:bookmarkEnd w:id="12"/>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（一）主要职能</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单位主要职能：</w:t>
      </w:r>
      <w:r>
        <w:rPr>
          <w:rFonts w:ascii="仿宋_GB2312" w:eastAsia="仿宋_GB2312"/>
          <w:color w:val="000000" w:themeColor="text1"/>
          <w:sz w:val="32"/>
          <w:szCs w:val="32"/>
        </w:rPr>
        <w:t>主要向</w:t>
      </w:r>
      <w:r>
        <w:rPr>
          <w:rFonts w:hint="eastAsia" w:ascii="仿宋_GB2312" w:eastAsia="仿宋_GB2312"/>
          <w:color w:val="000000" w:themeColor="text1"/>
          <w:sz w:val="32"/>
          <w:szCs w:val="32"/>
        </w:rPr>
        <w:t>辖区内</w:t>
      </w:r>
      <w:r>
        <w:rPr>
          <w:rFonts w:ascii="仿宋_GB2312" w:eastAsia="仿宋_GB2312"/>
          <w:color w:val="000000" w:themeColor="text1"/>
          <w:sz w:val="32"/>
          <w:szCs w:val="32"/>
        </w:rPr>
        <w:t>的居民提供</w:t>
      </w:r>
      <w:r>
        <w:fldChar w:fldCharType="begin"/>
      </w:r>
      <w:r>
        <w:instrText xml:space="preserve"> HYPERLINK "https://baike.baidu.com/item/%E5%9F%BA%E6%9C%AC%E5%85%AC%E5%85%B1%E5%8D%AB%E7%94%9F%E6%9C%8D%E5%8A%A1/3977101" \t "_blank" </w:instrText>
      </w:r>
      <w:r>
        <w:fldChar w:fldCharType="separate"/>
      </w:r>
      <w:r>
        <w:rPr>
          <w:rFonts w:ascii="仿宋_GB2312" w:eastAsia="仿宋_GB2312"/>
          <w:color w:val="000000" w:themeColor="text1"/>
          <w:sz w:val="32"/>
          <w:szCs w:val="32"/>
        </w:rPr>
        <w:t>基本公共卫生服务</w:t>
      </w:r>
      <w:r>
        <w:rPr>
          <w:rFonts w:ascii="仿宋_GB2312" w:eastAsia="仿宋_GB2312"/>
          <w:color w:val="000000" w:themeColor="text1"/>
          <w:sz w:val="32"/>
          <w:szCs w:val="32"/>
        </w:rPr>
        <w:fldChar w:fldCharType="end"/>
      </w:r>
      <w:r>
        <w:rPr>
          <w:rFonts w:hint="eastAsia" w:ascii="仿宋_GB2312" w:eastAsia="仿宋_GB2312"/>
          <w:color w:val="000000" w:themeColor="text1"/>
          <w:sz w:val="32"/>
          <w:szCs w:val="32"/>
        </w:rPr>
        <w:t>、</w:t>
      </w:r>
      <w:r>
        <w:rPr>
          <w:rFonts w:ascii="仿宋_GB2312" w:eastAsia="仿宋_GB2312"/>
          <w:color w:val="000000" w:themeColor="text1"/>
          <w:sz w:val="32"/>
          <w:szCs w:val="32"/>
        </w:rPr>
        <w:t>基本医疗服务</w:t>
      </w:r>
      <w:r>
        <w:rPr>
          <w:rFonts w:hint="eastAsia" w:ascii="仿宋_GB2312" w:eastAsia="仿宋_GB2312"/>
          <w:color w:val="000000" w:themeColor="text1"/>
          <w:sz w:val="32"/>
          <w:szCs w:val="32"/>
        </w:rPr>
        <w:t>并</w:t>
      </w:r>
      <w:r>
        <w:rPr>
          <w:rFonts w:hint="eastAsia" w:ascii="仿宋_GB2312" w:eastAsia="仿宋_GB2312"/>
          <w:sz w:val="32"/>
          <w:szCs w:val="32"/>
        </w:rPr>
        <w:t>全面实施国家基本药物制度</w:t>
      </w:r>
      <w:r>
        <w:rPr>
          <w:rFonts w:hint="eastAsia" w:ascii="仿宋_GB2312" w:eastAsia="仿宋_GB2312"/>
          <w:color w:val="000000" w:themeColor="text1"/>
          <w:sz w:val="32"/>
          <w:szCs w:val="32"/>
        </w:rPr>
        <w:t>等。</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（二）20</w:t>
      </w:r>
      <w:r>
        <w:rPr>
          <w:rFonts w:ascii="仿宋_GB2312" w:eastAsia="仿宋_GB2312"/>
          <w:color w:val="000000" w:themeColor="text1"/>
          <w:sz w:val="32"/>
          <w:szCs w:val="32"/>
        </w:rPr>
        <w:t>2</w:t>
      </w:r>
      <w:r>
        <w:rPr>
          <w:rFonts w:hint="eastAsia" w:ascii="仿宋_GB2312" w:eastAsia="仿宋_GB2312"/>
          <w:color w:val="000000" w:themeColor="text1"/>
          <w:sz w:val="32"/>
          <w:szCs w:val="32"/>
        </w:rPr>
        <w:t>2年重点工作任务</w:t>
      </w:r>
    </w:p>
    <w:p>
      <w:pPr>
        <w:numPr>
          <w:ilvl w:val="0"/>
          <w:numId w:val="1"/>
        </w:numPr>
        <w:spacing w:line="600" w:lineRule="exact"/>
        <w:ind w:firstLine="640" w:firstLineChars="200"/>
        <w:outlineLvl w:val="1"/>
        <w:rPr>
          <w:rFonts w:ascii="仿宋_GB2312" w:eastAsia="仿宋_GB2312"/>
          <w:color w:val="000000" w:themeColor="text1"/>
          <w:sz w:val="32"/>
          <w:szCs w:val="32"/>
        </w:rPr>
      </w:pPr>
      <w:bookmarkStart w:id="13" w:name="_Toc104830195"/>
      <w:r>
        <w:rPr>
          <w:rFonts w:hint="eastAsia" w:ascii="仿宋_GB2312" w:eastAsia="仿宋_GB2312"/>
          <w:color w:val="000000" w:themeColor="text1"/>
          <w:sz w:val="32"/>
          <w:szCs w:val="32"/>
        </w:rPr>
        <w:t>新冠疫情的常态化防控，所有环节落到实处。</w:t>
      </w:r>
      <w:bookmarkEnd w:id="13"/>
    </w:p>
    <w:p>
      <w:pPr>
        <w:spacing w:line="600" w:lineRule="exact"/>
        <w:ind w:firstLine="640" w:firstLineChars="200"/>
        <w:outlineLvl w:val="1"/>
        <w:rPr>
          <w:rFonts w:ascii="仿宋_GB2312" w:eastAsia="仿宋_GB2312"/>
          <w:color w:val="000000" w:themeColor="text1"/>
          <w:sz w:val="32"/>
          <w:szCs w:val="32"/>
        </w:rPr>
      </w:pPr>
      <w:bookmarkStart w:id="14" w:name="_Toc104830196"/>
      <w:r>
        <w:rPr>
          <w:rFonts w:hint="eastAsia" w:ascii="仿宋_GB2312" w:eastAsia="仿宋_GB2312"/>
          <w:color w:val="000000" w:themeColor="text1"/>
          <w:sz w:val="32"/>
          <w:szCs w:val="32"/>
        </w:rPr>
        <w:t>2、加强疫情管理。</w:t>
      </w:r>
      <w:bookmarkEnd w:id="14"/>
    </w:p>
    <w:p>
      <w:pPr>
        <w:spacing w:line="600" w:lineRule="exact"/>
        <w:ind w:firstLine="640" w:firstLineChars="200"/>
        <w:outlineLvl w:val="1"/>
        <w:rPr>
          <w:rFonts w:ascii="仿宋_GB2312" w:eastAsia="仿宋_GB2312"/>
          <w:color w:val="000000" w:themeColor="text1"/>
          <w:sz w:val="32"/>
          <w:szCs w:val="32"/>
        </w:rPr>
      </w:pPr>
      <w:bookmarkStart w:id="15" w:name="_Toc104830197"/>
      <w:r>
        <w:rPr>
          <w:rFonts w:hint="eastAsia" w:ascii="仿宋_GB2312" w:eastAsia="仿宋_GB2312"/>
          <w:sz w:val="32"/>
          <w:szCs w:val="32"/>
        </w:rPr>
        <w:t>大力加强疫情防控工作，全力做好中高风险地区回峨人员的监测工作，认真履行预检分诊、发热门诊职</w:t>
      </w:r>
      <w:r>
        <w:rPr>
          <w:rFonts w:hint="eastAsia" w:ascii="宋体" w:hAnsi="宋体" w:cs="宋体"/>
          <w:sz w:val="32"/>
          <w:szCs w:val="32"/>
        </w:rPr>
        <w:t>责，</w:t>
      </w:r>
      <w:r>
        <w:rPr>
          <w:rFonts w:hint="eastAsia" w:ascii="仿宋_GB2312" w:eastAsia="仿宋_GB2312"/>
          <w:sz w:val="32"/>
          <w:szCs w:val="32"/>
        </w:rPr>
        <w:t>加大疫情防控宣传力度，所有医务人员、院内工作人员、就诊者、陪护一律佩戴口罩，按要求对院对场所（含院坝）每日2次消毒。按时上报各类数据、报表</w:t>
      </w:r>
      <w:r>
        <w:rPr>
          <w:rFonts w:hint="eastAsia" w:ascii="仿宋_GB2312" w:eastAsia="仿宋_GB2312"/>
          <w:color w:val="000000" w:themeColor="text1"/>
          <w:sz w:val="32"/>
          <w:szCs w:val="32"/>
        </w:rPr>
        <w:t>。</w:t>
      </w:r>
      <w:bookmarkEnd w:id="15"/>
    </w:p>
    <w:p>
      <w:pPr>
        <w:spacing w:line="600" w:lineRule="exact"/>
        <w:ind w:firstLine="640" w:firstLineChars="200"/>
        <w:outlineLvl w:val="1"/>
        <w:rPr>
          <w:rFonts w:ascii="仿宋_GB2312" w:eastAsia="仿宋_GB2312"/>
          <w:color w:val="000000" w:themeColor="text1"/>
          <w:sz w:val="32"/>
          <w:szCs w:val="32"/>
        </w:rPr>
      </w:pPr>
      <w:bookmarkStart w:id="16" w:name="_Toc104830198"/>
      <w:r>
        <w:rPr>
          <w:rFonts w:hint="eastAsia" w:ascii="仿宋_GB2312" w:eastAsia="仿宋_GB2312"/>
          <w:color w:val="000000" w:themeColor="text1"/>
          <w:sz w:val="32"/>
          <w:szCs w:val="32"/>
        </w:rPr>
        <w:t>3、加强突发性公共卫生应急处置能力建设，全面提升疾控能力</w:t>
      </w:r>
      <w:bookmarkEnd w:id="16"/>
    </w:p>
    <w:p>
      <w:pPr>
        <w:spacing w:line="600" w:lineRule="exact"/>
        <w:ind w:firstLine="640" w:firstLineChars="200"/>
        <w:outlineLvl w:val="1"/>
        <w:rPr>
          <w:rFonts w:ascii="仿宋_GB2312" w:eastAsia="仿宋_GB2312"/>
          <w:color w:val="000000" w:themeColor="text1"/>
          <w:sz w:val="32"/>
          <w:szCs w:val="32"/>
        </w:rPr>
      </w:pPr>
      <w:bookmarkStart w:id="17" w:name="_Toc104830199"/>
      <w:r>
        <w:rPr>
          <w:rFonts w:hint="eastAsia" w:ascii="仿宋_GB2312" w:eastAsia="仿宋_GB2312"/>
          <w:color w:val="000000" w:themeColor="text1"/>
          <w:sz w:val="32"/>
          <w:szCs w:val="32"/>
        </w:rPr>
        <w:t>4、积极开展中医药服务及管理。利用上级资金加强中医馆服务能力建设，提高中医药服务水平。</w:t>
      </w:r>
      <w:bookmarkEnd w:id="17"/>
    </w:p>
    <w:p>
      <w:pPr>
        <w:spacing w:line="600" w:lineRule="exact"/>
        <w:ind w:firstLine="640" w:firstLineChars="200"/>
        <w:outlineLvl w:val="1"/>
        <w:rPr>
          <w:rFonts w:ascii="仿宋_GB2312" w:eastAsia="仿宋_GB2312"/>
          <w:color w:val="000000" w:themeColor="text1"/>
          <w:sz w:val="32"/>
          <w:szCs w:val="32"/>
        </w:rPr>
      </w:pPr>
      <w:bookmarkStart w:id="18" w:name="_Toc104830200"/>
      <w:r>
        <w:rPr>
          <w:rFonts w:hint="eastAsia" w:ascii="仿宋_GB2312" w:eastAsia="仿宋_GB2312"/>
          <w:color w:val="000000" w:themeColor="text1"/>
          <w:sz w:val="32"/>
          <w:szCs w:val="32"/>
        </w:rPr>
        <w:t>5、</w:t>
      </w:r>
      <w:r>
        <w:rPr>
          <w:rFonts w:hint="eastAsia" w:ascii="仿宋_GB2312" w:eastAsia="仿宋_GB2312"/>
          <w:sz w:val="32"/>
          <w:szCs w:val="32"/>
        </w:rPr>
        <w:t>加强各种法律、法规、制度，特别是公共卫生服务规范学习。计划开展公共卫生服务规范学习6次，各类慢病管理知识培训10次，孕产妇、儿童保健知识培训各2次，计划免疫培训2次，传染病知识培训2次，病历质量管理培训2次，法律法规知识培训2次，每次培训后实行严格考试，依据考试成绩给予奖惩。做好社区人员服务能力培训工作。</w:t>
      </w:r>
      <w:r>
        <w:rPr>
          <w:rFonts w:hint="eastAsia" w:ascii="仿宋_GB2312" w:eastAsia="仿宋_GB2312"/>
          <w:color w:val="000000" w:themeColor="text1"/>
          <w:sz w:val="32"/>
          <w:szCs w:val="32"/>
        </w:rPr>
        <w:t>加强爱国卫生宣传和健康教育工作。</w:t>
      </w:r>
      <w:bookmarkEnd w:id="18"/>
    </w:p>
    <w:p>
      <w:pPr>
        <w:ind w:firstLine="640" w:firstLineChars="200"/>
        <w:rPr>
          <w:rFonts w:ascii="仿宋_GB2312" w:eastAsia="仿宋_GB2312"/>
          <w:sz w:val="32"/>
          <w:szCs w:val="32"/>
        </w:rPr>
      </w:pPr>
      <w:r>
        <w:rPr>
          <w:rFonts w:hint="eastAsia" w:ascii="仿宋_GB2312" w:eastAsia="仿宋_GB2312"/>
          <w:color w:val="000000" w:themeColor="text1"/>
          <w:sz w:val="32"/>
          <w:szCs w:val="32"/>
        </w:rPr>
        <w:t>6、</w:t>
      </w:r>
      <w:r>
        <w:rPr>
          <w:rFonts w:hint="eastAsia" w:ascii="仿宋_GB2312" w:eastAsia="仿宋_GB2312"/>
          <w:sz w:val="32"/>
          <w:szCs w:val="32"/>
        </w:rPr>
        <w:t>狠抓党建和党风</w:t>
      </w:r>
      <w:r>
        <w:rPr>
          <w:rFonts w:hint="eastAsia" w:ascii="仿宋_GB2312" w:hAnsi="宋体" w:eastAsia="仿宋_GB2312" w:cs="宋体"/>
          <w:sz w:val="32"/>
          <w:szCs w:val="32"/>
        </w:rPr>
        <w:t>廉政</w:t>
      </w:r>
      <w:r>
        <w:rPr>
          <w:rFonts w:hint="eastAsia" w:ascii="仿宋_GB2312" w:eastAsia="仿宋_GB2312"/>
          <w:sz w:val="32"/>
          <w:szCs w:val="32"/>
        </w:rPr>
        <w:t>工作，不断加强中心党组织的保垒作用，提升服务能力；加强党风廉政工作建设，提倡勤俭节约精神。今年积极开展创先争优活动，实行院务、党务公开制度，解决禁止医药购销中的商业贿赂行为。弘扬正气，坚决抵制各种歪风邪气，加强党员干部的廉政教育，倡导廉洁、节约文明之风。作风建设长抓不懈，深入落实中央八项规定、省市十项规定精神，深入落实主体责任，强化责任追究。</w:t>
      </w:r>
    </w:p>
    <w:p>
      <w:pPr>
        <w:spacing w:line="600" w:lineRule="exact"/>
        <w:ind w:firstLine="640" w:firstLineChars="200"/>
        <w:outlineLvl w:val="1"/>
        <w:rPr>
          <w:rFonts w:ascii="仿宋_GB2312" w:hAnsi="宋体" w:eastAsia="仿宋_GB2312" w:cs="宋体"/>
          <w:sz w:val="32"/>
          <w:szCs w:val="32"/>
        </w:rPr>
      </w:pPr>
      <w:bookmarkStart w:id="19" w:name="_Toc104830201"/>
      <w:r>
        <w:rPr>
          <w:rFonts w:hint="eastAsia" w:ascii="仿宋_GB2312" w:eastAsia="仿宋_GB2312"/>
          <w:color w:val="000000" w:themeColor="text1"/>
          <w:sz w:val="32"/>
          <w:szCs w:val="32"/>
        </w:rPr>
        <w:t>7、</w:t>
      </w:r>
      <w:r>
        <w:rPr>
          <w:rFonts w:hint="eastAsia" w:ascii="仿宋_GB2312" w:eastAsia="仿宋_GB2312"/>
          <w:sz w:val="32"/>
          <w:szCs w:val="32"/>
        </w:rPr>
        <w:t>加强精神文明建设工作，做到有计划方案、工作措施、活动信息等。积极配</w:t>
      </w:r>
      <w:r>
        <w:rPr>
          <w:rFonts w:hint="eastAsia" w:ascii="仿宋_GB2312" w:hAnsi="宋体" w:eastAsia="仿宋_GB2312" w:cs="宋体"/>
          <w:sz w:val="32"/>
          <w:szCs w:val="32"/>
        </w:rPr>
        <w:t>合市上工作，主动承担社会责任；积极开展</w:t>
      </w:r>
      <w:bookmarkStart w:id="88" w:name="_GoBack"/>
      <w:bookmarkEnd w:id="88"/>
      <w:r>
        <w:rPr>
          <w:rFonts w:hint="eastAsia" w:ascii="仿宋_GB2312" w:hAnsi="宋体" w:eastAsia="仿宋_GB2312" w:cs="宋体"/>
          <w:sz w:val="32"/>
          <w:szCs w:val="32"/>
        </w:rPr>
        <w:t>社会主义核</w:t>
      </w:r>
      <w:r>
        <w:rPr>
          <w:rFonts w:hint="eastAsia" w:ascii="仿宋_GB2312" w:hAnsi="宋体" w:eastAsia="仿宋_GB2312" w:cs="宋体"/>
          <w:sz w:val="32"/>
          <w:szCs w:val="32"/>
          <w:lang w:eastAsia="zh-CN"/>
        </w:rPr>
        <w:t>心</w:t>
      </w:r>
      <w:r>
        <w:rPr>
          <w:rFonts w:hint="eastAsia" w:ascii="仿宋_GB2312" w:hAnsi="宋体" w:eastAsia="仿宋_GB2312" w:cs="宋体"/>
          <w:sz w:val="32"/>
          <w:szCs w:val="32"/>
        </w:rPr>
        <w:t>价值观和职工思想道德宣传教育，树文明新风，广泛开展学习雷锋志愿服务。</w:t>
      </w:r>
      <w:bookmarkEnd w:id="19"/>
    </w:p>
    <w:p>
      <w:pPr>
        <w:ind w:firstLine="640" w:firstLineChars="200"/>
        <w:rPr>
          <w:rFonts w:ascii="仿宋_GB2312" w:eastAsia="仿宋_GB2312"/>
          <w:sz w:val="32"/>
          <w:szCs w:val="32"/>
        </w:rPr>
      </w:pPr>
      <w:r>
        <w:rPr>
          <w:rFonts w:hint="eastAsia" w:ascii="仿宋_GB2312" w:eastAsia="仿宋_GB2312"/>
          <w:sz w:val="32"/>
          <w:szCs w:val="32"/>
        </w:rPr>
        <w:t>8、大力开展爱国卫生运动及国家卫生城市创建工作，明确责任、制度落实，全面整治环境，消除“四害”，清理乱张贴，加强环保工作，开展多形式的宣传活动，不断提高居民的健康意识和文明意识。按照控烟工作方案和计划，积极做好控烟，严格执行控烟管理制度。工作同时加强院风、院容、院貌以及医院文化建设，努力营造优美、清洁、舒适的工作环境和工作氛围，不断提高广大职工的集体主义精神和凝聚力。</w:t>
      </w:r>
    </w:p>
    <w:p>
      <w:pPr>
        <w:ind w:firstLine="640" w:firstLineChars="200"/>
        <w:rPr>
          <w:rFonts w:ascii="仿宋_GB2312" w:eastAsia="仿宋_GB2312"/>
          <w:sz w:val="32"/>
          <w:szCs w:val="32"/>
        </w:rPr>
      </w:pPr>
      <w:r>
        <w:rPr>
          <w:rFonts w:hint="eastAsia" w:ascii="仿宋_GB2312" w:eastAsia="仿宋_GB2312"/>
          <w:sz w:val="32"/>
          <w:szCs w:val="32"/>
        </w:rPr>
        <w:t>9、加强对村卫生室管理：加强乡村医生业务培训；加强基药制度实施情况监督；所有对村卫生室今年必须完成标准化建设；努力提高乡村医生服务能力和公共卫生服务意识，严格考核公共卫生服务工作。</w:t>
      </w:r>
    </w:p>
    <w:p>
      <w:pPr>
        <w:ind w:firstLine="640" w:firstLineChars="200"/>
        <w:rPr>
          <w:rFonts w:ascii="仿宋_GB2312" w:eastAsia="仿宋_GB2312"/>
          <w:sz w:val="32"/>
          <w:szCs w:val="32"/>
        </w:rPr>
      </w:pPr>
      <w:r>
        <w:rPr>
          <w:rFonts w:hint="eastAsia" w:ascii="仿宋_GB2312" w:eastAsia="仿宋_GB2312"/>
          <w:sz w:val="32"/>
          <w:szCs w:val="32"/>
        </w:rPr>
        <w:t>10、进一步加强中心硬件建设，从而更方便、更好地服务于广大社区居民。</w:t>
      </w:r>
    </w:p>
    <w:p>
      <w:pPr>
        <w:spacing w:line="600" w:lineRule="exact"/>
        <w:ind w:firstLine="640" w:firstLineChars="200"/>
        <w:outlineLvl w:val="1"/>
        <w:rPr>
          <w:rFonts w:ascii="黑体" w:eastAsia="黑体"/>
          <w:color w:val="000000" w:themeColor="text1"/>
          <w:sz w:val="32"/>
          <w:szCs w:val="32"/>
        </w:rPr>
      </w:pPr>
      <w:bookmarkStart w:id="20" w:name="_Toc104830202"/>
      <w:r>
        <w:rPr>
          <w:rFonts w:hint="eastAsia" w:ascii="黑体" w:eastAsia="黑体"/>
          <w:color w:val="000000" w:themeColor="text1"/>
          <w:sz w:val="32"/>
          <w:szCs w:val="32"/>
        </w:rPr>
        <w:t>二、部门概况</w:t>
      </w:r>
      <w:bookmarkEnd w:id="20"/>
    </w:p>
    <w:p>
      <w:pPr>
        <w:ind w:firstLine="640" w:firstLineChars="200"/>
        <w:rPr>
          <w:rFonts w:ascii="黑体" w:eastAsia="黑体"/>
          <w:color w:val="000000" w:themeColor="text1"/>
          <w:sz w:val="32"/>
          <w:szCs w:val="32"/>
        </w:rPr>
      </w:pPr>
      <w:r>
        <w:rPr>
          <w:rFonts w:hint="eastAsia" w:ascii="仿宋_GB2312" w:eastAsia="仿宋_GB2312"/>
          <w:color w:val="000000" w:themeColor="text1"/>
          <w:sz w:val="32"/>
          <w:szCs w:val="32"/>
        </w:rPr>
        <w:t>我中心位于峨眉山市胜利街道东新路329号，为辖区内10余万</w:t>
      </w:r>
      <w:r>
        <w:rPr>
          <w:rFonts w:ascii="仿宋_GB2312" w:eastAsia="仿宋_GB2312"/>
          <w:color w:val="000000" w:themeColor="text1"/>
          <w:sz w:val="32"/>
          <w:szCs w:val="32"/>
        </w:rPr>
        <w:t>居民提供</w:t>
      </w:r>
      <w:r>
        <w:fldChar w:fldCharType="begin"/>
      </w:r>
      <w:r>
        <w:instrText xml:space="preserve"> HYPERLINK "https://baike.baidu.com/item/%E5%9F%BA%E6%9C%AC%E5%85%AC%E5%85%B1%E5%8D%AB%E7%94%9F%E6%9C%8D%E5%8A%A1/3977101" \t "_blank" </w:instrText>
      </w:r>
      <w:r>
        <w:fldChar w:fldCharType="separate"/>
      </w:r>
      <w:r>
        <w:rPr>
          <w:rFonts w:ascii="仿宋_GB2312" w:eastAsia="仿宋_GB2312"/>
          <w:color w:val="000000" w:themeColor="text1"/>
          <w:sz w:val="32"/>
          <w:szCs w:val="32"/>
        </w:rPr>
        <w:t>基本公共卫生服务</w:t>
      </w:r>
      <w:r>
        <w:rPr>
          <w:rFonts w:ascii="仿宋_GB2312" w:eastAsia="仿宋_GB2312"/>
          <w:color w:val="000000" w:themeColor="text1"/>
          <w:sz w:val="32"/>
          <w:szCs w:val="32"/>
        </w:rPr>
        <w:fldChar w:fldCharType="end"/>
      </w:r>
      <w:r>
        <w:rPr>
          <w:rFonts w:hint="eastAsia" w:ascii="仿宋_GB2312" w:eastAsia="仿宋_GB2312"/>
          <w:color w:val="000000" w:themeColor="text1"/>
          <w:sz w:val="32"/>
          <w:szCs w:val="32"/>
        </w:rPr>
        <w:t>、</w:t>
      </w:r>
      <w:r>
        <w:rPr>
          <w:rFonts w:ascii="仿宋_GB2312" w:eastAsia="仿宋_GB2312"/>
          <w:color w:val="000000" w:themeColor="text1"/>
          <w:sz w:val="32"/>
          <w:szCs w:val="32"/>
        </w:rPr>
        <w:t>基本医疗服务</w:t>
      </w:r>
      <w:r>
        <w:rPr>
          <w:rFonts w:hint="eastAsia" w:ascii="仿宋_GB2312" w:eastAsia="仿宋_GB2312"/>
          <w:color w:val="000000" w:themeColor="text1"/>
          <w:sz w:val="32"/>
          <w:szCs w:val="32"/>
        </w:rPr>
        <w:t>，并</w:t>
      </w:r>
      <w:r>
        <w:rPr>
          <w:rFonts w:hint="eastAsia" w:ascii="仿宋_GB2312" w:eastAsia="仿宋_GB2312"/>
          <w:sz w:val="32"/>
          <w:szCs w:val="32"/>
        </w:rPr>
        <w:t>全面实施国家基本药物制度。现有在编职工48人，聘用职工14人，其中高级职称人员7人，中级职称人员20人。中心占地1600平米，建筑面积1552平米。</w:t>
      </w:r>
    </w:p>
    <w:p>
      <w:pPr>
        <w:spacing w:line="600" w:lineRule="exact"/>
        <w:ind w:firstLine="640" w:firstLineChars="200"/>
        <w:outlineLvl w:val="1"/>
        <w:rPr>
          <w:rFonts w:ascii="黑体" w:eastAsia="黑体"/>
          <w:color w:val="000000" w:themeColor="text1"/>
          <w:sz w:val="32"/>
          <w:szCs w:val="32"/>
        </w:rPr>
      </w:pPr>
      <w:bookmarkStart w:id="21" w:name="_Toc104830203"/>
      <w:r>
        <w:rPr>
          <w:rFonts w:hint="eastAsia" w:ascii="黑体" w:eastAsia="黑体"/>
          <w:color w:val="000000" w:themeColor="text1"/>
          <w:sz w:val="32"/>
          <w:szCs w:val="32"/>
        </w:rPr>
        <w:t>三、收支预算总体情况</w:t>
      </w:r>
      <w:bookmarkEnd w:id="21"/>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按照综合预算的原则及上级部门要求， 除不能确定的项目资金外，峨眉山市胜利街道社区卫生服务中心所有事业收入和支出均纳入预算管理。鉴于此，20</w:t>
      </w:r>
      <w:r>
        <w:rPr>
          <w:rFonts w:ascii="仿宋_GB2312" w:eastAsia="仿宋_GB2312"/>
          <w:color w:val="000000" w:themeColor="text1"/>
          <w:sz w:val="32"/>
          <w:szCs w:val="32"/>
        </w:rPr>
        <w:t>2</w:t>
      </w:r>
      <w:r>
        <w:rPr>
          <w:rFonts w:hint="eastAsia" w:ascii="仿宋_GB2312" w:eastAsia="仿宋_GB2312"/>
          <w:color w:val="000000" w:themeColor="text1"/>
          <w:sz w:val="32"/>
          <w:szCs w:val="32"/>
        </w:rPr>
        <w:t>2年峨眉山市胜利街道社区卫生服务中心收入预算总额为1538.20万元，上年为1313.64万元，较上年预算数</w:t>
      </w:r>
      <w:r>
        <w:rPr>
          <w:rFonts w:hint="eastAsia" w:ascii="仿宋_GB2312" w:eastAsia="仿宋_GB2312"/>
          <w:sz w:val="32"/>
          <w:szCs w:val="32"/>
        </w:rPr>
        <w:t>增加224.56元。</w:t>
      </w:r>
      <w:r>
        <w:rPr>
          <w:rFonts w:hint="eastAsia" w:ascii="仿宋_GB2312" w:eastAsia="仿宋_GB2312"/>
          <w:color w:val="000000" w:themeColor="text1"/>
          <w:sz w:val="32"/>
          <w:szCs w:val="32"/>
        </w:rPr>
        <w:t>其中：当年财政拨款收入428.20万元，事业收入1110.00万元。相应安排支出预算1538.20万元，其中：人员支出610.61万元，日常公用支出927.59万元（主要为药品材料支出），对个人和家庭的补助支出0万元。</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专项支出以预算调整数以收定支，结余结转留用。</w:t>
      </w:r>
    </w:p>
    <w:p>
      <w:pPr>
        <w:spacing w:line="600" w:lineRule="exact"/>
        <w:ind w:firstLine="640" w:firstLineChars="200"/>
        <w:outlineLvl w:val="1"/>
        <w:rPr>
          <w:rFonts w:ascii="黑体" w:eastAsia="黑体"/>
          <w:color w:val="000000" w:themeColor="text1"/>
          <w:sz w:val="32"/>
          <w:szCs w:val="32"/>
        </w:rPr>
      </w:pPr>
      <w:bookmarkStart w:id="22" w:name="_Toc104830204"/>
      <w:r>
        <w:rPr>
          <w:rFonts w:hint="eastAsia" w:ascii="黑体" w:eastAsia="黑体"/>
          <w:color w:val="000000" w:themeColor="text1"/>
          <w:sz w:val="32"/>
          <w:szCs w:val="32"/>
        </w:rPr>
        <w:t>四、财政拨款支出预算安排情况</w:t>
      </w:r>
      <w:bookmarkEnd w:id="22"/>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峨眉山市胜利街道社区卫生服务中心2022年财政拨款收支总预算428.20万元（不含调整预算数），主要用于保障峨眉山市胜利街道社区卫生服务中心机构正常运转、完成日常工作任务以及承担部分公共卫生事业发展相关工作。其中：</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基本支出428.20万元，是用于保障峨眉山市胜利街道社区卫生服务中心正常运转的日常支出，包括基本工资、津贴补贴等人员经费以及办公费、印刷费、水电费、办公设备购置等日常公用经费。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项目支出以年中调整预算为准。</w:t>
      </w:r>
    </w:p>
    <w:p>
      <w:pPr>
        <w:spacing w:line="600" w:lineRule="exact"/>
        <w:ind w:firstLine="640" w:firstLineChars="200"/>
        <w:outlineLvl w:val="1"/>
        <w:rPr>
          <w:rFonts w:ascii="黑体" w:eastAsia="黑体"/>
          <w:color w:val="000000" w:themeColor="text1"/>
          <w:sz w:val="32"/>
          <w:szCs w:val="32"/>
        </w:rPr>
      </w:pPr>
      <w:bookmarkStart w:id="23" w:name="_Toc104830205"/>
      <w:r>
        <w:rPr>
          <w:rFonts w:hint="eastAsia" w:ascii="黑体" w:eastAsia="黑体"/>
          <w:color w:val="000000" w:themeColor="text1"/>
          <w:sz w:val="32"/>
          <w:szCs w:val="32"/>
        </w:rPr>
        <w:t>五、一般公共预算当年拨款情况说明</w:t>
      </w:r>
      <w:bookmarkEnd w:id="23"/>
    </w:p>
    <w:p>
      <w:pPr>
        <w:spacing w:line="60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（一）一般公共预算当年拨款规模及变化情况</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峨眉山市胜利街道社区卫生服务中心2022年一般公共预算当年拨款428.20万元，上年</w:t>
      </w:r>
      <w:r>
        <w:rPr>
          <w:rFonts w:hint="eastAsia" w:ascii="仿宋_GB2312" w:eastAsia="仿宋_GB2312"/>
          <w:sz w:val="32"/>
          <w:szCs w:val="32"/>
        </w:rPr>
        <w:t>预算数332.21</w:t>
      </w:r>
      <w:r>
        <w:rPr>
          <w:rFonts w:hint="eastAsia" w:ascii="仿宋_GB2312" w:eastAsia="仿宋_GB2312"/>
          <w:color w:val="000000" w:themeColor="text1"/>
          <w:sz w:val="32"/>
          <w:szCs w:val="32"/>
        </w:rPr>
        <w:t>元，较上年增加95.99万元，主要原因是人员增加，管理范围及人口增加、在职人员增加。</w:t>
      </w:r>
    </w:p>
    <w:p>
      <w:pPr>
        <w:spacing w:line="60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（二）一般公共预算当年拨款结构情况</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社会保障和就业支出97.40万元，占22.75%；</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卫生健康支出240.61万元，占71.13%；</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住房保障支出26.21万元，占6.12%；</w:t>
      </w:r>
    </w:p>
    <w:p>
      <w:pPr>
        <w:spacing w:line="60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（三）一般公共预算当年拨款具体使用情况</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1.社会保障和就业</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2080505和2080506：2022年预算数为97.40万元，主要用于：机关事业单位基本养老保险级职业年金缴费支出。</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2089999：2022预算数为1.97要用于其他社会保障和就业支出。</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3．医疗卫生</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2100301：2022预算数为304.59于城市社区卫生机构基本工资等基本支出。</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2101102：2022预算数为13.33用于事业单位医疗保险。</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4．住房保障</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2210201：2022预算数为26.21用于按人力资源和社会保障部、财政部规定的基本工资和津贴补贴以及规定比例为职工缴纳的住房公积金支出。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rPr>
      </w:pPr>
      <w:bookmarkStart w:id="24" w:name="_Toc104830206"/>
      <w:r>
        <w:rPr>
          <w:rFonts w:hint="eastAsia" w:ascii="黑体" w:eastAsia="黑体"/>
          <w:color w:val="000000" w:themeColor="text1"/>
          <w:sz w:val="32"/>
          <w:szCs w:val="32"/>
        </w:rPr>
        <w:t>六、一般公共预算基本支出情况说明</w:t>
      </w:r>
      <w:bookmarkEnd w:id="24"/>
    </w:p>
    <w:p>
      <w:pPr>
        <w:spacing w:line="600" w:lineRule="exact"/>
        <w:ind w:firstLine="640" w:firstLineChars="200"/>
        <w:outlineLvl w:val="1"/>
        <w:rPr>
          <w:rFonts w:ascii="仿宋_GB2312" w:eastAsia="仿宋_GB2312"/>
          <w:color w:val="000000" w:themeColor="text1"/>
          <w:sz w:val="32"/>
          <w:szCs w:val="32"/>
        </w:rPr>
      </w:pPr>
      <w:bookmarkStart w:id="25" w:name="_Toc104830207"/>
      <w:r>
        <w:rPr>
          <w:rFonts w:hint="eastAsia" w:ascii="仿宋_GB2312" w:eastAsia="仿宋_GB2312"/>
          <w:color w:val="000000" w:themeColor="text1"/>
          <w:sz w:val="32"/>
          <w:szCs w:val="32"/>
        </w:rPr>
        <w:t>峨眉山市胜利街道社区卫生中心2022年一般公共预算基本支出428.20万元，其中：</w:t>
      </w:r>
      <w:bookmarkEnd w:id="25"/>
    </w:p>
    <w:p>
      <w:pPr>
        <w:spacing w:line="600" w:lineRule="exact"/>
        <w:ind w:firstLine="640" w:firstLineChars="200"/>
        <w:outlineLvl w:val="1"/>
        <w:rPr>
          <w:rFonts w:ascii="仿宋_GB2312" w:eastAsia="仿宋_GB2312"/>
          <w:color w:val="000000" w:themeColor="text1"/>
          <w:sz w:val="32"/>
          <w:szCs w:val="32"/>
        </w:rPr>
      </w:pPr>
      <w:bookmarkStart w:id="26" w:name="_Toc104830208"/>
      <w:r>
        <w:rPr>
          <w:rFonts w:hint="eastAsia" w:ascii="仿宋_GB2312" w:eastAsia="仿宋_GB2312"/>
          <w:color w:val="000000" w:themeColor="text1"/>
          <w:sz w:val="32"/>
          <w:szCs w:val="32"/>
        </w:rPr>
        <w:t>人员经费346.00万元，主要包括：基本工资、津贴补贴、绩效工资、奖金、社会保险缴费、机关事业单位养老保险、机关事业单位职业年金、事业单位医疗、公积金等。</w:t>
      </w:r>
      <w:bookmarkEnd w:id="26"/>
    </w:p>
    <w:p>
      <w:pPr>
        <w:spacing w:line="600" w:lineRule="exact"/>
        <w:ind w:firstLine="640" w:firstLineChars="200"/>
        <w:outlineLvl w:val="1"/>
        <w:rPr>
          <w:rFonts w:ascii="仿宋_GB2312" w:eastAsia="仿宋_GB2312"/>
          <w:color w:val="000000" w:themeColor="text1"/>
          <w:sz w:val="32"/>
          <w:szCs w:val="32"/>
        </w:rPr>
      </w:pPr>
      <w:bookmarkStart w:id="27" w:name="_Toc104830209"/>
      <w:r>
        <w:rPr>
          <w:rFonts w:hint="eastAsia" w:ascii="仿宋_GB2312" w:eastAsia="仿宋_GB2312"/>
          <w:color w:val="000000" w:themeColor="text1"/>
          <w:sz w:val="32"/>
          <w:szCs w:val="32"/>
        </w:rPr>
        <w:t>公用经费82.20万元，主要包括：办公费、印刷费、维修费、公务接待费、公务用车运行维护费、其他商品和服务支出等。</w:t>
      </w:r>
      <w:bookmarkEnd w:id="27"/>
    </w:p>
    <w:p>
      <w:pPr>
        <w:spacing w:line="600" w:lineRule="exact"/>
        <w:ind w:firstLine="640" w:firstLineChars="200"/>
        <w:outlineLvl w:val="1"/>
        <w:rPr>
          <w:rFonts w:ascii="黑体" w:eastAsia="黑体"/>
          <w:color w:val="000000" w:themeColor="text1"/>
          <w:sz w:val="32"/>
          <w:szCs w:val="32"/>
        </w:rPr>
      </w:pPr>
      <w:bookmarkStart w:id="28" w:name="_Toc104830210"/>
      <w:r>
        <w:rPr>
          <w:rFonts w:hint="eastAsia" w:ascii="黑体" w:eastAsia="黑体"/>
          <w:color w:val="000000" w:themeColor="text1"/>
          <w:sz w:val="32"/>
          <w:szCs w:val="32"/>
        </w:rPr>
        <w:t>七、政府性基金预算支出规模及变化情况说明</w:t>
      </w:r>
      <w:bookmarkEnd w:id="28"/>
    </w:p>
    <w:p>
      <w:pPr>
        <w:spacing w:line="600" w:lineRule="exact"/>
        <w:ind w:firstLine="640" w:firstLineChars="200"/>
        <w:outlineLvl w:val="1"/>
        <w:rPr>
          <w:rFonts w:ascii="仿宋_GB2312" w:eastAsia="仿宋_GB2312"/>
          <w:color w:val="000000" w:themeColor="text1"/>
          <w:sz w:val="32"/>
          <w:szCs w:val="32"/>
        </w:rPr>
      </w:pPr>
      <w:bookmarkStart w:id="29" w:name="_Toc104830211"/>
      <w:r>
        <w:rPr>
          <w:rFonts w:hint="eastAsia" w:ascii="仿宋_GB2312" w:eastAsia="仿宋_GB2312"/>
          <w:color w:val="000000" w:themeColor="text1"/>
          <w:sz w:val="32"/>
          <w:szCs w:val="32"/>
        </w:rPr>
        <w:t>峨眉山市胜利街道社区卫生服务中心2022年无列编政府性基金预算，以年中调整预算数为准。</w:t>
      </w:r>
      <w:bookmarkEnd w:id="29"/>
    </w:p>
    <w:p>
      <w:pPr>
        <w:spacing w:line="600" w:lineRule="exact"/>
        <w:ind w:firstLine="640" w:firstLineChars="200"/>
        <w:outlineLvl w:val="1"/>
        <w:rPr>
          <w:rFonts w:ascii="黑体" w:eastAsia="黑体"/>
          <w:color w:val="000000" w:themeColor="text1"/>
          <w:sz w:val="32"/>
          <w:szCs w:val="32"/>
        </w:rPr>
      </w:pPr>
      <w:bookmarkStart w:id="30" w:name="_Toc104830212"/>
      <w:r>
        <w:rPr>
          <w:rFonts w:hint="eastAsia" w:ascii="黑体" w:eastAsia="黑体"/>
          <w:color w:val="000000" w:themeColor="text1"/>
          <w:sz w:val="32"/>
          <w:szCs w:val="32"/>
        </w:rPr>
        <w:t>八、“三公”经费预算安排情况说明</w:t>
      </w:r>
      <w:bookmarkEnd w:id="30"/>
    </w:p>
    <w:p>
      <w:pPr>
        <w:spacing w:line="600" w:lineRule="exact"/>
        <w:ind w:firstLine="640" w:firstLineChars="200"/>
        <w:outlineLvl w:val="1"/>
        <w:rPr>
          <w:rFonts w:ascii="楷体_GB2312" w:eastAsia="楷体_GB2312"/>
          <w:color w:val="000000" w:themeColor="text1"/>
          <w:sz w:val="32"/>
          <w:szCs w:val="32"/>
        </w:rPr>
      </w:pPr>
      <w:bookmarkStart w:id="31" w:name="_Toc104830213"/>
      <w:r>
        <w:rPr>
          <w:rFonts w:hint="eastAsia" w:ascii="仿宋_GB2312" w:eastAsia="仿宋_GB2312"/>
          <w:color w:val="000000" w:themeColor="text1"/>
          <w:sz w:val="32"/>
          <w:szCs w:val="32"/>
        </w:rPr>
        <w:t>峨眉山市胜利街道社区卫生服务中心2022年“三公”经费预算数6.70万元，上年6.30万元，较上年“三公”经费预算数增加0.40万元。其中财政拨款安排“三公”经费6.70万元。公务接待费0.20万元，公务用车购置及运行维护费6.50万元。</w:t>
      </w:r>
      <w:bookmarkEnd w:id="31"/>
    </w:p>
    <w:p>
      <w:pPr>
        <w:spacing w:line="600" w:lineRule="exact"/>
        <w:ind w:firstLine="640" w:firstLineChars="200"/>
        <w:outlineLvl w:val="1"/>
        <w:rPr>
          <w:rFonts w:ascii="仿宋_GB2312" w:eastAsia="仿宋_GB2312"/>
          <w:color w:val="000000" w:themeColor="text1"/>
          <w:sz w:val="32"/>
          <w:szCs w:val="32"/>
        </w:rPr>
      </w:pPr>
      <w:bookmarkStart w:id="32" w:name="_Toc104830214"/>
      <w:r>
        <w:rPr>
          <w:rFonts w:hint="eastAsia" w:ascii="楷体_GB2312" w:hAnsi="楷体_GB2312" w:eastAsia="楷体_GB2312" w:cs="楷体_GB2312"/>
          <w:color w:val="000000" w:themeColor="text1"/>
          <w:sz w:val="32"/>
          <w:szCs w:val="32"/>
        </w:rPr>
        <w:t>（</w:t>
      </w:r>
      <w:r>
        <w:rPr>
          <w:rFonts w:hint="eastAsia" w:ascii="仿宋_GB2312" w:eastAsia="仿宋_GB2312"/>
          <w:color w:val="000000" w:themeColor="text1"/>
          <w:sz w:val="32"/>
          <w:szCs w:val="32"/>
        </w:rPr>
        <w:t>一）无因公出国（境）预算。</w:t>
      </w:r>
      <w:bookmarkEnd w:id="32"/>
    </w:p>
    <w:p>
      <w:pPr>
        <w:spacing w:line="600" w:lineRule="exact"/>
        <w:ind w:firstLine="640" w:firstLineChars="200"/>
        <w:outlineLvl w:val="1"/>
        <w:rPr>
          <w:rFonts w:ascii="楷体_GB2312" w:hAnsi="楷体_GB2312" w:eastAsia="楷体_GB2312" w:cs="楷体_GB2312"/>
          <w:color w:val="000000" w:themeColor="text1"/>
          <w:sz w:val="32"/>
          <w:szCs w:val="32"/>
        </w:rPr>
      </w:pPr>
      <w:bookmarkStart w:id="33" w:name="_Toc104830215"/>
      <w:r>
        <w:rPr>
          <w:rFonts w:hint="eastAsia" w:ascii="楷体_GB2312" w:hAnsi="楷体_GB2312" w:eastAsia="楷体_GB2312" w:cs="楷体_GB2312"/>
          <w:color w:val="000000" w:themeColor="text1"/>
          <w:sz w:val="32"/>
          <w:szCs w:val="32"/>
        </w:rPr>
        <w:t>（二）公务接待费较上年预算减少0.10万元，下降33%</w:t>
      </w:r>
      <w:bookmarkEnd w:id="33"/>
    </w:p>
    <w:p>
      <w:pPr>
        <w:spacing w:line="600" w:lineRule="exact"/>
        <w:ind w:firstLine="640" w:firstLineChars="200"/>
        <w:outlineLvl w:val="1"/>
        <w:rPr>
          <w:rFonts w:ascii="仿宋_GB2312" w:eastAsia="仿宋_GB2312"/>
          <w:color w:val="000000" w:themeColor="text1"/>
          <w:sz w:val="32"/>
          <w:szCs w:val="32"/>
        </w:rPr>
      </w:pPr>
      <w:bookmarkStart w:id="34" w:name="_Toc104830216"/>
      <w:r>
        <w:rPr>
          <w:rFonts w:hint="eastAsia" w:ascii="仿宋_GB2312" w:eastAsia="仿宋_GB2312"/>
          <w:color w:val="000000" w:themeColor="text1"/>
          <w:sz w:val="32"/>
          <w:szCs w:val="32"/>
        </w:rPr>
        <w:t>2022年公务接待费计划主要用于各级部门工作检查。</w:t>
      </w:r>
      <w:bookmarkEnd w:id="34"/>
    </w:p>
    <w:p>
      <w:pPr>
        <w:spacing w:line="600" w:lineRule="exact"/>
        <w:ind w:firstLine="640" w:firstLineChars="200"/>
        <w:outlineLvl w:val="1"/>
        <w:rPr>
          <w:rFonts w:ascii="仿宋_GB2312" w:eastAsia="仿宋_GB2312"/>
          <w:color w:val="000000" w:themeColor="text1"/>
          <w:sz w:val="32"/>
          <w:szCs w:val="32"/>
        </w:rPr>
      </w:pPr>
      <w:bookmarkStart w:id="35" w:name="_Toc104830217"/>
      <w:r>
        <w:rPr>
          <w:rFonts w:hint="eastAsia" w:ascii="楷体_GB2312" w:eastAsia="楷体_GB2312"/>
          <w:color w:val="000000" w:themeColor="text1"/>
          <w:sz w:val="32"/>
          <w:szCs w:val="32"/>
        </w:rPr>
        <w:t>（三）</w:t>
      </w:r>
      <w:r>
        <w:rPr>
          <w:rFonts w:hint="eastAsia" w:ascii="仿宋_GB2312" w:eastAsia="仿宋_GB2312"/>
          <w:color w:val="000000" w:themeColor="text1"/>
          <w:sz w:val="32"/>
          <w:szCs w:val="32"/>
        </w:rPr>
        <w:t>公务用车购置及运行维护费较上年预算增加0.40万元，增加6.35%，主要是增加疫情防控用车，单位现有救护车2辆。</w:t>
      </w:r>
      <w:bookmarkEnd w:id="35"/>
    </w:p>
    <w:p>
      <w:pPr>
        <w:spacing w:line="600" w:lineRule="exact"/>
        <w:ind w:firstLine="640" w:firstLineChars="200"/>
        <w:outlineLvl w:val="1"/>
        <w:rPr>
          <w:rFonts w:ascii="黑体" w:eastAsia="黑体"/>
          <w:color w:val="000000" w:themeColor="text1"/>
          <w:sz w:val="32"/>
          <w:szCs w:val="32"/>
        </w:rPr>
      </w:pPr>
      <w:bookmarkStart w:id="36" w:name="_Toc104830218"/>
      <w:r>
        <w:rPr>
          <w:rFonts w:hint="eastAsia" w:ascii="黑体" w:eastAsia="黑体"/>
          <w:color w:val="000000" w:themeColor="text1"/>
          <w:sz w:val="32"/>
          <w:szCs w:val="32"/>
        </w:rPr>
        <w:t>九、其他重要事项的情况说明</w:t>
      </w:r>
      <w:bookmarkEnd w:id="36"/>
    </w:p>
    <w:p>
      <w:pPr>
        <w:spacing w:line="600" w:lineRule="exact"/>
        <w:ind w:firstLine="640" w:firstLineChars="200"/>
        <w:outlineLvl w:val="1"/>
        <w:rPr>
          <w:rFonts w:ascii="楷体_GB2312" w:hAnsi="楷体_GB2312" w:eastAsia="楷体_GB2312" w:cs="楷体_GB2312"/>
          <w:color w:val="000000" w:themeColor="text1"/>
          <w:sz w:val="32"/>
          <w:szCs w:val="32"/>
        </w:rPr>
      </w:pPr>
      <w:bookmarkStart w:id="37" w:name="_Toc104830219"/>
      <w:r>
        <w:rPr>
          <w:rFonts w:hint="eastAsia" w:ascii="楷体_GB2312" w:hAnsi="楷体_GB2312" w:eastAsia="楷体_GB2312" w:cs="楷体_GB2312"/>
          <w:color w:val="000000" w:themeColor="text1"/>
          <w:sz w:val="32"/>
          <w:szCs w:val="32"/>
        </w:rPr>
        <w:t>（一）运行经费</w:t>
      </w:r>
      <w:bookmarkEnd w:id="37"/>
    </w:p>
    <w:p>
      <w:pPr>
        <w:spacing w:line="600" w:lineRule="exact"/>
        <w:ind w:firstLine="640" w:firstLineChars="200"/>
        <w:outlineLvl w:val="1"/>
        <w:rPr>
          <w:rFonts w:ascii="仿宋_GB2312" w:eastAsia="仿宋_GB2312"/>
          <w:color w:val="000000" w:themeColor="text1"/>
          <w:sz w:val="32"/>
          <w:szCs w:val="32"/>
        </w:rPr>
      </w:pPr>
      <w:bookmarkStart w:id="38" w:name="_Toc104830220"/>
      <w:r>
        <w:rPr>
          <w:rFonts w:hint="eastAsia" w:ascii="仿宋_GB2312" w:eastAsia="仿宋_GB2312"/>
          <w:color w:val="000000" w:themeColor="text1"/>
          <w:sz w:val="32"/>
          <w:szCs w:val="32"/>
        </w:rPr>
        <w:t>2022年，峨眉山市胜利街道社区卫生服务中心为保障单位正常运行，安排的包括办公及印刷费、邮电费、差旅费、会议费、福利费、日常维修费、专用材料及一般设备购置费、办公用房水电费、办公用房取暖费、办公用房物业管理费、公务用车运行维护费以及其他费用等机关运行经费预算为82.10万元，较上年预算减少45.62万元，增加125.15%，主要是增加了工作人员、管理范围及服务人口。</w:t>
      </w:r>
      <w:bookmarkEnd w:id="38"/>
    </w:p>
    <w:p>
      <w:pPr>
        <w:spacing w:line="600" w:lineRule="exact"/>
        <w:ind w:firstLine="640" w:firstLineChars="200"/>
        <w:outlineLvl w:val="1"/>
        <w:rPr>
          <w:rFonts w:ascii="楷体_GB2312" w:hAnsi="楷体_GB2312" w:eastAsia="楷体_GB2312" w:cs="楷体_GB2312"/>
          <w:color w:val="000000" w:themeColor="text1"/>
          <w:sz w:val="32"/>
          <w:szCs w:val="32"/>
        </w:rPr>
      </w:pPr>
      <w:bookmarkStart w:id="39" w:name="_Toc104830221"/>
      <w:r>
        <w:rPr>
          <w:rFonts w:hint="eastAsia" w:ascii="楷体_GB2312" w:hAnsi="楷体_GB2312" w:eastAsia="楷体_GB2312" w:cs="楷体_GB2312"/>
          <w:color w:val="000000" w:themeColor="text1"/>
          <w:sz w:val="32"/>
          <w:szCs w:val="32"/>
        </w:rPr>
        <w:t>（二）政府采购情况</w:t>
      </w:r>
      <w:bookmarkEnd w:id="39"/>
    </w:p>
    <w:p>
      <w:pPr>
        <w:spacing w:line="600" w:lineRule="exact"/>
        <w:ind w:firstLine="640" w:firstLineChars="200"/>
        <w:outlineLvl w:val="1"/>
        <w:rPr>
          <w:rFonts w:ascii="楷体_GB2312" w:hAnsi="楷体_GB2312" w:eastAsia="楷体_GB2312" w:cs="楷体_GB2312"/>
          <w:color w:val="000000" w:themeColor="text1"/>
          <w:sz w:val="32"/>
          <w:szCs w:val="32"/>
        </w:rPr>
      </w:pPr>
      <w:bookmarkStart w:id="40" w:name="_Toc104830222"/>
      <w:r>
        <w:rPr>
          <w:rFonts w:hint="eastAsia" w:ascii="楷体_GB2312" w:hAnsi="楷体_GB2312" w:eastAsia="楷体_GB2312" w:cs="楷体_GB2312"/>
          <w:color w:val="000000" w:themeColor="text1"/>
          <w:sz w:val="32"/>
          <w:szCs w:val="32"/>
        </w:rPr>
        <w:t>（三）国有资产占有使用情况</w:t>
      </w:r>
      <w:bookmarkEnd w:id="40"/>
    </w:p>
    <w:p>
      <w:pPr>
        <w:spacing w:line="600" w:lineRule="exact"/>
        <w:ind w:firstLine="640" w:firstLineChars="200"/>
        <w:outlineLvl w:val="1"/>
        <w:rPr>
          <w:rFonts w:ascii="仿宋_GB2312" w:eastAsia="仿宋_GB2312"/>
          <w:color w:val="000000" w:themeColor="text1"/>
          <w:sz w:val="32"/>
          <w:szCs w:val="32"/>
        </w:rPr>
      </w:pPr>
      <w:bookmarkStart w:id="41" w:name="_Toc104830223"/>
      <w:r>
        <w:rPr>
          <w:rFonts w:hint="eastAsia" w:ascii="仿宋_GB2312" w:eastAsia="仿宋_GB2312"/>
          <w:color w:val="000000" w:themeColor="text1"/>
          <w:sz w:val="32"/>
          <w:szCs w:val="32"/>
        </w:rPr>
        <w:t>截至2021年末，峨眉山市社区卫生服务中心共有车辆2辆。无单位价值200万元以上大型设备。</w:t>
      </w:r>
      <w:bookmarkEnd w:id="41"/>
    </w:p>
    <w:p>
      <w:pPr>
        <w:spacing w:line="600" w:lineRule="exact"/>
        <w:ind w:firstLine="640" w:firstLineChars="200"/>
        <w:outlineLvl w:val="1"/>
        <w:rPr>
          <w:rFonts w:ascii="楷体_GB2312" w:hAnsi="楷体_GB2312" w:eastAsia="楷体_GB2312" w:cs="楷体_GB2312"/>
          <w:color w:val="000000" w:themeColor="text1"/>
          <w:sz w:val="32"/>
          <w:szCs w:val="32"/>
        </w:rPr>
      </w:pPr>
      <w:bookmarkStart w:id="42" w:name="_Toc104830224"/>
      <w:r>
        <w:rPr>
          <w:rFonts w:hint="eastAsia" w:ascii="楷体_GB2312" w:hAnsi="楷体_GB2312" w:eastAsia="楷体_GB2312" w:cs="楷体_GB2312"/>
          <w:color w:val="000000" w:themeColor="text1"/>
          <w:sz w:val="32"/>
          <w:szCs w:val="32"/>
        </w:rPr>
        <w:t>（四）绩效目标设置情况</w:t>
      </w:r>
      <w:bookmarkEnd w:id="42"/>
    </w:p>
    <w:p>
      <w:pPr>
        <w:spacing w:line="600" w:lineRule="exact"/>
        <w:ind w:firstLine="640" w:firstLineChars="200"/>
        <w:outlineLvl w:val="1"/>
        <w:rPr>
          <w:rFonts w:ascii="仿宋_GB2312" w:eastAsia="仿宋_GB2312"/>
          <w:color w:val="000000" w:themeColor="text1"/>
          <w:sz w:val="32"/>
          <w:szCs w:val="32"/>
        </w:rPr>
      </w:pPr>
      <w:bookmarkStart w:id="43" w:name="_Toc104830225"/>
      <w:r>
        <w:rPr>
          <w:rFonts w:hint="eastAsia" w:ascii="仿宋_GB2312" w:eastAsia="仿宋_GB2312"/>
          <w:color w:val="000000" w:themeColor="text1"/>
          <w:sz w:val="32"/>
          <w:szCs w:val="32"/>
        </w:rPr>
        <w:t>2022年，峨眉山市胜利街道社区卫生中心按要求实行绩效目标管理，预计单位整体绩效目标涉及预算安排1538.20万元，其中单位基本支出包括人员工资及保险、住房公积金、公用经费完成610.61万元，各种项目支出除财政拨款以外的各种项目支出927.59万元,主要为基本医疗、公共卫生、房屋简易维修维护等项目。</w:t>
      </w:r>
      <w:bookmarkEnd w:id="43"/>
    </w:p>
    <w:p>
      <w:pPr>
        <w:spacing w:line="600" w:lineRule="exact"/>
        <w:ind w:firstLine="643" w:firstLineChars="200"/>
        <w:outlineLvl w:val="1"/>
        <w:rPr>
          <w:rFonts w:ascii="仿宋_GB2312" w:eastAsia="仿宋_GB2312"/>
          <w:b/>
          <w:color w:val="000000" w:themeColor="text1"/>
          <w:sz w:val="32"/>
          <w:szCs w:val="32"/>
        </w:rPr>
      </w:pPr>
      <w:bookmarkStart w:id="44" w:name="_Toc104830226"/>
      <w:r>
        <w:rPr>
          <w:rFonts w:hint="eastAsia" w:ascii="仿宋_GB2312" w:eastAsia="仿宋_GB2312"/>
          <w:b/>
          <w:color w:val="000000" w:themeColor="text1"/>
          <w:sz w:val="32"/>
          <w:szCs w:val="32"/>
        </w:rPr>
        <w:t>（项目绩效目标预算数与项目支出预算数一致。）</w:t>
      </w:r>
      <w:bookmarkEnd w:id="44"/>
    </w:p>
    <w:p>
      <w:pPr>
        <w:spacing w:line="600" w:lineRule="exact"/>
        <w:ind w:firstLine="640" w:firstLineChars="200"/>
        <w:outlineLvl w:val="1"/>
        <w:rPr>
          <w:rFonts w:ascii="黑体" w:eastAsia="黑体"/>
          <w:color w:val="000000" w:themeColor="text1"/>
          <w:sz w:val="32"/>
          <w:szCs w:val="32"/>
        </w:rPr>
      </w:pPr>
      <w:bookmarkStart w:id="45" w:name="_Toc104830227"/>
      <w:r>
        <w:rPr>
          <w:rFonts w:hint="eastAsia" w:ascii="黑体" w:eastAsia="黑体"/>
          <w:color w:val="000000" w:themeColor="text1"/>
          <w:sz w:val="32"/>
          <w:szCs w:val="32"/>
        </w:rPr>
        <w:t>十、名词解释</w:t>
      </w:r>
      <w:bookmarkEnd w:id="45"/>
    </w:p>
    <w:p>
      <w:pPr>
        <w:pStyle w:val="12"/>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（一）财政拨款收支情况：指一般公共预算、政府性基金预算、国有资产经营预算拨款收支情况。 </w:t>
      </w:r>
    </w:p>
    <w:p>
      <w:pPr>
        <w:pStyle w:val="12"/>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（二）一般公共预算拨款收入：指本级财政当年拨付的资金。</w:t>
      </w:r>
    </w:p>
    <w:p>
      <w:pPr>
        <w:pStyle w:val="12"/>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（三）其他收入：指除上述“财政拨款收入”、“事业收入”、“经营收入”等以外的收入。主要是…（收入类型）等。 </w:t>
      </w:r>
    </w:p>
    <w:p>
      <w:pPr>
        <w:spacing w:line="600" w:lineRule="exact"/>
        <w:ind w:firstLine="640"/>
        <w:rPr>
          <w:rFonts w:ascii="仿宋_GB2312" w:eastAsia="仿宋_GB2312"/>
          <w:b/>
          <w:color w:val="000000" w:themeColor="text1"/>
          <w:sz w:val="32"/>
          <w:szCs w:val="32"/>
        </w:rPr>
      </w:pPr>
      <w:r>
        <w:rPr>
          <w:rFonts w:hint="eastAsia" w:ascii="仿宋_GB2312" w:eastAsia="仿宋_GB2312"/>
          <w:b/>
          <w:color w:val="000000" w:themeColor="text1"/>
          <w:sz w:val="32"/>
          <w:szCs w:val="32"/>
        </w:rPr>
        <w:t>（解释本部门（单位）预算中全部功能分类科目，到项级）</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（九）基本支出：指为保障机构正常运转、完成日常工作任务而发生的人员支出和公用支出。</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（十）项目支出：指在基本支出之外为完成特定行政任务和事业发展目标所发生的支出。 </w:t>
      </w:r>
    </w:p>
    <w:p>
      <w:pPr>
        <w:pStyle w:val="12"/>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十一）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2"/>
        <w:spacing w:line="600" w:lineRule="exact"/>
        <w:ind w:firstLine="640" w:firstLineChars="200"/>
        <w:rPr>
          <w:rFonts w:ascii="仿宋_GB2312" w:eastAsia="仿宋_GB2312"/>
          <w:color w:val="000000" w:themeColor="text1"/>
          <w:sz w:val="32"/>
          <w:szCs w:val="32"/>
        </w:rPr>
      </w:pPr>
    </w:p>
    <w:p>
      <w:pPr>
        <w:spacing w:line="600" w:lineRule="exact"/>
        <w:jc w:val="center"/>
        <w:outlineLvl w:val="0"/>
        <w:rPr>
          <w:rFonts w:ascii="方正小标宋简体" w:eastAsia="方正小标宋简体"/>
          <w:color w:val="000000" w:themeColor="text1"/>
          <w:sz w:val="44"/>
          <w:szCs w:val="44"/>
        </w:rPr>
      </w:pPr>
      <w:bookmarkStart w:id="46" w:name="_Toc104830228"/>
      <w:bookmarkStart w:id="47" w:name="_Toc104829159"/>
      <w:r>
        <w:rPr>
          <w:rFonts w:hint="eastAsia" w:ascii="方正小标宋简体" w:eastAsia="方正小标宋简体"/>
          <w:color w:val="000000" w:themeColor="text1"/>
          <w:sz w:val="44"/>
          <w:szCs w:val="44"/>
        </w:rPr>
        <w:t>第二部分  峨眉山市社区卫生服务中心</w:t>
      </w:r>
      <w:bookmarkEnd w:id="46"/>
    </w:p>
    <w:p>
      <w:pPr>
        <w:spacing w:line="600" w:lineRule="exact"/>
        <w:jc w:val="center"/>
        <w:outlineLvl w:val="0"/>
        <w:rPr>
          <w:rFonts w:ascii="方正小标宋简体" w:eastAsia="方正小标宋简体"/>
          <w:color w:val="000000" w:themeColor="text1"/>
          <w:sz w:val="44"/>
          <w:szCs w:val="44"/>
        </w:rPr>
      </w:pPr>
      <w:bookmarkStart w:id="48" w:name="_Toc104830229"/>
      <w:r>
        <w:rPr>
          <w:rFonts w:hint="eastAsia" w:ascii="方正小标宋简体" w:eastAsia="方正小标宋简体"/>
          <w:color w:val="000000" w:themeColor="text1"/>
          <w:sz w:val="44"/>
          <w:szCs w:val="44"/>
        </w:rPr>
        <w:t>2022年预算编制的说明附表</w:t>
      </w:r>
      <w:bookmarkEnd w:id="47"/>
      <w:bookmarkEnd w:id="48"/>
    </w:p>
    <w:p>
      <w:pPr>
        <w:spacing w:line="600" w:lineRule="exact"/>
        <w:ind w:firstLine="640" w:firstLineChars="200"/>
        <w:outlineLvl w:val="1"/>
        <w:rPr>
          <w:rFonts w:ascii="黑体" w:eastAsia="黑体"/>
          <w:sz w:val="32"/>
          <w:szCs w:val="32"/>
        </w:rPr>
      </w:pPr>
      <w:bookmarkStart w:id="49" w:name="_Toc104824611"/>
      <w:bookmarkStart w:id="50" w:name="_Toc104829160"/>
      <w:bookmarkStart w:id="51" w:name="_Toc104830230"/>
      <w:r>
        <w:rPr>
          <w:rFonts w:hint="eastAsia" w:ascii="黑体" w:eastAsia="黑体"/>
          <w:sz w:val="32"/>
          <w:szCs w:val="32"/>
        </w:rPr>
        <w:t>一、收支预算总表</w:t>
      </w:r>
      <w:bookmarkEnd w:id="49"/>
      <w:bookmarkEnd w:id="50"/>
      <w:bookmarkEnd w:id="51"/>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52" w:name="_Toc104824612"/>
      <w:bookmarkStart w:id="53" w:name="_Toc104829161"/>
      <w:bookmarkStart w:id="54" w:name="_Toc104830231"/>
      <w:r>
        <w:rPr>
          <w:rFonts w:hint="eastAsia" w:ascii="黑体" w:eastAsia="黑体"/>
          <w:sz w:val="32"/>
          <w:szCs w:val="32"/>
        </w:rPr>
        <w:t>二、收入预算总表</w:t>
      </w:r>
      <w:bookmarkEnd w:id="52"/>
      <w:bookmarkEnd w:id="53"/>
      <w:bookmarkEnd w:id="54"/>
    </w:p>
    <w:p>
      <w:pPr>
        <w:spacing w:line="600" w:lineRule="exact"/>
        <w:ind w:firstLine="640" w:firstLineChars="200"/>
        <w:outlineLvl w:val="1"/>
        <w:rPr>
          <w:rFonts w:ascii="黑体" w:eastAsia="黑体"/>
          <w:sz w:val="32"/>
          <w:szCs w:val="32"/>
        </w:rPr>
      </w:pPr>
      <w:bookmarkStart w:id="55" w:name="_Toc104824613"/>
      <w:bookmarkStart w:id="56" w:name="_Toc104829162"/>
      <w:bookmarkStart w:id="57" w:name="_Toc104830232"/>
      <w:r>
        <w:rPr>
          <w:rFonts w:hint="eastAsia" w:ascii="黑体" w:eastAsia="黑体"/>
          <w:sz w:val="32"/>
          <w:szCs w:val="32"/>
        </w:rPr>
        <w:t>三、支出预算总表</w:t>
      </w:r>
      <w:bookmarkEnd w:id="55"/>
      <w:bookmarkEnd w:id="56"/>
      <w:bookmarkEnd w:id="57"/>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58" w:name="_Toc104824614"/>
      <w:bookmarkStart w:id="59" w:name="_Toc104829163"/>
      <w:bookmarkStart w:id="60" w:name="_Toc104830233"/>
      <w:r>
        <w:rPr>
          <w:rFonts w:hint="eastAsia" w:ascii="黑体" w:eastAsia="黑体"/>
          <w:sz w:val="32"/>
          <w:szCs w:val="32"/>
        </w:rPr>
        <w:t>四、财政拨款预算总表</w:t>
      </w:r>
      <w:bookmarkEnd w:id="58"/>
      <w:bookmarkEnd w:id="59"/>
      <w:bookmarkEnd w:id="60"/>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61" w:name="_Toc104824615"/>
      <w:bookmarkStart w:id="62" w:name="_Toc104830234"/>
      <w:bookmarkStart w:id="63" w:name="_Toc104829164"/>
      <w:r>
        <w:rPr>
          <w:rFonts w:hint="eastAsia" w:ascii="黑体" w:eastAsia="黑体"/>
          <w:sz w:val="32"/>
          <w:szCs w:val="32"/>
        </w:rPr>
        <w:t>五、一般公共预算支出表</w:t>
      </w:r>
      <w:bookmarkEnd w:id="61"/>
      <w:bookmarkEnd w:id="62"/>
      <w:bookmarkEnd w:id="63"/>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64" w:name="_Toc104830235"/>
      <w:bookmarkStart w:id="65" w:name="_Toc104829165"/>
      <w:bookmarkStart w:id="66" w:name="_Toc104824616"/>
      <w:r>
        <w:rPr>
          <w:rFonts w:hint="eastAsia" w:ascii="黑体" w:eastAsia="黑体"/>
          <w:sz w:val="32"/>
          <w:szCs w:val="32"/>
        </w:rPr>
        <w:t>六、一般公共预算基本支出表</w:t>
      </w:r>
      <w:bookmarkEnd w:id="64"/>
      <w:bookmarkEnd w:id="65"/>
      <w:bookmarkEnd w:id="66"/>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67" w:name="_Toc104830236"/>
      <w:bookmarkStart w:id="68" w:name="_Toc104829166"/>
      <w:bookmarkStart w:id="69" w:name="_Toc104824617"/>
      <w:r>
        <w:rPr>
          <w:rFonts w:hint="eastAsia" w:ascii="黑体" w:eastAsia="黑体"/>
          <w:sz w:val="32"/>
          <w:szCs w:val="32"/>
        </w:rPr>
        <w:t>七、一般公共预算“三公”经费支出预算表</w:t>
      </w:r>
      <w:bookmarkEnd w:id="67"/>
      <w:bookmarkEnd w:id="68"/>
      <w:bookmarkEnd w:id="69"/>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70" w:name="_Toc104830237"/>
      <w:bookmarkStart w:id="71" w:name="_Toc104824618"/>
      <w:bookmarkStart w:id="72" w:name="_Toc104829167"/>
      <w:r>
        <w:rPr>
          <w:rFonts w:hint="eastAsia" w:ascii="黑体" w:eastAsia="黑体"/>
          <w:sz w:val="32"/>
          <w:szCs w:val="32"/>
        </w:rPr>
        <w:t>八、政府性基金预算支出表</w:t>
      </w:r>
      <w:bookmarkEnd w:id="70"/>
      <w:bookmarkEnd w:id="71"/>
      <w:bookmarkEnd w:id="72"/>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73" w:name="_Toc104830238"/>
      <w:bookmarkStart w:id="74" w:name="_Toc104829168"/>
      <w:bookmarkStart w:id="75" w:name="_Toc104824619"/>
      <w:r>
        <w:rPr>
          <w:rFonts w:hint="eastAsia" w:ascii="黑体" w:eastAsia="黑体"/>
          <w:sz w:val="32"/>
          <w:szCs w:val="32"/>
        </w:rPr>
        <w:t>九、国有资本经营预算支出表</w:t>
      </w:r>
      <w:bookmarkEnd w:id="73"/>
      <w:bookmarkEnd w:id="74"/>
      <w:bookmarkEnd w:id="75"/>
      <w:r>
        <w:rPr>
          <w:rFonts w:hint="eastAsia" w:ascii="黑体" w:eastAsia="黑体"/>
          <w:sz w:val="32"/>
          <w:szCs w:val="32"/>
        </w:rPr>
        <w:t xml:space="preserve"> </w:t>
      </w:r>
    </w:p>
    <w:p>
      <w:pPr>
        <w:spacing w:line="600" w:lineRule="exact"/>
        <w:ind w:firstLine="640" w:firstLineChars="200"/>
        <w:outlineLvl w:val="1"/>
        <w:rPr>
          <w:rFonts w:ascii="黑体" w:eastAsia="黑体"/>
          <w:sz w:val="32"/>
          <w:szCs w:val="32"/>
        </w:rPr>
      </w:pPr>
      <w:bookmarkStart w:id="76" w:name="_Toc104824620"/>
      <w:bookmarkStart w:id="77" w:name="_Toc104829169"/>
      <w:bookmarkStart w:id="78" w:name="_Toc104830239"/>
      <w:r>
        <w:rPr>
          <w:rFonts w:hint="eastAsia" w:ascii="黑体" w:eastAsia="黑体"/>
          <w:sz w:val="32"/>
          <w:szCs w:val="32"/>
        </w:rPr>
        <w:t>十、 支出功能分类预算表</w:t>
      </w:r>
      <w:bookmarkEnd w:id="76"/>
      <w:bookmarkEnd w:id="77"/>
      <w:bookmarkEnd w:id="78"/>
    </w:p>
    <w:p>
      <w:pPr>
        <w:spacing w:line="600" w:lineRule="exact"/>
        <w:ind w:firstLine="640" w:firstLineChars="200"/>
        <w:outlineLvl w:val="1"/>
        <w:rPr>
          <w:rFonts w:ascii="黑体" w:eastAsia="黑体"/>
          <w:sz w:val="32"/>
          <w:szCs w:val="32"/>
        </w:rPr>
      </w:pPr>
      <w:bookmarkStart w:id="79" w:name="_Toc104830240"/>
      <w:bookmarkStart w:id="80" w:name="_Toc104829170"/>
      <w:bookmarkStart w:id="81" w:name="_Toc104824621"/>
      <w:r>
        <w:rPr>
          <w:rFonts w:hint="eastAsia" w:ascii="黑体" w:eastAsia="黑体"/>
          <w:sz w:val="32"/>
          <w:szCs w:val="32"/>
        </w:rPr>
        <w:t>十一、 支出经济分类预算表</w:t>
      </w:r>
      <w:bookmarkEnd w:id="79"/>
      <w:bookmarkEnd w:id="80"/>
      <w:bookmarkEnd w:id="81"/>
    </w:p>
    <w:p>
      <w:pPr>
        <w:spacing w:line="600" w:lineRule="exact"/>
        <w:ind w:firstLine="640" w:firstLineChars="200"/>
        <w:outlineLvl w:val="1"/>
        <w:rPr>
          <w:rFonts w:ascii="黑体" w:eastAsia="黑体"/>
          <w:sz w:val="32"/>
          <w:szCs w:val="32"/>
        </w:rPr>
      </w:pPr>
      <w:bookmarkStart w:id="82" w:name="_Toc104824622"/>
      <w:bookmarkStart w:id="83" w:name="_Toc104829171"/>
      <w:bookmarkStart w:id="84" w:name="_Toc104830241"/>
      <w:r>
        <w:rPr>
          <w:rFonts w:hint="eastAsia" w:ascii="黑体" w:eastAsia="黑体"/>
          <w:sz w:val="32"/>
          <w:szCs w:val="32"/>
        </w:rPr>
        <w:t>十二、 项目支出表</w:t>
      </w:r>
      <w:bookmarkEnd w:id="82"/>
      <w:bookmarkEnd w:id="83"/>
      <w:bookmarkEnd w:id="84"/>
    </w:p>
    <w:p>
      <w:pPr>
        <w:spacing w:line="600" w:lineRule="exact"/>
        <w:ind w:firstLine="640" w:firstLineChars="200"/>
        <w:outlineLvl w:val="1"/>
        <w:rPr>
          <w:rFonts w:ascii="黑体" w:eastAsia="黑体"/>
          <w:sz w:val="32"/>
          <w:szCs w:val="32"/>
        </w:rPr>
      </w:pPr>
      <w:bookmarkStart w:id="85" w:name="_Toc104824623"/>
      <w:bookmarkStart w:id="86" w:name="_Toc104830242"/>
      <w:bookmarkStart w:id="87" w:name="_Toc104829172"/>
      <w:r>
        <w:rPr>
          <w:rFonts w:hint="eastAsia" w:ascii="黑体" w:eastAsia="黑体"/>
          <w:sz w:val="32"/>
          <w:szCs w:val="32"/>
        </w:rPr>
        <w:t>十三、 项目支出预算明细表</w:t>
      </w:r>
      <w:bookmarkEnd w:id="85"/>
      <w:bookmarkEnd w:id="86"/>
      <w:bookmarkEnd w:id="87"/>
    </w:p>
    <w:p>
      <w:pPr>
        <w:spacing w:line="600" w:lineRule="exact"/>
        <w:outlineLvl w:val="1"/>
        <w:rPr>
          <w:color w:val="000000" w:themeColor="text1"/>
        </w:rPr>
      </w:pPr>
    </w:p>
    <w:p>
      <w:pPr>
        <w:spacing w:line="600" w:lineRule="exact"/>
        <w:outlineLvl w:val="1"/>
        <w:rPr>
          <w:color w:val="000000" w:themeColor="text1"/>
        </w:rPr>
      </w:pPr>
    </w:p>
    <w:p>
      <w:pPr>
        <w:spacing w:line="600" w:lineRule="exact"/>
        <w:outlineLvl w:val="1"/>
        <w:rPr>
          <w:color w:val="000000" w:themeColor="text1"/>
        </w:rPr>
      </w:pPr>
    </w:p>
    <w:p>
      <w:pPr>
        <w:spacing w:line="600" w:lineRule="exact"/>
        <w:outlineLvl w:val="1"/>
        <w:rPr>
          <w:color w:val="000000" w:themeColor="text1"/>
        </w:rPr>
      </w:pPr>
    </w:p>
    <w:p>
      <w:pPr>
        <w:spacing w:line="600" w:lineRule="exact"/>
        <w:outlineLvl w:val="1"/>
        <w:rPr>
          <w:color w:val="000000" w:themeColor="text1"/>
        </w:rPr>
      </w:pPr>
    </w:p>
    <w:p>
      <w:pPr>
        <w:spacing w:line="600" w:lineRule="exact"/>
        <w:outlineLvl w:val="1"/>
        <w:rPr>
          <w:color w:val="000000" w:themeColor="text1"/>
        </w:rPr>
      </w:pPr>
    </w:p>
    <w:p>
      <w:pPr>
        <w:spacing w:line="600" w:lineRule="exact"/>
        <w:outlineLvl w:val="1"/>
        <w:rPr>
          <w:color w:val="000000" w:themeColor="text1"/>
        </w:rPr>
      </w:pPr>
    </w:p>
    <w:p>
      <w:pPr>
        <w:spacing w:line="600" w:lineRule="exact"/>
        <w:outlineLvl w:val="1"/>
        <w:rPr>
          <w:color w:val="000000" w:themeColor="text1"/>
        </w:rPr>
      </w:pPr>
    </w:p>
    <w:p>
      <w:pPr>
        <w:spacing w:line="600" w:lineRule="exact"/>
        <w:outlineLvl w:val="1"/>
        <w:rPr>
          <w:color w:val="000000" w:themeColor="text1"/>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100AF"/>
    <w:multiLevelType w:val="singleLevel"/>
    <w:tmpl w:val="0F9100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A05A6"/>
    <w:rsid w:val="000C54F1"/>
    <w:rsid w:val="000F0A83"/>
    <w:rsid w:val="000F387D"/>
    <w:rsid w:val="000F755E"/>
    <w:rsid w:val="0012032D"/>
    <w:rsid w:val="0018281C"/>
    <w:rsid w:val="001963FC"/>
    <w:rsid w:val="001A0437"/>
    <w:rsid w:val="001A2108"/>
    <w:rsid w:val="001A3040"/>
    <w:rsid w:val="001A59FA"/>
    <w:rsid w:val="001A75D9"/>
    <w:rsid w:val="001C4729"/>
    <w:rsid w:val="0020170D"/>
    <w:rsid w:val="00214137"/>
    <w:rsid w:val="00241F09"/>
    <w:rsid w:val="0025303D"/>
    <w:rsid w:val="00264D4B"/>
    <w:rsid w:val="0026656C"/>
    <w:rsid w:val="002730CD"/>
    <w:rsid w:val="002907C1"/>
    <w:rsid w:val="002C1C3E"/>
    <w:rsid w:val="002E6DA7"/>
    <w:rsid w:val="003019BA"/>
    <w:rsid w:val="00326128"/>
    <w:rsid w:val="003323F4"/>
    <w:rsid w:val="00353EB8"/>
    <w:rsid w:val="00366B4D"/>
    <w:rsid w:val="00374528"/>
    <w:rsid w:val="0038667B"/>
    <w:rsid w:val="003A561B"/>
    <w:rsid w:val="00425810"/>
    <w:rsid w:val="00460955"/>
    <w:rsid w:val="00483A64"/>
    <w:rsid w:val="004A1A00"/>
    <w:rsid w:val="004B222D"/>
    <w:rsid w:val="004C0BE4"/>
    <w:rsid w:val="004E3699"/>
    <w:rsid w:val="004E7CF8"/>
    <w:rsid w:val="004F7622"/>
    <w:rsid w:val="00501CD2"/>
    <w:rsid w:val="00526AF6"/>
    <w:rsid w:val="0053746F"/>
    <w:rsid w:val="00564603"/>
    <w:rsid w:val="005C3421"/>
    <w:rsid w:val="005E688F"/>
    <w:rsid w:val="00602E6B"/>
    <w:rsid w:val="00646DEC"/>
    <w:rsid w:val="00696079"/>
    <w:rsid w:val="006C591F"/>
    <w:rsid w:val="006E5134"/>
    <w:rsid w:val="006F0D39"/>
    <w:rsid w:val="00703342"/>
    <w:rsid w:val="007256B9"/>
    <w:rsid w:val="00737525"/>
    <w:rsid w:val="00770C2C"/>
    <w:rsid w:val="00777E08"/>
    <w:rsid w:val="007934F3"/>
    <w:rsid w:val="007A44C4"/>
    <w:rsid w:val="007B08A4"/>
    <w:rsid w:val="007E7EE7"/>
    <w:rsid w:val="007F3AAA"/>
    <w:rsid w:val="007F42D3"/>
    <w:rsid w:val="007F5022"/>
    <w:rsid w:val="00800866"/>
    <w:rsid w:val="008279D1"/>
    <w:rsid w:val="00852802"/>
    <w:rsid w:val="00861D72"/>
    <w:rsid w:val="008C72F8"/>
    <w:rsid w:val="008F026D"/>
    <w:rsid w:val="008F4533"/>
    <w:rsid w:val="00915F6A"/>
    <w:rsid w:val="00924C05"/>
    <w:rsid w:val="009340F3"/>
    <w:rsid w:val="00967A86"/>
    <w:rsid w:val="00981BA2"/>
    <w:rsid w:val="00987ACB"/>
    <w:rsid w:val="009A3A54"/>
    <w:rsid w:val="009B3F0D"/>
    <w:rsid w:val="009D46C6"/>
    <w:rsid w:val="009F59AB"/>
    <w:rsid w:val="00A321D5"/>
    <w:rsid w:val="00A527E0"/>
    <w:rsid w:val="00A94AAB"/>
    <w:rsid w:val="00AE4401"/>
    <w:rsid w:val="00B3548B"/>
    <w:rsid w:val="00B427F3"/>
    <w:rsid w:val="00B61385"/>
    <w:rsid w:val="00B931C3"/>
    <w:rsid w:val="00BB0836"/>
    <w:rsid w:val="00BB0981"/>
    <w:rsid w:val="00BB666B"/>
    <w:rsid w:val="00BE7FB9"/>
    <w:rsid w:val="00C044B7"/>
    <w:rsid w:val="00C142C0"/>
    <w:rsid w:val="00C1463D"/>
    <w:rsid w:val="00C411F4"/>
    <w:rsid w:val="00C5515C"/>
    <w:rsid w:val="00C97F24"/>
    <w:rsid w:val="00CB68AA"/>
    <w:rsid w:val="00CC5FF3"/>
    <w:rsid w:val="00CE049B"/>
    <w:rsid w:val="00D31FCE"/>
    <w:rsid w:val="00D36FE8"/>
    <w:rsid w:val="00D378E1"/>
    <w:rsid w:val="00D471F2"/>
    <w:rsid w:val="00D64B97"/>
    <w:rsid w:val="00D7186F"/>
    <w:rsid w:val="00DD3F21"/>
    <w:rsid w:val="00DE1A43"/>
    <w:rsid w:val="00DF3437"/>
    <w:rsid w:val="00DF77CF"/>
    <w:rsid w:val="00E23D52"/>
    <w:rsid w:val="00E45128"/>
    <w:rsid w:val="00E87AD7"/>
    <w:rsid w:val="00EA6295"/>
    <w:rsid w:val="00EB2C6D"/>
    <w:rsid w:val="00EC1966"/>
    <w:rsid w:val="00EC59BE"/>
    <w:rsid w:val="00F27423"/>
    <w:rsid w:val="00F429C0"/>
    <w:rsid w:val="00F6562D"/>
    <w:rsid w:val="00F76404"/>
    <w:rsid w:val="00F91FF9"/>
    <w:rsid w:val="00FB45E1"/>
    <w:rsid w:val="00FC2613"/>
    <w:rsid w:val="00FC2A70"/>
    <w:rsid w:val="00FD5F23"/>
    <w:rsid w:val="00FE789E"/>
    <w:rsid w:val="05097B3E"/>
    <w:rsid w:val="066D6077"/>
    <w:rsid w:val="15D35DF5"/>
    <w:rsid w:val="27527BD8"/>
    <w:rsid w:val="2AB818CB"/>
    <w:rsid w:val="2ED21556"/>
    <w:rsid w:val="36DD628E"/>
    <w:rsid w:val="3C21458C"/>
    <w:rsid w:val="3EE741B8"/>
    <w:rsid w:val="3EE91203"/>
    <w:rsid w:val="472A5D26"/>
    <w:rsid w:val="47356ED0"/>
    <w:rsid w:val="493C20A5"/>
    <w:rsid w:val="50041FB8"/>
    <w:rsid w:val="67A40522"/>
    <w:rsid w:val="67D2734F"/>
    <w:rsid w:val="745F682E"/>
    <w:rsid w:val="74917807"/>
    <w:rsid w:val="7697339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6"/>
    <w:qFormat/>
    <w:uiPriority w:val="0"/>
    <w:rPr>
      <w:rFonts w:ascii="宋体" w:hAnsi="宋体" w:eastAsia="仿宋_GB2312" w:cs="宋体"/>
      <w:sz w:val="32"/>
      <w:szCs w:val="28"/>
      <w:lang w:val="zh-CN" w:bidi="zh-CN"/>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unhideWhenUsed/>
    <w:qFormat/>
    <w:uiPriority w:val="99"/>
    <w:rPr>
      <w:color w:val="0000FF"/>
      <w:u w:val="single"/>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5">
    <w:name w:val="批注框文本 Char"/>
    <w:basedOn w:val="10"/>
    <w:link w:val="4"/>
    <w:qFormat/>
    <w:uiPriority w:val="0"/>
    <w:rPr>
      <w:rFonts w:ascii="Calibri" w:hAnsi="Calibri"/>
      <w:kern w:val="2"/>
      <w:sz w:val="18"/>
      <w:szCs w:val="18"/>
    </w:rPr>
  </w:style>
  <w:style w:type="character" w:customStyle="1" w:styleId="16">
    <w:name w:val="正文文本 Char"/>
    <w:basedOn w:val="10"/>
    <w:link w:val="3"/>
    <w:qFormat/>
    <w:uiPriority w:val="0"/>
    <w:rPr>
      <w:rFonts w:ascii="宋体" w:hAnsi="宋体" w:eastAsia="仿宋_GB2312" w:cs="宋体"/>
      <w:kern w:val="2"/>
      <w:sz w:val="32"/>
      <w:szCs w:val="28"/>
      <w:lang w:val="zh-CN" w:bidi="zh-CN"/>
    </w:rPr>
  </w:style>
  <w:style w:type="character" w:customStyle="1" w:styleId="17">
    <w:name w:val="标题 1 Char"/>
    <w:basedOn w:val="10"/>
    <w:link w:val="2"/>
    <w:qFormat/>
    <w:uiPriority w:val="0"/>
    <w:rPr>
      <w:rFonts w:ascii="Calibri" w:hAnsi="Calibri"/>
      <w:b/>
      <w:bCs/>
      <w:kern w:val="44"/>
      <w:sz w:val="44"/>
      <w:szCs w:val="44"/>
    </w:rPr>
  </w:style>
  <w:style w:type="paragraph" w:customStyle="1" w:styleId="1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7C726-715D-49CD-A8D5-960214F562F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948</Words>
  <Characters>5405</Characters>
  <Lines>45</Lines>
  <Paragraphs>12</Paragraphs>
  <TotalTime>221</TotalTime>
  <ScaleCrop>false</ScaleCrop>
  <LinksUpToDate>false</LinksUpToDate>
  <CharactersWithSpaces>6341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2025-03-06T03:00:03Z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A70672A81DED4C7DAFCF044FE98CE86B</vt:lpwstr>
  </property>
</Properties>
</file>