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C5" w:rsidRDefault="008F31C5">
      <w:pPr>
        <w:adjustRightInd w:val="0"/>
        <w:snapToGrid w:val="0"/>
        <w:spacing w:line="360" w:lineRule="auto"/>
        <w:jc w:val="center"/>
        <w:rPr>
          <w:rFonts w:ascii="方正小标宋简体" w:eastAsia="方正小标宋简体" w:hAnsi="宋体"/>
          <w:color w:val="000000"/>
          <w:sz w:val="72"/>
          <w:szCs w:val="72"/>
        </w:rPr>
      </w:pPr>
      <w:bookmarkStart w:id="0" w:name="_GoBack"/>
    </w:p>
    <w:bookmarkEnd w:id="0"/>
    <w:p w:rsidR="008F31C5" w:rsidRDefault="008F31C5">
      <w:pPr>
        <w:adjustRightInd w:val="0"/>
        <w:snapToGrid w:val="0"/>
        <w:spacing w:line="360" w:lineRule="auto"/>
        <w:jc w:val="center"/>
        <w:rPr>
          <w:rFonts w:ascii="方正小标宋简体" w:eastAsia="方正小标宋简体" w:hAnsi="宋体"/>
          <w:color w:val="000000"/>
          <w:sz w:val="72"/>
          <w:szCs w:val="72"/>
        </w:rPr>
      </w:pPr>
    </w:p>
    <w:p w:rsidR="008F31C5" w:rsidRDefault="00FD159B">
      <w:pPr>
        <w:adjustRightInd w:val="0"/>
        <w:snapToGrid w:val="0"/>
        <w:spacing w:line="360" w:lineRule="auto"/>
        <w:jc w:val="center"/>
        <w:outlineLvl w:val="0"/>
        <w:rPr>
          <w:rFonts w:ascii="方正小标宋简体" w:eastAsia="方正小标宋简体" w:hAnsi="宋体"/>
          <w:color w:val="000000"/>
          <w:sz w:val="72"/>
          <w:szCs w:val="72"/>
        </w:rPr>
      </w:pPr>
      <w:bookmarkStart w:id="1" w:name="_Toc22674"/>
      <w:bookmarkStart w:id="2" w:name="_Toc27593"/>
      <w:bookmarkStart w:id="3" w:name="_Toc104902676"/>
      <w:bookmarkStart w:id="4" w:name="_Toc104903412"/>
      <w:r>
        <w:rPr>
          <w:rFonts w:ascii="方正小标宋简体" w:eastAsia="方正小标宋简体" w:hAnsi="宋体" w:hint="eastAsia"/>
          <w:color w:val="000000"/>
          <w:sz w:val="72"/>
          <w:szCs w:val="72"/>
        </w:rPr>
        <w:t>峨眉山市</w:t>
      </w:r>
      <w:bookmarkStart w:id="5" w:name="_Toc104824582"/>
      <w:r>
        <w:rPr>
          <w:rFonts w:ascii="方正小标宋简体" w:eastAsia="方正小标宋简体" w:hAnsi="宋体" w:hint="eastAsia"/>
          <w:color w:val="000000"/>
          <w:sz w:val="72"/>
          <w:szCs w:val="72"/>
        </w:rPr>
        <w:t>疾病预防控制中心2022年预算编制说明</w:t>
      </w:r>
      <w:bookmarkEnd w:id="1"/>
      <w:bookmarkEnd w:id="2"/>
      <w:bookmarkEnd w:id="3"/>
      <w:bookmarkEnd w:id="4"/>
      <w:bookmarkEnd w:id="5"/>
    </w:p>
    <w:p w:rsidR="008F31C5" w:rsidRDefault="008F31C5">
      <w:pPr>
        <w:spacing w:line="600" w:lineRule="exact"/>
        <w:jc w:val="center"/>
        <w:rPr>
          <w:rFonts w:ascii="方正小标宋简体" w:eastAsia="方正小标宋简体"/>
          <w:color w:val="000000" w:themeColor="text1"/>
          <w:sz w:val="44"/>
          <w:szCs w:val="44"/>
        </w:rPr>
      </w:pPr>
    </w:p>
    <w:p w:rsidR="008F31C5" w:rsidRDefault="008F31C5">
      <w:pPr>
        <w:spacing w:line="600" w:lineRule="exact"/>
        <w:jc w:val="center"/>
        <w:rPr>
          <w:rFonts w:ascii="方正小标宋简体" w:eastAsia="方正小标宋简体"/>
          <w:color w:val="000000" w:themeColor="text1"/>
          <w:sz w:val="44"/>
          <w:szCs w:val="44"/>
        </w:rPr>
      </w:pPr>
    </w:p>
    <w:p w:rsidR="008F31C5" w:rsidRDefault="008F31C5">
      <w:pPr>
        <w:spacing w:line="600" w:lineRule="exact"/>
        <w:jc w:val="center"/>
        <w:rPr>
          <w:rFonts w:ascii="方正小标宋简体" w:eastAsia="方正小标宋简体"/>
          <w:color w:val="000000" w:themeColor="text1"/>
          <w:sz w:val="44"/>
          <w:szCs w:val="44"/>
        </w:rPr>
      </w:pPr>
    </w:p>
    <w:p w:rsidR="008F31C5" w:rsidRDefault="008F31C5">
      <w:pPr>
        <w:spacing w:line="600" w:lineRule="exact"/>
        <w:jc w:val="center"/>
        <w:rPr>
          <w:rFonts w:ascii="方正小标宋简体" w:eastAsia="方正小标宋简体"/>
          <w:color w:val="000000" w:themeColor="text1"/>
          <w:sz w:val="44"/>
          <w:szCs w:val="44"/>
        </w:rPr>
      </w:pPr>
    </w:p>
    <w:p w:rsidR="008F31C5" w:rsidRDefault="008F31C5">
      <w:pPr>
        <w:spacing w:line="600" w:lineRule="exact"/>
        <w:jc w:val="center"/>
        <w:rPr>
          <w:rFonts w:ascii="方正小标宋简体" w:eastAsia="方正小标宋简体"/>
          <w:color w:val="000000" w:themeColor="text1"/>
          <w:sz w:val="44"/>
          <w:szCs w:val="44"/>
        </w:rPr>
      </w:pPr>
    </w:p>
    <w:p w:rsidR="008F31C5" w:rsidRDefault="008F31C5">
      <w:pPr>
        <w:spacing w:line="600" w:lineRule="exact"/>
        <w:jc w:val="center"/>
        <w:rPr>
          <w:rFonts w:ascii="方正小标宋简体" w:eastAsia="方正小标宋简体"/>
          <w:color w:val="000000" w:themeColor="text1"/>
          <w:sz w:val="44"/>
          <w:szCs w:val="44"/>
        </w:rPr>
      </w:pPr>
    </w:p>
    <w:p w:rsidR="008F31C5" w:rsidRDefault="008F31C5">
      <w:pPr>
        <w:spacing w:line="600" w:lineRule="exact"/>
        <w:jc w:val="center"/>
        <w:rPr>
          <w:rFonts w:ascii="方正小标宋简体" w:eastAsia="方正小标宋简体"/>
          <w:color w:val="000000" w:themeColor="text1"/>
          <w:sz w:val="44"/>
          <w:szCs w:val="44"/>
        </w:rPr>
      </w:pPr>
    </w:p>
    <w:p w:rsidR="008F31C5" w:rsidRDefault="008F31C5">
      <w:pPr>
        <w:spacing w:line="600" w:lineRule="exact"/>
        <w:jc w:val="center"/>
        <w:rPr>
          <w:rFonts w:ascii="方正小标宋简体" w:eastAsia="方正小标宋简体"/>
          <w:color w:val="000000" w:themeColor="text1"/>
          <w:sz w:val="44"/>
          <w:szCs w:val="44"/>
        </w:rPr>
      </w:pPr>
    </w:p>
    <w:p w:rsidR="008F31C5" w:rsidRDefault="008F31C5">
      <w:pPr>
        <w:spacing w:line="600" w:lineRule="exact"/>
        <w:jc w:val="center"/>
        <w:rPr>
          <w:rFonts w:ascii="方正小标宋简体" w:eastAsia="方正小标宋简体"/>
          <w:color w:val="000000" w:themeColor="text1"/>
          <w:sz w:val="44"/>
          <w:szCs w:val="44"/>
        </w:rPr>
      </w:pPr>
    </w:p>
    <w:p w:rsidR="00FD159B" w:rsidRDefault="00FD159B" w:rsidP="00FD159B">
      <w:pPr>
        <w:pStyle w:val="a0"/>
        <w:rPr>
          <w:lang w:val="en-US" w:bidi="ar-SA"/>
        </w:rPr>
      </w:pPr>
    </w:p>
    <w:p w:rsidR="008F31C5" w:rsidRDefault="008F31C5" w:rsidP="00A950F0">
      <w:pPr>
        <w:spacing w:line="600" w:lineRule="exact"/>
        <w:outlineLvl w:val="0"/>
        <w:rPr>
          <w:rFonts w:ascii="方正小标宋简体" w:eastAsia="方正小标宋简体"/>
          <w:color w:val="000000" w:themeColor="text1"/>
          <w:sz w:val="44"/>
          <w:szCs w:val="44"/>
        </w:rPr>
      </w:pPr>
      <w:bookmarkStart w:id="6" w:name="_Toc21431"/>
      <w:bookmarkStart w:id="7" w:name="_Toc5852"/>
    </w:p>
    <w:sdt>
      <w:sdtPr>
        <w:rPr>
          <w:rFonts w:ascii="Calibri" w:eastAsia="宋体" w:hAnsi="Calibri" w:cs="Times New Roman"/>
          <w:b w:val="0"/>
          <w:bCs w:val="0"/>
          <w:color w:val="auto"/>
          <w:kern w:val="2"/>
          <w:sz w:val="21"/>
          <w:szCs w:val="22"/>
          <w:lang w:val="zh-CN"/>
        </w:rPr>
        <w:id w:val="22105112"/>
        <w:docPartObj>
          <w:docPartGallery w:val="Table of Contents"/>
          <w:docPartUnique/>
        </w:docPartObj>
      </w:sdtPr>
      <w:sdtEndPr>
        <w:rPr>
          <w:lang w:val="en-US"/>
        </w:rPr>
      </w:sdtEndPr>
      <w:sdtContent>
        <w:p w:rsidR="00891D1C" w:rsidRPr="00891D1C" w:rsidRDefault="00891D1C" w:rsidP="00891D1C">
          <w:pPr>
            <w:pStyle w:val="TOC"/>
            <w:jc w:val="center"/>
            <w:rPr>
              <w:rFonts w:asciiTheme="minorEastAsia" w:eastAsiaTheme="minorEastAsia" w:hAnsiTheme="minorEastAsia"/>
              <w:sz w:val="30"/>
              <w:szCs w:val="30"/>
            </w:rPr>
          </w:pPr>
          <w:r w:rsidRPr="00891D1C">
            <w:rPr>
              <w:rFonts w:asciiTheme="minorEastAsia" w:eastAsiaTheme="minorEastAsia" w:hAnsiTheme="minorEastAsia"/>
              <w:sz w:val="30"/>
              <w:szCs w:val="30"/>
              <w:lang w:val="zh-CN"/>
            </w:rPr>
            <w:t>目录</w:t>
          </w:r>
        </w:p>
        <w:p w:rsidR="00891D1C" w:rsidRPr="00891D1C" w:rsidRDefault="00AB7EA7">
          <w:pPr>
            <w:pStyle w:val="10"/>
            <w:tabs>
              <w:tab w:val="right" w:leader="dot" w:pos="8960"/>
            </w:tabs>
            <w:rPr>
              <w:rFonts w:asciiTheme="minorEastAsia" w:eastAsiaTheme="minorEastAsia" w:hAnsiTheme="minorEastAsia" w:cstheme="minorBidi"/>
              <w:noProof/>
              <w:sz w:val="30"/>
              <w:szCs w:val="30"/>
            </w:rPr>
          </w:pPr>
          <w:r w:rsidRPr="00891D1C">
            <w:rPr>
              <w:rFonts w:asciiTheme="minorEastAsia" w:eastAsiaTheme="minorEastAsia" w:hAnsiTheme="minorEastAsia"/>
              <w:sz w:val="30"/>
              <w:szCs w:val="30"/>
            </w:rPr>
            <w:fldChar w:fldCharType="begin"/>
          </w:r>
          <w:r w:rsidR="00891D1C" w:rsidRPr="00891D1C">
            <w:rPr>
              <w:rFonts w:asciiTheme="minorEastAsia" w:eastAsiaTheme="minorEastAsia" w:hAnsiTheme="minorEastAsia"/>
              <w:sz w:val="30"/>
              <w:szCs w:val="30"/>
            </w:rPr>
            <w:instrText xml:space="preserve"> TOC \o "1-3" \h \z \u </w:instrText>
          </w:r>
          <w:r w:rsidRPr="00891D1C">
            <w:rPr>
              <w:rFonts w:asciiTheme="minorEastAsia" w:eastAsiaTheme="minorEastAsia" w:hAnsiTheme="minorEastAsia"/>
              <w:sz w:val="30"/>
              <w:szCs w:val="30"/>
            </w:rPr>
            <w:fldChar w:fldCharType="separate"/>
          </w:r>
          <w:hyperlink w:anchor="_Toc104903413" w:history="1">
            <w:r w:rsidR="00891D1C" w:rsidRPr="00891D1C">
              <w:rPr>
                <w:rStyle w:val="a7"/>
                <w:rFonts w:asciiTheme="minorEastAsia" w:eastAsiaTheme="minorEastAsia" w:hAnsiTheme="minorEastAsia" w:hint="eastAsia"/>
                <w:noProof/>
                <w:sz w:val="30"/>
                <w:szCs w:val="30"/>
              </w:rPr>
              <w:t>第一部分</w:t>
            </w:r>
            <w:r w:rsidR="00891D1C" w:rsidRPr="00891D1C">
              <w:rPr>
                <w:rStyle w:val="a7"/>
                <w:rFonts w:asciiTheme="minorEastAsia" w:eastAsiaTheme="minorEastAsia" w:hAnsiTheme="minorEastAsia"/>
                <w:noProof/>
                <w:sz w:val="30"/>
                <w:szCs w:val="30"/>
              </w:rPr>
              <w:t xml:space="preserve"> </w:t>
            </w:r>
            <w:r w:rsidR="00891D1C" w:rsidRPr="00891D1C">
              <w:rPr>
                <w:rStyle w:val="a7"/>
                <w:rFonts w:asciiTheme="minorEastAsia" w:eastAsiaTheme="minorEastAsia" w:hAnsiTheme="minorEastAsia" w:hint="eastAsia"/>
                <w:noProof/>
                <w:sz w:val="30"/>
                <w:szCs w:val="30"/>
              </w:rPr>
              <w:t>关于峨眉山市疾病预防控制中心</w:t>
            </w:r>
            <w:r w:rsidR="00891D1C" w:rsidRPr="00891D1C">
              <w:rPr>
                <w:rStyle w:val="a7"/>
                <w:rFonts w:asciiTheme="minorEastAsia" w:eastAsiaTheme="minorEastAsia" w:hAnsiTheme="minorEastAsia"/>
                <w:noProof/>
                <w:sz w:val="30"/>
                <w:szCs w:val="30"/>
              </w:rPr>
              <w:t xml:space="preserve"> 2021</w:t>
            </w:r>
            <w:r w:rsidR="00891D1C" w:rsidRPr="00891D1C">
              <w:rPr>
                <w:rStyle w:val="a7"/>
                <w:rFonts w:asciiTheme="minorEastAsia" w:eastAsiaTheme="minorEastAsia" w:hAnsiTheme="minorEastAsia" w:hint="eastAsia"/>
                <w:noProof/>
                <w:sz w:val="30"/>
                <w:szCs w:val="30"/>
              </w:rPr>
              <w:t>年预算编制的说明</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_Toc104903413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4</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14" w:history="1">
            <w:r w:rsidR="00891D1C" w:rsidRPr="00891D1C">
              <w:rPr>
                <w:rStyle w:val="a7"/>
                <w:rFonts w:asciiTheme="minorEastAsia" w:eastAsiaTheme="minorEastAsia" w:hAnsiTheme="minorEastAsia" w:hint="eastAsia"/>
                <w:noProof/>
                <w:sz w:val="30"/>
                <w:szCs w:val="30"/>
              </w:rPr>
              <w:t>一、基本职能及主要工作</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_Toc104903414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4</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32" w:history="1">
            <w:r w:rsidR="00891D1C" w:rsidRPr="00891D1C">
              <w:rPr>
                <w:rStyle w:val="a7"/>
                <w:rFonts w:asciiTheme="minorEastAsia" w:eastAsiaTheme="minorEastAsia" w:hAnsiTheme="minorEastAsia" w:hint="eastAsia"/>
                <w:noProof/>
                <w:sz w:val="30"/>
                <w:szCs w:val="30"/>
              </w:rPr>
              <w:t>二、部门概况（部门编写，所属单位不再编写）</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_Toc104903432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6</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33" w:history="1">
            <w:r w:rsidR="00891D1C" w:rsidRPr="00891D1C">
              <w:rPr>
                <w:rStyle w:val="a7"/>
                <w:rFonts w:asciiTheme="minorEastAsia" w:eastAsiaTheme="minorEastAsia" w:hAnsiTheme="minorEastAsia" w:hint="eastAsia"/>
                <w:noProof/>
                <w:sz w:val="30"/>
                <w:szCs w:val="30"/>
              </w:rPr>
              <w:t>三、收支预算总体情况</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_Toc104903433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6</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34" w:history="1">
            <w:r w:rsidR="00891D1C" w:rsidRPr="00891D1C">
              <w:rPr>
                <w:rStyle w:val="a7"/>
                <w:rFonts w:asciiTheme="minorEastAsia" w:eastAsiaTheme="minorEastAsia" w:hAnsiTheme="minorEastAsia" w:hint="eastAsia"/>
                <w:noProof/>
                <w:sz w:val="30"/>
                <w:szCs w:val="30"/>
              </w:rPr>
              <w:t>四、财政拨款支出预算安排情况</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_Toc104903434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6</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35" w:history="1">
            <w:r w:rsidR="00891D1C" w:rsidRPr="00891D1C">
              <w:rPr>
                <w:rStyle w:val="a7"/>
                <w:rFonts w:asciiTheme="minorEastAsia" w:eastAsiaTheme="minorEastAsia" w:hAnsiTheme="minorEastAsia" w:hint="eastAsia"/>
                <w:noProof/>
                <w:sz w:val="30"/>
                <w:szCs w:val="30"/>
              </w:rPr>
              <w:t>五、一般公共预算当年拨款情况说明</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_Toc104903435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7</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36" w:history="1">
            <w:r w:rsidR="00891D1C" w:rsidRPr="00891D1C">
              <w:rPr>
                <w:rStyle w:val="a7"/>
                <w:rFonts w:asciiTheme="minorEastAsia" w:eastAsiaTheme="minorEastAsia" w:hAnsiTheme="minorEastAsia" w:hint="eastAsia"/>
                <w:noProof/>
                <w:sz w:val="30"/>
                <w:szCs w:val="30"/>
              </w:rPr>
              <w:t>六、一般公共预算基本支出情况说明</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_Toc104903436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8</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40" w:history="1">
            <w:r w:rsidR="00891D1C" w:rsidRPr="00891D1C">
              <w:rPr>
                <w:rStyle w:val="a7"/>
                <w:rFonts w:asciiTheme="minorEastAsia" w:eastAsiaTheme="minorEastAsia" w:hAnsiTheme="minorEastAsia" w:hint="eastAsia"/>
                <w:noProof/>
                <w:sz w:val="30"/>
                <w:szCs w:val="30"/>
              </w:rPr>
              <w:t>七、政府性基金预算支出规模及变化情况说明</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_Toc104903440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8</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42" w:history="1">
            <w:r w:rsidR="00891D1C" w:rsidRPr="00891D1C">
              <w:rPr>
                <w:rStyle w:val="a7"/>
                <w:rFonts w:asciiTheme="minorEastAsia" w:eastAsiaTheme="minorEastAsia" w:hAnsiTheme="minorEastAsia" w:hint="eastAsia"/>
                <w:noProof/>
                <w:sz w:val="30"/>
                <w:szCs w:val="30"/>
              </w:rPr>
              <w:t>八、“三公”经费预算安排情况说明</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_Toc104903442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8</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48" w:history="1">
            <w:r w:rsidR="00891D1C" w:rsidRPr="00891D1C">
              <w:rPr>
                <w:rStyle w:val="a7"/>
                <w:rFonts w:asciiTheme="minorEastAsia" w:eastAsiaTheme="minorEastAsia" w:hAnsiTheme="minorEastAsia" w:hint="eastAsia"/>
                <w:noProof/>
                <w:sz w:val="30"/>
                <w:szCs w:val="30"/>
              </w:rPr>
              <w:t>九、其他重要事项的情况说明</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_Toc104903448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9</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57" w:history="1">
            <w:r w:rsidR="00891D1C" w:rsidRPr="00891D1C">
              <w:rPr>
                <w:rStyle w:val="a7"/>
                <w:rFonts w:asciiTheme="minorEastAsia" w:eastAsiaTheme="minorEastAsia" w:hAnsiTheme="minorEastAsia" w:hint="eastAsia"/>
                <w:noProof/>
                <w:sz w:val="30"/>
                <w:szCs w:val="30"/>
              </w:rPr>
              <w:t>十、名词解释</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_Toc104903457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10</w:t>
            </w:r>
            <w:r w:rsidRPr="00891D1C">
              <w:rPr>
                <w:rFonts w:asciiTheme="minorEastAsia" w:eastAsiaTheme="minorEastAsia" w:hAnsiTheme="minorEastAsia"/>
                <w:noProof/>
                <w:webHidden/>
                <w:sz w:val="30"/>
                <w:szCs w:val="30"/>
              </w:rPr>
              <w:fldChar w:fldCharType="end"/>
            </w:r>
          </w:hyperlink>
        </w:p>
        <w:p w:rsidR="00891D1C" w:rsidRPr="00891D1C" w:rsidRDefault="00AB7EA7">
          <w:pPr>
            <w:pStyle w:val="10"/>
            <w:tabs>
              <w:tab w:val="right" w:leader="dot" w:pos="8960"/>
            </w:tabs>
            <w:rPr>
              <w:rFonts w:asciiTheme="minorEastAsia" w:eastAsiaTheme="minorEastAsia" w:hAnsiTheme="minorEastAsia" w:cstheme="minorBidi"/>
              <w:noProof/>
              <w:sz w:val="30"/>
              <w:szCs w:val="30"/>
            </w:rPr>
          </w:pPr>
          <w:hyperlink w:anchor="_Toc104903458" w:history="1">
            <w:r w:rsidR="00891D1C" w:rsidRPr="00891D1C">
              <w:rPr>
                <w:rStyle w:val="a7"/>
                <w:rFonts w:asciiTheme="minorEastAsia" w:eastAsiaTheme="minorEastAsia" w:hAnsiTheme="minorEastAsia" w:hint="eastAsia"/>
                <w:noProof/>
                <w:sz w:val="30"/>
                <w:szCs w:val="30"/>
              </w:rPr>
              <w:t>第二部分</w:t>
            </w:r>
            <w:r w:rsidR="00891D1C" w:rsidRPr="00891D1C">
              <w:rPr>
                <w:rStyle w:val="a7"/>
                <w:rFonts w:asciiTheme="minorEastAsia" w:eastAsiaTheme="minorEastAsia" w:hAnsiTheme="minorEastAsia"/>
                <w:noProof/>
                <w:sz w:val="30"/>
                <w:szCs w:val="30"/>
              </w:rPr>
              <w:t xml:space="preserve"> </w:t>
            </w:r>
            <w:r w:rsidR="00891D1C" w:rsidRPr="00891D1C">
              <w:rPr>
                <w:rStyle w:val="a7"/>
                <w:rFonts w:asciiTheme="minorEastAsia" w:eastAsiaTheme="minorEastAsia" w:hAnsiTheme="minorEastAsia" w:hint="eastAsia"/>
                <w:noProof/>
                <w:sz w:val="30"/>
                <w:szCs w:val="30"/>
              </w:rPr>
              <w:t>峨眉山市疾病预防控制中心</w:t>
            </w:r>
            <w:r w:rsidR="00891D1C" w:rsidRPr="00891D1C">
              <w:rPr>
                <w:rStyle w:val="a7"/>
                <w:rFonts w:asciiTheme="minorEastAsia" w:eastAsiaTheme="minorEastAsia" w:hAnsiTheme="minorEastAsia"/>
                <w:noProof/>
                <w:sz w:val="30"/>
                <w:szCs w:val="30"/>
              </w:rPr>
              <w:t>2021</w:t>
            </w:r>
            <w:r w:rsidR="00891D1C" w:rsidRPr="00891D1C">
              <w:rPr>
                <w:rStyle w:val="a7"/>
                <w:rFonts w:asciiTheme="minorEastAsia" w:eastAsiaTheme="minorEastAsia" w:hAnsiTheme="minorEastAsia" w:hint="eastAsia"/>
                <w:noProof/>
                <w:sz w:val="30"/>
                <w:szCs w:val="30"/>
              </w:rPr>
              <w:t>年预算</w:t>
            </w:r>
            <w:r w:rsidR="008029CA">
              <w:rPr>
                <w:rStyle w:val="a7"/>
                <w:rFonts w:asciiTheme="minorEastAsia" w:eastAsiaTheme="minorEastAsia" w:hAnsiTheme="minorEastAsia" w:hint="eastAsia"/>
                <w:noProof/>
                <w:sz w:val="30"/>
                <w:szCs w:val="30"/>
              </w:rPr>
              <w:t>编制说明的附表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_Toc104903458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10</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59" w:history="1">
            <w:r w:rsidR="00891D1C" w:rsidRPr="00891D1C">
              <w:rPr>
                <w:rStyle w:val="a7"/>
                <w:rFonts w:asciiTheme="minorEastAsia" w:eastAsiaTheme="minorEastAsia" w:hAnsiTheme="minorEastAsia" w:hint="eastAsia"/>
                <w:noProof/>
                <w:sz w:val="30"/>
                <w:szCs w:val="30"/>
              </w:rPr>
              <w:t>一、收支预算总表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_Toc104903459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0" w:history="1">
            <w:r w:rsidR="00891D1C" w:rsidRPr="00891D1C">
              <w:rPr>
                <w:rStyle w:val="a7"/>
                <w:rFonts w:asciiTheme="minorEastAsia" w:eastAsiaTheme="minorEastAsia" w:hAnsiTheme="minorEastAsia" w:hint="eastAsia"/>
                <w:noProof/>
                <w:sz w:val="30"/>
                <w:szCs w:val="30"/>
              </w:rPr>
              <w:t>二、收入总表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_Toc104903460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1" w:history="1">
            <w:r w:rsidR="00891D1C" w:rsidRPr="00891D1C">
              <w:rPr>
                <w:rStyle w:val="a7"/>
                <w:rFonts w:asciiTheme="minorEastAsia" w:eastAsiaTheme="minorEastAsia" w:hAnsiTheme="minorEastAsia" w:hint="eastAsia"/>
                <w:noProof/>
                <w:sz w:val="30"/>
                <w:szCs w:val="30"/>
              </w:rPr>
              <w:t>三、支出预算表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_Toc104903461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2" w:history="1">
            <w:r w:rsidR="00891D1C" w:rsidRPr="00891D1C">
              <w:rPr>
                <w:rStyle w:val="a7"/>
                <w:rFonts w:asciiTheme="minorEastAsia" w:eastAsiaTheme="minorEastAsia" w:hAnsiTheme="minorEastAsia" w:hint="eastAsia"/>
                <w:noProof/>
                <w:sz w:val="30"/>
                <w:szCs w:val="30"/>
              </w:rPr>
              <w:t>四、财政拨款收支总表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_Toc104903462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3" w:history="1">
            <w:r w:rsidR="00891D1C" w:rsidRPr="00891D1C">
              <w:rPr>
                <w:rStyle w:val="a7"/>
                <w:rFonts w:asciiTheme="minorEastAsia" w:eastAsiaTheme="minorEastAsia" w:hAnsiTheme="minorEastAsia" w:hint="eastAsia"/>
                <w:noProof/>
                <w:sz w:val="30"/>
                <w:szCs w:val="30"/>
              </w:rPr>
              <w:t>五、财政拨款支出预算表（政府经济分类科目）</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_Toc104903463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4" w:history="1">
            <w:r w:rsidR="00891D1C" w:rsidRPr="00891D1C">
              <w:rPr>
                <w:rStyle w:val="a7"/>
                <w:rFonts w:asciiTheme="minorEastAsia" w:eastAsiaTheme="minorEastAsia" w:hAnsiTheme="minorEastAsia" w:hint="eastAsia"/>
                <w:noProof/>
                <w:sz w:val="30"/>
                <w:szCs w:val="30"/>
              </w:rPr>
              <w:t>六、基本支出预算表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_Toc104903464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5" w:history="1">
            <w:r w:rsidR="00891D1C" w:rsidRPr="00891D1C">
              <w:rPr>
                <w:rStyle w:val="a7"/>
                <w:rFonts w:asciiTheme="minorEastAsia" w:eastAsiaTheme="minorEastAsia" w:hAnsiTheme="minorEastAsia" w:hint="eastAsia"/>
                <w:noProof/>
                <w:sz w:val="30"/>
                <w:szCs w:val="30"/>
              </w:rPr>
              <w:t>七、一般公共预算支出总表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_Toc104903465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6" w:history="1">
            <w:r w:rsidR="00891D1C" w:rsidRPr="00891D1C">
              <w:rPr>
                <w:rStyle w:val="a7"/>
                <w:rFonts w:asciiTheme="minorEastAsia" w:eastAsiaTheme="minorEastAsia" w:hAnsiTheme="minorEastAsia" w:hint="eastAsia"/>
                <w:noProof/>
                <w:sz w:val="30"/>
                <w:szCs w:val="30"/>
              </w:rPr>
              <w:t>八、一般公共预算基本支出预算表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_Toc104903466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7" w:history="1">
            <w:r w:rsidR="00891D1C" w:rsidRPr="00891D1C">
              <w:rPr>
                <w:rStyle w:val="a7"/>
                <w:rFonts w:asciiTheme="minorEastAsia" w:eastAsiaTheme="minorEastAsia" w:hAnsiTheme="minorEastAsia" w:hint="eastAsia"/>
                <w:noProof/>
                <w:sz w:val="30"/>
                <w:szCs w:val="30"/>
              </w:rPr>
              <w:t>九、一般公共预算支出表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_Toc104903467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8" w:history="1">
            <w:r w:rsidR="00891D1C" w:rsidRPr="00891D1C">
              <w:rPr>
                <w:rStyle w:val="a7"/>
                <w:rFonts w:asciiTheme="minorEastAsia" w:eastAsiaTheme="minorEastAsia" w:hAnsiTheme="minorEastAsia" w:hint="eastAsia"/>
                <w:noProof/>
                <w:sz w:val="30"/>
                <w:szCs w:val="30"/>
              </w:rPr>
              <w:t>十、</w:t>
            </w:r>
            <w:r w:rsidR="00891D1C" w:rsidRPr="00891D1C">
              <w:rPr>
                <w:rStyle w:val="a7"/>
                <w:rFonts w:asciiTheme="minorEastAsia" w:eastAsiaTheme="minorEastAsia" w:hAnsiTheme="minorEastAsia"/>
                <w:noProof/>
                <w:sz w:val="30"/>
                <w:szCs w:val="30"/>
              </w:rPr>
              <w:t xml:space="preserve"> </w:t>
            </w:r>
            <w:r w:rsidR="00891D1C" w:rsidRPr="00891D1C">
              <w:rPr>
                <w:rStyle w:val="a7"/>
                <w:rFonts w:asciiTheme="minorEastAsia" w:eastAsiaTheme="minorEastAsia" w:hAnsiTheme="minorEastAsia" w:hint="eastAsia"/>
                <w:noProof/>
                <w:sz w:val="30"/>
                <w:szCs w:val="30"/>
              </w:rPr>
              <w:t>一般公共预算项目支出预算表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_Toc104903468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69" w:history="1">
            <w:r w:rsidR="00891D1C" w:rsidRPr="00891D1C">
              <w:rPr>
                <w:rStyle w:val="a7"/>
                <w:rFonts w:asciiTheme="minorEastAsia" w:eastAsiaTheme="minorEastAsia" w:hAnsiTheme="minorEastAsia" w:hint="eastAsia"/>
                <w:noProof/>
                <w:sz w:val="30"/>
                <w:szCs w:val="30"/>
              </w:rPr>
              <w:t>十一、政府性基金预算表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_Toc104903469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70" w:history="1">
            <w:r w:rsidR="00891D1C" w:rsidRPr="00891D1C">
              <w:rPr>
                <w:rStyle w:val="a7"/>
                <w:rFonts w:asciiTheme="minorEastAsia" w:eastAsiaTheme="minorEastAsia" w:hAnsiTheme="minorEastAsia" w:hint="eastAsia"/>
                <w:noProof/>
                <w:sz w:val="30"/>
                <w:szCs w:val="30"/>
              </w:rPr>
              <w:t>十二、国有资本经营支出预算表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_Toc104903470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71" w:history="1">
            <w:r w:rsidR="00891D1C" w:rsidRPr="00891D1C">
              <w:rPr>
                <w:rStyle w:val="a7"/>
                <w:rFonts w:asciiTheme="minorEastAsia" w:eastAsiaTheme="minorEastAsia" w:hAnsiTheme="minorEastAsia" w:hint="eastAsia"/>
                <w:noProof/>
                <w:sz w:val="30"/>
                <w:szCs w:val="30"/>
              </w:rPr>
              <w:t>十三、社会保险基金预算表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_Toc104903471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72" w:history="1">
            <w:r w:rsidR="00891D1C" w:rsidRPr="00891D1C">
              <w:rPr>
                <w:rStyle w:val="a7"/>
                <w:rFonts w:asciiTheme="minorEastAsia" w:eastAsiaTheme="minorEastAsia" w:hAnsiTheme="minorEastAsia" w:hint="eastAsia"/>
                <w:noProof/>
                <w:sz w:val="30"/>
                <w:szCs w:val="30"/>
              </w:rPr>
              <w:t>十四、“三公”经费财政拨款预算表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_Toc104903472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73" w:history="1">
            <w:r w:rsidR="00891D1C" w:rsidRPr="00891D1C">
              <w:rPr>
                <w:rStyle w:val="a7"/>
                <w:rFonts w:asciiTheme="minorEastAsia" w:eastAsiaTheme="minorEastAsia" w:hAnsiTheme="minorEastAsia" w:hint="eastAsia"/>
                <w:noProof/>
                <w:sz w:val="30"/>
                <w:szCs w:val="30"/>
              </w:rPr>
              <w:t>十五、政府采购预算表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_Toc104903473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74" w:history="1">
            <w:r w:rsidR="00891D1C" w:rsidRPr="00891D1C">
              <w:rPr>
                <w:rStyle w:val="a7"/>
                <w:rFonts w:asciiTheme="minorEastAsia" w:eastAsiaTheme="minorEastAsia" w:hAnsiTheme="minorEastAsia" w:hint="eastAsia"/>
                <w:noProof/>
                <w:sz w:val="30"/>
                <w:szCs w:val="30"/>
              </w:rPr>
              <w:t>十六、部门（单位）整体支出绩效目标申报表</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_Toc104903474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Pr="00891D1C" w:rsidRDefault="00AB7EA7" w:rsidP="008029CA">
          <w:pPr>
            <w:pStyle w:val="10"/>
            <w:tabs>
              <w:tab w:val="right" w:leader="dot" w:pos="8960"/>
            </w:tabs>
            <w:ind w:firstLineChars="100" w:firstLine="210"/>
            <w:rPr>
              <w:rFonts w:asciiTheme="minorEastAsia" w:eastAsiaTheme="minorEastAsia" w:hAnsiTheme="minorEastAsia" w:cstheme="minorBidi"/>
              <w:noProof/>
              <w:sz w:val="30"/>
              <w:szCs w:val="30"/>
            </w:rPr>
          </w:pPr>
          <w:hyperlink w:anchor="_Toc104903475" w:history="1">
            <w:r w:rsidR="00891D1C" w:rsidRPr="00891D1C">
              <w:rPr>
                <w:rStyle w:val="a7"/>
                <w:rFonts w:asciiTheme="minorEastAsia" w:eastAsiaTheme="minorEastAsia" w:hAnsiTheme="minorEastAsia" w:hint="eastAsia"/>
                <w:noProof/>
                <w:sz w:val="30"/>
                <w:szCs w:val="30"/>
              </w:rPr>
              <w:t>十七、</w:t>
            </w:r>
            <w:r w:rsidR="00891D1C" w:rsidRPr="00891D1C">
              <w:rPr>
                <w:rStyle w:val="a7"/>
                <w:rFonts w:asciiTheme="minorEastAsia" w:eastAsiaTheme="minorEastAsia" w:hAnsiTheme="minorEastAsia"/>
                <w:noProof/>
                <w:sz w:val="30"/>
                <w:szCs w:val="30"/>
              </w:rPr>
              <w:t>2021</w:t>
            </w:r>
            <w:r w:rsidR="00891D1C" w:rsidRPr="00891D1C">
              <w:rPr>
                <w:rStyle w:val="a7"/>
                <w:rFonts w:asciiTheme="minorEastAsia" w:eastAsiaTheme="minorEastAsia" w:hAnsiTheme="minorEastAsia" w:hint="eastAsia"/>
                <w:noProof/>
                <w:sz w:val="30"/>
                <w:szCs w:val="30"/>
              </w:rPr>
              <w:t>年项目绩效目标统计</w:t>
            </w:r>
            <w:r w:rsidR="00891D1C" w:rsidRPr="00891D1C">
              <w:rPr>
                <w:rFonts w:asciiTheme="minorEastAsia" w:eastAsiaTheme="minorEastAsia" w:hAnsiTheme="minorEastAsia"/>
                <w:noProof/>
                <w:webHidden/>
                <w:sz w:val="30"/>
                <w:szCs w:val="30"/>
              </w:rPr>
              <w:tab/>
            </w:r>
            <w:r w:rsidRPr="00891D1C">
              <w:rPr>
                <w:rFonts w:asciiTheme="minorEastAsia" w:eastAsiaTheme="minorEastAsia" w:hAnsiTheme="minorEastAsia"/>
                <w:noProof/>
                <w:webHidden/>
                <w:sz w:val="30"/>
                <w:szCs w:val="30"/>
              </w:rPr>
              <w:fldChar w:fldCharType="begin"/>
            </w:r>
            <w:r w:rsidR="00891D1C" w:rsidRPr="00891D1C">
              <w:rPr>
                <w:rFonts w:asciiTheme="minorEastAsia" w:eastAsiaTheme="minorEastAsia" w:hAnsiTheme="minorEastAsia"/>
                <w:noProof/>
                <w:webHidden/>
                <w:sz w:val="30"/>
                <w:szCs w:val="30"/>
              </w:rPr>
              <w:instrText xml:space="preserve"> PAGEREF _Toc104903475 \h </w:instrText>
            </w:r>
            <w:r w:rsidRPr="00891D1C">
              <w:rPr>
                <w:rFonts w:asciiTheme="minorEastAsia" w:eastAsiaTheme="minorEastAsia" w:hAnsiTheme="minorEastAsia"/>
                <w:noProof/>
                <w:webHidden/>
                <w:sz w:val="30"/>
                <w:szCs w:val="30"/>
              </w:rPr>
            </w:r>
            <w:r w:rsidRPr="00891D1C">
              <w:rPr>
                <w:rFonts w:asciiTheme="minorEastAsia" w:eastAsiaTheme="minorEastAsia" w:hAnsiTheme="minorEastAsia"/>
                <w:noProof/>
                <w:webHidden/>
                <w:sz w:val="30"/>
                <w:szCs w:val="30"/>
              </w:rPr>
              <w:fldChar w:fldCharType="separate"/>
            </w:r>
            <w:r w:rsidR="00356CAE">
              <w:rPr>
                <w:rFonts w:asciiTheme="minorEastAsia" w:eastAsiaTheme="minorEastAsia" w:hAnsiTheme="minorEastAsia"/>
                <w:noProof/>
                <w:webHidden/>
                <w:sz w:val="30"/>
                <w:szCs w:val="30"/>
              </w:rPr>
              <w:t>11</w:t>
            </w:r>
            <w:r w:rsidRPr="00891D1C">
              <w:rPr>
                <w:rFonts w:asciiTheme="minorEastAsia" w:eastAsiaTheme="minorEastAsia" w:hAnsiTheme="minorEastAsia"/>
                <w:noProof/>
                <w:webHidden/>
                <w:sz w:val="30"/>
                <w:szCs w:val="30"/>
              </w:rPr>
              <w:fldChar w:fldCharType="end"/>
            </w:r>
          </w:hyperlink>
        </w:p>
        <w:p w:rsidR="00891D1C" w:rsidRDefault="00AB7EA7">
          <w:r w:rsidRPr="00891D1C">
            <w:rPr>
              <w:rFonts w:asciiTheme="minorEastAsia" w:eastAsiaTheme="minorEastAsia" w:hAnsiTheme="minorEastAsia"/>
              <w:sz w:val="30"/>
              <w:szCs w:val="30"/>
            </w:rPr>
            <w:fldChar w:fldCharType="end"/>
          </w:r>
        </w:p>
      </w:sdtContent>
    </w:sdt>
    <w:p w:rsidR="00891D1C" w:rsidRDefault="00891D1C" w:rsidP="00891D1C">
      <w:pPr>
        <w:pStyle w:val="a0"/>
        <w:rPr>
          <w:lang w:val="en-US" w:bidi="ar-SA"/>
        </w:rPr>
      </w:pPr>
    </w:p>
    <w:p w:rsidR="00891D1C" w:rsidRDefault="00891D1C" w:rsidP="00891D1C"/>
    <w:p w:rsidR="00891D1C" w:rsidRDefault="00891D1C" w:rsidP="00891D1C">
      <w:pPr>
        <w:pStyle w:val="a0"/>
        <w:rPr>
          <w:lang w:val="en-US" w:bidi="ar-SA"/>
        </w:rPr>
      </w:pPr>
    </w:p>
    <w:p w:rsidR="00891D1C" w:rsidRDefault="00891D1C" w:rsidP="00891D1C"/>
    <w:p w:rsidR="00891D1C" w:rsidRDefault="00891D1C" w:rsidP="00891D1C">
      <w:pPr>
        <w:pStyle w:val="a0"/>
        <w:rPr>
          <w:lang w:val="en-US" w:bidi="ar-SA"/>
        </w:rPr>
      </w:pPr>
    </w:p>
    <w:p w:rsidR="00891D1C" w:rsidRDefault="00891D1C" w:rsidP="00891D1C"/>
    <w:p w:rsidR="00891D1C" w:rsidRDefault="00891D1C" w:rsidP="00891D1C">
      <w:pPr>
        <w:pStyle w:val="a0"/>
        <w:rPr>
          <w:lang w:val="en-US" w:bidi="ar-SA"/>
        </w:rPr>
      </w:pPr>
    </w:p>
    <w:p w:rsidR="00891D1C" w:rsidRDefault="00891D1C" w:rsidP="00891D1C"/>
    <w:p w:rsidR="00891D1C" w:rsidRDefault="00891D1C" w:rsidP="00891D1C">
      <w:pPr>
        <w:pStyle w:val="a0"/>
        <w:rPr>
          <w:lang w:val="en-US" w:bidi="ar-SA"/>
        </w:rPr>
      </w:pPr>
    </w:p>
    <w:p w:rsidR="00891D1C" w:rsidRDefault="00891D1C" w:rsidP="00891D1C"/>
    <w:p w:rsidR="00891D1C" w:rsidRDefault="00891D1C" w:rsidP="00891D1C">
      <w:pPr>
        <w:pStyle w:val="a0"/>
        <w:rPr>
          <w:lang w:val="en-US" w:bidi="ar-SA"/>
        </w:rPr>
      </w:pPr>
    </w:p>
    <w:p w:rsidR="00891D1C" w:rsidRDefault="00891D1C" w:rsidP="00891D1C"/>
    <w:p w:rsidR="00891D1C" w:rsidRDefault="00891D1C" w:rsidP="00891D1C">
      <w:pPr>
        <w:pStyle w:val="a0"/>
        <w:rPr>
          <w:lang w:val="en-US" w:bidi="ar-SA"/>
        </w:rPr>
      </w:pPr>
    </w:p>
    <w:p w:rsidR="00891D1C" w:rsidRDefault="00891D1C" w:rsidP="00891D1C"/>
    <w:p w:rsidR="00891D1C" w:rsidRPr="00891D1C" w:rsidRDefault="00891D1C" w:rsidP="00891D1C">
      <w:pPr>
        <w:pStyle w:val="a0"/>
        <w:rPr>
          <w:lang w:val="en-US" w:bidi="ar-SA"/>
        </w:rPr>
      </w:pPr>
    </w:p>
    <w:p w:rsidR="008F31C5" w:rsidRDefault="00FD159B" w:rsidP="00FD159B">
      <w:pPr>
        <w:spacing w:line="600" w:lineRule="exact"/>
        <w:jc w:val="center"/>
        <w:outlineLvl w:val="0"/>
        <w:rPr>
          <w:rFonts w:ascii="方正小标宋简体" w:eastAsia="方正小标宋简体"/>
          <w:color w:val="000000" w:themeColor="text1"/>
          <w:sz w:val="44"/>
          <w:szCs w:val="44"/>
        </w:rPr>
      </w:pPr>
      <w:bookmarkStart w:id="8" w:name="_Toc104903413"/>
      <w:r>
        <w:rPr>
          <w:rFonts w:ascii="方正小标宋简体" w:eastAsia="方正小标宋简体" w:hint="eastAsia"/>
          <w:color w:val="000000" w:themeColor="text1"/>
          <w:sz w:val="44"/>
          <w:szCs w:val="44"/>
        </w:rPr>
        <w:t>第一部分 关于峨眉山市疾病预防控制中心</w:t>
      </w:r>
      <w:r>
        <w:rPr>
          <w:rFonts w:ascii="方正小标宋简体" w:eastAsia="方正小标宋简体"/>
          <w:color w:val="000000" w:themeColor="text1"/>
          <w:sz w:val="44"/>
          <w:szCs w:val="44"/>
        </w:rPr>
        <w:br/>
      </w:r>
      <w:r>
        <w:rPr>
          <w:rFonts w:ascii="方正小标宋简体" w:eastAsia="方正小标宋简体" w:hint="eastAsia"/>
          <w:color w:val="000000" w:themeColor="text1"/>
          <w:sz w:val="44"/>
          <w:szCs w:val="44"/>
        </w:rPr>
        <w:t>20</w:t>
      </w:r>
      <w:r>
        <w:rPr>
          <w:rFonts w:ascii="方正小标宋简体" w:eastAsia="方正小标宋简体"/>
          <w:color w:val="000000" w:themeColor="text1"/>
          <w:sz w:val="44"/>
          <w:szCs w:val="44"/>
        </w:rPr>
        <w:t>2</w:t>
      </w:r>
      <w:r>
        <w:rPr>
          <w:rFonts w:ascii="方正小标宋简体" w:eastAsia="方正小标宋简体" w:hint="eastAsia"/>
          <w:color w:val="000000" w:themeColor="text1"/>
          <w:sz w:val="44"/>
          <w:szCs w:val="44"/>
        </w:rPr>
        <w:t>1年预算编制的说明</w:t>
      </w:r>
      <w:bookmarkEnd w:id="6"/>
      <w:bookmarkEnd w:id="7"/>
      <w:bookmarkEnd w:id="8"/>
    </w:p>
    <w:p w:rsidR="008F31C5" w:rsidRDefault="008F31C5" w:rsidP="00FD159B">
      <w:pPr>
        <w:spacing w:line="600" w:lineRule="exact"/>
        <w:ind w:firstLineChars="200" w:firstLine="640"/>
        <w:jc w:val="center"/>
        <w:rPr>
          <w:rFonts w:ascii="仿宋_GB2312" w:eastAsia="仿宋_GB2312"/>
          <w:color w:val="000000" w:themeColor="text1"/>
          <w:sz w:val="32"/>
          <w:szCs w:val="32"/>
        </w:rPr>
      </w:pP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8F31C5" w:rsidRDefault="00FD159B">
      <w:pPr>
        <w:spacing w:line="600" w:lineRule="exact"/>
        <w:ind w:firstLineChars="200" w:firstLine="640"/>
        <w:outlineLvl w:val="0"/>
        <w:rPr>
          <w:rFonts w:ascii="黑体" w:eastAsia="黑体"/>
          <w:color w:val="000000" w:themeColor="text1"/>
          <w:sz w:val="32"/>
          <w:szCs w:val="32"/>
        </w:rPr>
      </w:pPr>
      <w:bookmarkStart w:id="9" w:name="_Toc23226"/>
      <w:bookmarkStart w:id="10" w:name="_Toc25821"/>
      <w:bookmarkStart w:id="11" w:name="_Toc104903414"/>
      <w:r>
        <w:rPr>
          <w:rFonts w:ascii="黑体" w:eastAsia="黑体" w:hint="eastAsia"/>
          <w:color w:val="000000" w:themeColor="text1"/>
          <w:sz w:val="32"/>
          <w:szCs w:val="32"/>
        </w:rPr>
        <w:t>一、基本职能及主要工作</w:t>
      </w:r>
      <w:bookmarkEnd w:id="9"/>
      <w:bookmarkEnd w:id="10"/>
      <w:bookmarkEnd w:id="11"/>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（一）主要职能</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单位主要职能：传染病疫情管理；地方病、寄生虫病的防治；慢性非传染性疾病的防治；基本公共卫生；免疫规划；艾滋病性病防治以及卫生监测检验等。</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（二）20</w:t>
      </w:r>
      <w:r>
        <w:rPr>
          <w:rFonts w:ascii="仿宋_GB2312" w:eastAsia="仿宋_GB2312"/>
          <w:color w:val="000000" w:themeColor="text1"/>
          <w:sz w:val="32"/>
          <w:szCs w:val="32"/>
        </w:rPr>
        <w:t>2</w:t>
      </w:r>
      <w:r>
        <w:rPr>
          <w:rFonts w:ascii="仿宋_GB2312" w:eastAsia="仿宋_GB2312" w:hint="eastAsia"/>
          <w:color w:val="000000" w:themeColor="text1"/>
          <w:sz w:val="32"/>
          <w:szCs w:val="32"/>
        </w:rPr>
        <w:t>1年重点工作任务</w:t>
      </w:r>
    </w:p>
    <w:p w:rsidR="008F31C5" w:rsidRDefault="00FD159B">
      <w:pPr>
        <w:numPr>
          <w:ilvl w:val="0"/>
          <w:numId w:val="1"/>
        </w:numPr>
        <w:spacing w:line="600" w:lineRule="exact"/>
        <w:ind w:firstLineChars="200" w:firstLine="640"/>
        <w:outlineLvl w:val="1"/>
        <w:rPr>
          <w:rFonts w:ascii="仿宋_GB2312" w:eastAsia="仿宋_GB2312"/>
          <w:color w:val="000000" w:themeColor="text1"/>
          <w:sz w:val="32"/>
          <w:szCs w:val="32"/>
        </w:rPr>
      </w:pPr>
      <w:bookmarkStart w:id="12" w:name="_Toc104903415"/>
      <w:r>
        <w:rPr>
          <w:rFonts w:ascii="仿宋_GB2312" w:eastAsia="仿宋_GB2312" w:hint="eastAsia"/>
          <w:color w:val="000000" w:themeColor="text1"/>
          <w:sz w:val="32"/>
          <w:szCs w:val="32"/>
        </w:rPr>
        <w:t>新冠疫情的常态化防控。</w:t>
      </w:r>
      <w:bookmarkEnd w:id="12"/>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13" w:name="_Toc104903416"/>
      <w:r>
        <w:rPr>
          <w:rFonts w:ascii="仿宋_GB2312" w:eastAsia="仿宋_GB2312" w:hint="eastAsia"/>
          <w:color w:val="000000" w:themeColor="text1"/>
          <w:sz w:val="32"/>
          <w:szCs w:val="32"/>
        </w:rPr>
        <w:t>2、加强疫情管理。</w:t>
      </w:r>
      <w:bookmarkEnd w:id="13"/>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14" w:name="_Toc104903417"/>
      <w:r>
        <w:rPr>
          <w:rFonts w:ascii="仿宋_GB2312" w:eastAsia="仿宋_GB2312" w:hint="eastAsia"/>
          <w:color w:val="000000" w:themeColor="text1"/>
          <w:sz w:val="32"/>
          <w:szCs w:val="32"/>
        </w:rPr>
        <w:t>2021年1月1日至2021年12月31日全市各网络直报单位网络直报率100%；传染病的网络直报各项指标均符合上级网络直报标准；全市传染病疫情信息管理通报疫情报告综合质量评价指标综合率为100%。2021年我市传染病总体发病平稳。</w:t>
      </w:r>
      <w:bookmarkEnd w:id="14"/>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15" w:name="_Toc104903418"/>
      <w:r>
        <w:rPr>
          <w:rFonts w:ascii="仿宋_GB2312" w:eastAsia="仿宋_GB2312" w:hint="eastAsia"/>
          <w:color w:val="000000" w:themeColor="text1"/>
          <w:sz w:val="32"/>
          <w:szCs w:val="32"/>
        </w:rPr>
        <w:t>3、加强突发性公共卫生应急处置能力建设，全面提升疾控能力</w:t>
      </w:r>
      <w:bookmarkEnd w:id="15"/>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16" w:name="_Toc104903419"/>
      <w:r>
        <w:rPr>
          <w:rFonts w:ascii="仿宋_GB2312" w:eastAsia="仿宋_GB2312" w:hint="eastAsia"/>
          <w:color w:val="000000" w:themeColor="text1"/>
          <w:sz w:val="32"/>
          <w:szCs w:val="32"/>
        </w:rPr>
        <w:t>4、积极开展“Ⅱ”号病防治工作</w:t>
      </w:r>
      <w:bookmarkEnd w:id="16"/>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17" w:name="_Toc104903420"/>
      <w:r>
        <w:rPr>
          <w:rFonts w:ascii="仿宋_GB2312" w:eastAsia="仿宋_GB2312" w:hint="eastAsia"/>
          <w:color w:val="000000" w:themeColor="text1"/>
          <w:sz w:val="32"/>
          <w:szCs w:val="32"/>
        </w:rPr>
        <w:lastRenderedPageBreak/>
        <w:t>每月采集自来水、江河水、城市污水排放处水样、水产品、卤制品进行检测。</w:t>
      </w:r>
      <w:bookmarkEnd w:id="17"/>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18" w:name="_Toc104903421"/>
      <w:r>
        <w:rPr>
          <w:rFonts w:ascii="仿宋_GB2312" w:eastAsia="仿宋_GB2312" w:hint="eastAsia"/>
          <w:color w:val="000000" w:themeColor="text1"/>
          <w:sz w:val="32"/>
          <w:szCs w:val="32"/>
        </w:rPr>
        <w:t>5、积极开展死因监测工作和心脑血管疾病监测报告</w:t>
      </w:r>
      <w:bookmarkEnd w:id="18"/>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19" w:name="_Toc104903422"/>
      <w:r>
        <w:rPr>
          <w:rFonts w:ascii="仿宋_GB2312" w:eastAsia="仿宋_GB2312" w:hint="eastAsia"/>
          <w:color w:val="000000" w:themeColor="text1"/>
          <w:sz w:val="32"/>
          <w:szCs w:val="32"/>
        </w:rPr>
        <w:t>6、免疫规划工作</w:t>
      </w:r>
      <w:bookmarkEnd w:id="19"/>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0" w:name="_Toc104903423"/>
      <w:r>
        <w:rPr>
          <w:rFonts w:ascii="仿宋_GB2312" w:eastAsia="仿宋_GB2312" w:hint="eastAsia"/>
          <w:color w:val="000000" w:themeColor="text1"/>
          <w:sz w:val="32"/>
          <w:szCs w:val="32"/>
        </w:rPr>
        <w:t>积极开展培训、宣传和健康教育工作。</w:t>
      </w:r>
      <w:bookmarkEnd w:id="20"/>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1" w:name="_Toc104903424"/>
      <w:r>
        <w:rPr>
          <w:rFonts w:ascii="仿宋_GB2312" w:eastAsia="仿宋_GB2312" w:hint="eastAsia"/>
          <w:color w:val="000000" w:themeColor="text1"/>
          <w:sz w:val="32"/>
          <w:szCs w:val="32"/>
        </w:rPr>
        <w:t>7、艾滋病防治方面</w:t>
      </w:r>
      <w:bookmarkEnd w:id="21"/>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2" w:name="_Toc104903425"/>
      <w:r>
        <w:rPr>
          <w:rFonts w:ascii="仿宋_GB2312" w:eastAsia="仿宋_GB2312" w:hint="eastAsia"/>
          <w:color w:val="000000" w:themeColor="text1"/>
          <w:sz w:val="32"/>
          <w:szCs w:val="32"/>
        </w:rPr>
        <w:t>健全以政府领导、部门负责、全社会共同参与的防治工作机制，推进艾滋病预防与控制体系建设。开展艾滋病防治宣传、安全套促进、美沙酮奖励、多部门协调、加强艾防专业队伍建设等防治措施。通过艾滋病防治进学校活动开展对广大大学生艾滋病防治知识宣传，加强艾滋病感染者和病人的管理、开展HIV监测、“四免一关怀”政策落实、高危人群干预、药物维持治疗、预防艾滋病母婴传播、抗病毒治疗这些措施的开展，有力地推动我市艾滋病防治工作的顺利进行。</w:t>
      </w:r>
      <w:bookmarkEnd w:id="22"/>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3" w:name="_Toc104903426"/>
      <w:r>
        <w:rPr>
          <w:rFonts w:ascii="仿宋_GB2312" w:eastAsia="仿宋_GB2312" w:hint="eastAsia"/>
          <w:color w:val="000000" w:themeColor="text1"/>
          <w:sz w:val="32"/>
          <w:szCs w:val="32"/>
        </w:rPr>
        <w:t>8、结核病防治方面</w:t>
      </w:r>
      <w:bookmarkEnd w:id="23"/>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4" w:name="_Toc104903427"/>
      <w:r>
        <w:rPr>
          <w:rFonts w:ascii="仿宋_GB2312" w:eastAsia="仿宋_GB2312" w:hint="eastAsia"/>
          <w:color w:val="000000" w:themeColor="text1"/>
          <w:sz w:val="32"/>
          <w:szCs w:val="32"/>
        </w:rPr>
        <w:t>继续推行“三位一体”的新型结核病防治模式，理顺在结核病防治中与定点医院和乡镇卫生院的关系。积极开展“结核病防治知识进学校活动”。</w:t>
      </w:r>
      <w:bookmarkEnd w:id="24"/>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5" w:name="_Toc104903428"/>
      <w:r>
        <w:rPr>
          <w:rFonts w:ascii="仿宋_GB2312" w:eastAsia="仿宋_GB2312" w:hint="eastAsia"/>
          <w:color w:val="000000" w:themeColor="text1"/>
          <w:sz w:val="32"/>
          <w:szCs w:val="32"/>
        </w:rPr>
        <w:t>9、地方病和寄生虫病防治平稳推进，无新发地方病出现</w:t>
      </w:r>
      <w:bookmarkEnd w:id="25"/>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6" w:name="_Toc104903429"/>
      <w:r>
        <w:rPr>
          <w:rFonts w:ascii="仿宋_GB2312" w:eastAsia="仿宋_GB2312" w:hint="eastAsia"/>
          <w:color w:val="000000" w:themeColor="text1"/>
          <w:sz w:val="32"/>
          <w:szCs w:val="32"/>
        </w:rPr>
        <w:t>积极开展疟疾防治、血吸虫病防治、克山病防治、钩体病防治、麻风病防治、碘盐监测和土源性线虫监测工作。积极开展克山病达标准备工作。</w:t>
      </w:r>
      <w:bookmarkEnd w:id="26"/>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7" w:name="_Toc104903430"/>
      <w:r>
        <w:rPr>
          <w:rFonts w:ascii="仿宋_GB2312" w:eastAsia="仿宋_GB2312" w:hint="eastAsia"/>
          <w:color w:val="000000" w:themeColor="text1"/>
          <w:sz w:val="32"/>
          <w:szCs w:val="32"/>
        </w:rPr>
        <w:lastRenderedPageBreak/>
        <w:t>10、积极开展卫生监测工作</w:t>
      </w:r>
      <w:bookmarkEnd w:id="27"/>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28" w:name="_Toc104903431"/>
      <w:r>
        <w:rPr>
          <w:rFonts w:ascii="仿宋_GB2312" w:eastAsia="仿宋_GB2312" w:hint="eastAsia"/>
          <w:color w:val="000000" w:themeColor="text1"/>
          <w:sz w:val="32"/>
          <w:szCs w:val="32"/>
        </w:rPr>
        <w:t>开展对游泳池、汽车站、超市、宾旅馆、娱乐场所、美容、美发监测工作；积极开展生活饮用水监测；积极开展医院院内感染和托幼机构消毒质量监测；积极开展学校生活环境监测和学生健康体检工作。</w:t>
      </w:r>
      <w:bookmarkEnd w:id="28"/>
    </w:p>
    <w:p w:rsidR="001B6D6E" w:rsidRPr="00A950F0" w:rsidRDefault="001B6D6E" w:rsidP="00A950F0">
      <w:pPr>
        <w:spacing w:line="600" w:lineRule="exact"/>
        <w:ind w:firstLineChars="200" w:firstLine="640"/>
        <w:outlineLvl w:val="0"/>
        <w:rPr>
          <w:rFonts w:ascii="黑体" w:eastAsia="黑体"/>
          <w:color w:val="FF0000"/>
          <w:sz w:val="32"/>
          <w:szCs w:val="32"/>
        </w:rPr>
      </w:pPr>
      <w:bookmarkStart w:id="29" w:name="_Toc104902416"/>
      <w:bookmarkStart w:id="30" w:name="_Toc104903432"/>
      <w:r w:rsidRPr="00A950F0">
        <w:rPr>
          <w:rFonts w:ascii="黑体" w:eastAsia="黑体" w:hint="eastAsia"/>
          <w:color w:val="000000" w:themeColor="text1"/>
          <w:sz w:val="32"/>
          <w:szCs w:val="32"/>
        </w:rPr>
        <w:t>二、部门概况</w:t>
      </w:r>
      <w:r w:rsidRPr="00A950F0">
        <w:rPr>
          <w:rFonts w:ascii="黑体" w:eastAsia="黑体" w:hint="eastAsia"/>
          <w:color w:val="FF0000"/>
          <w:sz w:val="32"/>
          <w:szCs w:val="32"/>
        </w:rPr>
        <w:t>（部门编写，所属单位不再编写）</w:t>
      </w:r>
      <w:bookmarkEnd w:id="29"/>
      <w:bookmarkEnd w:id="30"/>
    </w:p>
    <w:p w:rsidR="001B6D6E" w:rsidRPr="001B6D6E" w:rsidRDefault="001B6D6E" w:rsidP="001B6D6E">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8F31C5" w:rsidRDefault="00FD159B">
      <w:pPr>
        <w:spacing w:line="600" w:lineRule="exact"/>
        <w:ind w:firstLineChars="200" w:firstLine="640"/>
        <w:outlineLvl w:val="0"/>
        <w:rPr>
          <w:rFonts w:ascii="黑体" w:eastAsia="黑体"/>
          <w:color w:val="000000" w:themeColor="text1"/>
          <w:sz w:val="32"/>
          <w:szCs w:val="32"/>
        </w:rPr>
      </w:pPr>
      <w:bookmarkStart w:id="31" w:name="_Toc2577"/>
      <w:bookmarkStart w:id="32" w:name="_Toc21280"/>
      <w:bookmarkStart w:id="33" w:name="_Toc104903433"/>
      <w:r>
        <w:rPr>
          <w:rFonts w:ascii="黑体" w:eastAsia="黑体" w:hint="eastAsia"/>
          <w:color w:val="000000" w:themeColor="text1"/>
          <w:sz w:val="32"/>
          <w:szCs w:val="32"/>
        </w:rPr>
        <w:t>三、收支预算总体情况</w:t>
      </w:r>
      <w:bookmarkEnd w:id="31"/>
      <w:bookmarkEnd w:id="32"/>
      <w:bookmarkEnd w:id="33"/>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按照综合预算的原则， 峨眉山市疾病预防控制中心所有收入和支出均纳入预算管理。20</w:t>
      </w:r>
      <w:r>
        <w:rPr>
          <w:rFonts w:ascii="仿宋_GB2312" w:eastAsia="仿宋_GB2312"/>
          <w:color w:val="000000" w:themeColor="text1"/>
          <w:sz w:val="32"/>
          <w:szCs w:val="32"/>
        </w:rPr>
        <w:t>2</w:t>
      </w:r>
      <w:r>
        <w:rPr>
          <w:rFonts w:ascii="仿宋_GB2312" w:eastAsia="仿宋_GB2312" w:hint="eastAsia"/>
          <w:color w:val="000000" w:themeColor="text1"/>
          <w:sz w:val="32"/>
          <w:szCs w:val="32"/>
        </w:rPr>
        <w:t>1年峨眉山市疾病预防控制中心收入预算总额为796.2767万元，上年为813.4279万元，较上年预算数</w:t>
      </w:r>
      <w:r>
        <w:rPr>
          <w:rFonts w:ascii="仿宋_GB2312" w:eastAsia="仿宋_GB2312" w:hint="eastAsia"/>
          <w:sz w:val="32"/>
          <w:szCs w:val="32"/>
        </w:rPr>
        <w:t>减少17.1512万元。</w:t>
      </w:r>
      <w:r>
        <w:rPr>
          <w:rFonts w:ascii="仿宋_GB2312" w:eastAsia="仿宋_GB2312" w:hint="eastAsia"/>
          <w:color w:val="000000" w:themeColor="text1"/>
          <w:sz w:val="32"/>
          <w:szCs w:val="32"/>
        </w:rPr>
        <w:t>其中：当年财政拨款收入795.8807万元，事业收入0.396万元。相应安排支出预算796.2767万元，其中：人员支出573.7747万元，日常公用支出50万元，对个人和家庭的补助支出2.502万元，专项支出170万元。</w:t>
      </w:r>
    </w:p>
    <w:p w:rsidR="008F31C5" w:rsidRDefault="00FD159B">
      <w:pPr>
        <w:spacing w:line="600" w:lineRule="exact"/>
        <w:ind w:firstLineChars="200" w:firstLine="640"/>
        <w:outlineLvl w:val="0"/>
        <w:rPr>
          <w:rFonts w:ascii="黑体" w:eastAsia="黑体"/>
          <w:color w:val="000000" w:themeColor="text1"/>
          <w:sz w:val="32"/>
          <w:szCs w:val="32"/>
        </w:rPr>
      </w:pPr>
      <w:bookmarkStart w:id="34" w:name="_Toc26073"/>
      <w:bookmarkStart w:id="35" w:name="_Toc28085"/>
      <w:bookmarkStart w:id="36" w:name="_Toc104903434"/>
      <w:r>
        <w:rPr>
          <w:rFonts w:ascii="黑体" w:eastAsia="黑体" w:hint="eastAsia"/>
          <w:color w:val="000000" w:themeColor="text1"/>
          <w:sz w:val="32"/>
          <w:szCs w:val="32"/>
        </w:rPr>
        <w:t>四、财政拨款支出预算安排情况</w:t>
      </w:r>
      <w:bookmarkEnd w:id="34"/>
      <w:bookmarkEnd w:id="35"/>
      <w:bookmarkEnd w:id="36"/>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峨眉山市疾病预防控制中心2021年财政拨款收支总预算795.8807万元，主要用于保障峨眉山市疾病预防控制中心机构正常运转、完成日常工作任务以及承担公共卫生事业发展相关工作。其中：</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基本支出625.8807万元，是用于保障峨眉山市疾病预防控制中心正常运转的日常支出，包括基本工资、津贴补贴等人员经费以及办公费、印刷费、水电费、办公设备购置等日常公用经费。</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项目支出170万元，是用于保障峨眉山市疾病预防控制中心为完成特定的行政工作任务或事业发展目标，用于专项业务工作的经费支出。</w:t>
      </w:r>
    </w:p>
    <w:p w:rsidR="008F31C5" w:rsidRDefault="00FD159B">
      <w:pPr>
        <w:spacing w:line="600" w:lineRule="exact"/>
        <w:ind w:firstLineChars="200" w:firstLine="640"/>
        <w:outlineLvl w:val="0"/>
        <w:rPr>
          <w:rFonts w:ascii="黑体" w:eastAsia="黑体"/>
          <w:color w:val="000000" w:themeColor="text1"/>
          <w:sz w:val="32"/>
          <w:szCs w:val="32"/>
        </w:rPr>
      </w:pPr>
      <w:bookmarkStart w:id="37" w:name="_Toc12362"/>
      <w:bookmarkStart w:id="38" w:name="_Toc25418"/>
      <w:bookmarkStart w:id="39" w:name="_Toc104903435"/>
      <w:r>
        <w:rPr>
          <w:rFonts w:ascii="黑体" w:eastAsia="黑体" w:hint="eastAsia"/>
          <w:color w:val="000000" w:themeColor="text1"/>
          <w:sz w:val="32"/>
          <w:szCs w:val="32"/>
        </w:rPr>
        <w:t>五、一般公共预算当年拨款情况说明</w:t>
      </w:r>
      <w:bookmarkEnd w:id="37"/>
      <w:bookmarkEnd w:id="38"/>
      <w:bookmarkEnd w:id="39"/>
    </w:p>
    <w:p w:rsidR="008F31C5" w:rsidRDefault="00FD159B">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（一）一般公共预算当年拨款规模及变化情况</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峨眉山市疾病预防控制中心2021年一般公共预算当年拨款795.8807万元，上年</w:t>
      </w:r>
      <w:r>
        <w:rPr>
          <w:rFonts w:ascii="仿宋_GB2312" w:eastAsia="仿宋_GB2312" w:hint="eastAsia"/>
          <w:sz w:val="32"/>
          <w:szCs w:val="32"/>
        </w:rPr>
        <w:t>预算数812.0119</w:t>
      </w:r>
      <w:r>
        <w:rPr>
          <w:rFonts w:ascii="仿宋_GB2312" w:eastAsia="仿宋_GB2312" w:hint="eastAsia"/>
          <w:color w:val="000000" w:themeColor="text1"/>
          <w:sz w:val="32"/>
          <w:szCs w:val="32"/>
        </w:rPr>
        <w:t>元，较上年减少16.1312主要原因是公用经费的压缩，以及项目经费减少10万元。</w:t>
      </w:r>
    </w:p>
    <w:p w:rsidR="008F31C5" w:rsidRDefault="00FD159B">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（二）一般公共预算当年拨款结构情况</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社会保障和就业支出90.7316万元，占11.39%；</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卫生健康支出634.9035万元，占79.73%；</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住房保障支出70.6416万元，占8.87%；</w:t>
      </w:r>
    </w:p>
    <w:p w:rsidR="008F31C5" w:rsidRDefault="00FD159B">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（三）一般公共预算当年拨款具体使用情况</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社会保障和就业2080505，2021年预算数为57.4492万元，主要用于：机关事业单位基本养老保险缴费支出。2080506，2021年预算数为28.7246万元，主要用于：机关事业单位职业年金缴费支出。2080801，2021年预算数为1.59万元，主要用于死亡抚恤。2089999，2021年预算数为2.9677万元，主要用于：其他社会保障和就业支出。</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3．医疗卫生2100401，2021年预算数为592.0722万元，主要用于：疾病预防控制机构。2100409，2021年预算数为20万元，主要用于：重大公共卫生服务。2101102，2021年预算数为22.8313万元，主要用于：事业单位医疗。</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4．住房保障2210201，2021年预算数为,70.6416万元，主要用于：按人力资源和社会保障部、财政部规定的基本工资和津贴补贴以及规定比例为职工缴纳的住房公积金支出。</w:t>
      </w:r>
    </w:p>
    <w:p w:rsidR="008F31C5" w:rsidRDefault="00FD159B">
      <w:pPr>
        <w:spacing w:line="600" w:lineRule="exact"/>
        <w:ind w:firstLineChars="200" w:firstLine="640"/>
        <w:outlineLvl w:val="0"/>
        <w:rPr>
          <w:rFonts w:ascii="黑体" w:eastAsia="黑体"/>
          <w:color w:val="000000" w:themeColor="text1"/>
          <w:sz w:val="32"/>
          <w:szCs w:val="32"/>
        </w:rPr>
      </w:pPr>
      <w:bookmarkStart w:id="40" w:name="_Toc9739"/>
      <w:bookmarkStart w:id="41" w:name="_Toc4670"/>
      <w:bookmarkStart w:id="42" w:name="_Toc104903436"/>
      <w:r>
        <w:rPr>
          <w:rFonts w:ascii="黑体" w:eastAsia="黑体" w:hint="eastAsia"/>
          <w:color w:val="000000" w:themeColor="text1"/>
          <w:sz w:val="32"/>
          <w:szCs w:val="32"/>
        </w:rPr>
        <w:t>六、一般公共预算基本支出情况说明</w:t>
      </w:r>
      <w:bookmarkEnd w:id="40"/>
      <w:bookmarkEnd w:id="41"/>
      <w:bookmarkEnd w:id="42"/>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43" w:name="_Toc104903437"/>
      <w:r>
        <w:rPr>
          <w:rFonts w:ascii="仿宋_GB2312" w:eastAsia="仿宋_GB2312" w:hint="eastAsia"/>
          <w:color w:val="000000" w:themeColor="text1"/>
          <w:sz w:val="32"/>
          <w:szCs w:val="32"/>
        </w:rPr>
        <w:t>峨眉山市疾病预防控制中心2021年一般公共预算基本支出625.8807万元，其中：</w:t>
      </w:r>
      <w:bookmarkEnd w:id="43"/>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44" w:name="_Toc104903438"/>
      <w:r>
        <w:rPr>
          <w:rFonts w:ascii="仿宋_GB2312" w:eastAsia="仿宋_GB2312" w:hint="eastAsia"/>
          <w:color w:val="000000" w:themeColor="text1"/>
          <w:sz w:val="32"/>
          <w:szCs w:val="32"/>
        </w:rPr>
        <w:t>人员经费575.8807万元，主要包括：基本工资、津贴补贴、绩效工资、奖金、社会保险缴费、死亡抚恤、机关事业单位养老保险、机关事业单位职业年金、事业单位医疗、公积金等。</w:t>
      </w:r>
      <w:bookmarkEnd w:id="44"/>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45" w:name="_Toc104903439"/>
      <w:r>
        <w:rPr>
          <w:rFonts w:ascii="仿宋_GB2312" w:eastAsia="仿宋_GB2312" w:hint="eastAsia"/>
          <w:color w:val="000000" w:themeColor="text1"/>
          <w:sz w:val="32"/>
          <w:szCs w:val="32"/>
        </w:rPr>
        <w:t>公用经费50万元，主要包括：办公费、印刷费、维修费、公务接待费、公务用车运行维护费、其他商品和服务支出。</w:t>
      </w:r>
      <w:bookmarkEnd w:id="45"/>
    </w:p>
    <w:p w:rsidR="008F31C5" w:rsidRDefault="00FD159B">
      <w:pPr>
        <w:spacing w:line="600" w:lineRule="exact"/>
        <w:ind w:firstLineChars="200" w:firstLine="640"/>
        <w:outlineLvl w:val="0"/>
        <w:rPr>
          <w:rFonts w:ascii="黑体" w:eastAsia="黑体"/>
          <w:color w:val="000000" w:themeColor="text1"/>
          <w:sz w:val="32"/>
          <w:szCs w:val="32"/>
        </w:rPr>
      </w:pPr>
      <w:bookmarkStart w:id="46" w:name="_Toc14905"/>
      <w:bookmarkStart w:id="47" w:name="_Toc30519"/>
      <w:bookmarkStart w:id="48" w:name="_Toc104903440"/>
      <w:r>
        <w:rPr>
          <w:rFonts w:ascii="黑体" w:eastAsia="黑体" w:hint="eastAsia"/>
          <w:color w:val="000000" w:themeColor="text1"/>
          <w:sz w:val="32"/>
          <w:szCs w:val="32"/>
        </w:rPr>
        <w:t>七、政府性基金预算支出规模及变化情况说明</w:t>
      </w:r>
      <w:bookmarkEnd w:id="46"/>
      <w:bookmarkEnd w:id="47"/>
      <w:bookmarkEnd w:id="48"/>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49" w:name="_Toc104903441"/>
      <w:r>
        <w:rPr>
          <w:rFonts w:ascii="仿宋_GB2312" w:eastAsia="仿宋_GB2312" w:hint="eastAsia"/>
          <w:color w:val="000000" w:themeColor="text1"/>
          <w:sz w:val="32"/>
          <w:szCs w:val="32"/>
        </w:rPr>
        <w:t>峨眉山市疾病预防控制中心2021年无政府性基金预算。</w:t>
      </w:r>
      <w:bookmarkEnd w:id="49"/>
    </w:p>
    <w:p w:rsidR="008F31C5" w:rsidRDefault="00FD159B">
      <w:pPr>
        <w:spacing w:line="600" w:lineRule="exact"/>
        <w:ind w:firstLineChars="200" w:firstLine="640"/>
        <w:outlineLvl w:val="0"/>
        <w:rPr>
          <w:rFonts w:ascii="黑体" w:eastAsia="黑体"/>
          <w:color w:val="000000" w:themeColor="text1"/>
          <w:sz w:val="32"/>
          <w:szCs w:val="32"/>
        </w:rPr>
      </w:pPr>
      <w:bookmarkStart w:id="50" w:name="_Toc32593"/>
      <w:bookmarkStart w:id="51" w:name="_Toc20478"/>
      <w:bookmarkStart w:id="52" w:name="_Toc104903442"/>
      <w:r>
        <w:rPr>
          <w:rFonts w:ascii="黑体" w:eastAsia="黑体" w:hint="eastAsia"/>
          <w:color w:val="000000" w:themeColor="text1"/>
          <w:sz w:val="32"/>
          <w:szCs w:val="32"/>
        </w:rPr>
        <w:t>八、“三公”经费预算安排情况说明</w:t>
      </w:r>
      <w:bookmarkEnd w:id="50"/>
      <w:bookmarkEnd w:id="51"/>
      <w:bookmarkEnd w:id="52"/>
    </w:p>
    <w:p w:rsidR="008F31C5" w:rsidRDefault="00FD159B">
      <w:pPr>
        <w:spacing w:line="600" w:lineRule="exact"/>
        <w:ind w:firstLineChars="200" w:firstLine="640"/>
        <w:outlineLvl w:val="1"/>
        <w:rPr>
          <w:rFonts w:ascii="楷体_GB2312" w:eastAsia="楷体_GB2312"/>
          <w:color w:val="000000" w:themeColor="text1"/>
          <w:sz w:val="32"/>
          <w:szCs w:val="32"/>
        </w:rPr>
      </w:pPr>
      <w:bookmarkStart w:id="53" w:name="_Toc104903443"/>
      <w:r>
        <w:rPr>
          <w:rFonts w:ascii="仿宋_GB2312" w:eastAsia="仿宋_GB2312" w:hint="eastAsia"/>
          <w:color w:val="000000" w:themeColor="text1"/>
          <w:sz w:val="32"/>
          <w:szCs w:val="32"/>
        </w:rPr>
        <w:t>峨眉山市疾病预防控制中心2021年“三公”经费预算数12万元，上年13.98万元，较上年“三公”经费预算数减少1.98万元。其中财政拨款安排“三公”经费12万元。公务接待费2万元，公务用车运行维护费10万元。</w:t>
      </w:r>
      <w:bookmarkEnd w:id="53"/>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54" w:name="_Toc104903444"/>
      <w:r>
        <w:rPr>
          <w:rFonts w:ascii="楷体_GB2312" w:eastAsia="楷体_GB2312" w:hAnsi="楷体_GB2312" w:cs="楷体_GB2312" w:hint="eastAsia"/>
          <w:color w:val="000000" w:themeColor="text1"/>
          <w:sz w:val="32"/>
          <w:szCs w:val="32"/>
        </w:rPr>
        <w:lastRenderedPageBreak/>
        <w:t>（</w:t>
      </w:r>
      <w:r>
        <w:rPr>
          <w:rFonts w:ascii="仿宋_GB2312" w:eastAsia="仿宋_GB2312" w:hint="eastAsia"/>
          <w:color w:val="000000" w:themeColor="text1"/>
          <w:sz w:val="32"/>
          <w:szCs w:val="32"/>
        </w:rPr>
        <w:t>一）无因公出国（境）预算。</w:t>
      </w:r>
      <w:bookmarkEnd w:id="54"/>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55" w:name="_Toc104903445"/>
      <w:r>
        <w:rPr>
          <w:rFonts w:ascii="楷体_GB2312" w:eastAsia="楷体_GB2312" w:hAnsi="楷体_GB2312" w:cs="楷体_GB2312" w:hint="eastAsia"/>
          <w:color w:val="000000" w:themeColor="text1"/>
          <w:sz w:val="32"/>
          <w:szCs w:val="32"/>
        </w:rPr>
        <w:t>（二）</w:t>
      </w:r>
      <w:r>
        <w:rPr>
          <w:rFonts w:ascii="仿宋_GB2312" w:eastAsia="仿宋_GB2312" w:hint="eastAsia"/>
          <w:color w:val="000000" w:themeColor="text1"/>
          <w:sz w:val="32"/>
          <w:szCs w:val="32"/>
        </w:rPr>
        <w:t>公务接待费较上年预算减少1万元，下降33.33%</w:t>
      </w:r>
      <w:bookmarkEnd w:id="55"/>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56" w:name="_Toc104903446"/>
      <w:r>
        <w:rPr>
          <w:rFonts w:ascii="仿宋_GB2312" w:eastAsia="仿宋_GB2312" w:hint="eastAsia"/>
          <w:color w:val="000000" w:themeColor="text1"/>
          <w:sz w:val="32"/>
          <w:szCs w:val="32"/>
        </w:rPr>
        <w:t>2021年公务接待费计划用于省市级工作检查。</w:t>
      </w:r>
      <w:bookmarkEnd w:id="56"/>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57" w:name="_Toc104903447"/>
      <w:r>
        <w:rPr>
          <w:rFonts w:ascii="楷体_GB2312" w:eastAsia="楷体_GB2312" w:hint="eastAsia"/>
          <w:color w:val="000000" w:themeColor="text1"/>
          <w:sz w:val="32"/>
          <w:szCs w:val="32"/>
        </w:rPr>
        <w:t>（三）</w:t>
      </w:r>
      <w:r>
        <w:rPr>
          <w:rFonts w:ascii="仿宋_GB2312" w:eastAsia="仿宋_GB2312" w:hint="eastAsia"/>
          <w:color w:val="000000" w:themeColor="text1"/>
          <w:sz w:val="32"/>
          <w:szCs w:val="32"/>
        </w:rPr>
        <w:t>公务用车运行维护费较上年预算减少0.98万元，下降8.93%。单位现有公务用车3辆，其中：越野车1辆、其他车辆2辆。</w:t>
      </w:r>
      <w:bookmarkEnd w:id="57"/>
    </w:p>
    <w:p w:rsidR="008F31C5" w:rsidRDefault="00FD159B">
      <w:pPr>
        <w:spacing w:line="600" w:lineRule="exact"/>
        <w:ind w:firstLineChars="200" w:firstLine="640"/>
        <w:outlineLvl w:val="0"/>
        <w:rPr>
          <w:rFonts w:ascii="黑体" w:eastAsia="黑体"/>
          <w:color w:val="000000" w:themeColor="text1"/>
          <w:sz w:val="32"/>
          <w:szCs w:val="32"/>
        </w:rPr>
      </w:pPr>
      <w:bookmarkStart w:id="58" w:name="_Toc17749"/>
      <w:bookmarkStart w:id="59" w:name="_Toc22282"/>
      <w:bookmarkStart w:id="60" w:name="_Toc104903448"/>
      <w:r>
        <w:rPr>
          <w:rFonts w:ascii="黑体" w:eastAsia="黑体" w:hint="eastAsia"/>
          <w:color w:val="000000" w:themeColor="text1"/>
          <w:sz w:val="32"/>
          <w:szCs w:val="32"/>
        </w:rPr>
        <w:t>九、其他重要事项的情况说明</w:t>
      </w:r>
      <w:bookmarkEnd w:id="58"/>
      <w:bookmarkEnd w:id="59"/>
      <w:bookmarkEnd w:id="60"/>
    </w:p>
    <w:p w:rsidR="008F31C5" w:rsidRDefault="00FD159B">
      <w:pPr>
        <w:spacing w:line="600" w:lineRule="exact"/>
        <w:ind w:firstLineChars="200" w:firstLine="640"/>
        <w:outlineLvl w:val="1"/>
        <w:rPr>
          <w:rFonts w:ascii="楷体_GB2312" w:eastAsia="楷体_GB2312" w:hAnsi="楷体_GB2312" w:cs="楷体_GB2312"/>
          <w:color w:val="000000" w:themeColor="text1"/>
          <w:sz w:val="32"/>
          <w:szCs w:val="32"/>
        </w:rPr>
      </w:pPr>
      <w:bookmarkStart w:id="61" w:name="_Toc104903449"/>
      <w:r>
        <w:rPr>
          <w:rFonts w:ascii="楷体_GB2312" w:eastAsia="楷体_GB2312" w:hAnsi="楷体_GB2312" w:cs="楷体_GB2312" w:hint="eastAsia"/>
          <w:color w:val="000000" w:themeColor="text1"/>
          <w:sz w:val="32"/>
          <w:szCs w:val="32"/>
        </w:rPr>
        <w:t>（一）机关运行经费</w:t>
      </w:r>
      <w:bookmarkEnd w:id="61"/>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62" w:name="_Toc104903450"/>
      <w:r>
        <w:rPr>
          <w:rFonts w:ascii="仿宋_GB2312" w:eastAsia="仿宋_GB2312" w:hint="eastAsia"/>
          <w:color w:val="000000" w:themeColor="text1"/>
          <w:sz w:val="32"/>
          <w:szCs w:val="32"/>
        </w:rPr>
        <w:t>2021年，峨眉山市疾病预防控制中心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50万元，较上年预算减少3万元，下降5.66%。</w:t>
      </w:r>
      <w:bookmarkEnd w:id="62"/>
    </w:p>
    <w:p w:rsidR="008F31C5" w:rsidRDefault="00FD159B">
      <w:pPr>
        <w:spacing w:line="600" w:lineRule="exact"/>
        <w:ind w:firstLineChars="200" w:firstLine="640"/>
        <w:outlineLvl w:val="1"/>
        <w:rPr>
          <w:rFonts w:ascii="楷体_GB2312" w:eastAsia="楷体_GB2312" w:hAnsi="楷体_GB2312" w:cs="楷体_GB2312"/>
          <w:color w:val="000000" w:themeColor="text1"/>
          <w:sz w:val="32"/>
          <w:szCs w:val="32"/>
        </w:rPr>
      </w:pPr>
      <w:bookmarkStart w:id="63" w:name="_Toc104903451"/>
      <w:r>
        <w:rPr>
          <w:rFonts w:ascii="楷体_GB2312" w:eastAsia="楷体_GB2312" w:hAnsi="楷体_GB2312" w:cs="楷体_GB2312" w:hint="eastAsia"/>
          <w:color w:val="000000" w:themeColor="text1"/>
          <w:sz w:val="32"/>
          <w:szCs w:val="32"/>
        </w:rPr>
        <w:t>（二）政府采购情况</w:t>
      </w:r>
      <w:bookmarkEnd w:id="63"/>
    </w:p>
    <w:p w:rsidR="008F31C5" w:rsidRDefault="00FD159B">
      <w:pPr>
        <w:spacing w:line="600" w:lineRule="exact"/>
        <w:ind w:firstLineChars="200" w:firstLine="640"/>
        <w:outlineLvl w:val="1"/>
        <w:rPr>
          <w:rFonts w:ascii="楷体_GB2312" w:eastAsia="楷体_GB2312" w:hAnsi="楷体_GB2312" w:cs="楷体_GB2312"/>
          <w:color w:val="000000" w:themeColor="text1"/>
          <w:sz w:val="32"/>
          <w:szCs w:val="32"/>
        </w:rPr>
      </w:pPr>
      <w:bookmarkStart w:id="64" w:name="_Toc104903452"/>
      <w:r>
        <w:rPr>
          <w:rFonts w:ascii="楷体_GB2312" w:eastAsia="楷体_GB2312" w:hAnsi="楷体_GB2312" w:cs="楷体_GB2312" w:hint="eastAsia"/>
          <w:color w:val="000000" w:themeColor="text1"/>
          <w:sz w:val="32"/>
          <w:szCs w:val="32"/>
        </w:rPr>
        <w:t>（三）国有资产占有使用情况</w:t>
      </w:r>
      <w:bookmarkEnd w:id="64"/>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65" w:name="_Toc104903453"/>
      <w:r>
        <w:rPr>
          <w:rFonts w:ascii="仿宋_GB2312" w:eastAsia="仿宋_GB2312" w:hint="eastAsia"/>
          <w:color w:val="000000" w:themeColor="text1"/>
          <w:sz w:val="32"/>
          <w:szCs w:val="32"/>
        </w:rPr>
        <w:t>截至去年底，峨眉山市疾病预防控制中心实际共有车辆3辆。单位价值200万元以上大型设备0台（套）。</w:t>
      </w:r>
      <w:bookmarkEnd w:id="65"/>
    </w:p>
    <w:p w:rsidR="008F31C5" w:rsidRDefault="00FD159B">
      <w:pPr>
        <w:spacing w:line="600" w:lineRule="exact"/>
        <w:ind w:firstLineChars="200" w:firstLine="640"/>
        <w:outlineLvl w:val="1"/>
        <w:rPr>
          <w:rFonts w:ascii="楷体_GB2312" w:eastAsia="楷体_GB2312" w:hAnsi="楷体_GB2312" w:cs="楷体_GB2312"/>
          <w:color w:val="000000" w:themeColor="text1"/>
          <w:sz w:val="32"/>
          <w:szCs w:val="32"/>
        </w:rPr>
      </w:pPr>
      <w:bookmarkStart w:id="66" w:name="_Toc104903454"/>
      <w:r>
        <w:rPr>
          <w:rFonts w:ascii="楷体_GB2312" w:eastAsia="楷体_GB2312" w:hAnsi="楷体_GB2312" w:cs="楷体_GB2312" w:hint="eastAsia"/>
          <w:color w:val="000000" w:themeColor="text1"/>
          <w:sz w:val="32"/>
          <w:szCs w:val="32"/>
        </w:rPr>
        <w:t>（四）绩效目标设置情况</w:t>
      </w:r>
      <w:bookmarkEnd w:id="66"/>
    </w:p>
    <w:p w:rsidR="008F31C5" w:rsidRDefault="00FD159B">
      <w:pPr>
        <w:spacing w:line="600" w:lineRule="exact"/>
        <w:ind w:firstLineChars="200" w:firstLine="640"/>
        <w:outlineLvl w:val="1"/>
        <w:rPr>
          <w:rFonts w:ascii="仿宋_GB2312" w:eastAsia="仿宋_GB2312"/>
          <w:color w:val="000000" w:themeColor="text1"/>
          <w:sz w:val="32"/>
          <w:szCs w:val="32"/>
        </w:rPr>
      </w:pPr>
      <w:bookmarkStart w:id="67" w:name="_Toc104903455"/>
      <w:r>
        <w:rPr>
          <w:rFonts w:ascii="仿宋_GB2312" w:eastAsia="仿宋_GB2312" w:hint="eastAsia"/>
          <w:color w:val="000000" w:themeColor="text1"/>
          <w:sz w:val="32"/>
          <w:szCs w:val="32"/>
        </w:rPr>
        <w:t>2021年，峨眉山市疾病预防控制中心按要求实行绩效目标管理，单位整体绩效目标涉及预算安排170万元，其中基本支出0万元，项目支出170万元。其中编制了项目绩效目标的预算170</w:t>
      </w:r>
      <w:r>
        <w:rPr>
          <w:rFonts w:ascii="仿宋_GB2312" w:eastAsia="仿宋_GB2312" w:hint="eastAsia"/>
          <w:color w:val="000000" w:themeColor="text1"/>
          <w:sz w:val="32"/>
          <w:szCs w:val="32"/>
        </w:rPr>
        <w:lastRenderedPageBreak/>
        <w:t>万元，主要为疫苗接种服务费项目；结核病、艾滋病、麻风病、疟疾、血吸虫病等其他传染病防治经费项目。</w:t>
      </w:r>
      <w:bookmarkEnd w:id="67"/>
    </w:p>
    <w:p w:rsidR="008F31C5" w:rsidRDefault="00FD159B">
      <w:pPr>
        <w:spacing w:line="600" w:lineRule="exact"/>
        <w:ind w:firstLineChars="200" w:firstLine="643"/>
        <w:outlineLvl w:val="1"/>
        <w:rPr>
          <w:rFonts w:ascii="仿宋_GB2312" w:eastAsia="仿宋_GB2312"/>
          <w:b/>
          <w:color w:val="000000" w:themeColor="text1"/>
          <w:sz w:val="32"/>
          <w:szCs w:val="32"/>
        </w:rPr>
      </w:pPr>
      <w:bookmarkStart w:id="68" w:name="_Toc104903456"/>
      <w:r>
        <w:rPr>
          <w:rFonts w:ascii="仿宋_GB2312" w:eastAsia="仿宋_GB2312" w:hint="eastAsia"/>
          <w:b/>
          <w:color w:val="000000" w:themeColor="text1"/>
          <w:sz w:val="32"/>
          <w:szCs w:val="32"/>
        </w:rPr>
        <w:t>（项目绩效目标预算数与项目支出预算数一致。）</w:t>
      </w:r>
      <w:bookmarkEnd w:id="68"/>
    </w:p>
    <w:p w:rsidR="008F31C5" w:rsidRDefault="00FD159B">
      <w:pPr>
        <w:spacing w:line="600" w:lineRule="exact"/>
        <w:ind w:firstLineChars="200" w:firstLine="640"/>
        <w:outlineLvl w:val="0"/>
        <w:rPr>
          <w:rFonts w:ascii="黑体" w:eastAsia="黑体"/>
          <w:color w:val="000000" w:themeColor="text1"/>
          <w:sz w:val="32"/>
          <w:szCs w:val="32"/>
        </w:rPr>
      </w:pPr>
      <w:bookmarkStart w:id="69" w:name="_Toc9423"/>
      <w:bookmarkStart w:id="70" w:name="_Toc21615"/>
      <w:bookmarkStart w:id="71" w:name="_Toc104903457"/>
      <w:r>
        <w:rPr>
          <w:rFonts w:ascii="黑体" w:eastAsia="黑体" w:hint="eastAsia"/>
          <w:color w:val="000000" w:themeColor="text1"/>
          <w:sz w:val="32"/>
          <w:szCs w:val="32"/>
        </w:rPr>
        <w:t>十、名词解释</w:t>
      </w:r>
      <w:bookmarkEnd w:id="69"/>
      <w:bookmarkEnd w:id="70"/>
      <w:bookmarkEnd w:id="71"/>
    </w:p>
    <w:p w:rsidR="008F31C5" w:rsidRDefault="00FD159B">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（一）财政拨款收支情况：指一般公共预算、政府性基金预算、国有资产经营预算拨款收支情况。 </w:t>
      </w:r>
    </w:p>
    <w:p w:rsidR="008F31C5" w:rsidRDefault="00FD159B">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（二）一般公共预算拨款收入：指本级财政当年拨付的资金。</w:t>
      </w:r>
    </w:p>
    <w:p w:rsidR="008F31C5" w:rsidRDefault="00FD159B">
      <w:p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（解释本部门（单位）预算中全部功能分类科目，到项级）</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（九）基本支出：指为保障机构正常运转、完成日常工作任务而发生的人员支出和公用支出。</w:t>
      </w:r>
    </w:p>
    <w:p w:rsidR="008F31C5" w:rsidRDefault="00FD159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（十）项目支出：指在基本支出之外为完成特定行政任务和事业发展目标所发生的支出。 </w:t>
      </w:r>
    </w:p>
    <w:p w:rsidR="008F31C5" w:rsidRDefault="00FD159B">
      <w:pPr>
        <w:pStyle w:val="Default"/>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一）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F31C5" w:rsidRDefault="008F31C5">
      <w:pPr>
        <w:widowControl/>
        <w:jc w:val="left"/>
        <w:rPr>
          <w:rFonts w:ascii="黑体" w:eastAsia="黑体" w:hAnsi="宋体" w:cs="黑体"/>
          <w:color w:val="333333"/>
          <w:kern w:val="0"/>
          <w:sz w:val="31"/>
          <w:szCs w:val="31"/>
        </w:rPr>
      </w:pPr>
    </w:p>
    <w:p w:rsidR="008F31C5" w:rsidRPr="00FD159B" w:rsidRDefault="00FD159B" w:rsidP="00FD159B">
      <w:pPr>
        <w:spacing w:line="600" w:lineRule="exact"/>
        <w:jc w:val="center"/>
        <w:outlineLvl w:val="0"/>
        <w:rPr>
          <w:rFonts w:ascii="方正小标宋简体" w:eastAsia="方正小标宋简体"/>
          <w:color w:val="000000" w:themeColor="text1"/>
          <w:sz w:val="44"/>
          <w:szCs w:val="44"/>
        </w:rPr>
      </w:pPr>
      <w:bookmarkStart w:id="72" w:name="_Toc23933"/>
      <w:bookmarkStart w:id="73" w:name="_Toc4240"/>
      <w:bookmarkStart w:id="74" w:name="_Toc104903458"/>
      <w:r w:rsidRPr="00FD159B">
        <w:rPr>
          <w:rFonts w:ascii="方正小标宋简体" w:eastAsia="方正小标宋简体" w:hint="eastAsia"/>
          <w:color w:val="000000" w:themeColor="text1"/>
          <w:sz w:val="44"/>
          <w:szCs w:val="44"/>
        </w:rPr>
        <w:lastRenderedPageBreak/>
        <w:t>第二部分 峨眉山市疾病预防控制中心2021年预算</w:t>
      </w:r>
      <w:r w:rsidR="008029CA">
        <w:rPr>
          <w:rFonts w:ascii="方正小标宋简体" w:eastAsia="方正小标宋简体" w:hint="eastAsia"/>
          <w:color w:val="000000" w:themeColor="text1"/>
          <w:sz w:val="44"/>
          <w:szCs w:val="44"/>
        </w:rPr>
        <w:t>编制说明的附</w:t>
      </w:r>
      <w:r w:rsidRPr="00FD159B">
        <w:rPr>
          <w:rFonts w:ascii="方正小标宋简体" w:eastAsia="方正小标宋简体" w:hint="eastAsia"/>
          <w:color w:val="000000" w:themeColor="text1"/>
          <w:sz w:val="44"/>
          <w:szCs w:val="44"/>
        </w:rPr>
        <w:t>表</w:t>
      </w:r>
      <w:bookmarkEnd w:id="72"/>
      <w:bookmarkEnd w:id="73"/>
      <w:bookmarkEnd w:id="74"/>
    </w:p>
    <w:p w:rsidR="008F31C5" w:rsidRDefault="00FD159B">
      <w:pPr>
        <w:spacing w:line="600" w:lineRule="exact"/>
        <w:ind w:firstLineChars="200" w:firstLine="640"/>
        <w:outlineLvl w:val="0"/>
        <w:rPr>
          <w:rFonts w:ascii="黑体" w:eastAsia="黑体"/>
          <w:color w:val="000000" w:themeColor="text1"/>
          <w:sz w:val="32"/>
          <w:szCs w:val="32"/>
        </w:rPr>
      </w:pPr>
      <w:bookmarkStart w:id="75" w:name="_Toc104903459"/>
      <w:r>
        <w:rPr>
          <w:rFonts w:ascii="黑体" w:eastAsia="黑体" w:hint="eastAsia"/>
          <w:color w:val="000000" w:themeColor="text1"/>
          <w:sz w:val="32"/>
          <w:szCs w:val="32"/>
        </w:rPr>
        <w:t>一、收支预算总表</w:t>
      </w:r>
      <w:bookmarkEnd w:id="75"/>
    </w:p>
    <w:p w:rsidR="008F31C5" w:rsidRDefault="00FD159B">
      <w:pPr>
        <w:spacing w:line="600" w:lineRule="exact"/>
        <w:ind w:firstLineChars="200" w:firstLine="640"/>
        <w:outlineLvl w:val="0"/>
        <w:rPr>
          <w:rFonts w:ascii="黑体" w:eastAsia="黑体"/>
          <w:color w:val="000000" w:themeColor="text1"/>
          <w:sz w:val="32"/>
          <w:szCs w:val="32"/>
        </w:rPr>
      </w:pPr>
      <w:bookmarkStart w:id="76" w:name="_Toc104903460"/>
      <w:r>
        <w:rPr>
          <w:rFonts w:ascii="黑体" w:eastAsia="黑体" w:hint="eastAsia"/>
          <w:color w:val="000000" w:themeColor="text1"/>
          <w:sz w:val="32"/>
          <w:szCs w:val="32"/>
        </w:rPr>
        <w:t>二、收入总表</w:t>
      </w:r>
      <w:bookmarkEnd w:id="76"/>
    </w:p>
    <w:p w:rsidR="008F31C5" w:rsidRDefault="00FD159B">
      <w:pPr>
        <w:spacing w:line="600" w:lineRule="exact"/>
        <w:ind w:firstLineChars="200" w:firstLine="640"/>
        <w:outlineLvl w:val="0"/>
        <w:rPr>
          <w:rFonts w:ascii="黑体" w:eastAsia="黑体"/>
          <w:color w:val="000000" w:themeColor="text1"/>
          <w:sz w:val="32"/>
          <w:szCs w:val="32"/>
        </w:rPr>
      </w:pPr>
      <w:bookmarkStart w:id="77" w:name="_Toc104903461"/>
      <w:r>
        <w:rPr>
          <w:rFonts w:ascii="黑体" w:eastAsia="黑体" w:hint="eastAsia"/>
          <w:color w:val="000000" w:themeColor="text1"/>
          <w:sz w:val="32"/>
          <w:szCs w:val="32"/>
        </w:rPr>
        <w:t>三、支出预算表</w:t>
      </w:r>
      <w:bookmarkEnd w:id="77"/>
    </w:p>
    <w:p w:rsidR="008F31C5" w:rsidRDefault="00FD159B">
      <w:pPr>
        <w:spacing w:line="600" w:lineRule="exact"/>
        <w:ind w:firstLineChars="200" w:firstLine="640"/>
        <w:outlineLvl w:val="0"/>
        <w:rPr>
          <w:rFonts w:ascii="黑体" w:eastAsia="黑体"/>
          <w:color w:val="000000" w:themeColor="text1"/>
          <w:sz w:val="32"/>
          <w:szCs w:val="32"/>
        </w:rPr>
      </w:pPr>
      <w:bookmarkStart w:id="78" w:name="_Toc104903462"/>
      <w:r>
        <w:rPr>
          <w:rFonts w:ascii="黑体" w:eastAsia="黑体" w:hint="eastAsia"/>
          <w:color w:val="000000" w:themeColor="text1"/>
          <w:sz w:val="32"/>
          <w:szCs w:val="32"/>
        </w:rPr>
        <w:t>四、财政拨款收支总表</w:t>
      </w:r>
      <w:bookmarkEnd w:id="78"/>
    </w:p>
    <w:p w:rsidR="008F31C5" w:rsidRDefault="00FD159B">
      <w:pPr>
        <w:spacing w:line="600" w:lineRule="exact"/>
        <w:ind w:firstLineChars="200" w:firstLine="640"/>
        <w:outlineLvl w:val="0"/>
        <w:rPr>
          <w:rFonts w:ascii="黑体" w:eastAsia="黑体"/>
          <w:color w:val="000000" w:themeColor="text1"/>
          <w:sz w:val="32"/>
          <w:szCs w:val="32"/>
        </w:rPr>
      </w:pPr>
      <w:bookmarkStart w:id="79" w:name="_Toc104903463"/>
      <w:r>
        <w:rPr>
          <w:rFonts w:ascii="黑体" w:eastAsia="黑体" w:hint="eastAsia"/>
          <w:color w:val="000000" w:themeColor="text1"/>
          <w:sz w:val="32"/>
          <w:szCs w:val="32"/>
        </w:rPr>
        <w:t>五、财政拨款支出预算表（政府经济分类科目）</w:t>
      </w:r>
      <w:bookmarkEnd w:id="79"/>
    </w:p>
    <w:p w:rsidR="008F31C5" w:rsidRDefault="00FD159B">
      <w:pPr>
        <w:spacing w:line="600" w:lineRule="exact"/>
        <w:ind w:firstLineChars="200" w:firstLine="640"/>
        <w:outlineLvl w:val="0"/>
        <w:rPr>
          <w:rFonts w:ascii="黑体" w:eastAsia="黑体"/>
          <w:color w:val="000000" w:themeColor="text1"/>
          <w:sz w:val="32"/>
          <w:szCs w:val="32"/>
        </w:rPr>
      </w:pPr>
      <w:bookmarkStart w:id="80" w:name="_Toc104903464"/>
      <w:r>
        <w:rPr>
          <w:rFonts w:ascii="黑体" w:eastAsia="黑体" w:hint="eastAsia"/>
          <w:color w:val="000000" w:themeColor="text1"/>
          <w:sz w:val="32"/>
          <w:szCs w:val="32"/>
        </w:rPr>
        <w:t>六、基本支出预算表</w:t>
      </w:r>
      <w:bookmarkEnd w:id="80"/>
    </w:p>
    <w:p w:rsidR="008F31C5" w:rsidRDefault="00FD159B">
      <w:pPr>
        <w:spacing w:line="600" w:lineRule="exact"/>
        <w:ind w:firstLineChars="200" w:firstLine="640"/>
        <w:outlineLvl w:val="0"/>
        <w:rPr>
          <w:rFonts w:ascii="黑体" w:eastAsia="黑体"/>
          <w:color w:val="000000" w:themeColor="text1"/>
          <w:sz w:val="32"/>
          <w:szCs w:val="32"/>
        </w:rPr>
      </w:pPr>
      <w:bookmarkStart w:id="81" w:name="_Toc104903465"/>
      <w:r>
        <w:rPr>
          <w:rFonts w:ascii="黑体" w:eastAsia="黑体" w:hint="eastAsia"/>
          <w:color w:val="000000" w:themeColor="text1"/>
          <w:sz w:val="32"/>
          <w:szCs w:val="32"/>
        </w:rPr>
        <w:t>七、一般公共预算支出总表</w:t>
      </w:r>
      <w:bookmarkEnd w:id="81"/>
    </w:p>
    <w:p w:rsidR="008F31C5" w:rsidRDefault="00FD159B">
      <w:pPr>
        <w:spacing w:line="600" w:lineRule="exact"/>
        <w:ind w:firstLineChars="200" w:firstLine="640"/>
        <w:outlineLvl w:val="0"/>
        <w:rPr>
          <w:rFonts w:ascii="黑体" w:eastAsia="黑体"/>
          <w:color w:val="000000" w:themeColor="text1"/>
          <w:sz w:val="32"/>
          <w:szCs w:val="32"/>
        </w:rPr>
      </w:pPr>
      <w:bookmarkStart w:id="82" w:name="_Toc104903466"/>
      <w:r>
        <w:rPr>
          <w:rFonts w:ascii="黑体" w:eastAsia="黑体" w:hint="eastAsia"/>
          <w:color w:val="000000" w:themeColor="text1"/>
          <w:sz w:val="32"/>
          <w:szCs w:val="32"/>
        </w:rPr>
        <w:t>八、一般公共预算基本支出预算表</w:t>
      </w:r>
      <w:bookmarkEnd w:id="82"/>
    </w:p>
    <w:p w:rsidR="008F31C5" w:rsidRDefault="00FD159B">
      <w:pPr>
        <w:spacing w:line="600" w:lineRule="exact"/>
        <w:ind w:firstLineChars="200" w:firstLine="640"/>
        <w:outlineLvl w:val="0"/>
        <w:rPr>
          <w:rFonts w:ascii="黑体" w:eastAsia="黑体"/>
          <w:color w:val="000000" w:themeColor="text1"/>
          <w:sz w:val="32"/>
          <w:szCs w:val="32"/>
        </w:rPr>
      </w:pPr>
      <w:bookmarkStart w:id="83" w:name="_Toc104903467"/>
      <w:r>
        <w:rPr>
          <w:rFonts w:ascii="黑体" w:eastAsia="黑体" w:hint="eastAsia"/>
          <w:color w:val="000000" w:themeColor="text1"/>
          <w:sz w:val="32"/>
          <w:szCs w:val="32"/>
        </w:rPr>
        <w:t>九、一般公共预算支出表</w:t>
      </w:r>
      <w:bookmarkEnd w:id="83"/>
    </w:p>
    <w:p w:rsidR="008F31C5" w:rsidRDefault="00FD159B">
      <w:pPr>
        <w:spacing w:line="600" w:lineRule="exact"/>
        <w:ind w:firstLineChars="200" w:firstLine="640"/>
        <w:outlineLvl w:val="0"/>
        <w:rPr>
          <w:rFonts w:ascii="黑体" w:eastAsia="黑体"/>
          <w:color w:val="000000" w:themeColor="text1"/>
          <w:sz w:val="32"/>
          <w:szCs w:val="32"/>
        </w:rPr>
      </w:pPr>
      <w:bookmarkStart w:id="84" w:name="_Toc104903468"/>
      <w:r>
        <w:rPr>
          <w:rFonts w:ascii="黑体" w:eastAsia="黑体" w:hint="eastAsia"/>
          <w:color w:val="000000" w:themeColor="text1"/>
          <w:sz w:val="32"/>
          <w:szCs w:val="32"/>
        </w:rPr>
        <w:t>十、 一般公共预算项目支出预算表</w:t>
      </w:r>
      <w:bookmarkEnd w:id="84"/>
    </w:p>
    <w:p w:rsidR="008F31C5" w:rsidRDefault="00FD159B">
      <w:pPr>
        <w:spacing w:line="600" w:lineRule="exact"/>
        <w:ind w:firstLineChars="200" w:firstLine="640"/>
        <w:outlineLvl w:val="0"/>
        <w:rPr>
          <w:rFonts w:ascii="黑体" w:eastAsia="黑体"/>
          <w:color w:val="000000" w:themeColor="text1"/>
          <w:sz w:val="32"/>
          <w:szCs w:val="32"/>
        </w:rPr>
      </w:pPr>
      <w:bookmarkStart w:id="85" w:name="_Toc104903469"/>
      <w:r>
        <w:rPr>
          <w:rFonts w:ascii="黑体" w:eastAsia="黑体" w:hint="eastAsia"/>
          <w:color w:val="000000" w:themeColor="text1"/>
          <w:sz w:val="32"/>
          <w:szCs w:val="32"/>
        </w:rPr>
        <w:t>十一、政府性基金预算表</w:t>
      </w:r>
      <w:bookmarkEnd w:id="85"/>
    </w:p>
    <w:p w:rsidR="008F31C5" w:rsidRDefault="00FD159B">
      <w:pPr>
        <w:spacing w:line="600" w:lineRule="exact"/>
        <w:ind w:firstLineChars="200" w:firstLine="640"/>
        <w:outlineLvl w:val="0"/>
        <w:rPr>
          <w:rFonts w:ascii="黑体" w:eastAsia="黑体"/>
          <w:color w:val="000000" w:themeColor="text1"/>
          <w:sz w:val="32"/>
          <w:szCs w:val="32"/>
        </w:rPr>
      </w:pPr>
      <w:bookmarkStart w:id="86" w:name="_Toc104903470"/>
      <w:r>
        <w:rPr>
          <w:rFonts w:ascii="黑体" w:eastAsia="黑体" w:hint="eastAsia"/>
          <w:color w:val="000000" w:themeColor="text1"/>
          <w:sz w:val="32"/>
          <w:szCs w:val="32"/>
        </w:rPr>
        <w:t>十二、国有资本经营支出预算表</w:t>
      </w:r>
      <w:bookmarkEnd w:id="86"/>
    </w:p>
    <w:p w:rsidR="008F31C5" w:rsidRDefault="00FD159B">
      <w:pPr>
        <w:spacing w:line="600" w:lineRule="exact"/>
        <w:ind w:firstLineChars="200" w:firstLine="640"/>
        <w:outlineLvl w:val="0"/>
        <w:rPr>
          <w:rFonts w:ascii="黑体" w:eastAsia="黑体"/>
          <w:color w:val="000000" w:themeColor="text1"/>
          <w:sz w:val="32"/>
          <w:szCs w:val="32"/>
        </w:rPr>
      </w:pPr>
      <w:bookmarkStart w:id="87" w:name="_Toc104903471"/>
      <w:r>
        <w:rPr>
          <w:rFonts w:ascii="黑体" w:eastAsia="黑体" w:hint="eastAsia"/>
          <w:color w:val="000000" w:themeColor="text1"/>
          <w:sz w:val="32"/>
          <w:szCs w:val="32"/>
        </w:rPr>
        <w:t>十三、社会保险基金预算表</w:t>
      </w:r>
      <w:bookmarkEnd w:id="87"/>
    </w:p>
    <w:p w:rsidR="008F31C5" w:rsidRDefault="00FD159B">
      <w:pPr>
        <w:spacing w:line="600" w:lineRule="exact"/>
        <w:ind w:firstLineChars="200" w:firstLine="640"/>
        <w:outlineLvl w:val="0"/>
        <w:rPr>
          <w:rFonts w:ascii="黑体" w:eastAsia="黑体"/>
          <w:color w:val="000000" w:themeColor="text1"/>
          <w:sz w:val="32"/>
          <w:szCs w:val="32"/>
        </w:rPr>
      </w:pPr>
      <w:bookmarkStart w:id="88" w:name="_Toc104903472"/>
      <w:r>
        <w:rPr>
          <w:rFonts w:ascii="黑体" w:eastAsia="黑体" w:hint="eastAsia"/>
          <w:color w:val="000000" w:themeColor="text1"/>
          <w:sz w:val="32"/>
          <w:szCs w:val="32"/>
        </w:rPr>
        <w:t>十四、“三公”经费财政拨款预算表</w:t>
      </w:r>
      <w:bookmarkEnd w:id="88"/>
    </w:p>
    <w:p w:rsidR="008F31C5" w:rsidRDefault="00FD159B">
      <w:pPr>
        <w:spacing w:line="600" w:lineRule="exact"/>
        <w:ind w:firstLineChars="200" w:firstLine="640"/>
        <w:outlineLvl w:val="0"/>
        <w:rPr>
          <w:rFonts w:ascii="黑体" w:eastAsia="黑体"/>
          <w:color w:val="000000" w:themeColor="text1"/>
          <w:sz w:val="32"/>
          <w:szCs w:val="32"/>
        </w:rPr>
      </w:pPr>
      <w:bookmarkStart w:id="89" w:name="_Toc104903473"/>
      <w:r>
        <w:rPr>
          <w:rFonts w:ascii="黑体" w:eastAsia="黑体" w:hint="eastAsia"/>
          <w:color w:val="000000" w:themeColor="text1"/>
          <w:sz w:val="32"/>
          <w:szCs w:val="32"/>
        </w:rPr>
        <w:t>十五、政府采购预算表</w:t>
      </w:r>
      <w:bookmarkEnd w:id="89"/>
    </w:p>
    <w:p w:rsidR="008F31C5" w:rsidRDefault="00FD159B">
      <w:pPr>
        <w:spacing w:line="600" w:lineRule="exact"/>
        <w:ind w:firstLineChars="200" w:firstLine="640"/>
        <w:outlineLvl w:val="0"/>
        <w:rPr>
          <w:rFonts w:ascii="黑体" w:eastAsia="黑体"/>
          <w:color w:val="000000" w:themeColor="text1"/>
          <w:sz w:val="32"/>
          <w:szCs w:val="32"/>
        </w:rPr>
      </w:pPr>
      <w:bookmarkStart w:id="90" w:name="_Toc104903474"/>
      <w:r>
        <w:rPr>
          <w:rFonts w:ascii="黑体" w:eastAsia="黑体" w:hint="eastAsia"/>
          <w:color w:val="000000" w:themeColor="text1"/>
          <w:sz w:val="32"/>
          <w:szCs w:val="32"/>
        </w:rPr>
        <w:t>十六、部门（单位）整体支出绩效目标申报表</w:t>
      </w:r>
      <w:bookmarkEnd w:id="90"/>
    </w:p>
    <w:p w:rsidR="008F31C5" w:rsidRDefault="00FD159B">
      <w:pPr>
        <w:spacing w:line="600" w:lineRule="exact"/>
        <w:ind w:firstLineChars="200" w:firstLine="640"/>
        <w:outlineLvl w:val="0"/>
        <w:rPr>
          <w:rFonts w:ascii="黑体" w:eastAsia="黑体"/>
          <w:color w:val="000000" w:themeColor="text1"/>
          <w:sz w:val="32"/>
          <w:szCs w:val="32"/>
        </w:rPr>
      </w:pPr>
      <w:bookmarkStart w:id="91" w:name="_Toc104903475"/>
      <w:r>
        <w:rPr>
          <w:rFonts w:ascii="黑体" w:eastAsia="黑体" w:hint="eastAsia"/>
          <w:color w:val="000000" w:themeColor="text1"/>
          <w:sz w:val="32"/>
          <w:szCs w:val="32"/>
        </w:rPr>
        <w:t>十七、2021年项目绩效目标统计</w:t>
      </w:r>
      <w:bookmarkEnd w:id="91"/>
    </w:p>
    <w:p w:rsidR="008F31C5" w:rsidRDefault="008F31C5">
      <w:pPr>
        <w:spacing w:line="600" w:lineRule="exact"/>
        <w:ind w:firstLineChars="200" w:firstLine="640"/>
        <w:rPr>
          <w:rFonts w:ascii="黑体" w:eastAsia="黑体"/>
          <w:color w:val="000000" w:themeColor="text1"/>
          <w:sz w:val="32"/>
          <w:szCs w:val="32"/>
        </w:rPr>
      </w:pPr>
    </w:p>
    <w:p w:rsidR="008F31C5" w:rsidRDefault="008F31C5">
      <w:pPr>
        <w:spacing w:line="600" w:lineRule="exact"/>
        <w:rPr>
          <w:rFonts w:ascii="黑体" w:eastAsia="黑体" w:hAnsi="黑体" w:cs="黑体"/>
          <w:b/>
          <w:bCs/>
          <w:color w:val="000000" w:themeColor="text1"/>
          <w:sz w:val="30"/>
          <w:szCs w:val="30"/>
        </w:rPr>
      </w:pPr>
    </w:p>
    <w:sectPr w:rsidR="008F31C5" w:rsidSect="008F31C5">
      <w:footerReference w:type="even" r:id="rId9"/>
      <w:footerReference w:type="default" r:id="rId10"/>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B8E" w:rsidRDefault="00604B8E" w:rsidP="008F31C5">
      <w:r>
        <w:separator/>
      </w:r>
    </w:p>
  </w:endnote>
  <w:endnote w:type="continuationSeparator" w:id="1">
    <w:p w:rsidR="00604B8E" w:rsidRDefault="00604B8E" w:rsidP="008F3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C5" w:rsidRDefault="00FD159B">
    <w:pPr>
      <w:pStyle w:val="a4"/>
      <w:ind w:firstLineChars="100" w:firstLine="280"/>
      <w:rPr>
        <w:rFonts w:ascii="宋体" w:hAnsi="宋体"/>
        <w:sz w:val="28"/>
        <w:szCs w:val="28"/>
      </w:rPr>
    </w:pPr>
    <w:r>
      <w:rPr>
        <w:rFonts w:ascii="宋体" w:hAnsi="宋体" w:hint="eastAsia"/>
        <w:kern w:val="0"/>
        <w:sz w:val="28"/>
        <w:szCs w:val="28"/>
      </w:rPr>
      <w:t>—</w:t>
    </w:r>
    <w:r w:rsidR="00AB7EA7">
      <w:rPr>
        <w:rFonts w:ascii="宋体" w:hAnsi="宋体"/>
        <w:kern w:val="0"/>
        <w:sz w:val="28"/>
        <w:szCs w:val="28"/>
      </w:rPr>
      <w:fldChar w:fldCharType="begin"/>
    </w:r>
    <w:r>
      <w:rPr>
        <w:rFonts w:ascii="宋体" w:hAnsi="宋体"/>
        <w:kern w:val="0"/>
        <w:sz w:val="28"/>
        <w:szCs w:val="28"/>
      </w:rPr>
      <w:instrText xml:space="preserve"> PAGE </w:instrText>
    </w:r>
    <w:r w:rsidR="00AB7EA7">
      <w:rPr>
        <w:rFonts w:ascii="宋体" w:hAnsi="宋体"/>
        <w:kern w:val="0"/>
        <w:sz w:val="28"/>
        <w:szCs w:val="28"/>
      </w:rPr>
      <w:fldChar w:fldCharType="separate"/>
    </w:r>
    <w:r w:rsidR="008029CA">
      <w:rPr>
        <w:rFonts w:ascii="宋体" w:hAnsi="宋体"/>
        <w:noProof/>
        <w:kern w:val="0"/>
        <w:sz w:val="28"/>
        <w:szCs w:val="28"/>
      </w:rPr>
      <w:t>2</w:t>
    </w:r>
    <w:r w:rsidR="00AB7EA7">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C5" w:rsidRDefault="00FD159B">
    <w:pPr>
      <w:pStyle w:val="a4"/>
      <w:wordWrap w:val="0"/>
      <w:jc w:val="right"/>
      <w:rPr>
        <w:rFonts w:ascii="宋体" w:hAnsi="宋体"/>
        <w:sz w:val="28"/>
        <w:szCs w:val="28"/>
      </w:rPr>
    </w:pPr>
    <w:r>
      <w:rPr>
        <w:rFonts w:ascii="宋体" w:hAnsi="宋体" w:hint="eastAsia"/>
        <w:kern w:val="0"/>
        <w:sz w:val="28"/>
        <w:szCs w:val="28"/>
      </w:rPr>
      <w:t>—</w:t>
    </w:r>
    <w:r w:rsidR="00AB7EA7">
      <w:rPr>
        <w:rFonts w:ascii="宋体" w:hAnsi="宋体"/>
        <w:kern w:val="0"/>
        <w:sz w:val="28"/>
        <w:szCs w:val="28"/>
      </w:rPr>
      <w:fldChar w:fldCharType="begin"/>
    </w:r>
    <w:r>
      <w:rPr>
        <w:rFonts w:ascii="宋体" w:hAnsi="宋体"/>
        <w:kern w:val="0"/>
        <w:sz w:val="28"/>
        <w:szCs w:val="28"/>
      </w:rPr>
      <w:instrText xml:space="preserve"> PAGE </w:instrText>
    </w:r>
    <w:r w:rsidR="00AB7EA7">
      <w:rPr>
        <w:rFonts w:ascii="宋体" w:hAnsi="宋体"/>
        <w:kern w:val="0"/>
        <w:sz w:val="28"/>
        <w:szCs w:val="28"/>
      </w:rPr>
      <w:fldChar w:fldCharType="separate"/>
    </w:r>
    <w:r w:rsidR="008029CA">
      <w:rPr>
        <w:rFonts w:ascii="宋体" w:hAnsi="宋体"/>
        <w:noProof/>
        <w:kern w:val="0"/>
        <w:sz w:val="28"/>
        <w:szCs w:val="28"/>
      </w:rPr>
      <w:t>11</w:t>
    </w:r>
    <w:r w:rsidR="00AB7EA7">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B8E" w:rsidRDefault="00604B8E" w:rsidP="008F31C5">
      <w:r>
        <w:separator/>
      </w:r>
    </w:p>
  </w:footnote>
  <w:footnote w:type="continuationSeparator" w:id="1">
    <w:p w:rsidR="00604B8E" w:rsidRDefault="00604B8E" w:rsidP="008F3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00AF"/>
    <w:multiLevelType w:val="singleLevel"/>
    <w:tmpl w:val="0F9100A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451DC"/>
    <w:rsid w:val="001A0437"/>
    <w:rsid w:val="001A2108"/>
    <w:rsid w:val="001B6D6E"/>
    <w:rsid w:val="002730CD"/>
    <w:rsid w:val="00356CAE"/>
    <w:rsid w:val="003A561B"/>
    <w:rsid w:val="00425810"/>
    <w:rsid w:val="004A1A00"/>
    <w:rsid w:val="0053746F"/>
    <w:rsid w:val="00564603"/>
    <w:rsid w:val="005E688F"/>
    <w:rsid w:val="00604B8E"/>
    <w:rsid w:val="00777E08"/>
    <w:rsid w:val="007934F3"/>
    <w:rsid w:val="008029CA"/>
    <w:rsid w:val="00861D72"/>
    <w:rsid w:val="00891D1C"/>
    <w:rsid w:val="008C72F8"/>
    <w:rsid w:val="008F31C5"/>
    <w:rsid w:val="009340F3"/>
    <w:rsid w:val="00A527E0"/>
    <w:rsid w:val="00A64EDC"/>
    <w:rsid w:val="00A950F0"/>
    <w:rsid w:val="00AB7EA7"/>
    <w:rsid w:val="00AE4401"/>
    <w:rsid w:val="00B3548B"/>
    <w:rsid w:val="00BB666B"/>
    <w:rsid w:val="00C044B7"/>
    <w:rsid w:val="00C52206"/>
    <w:rsid w:val="00C5515C"/>
    <w:rsid w:val="00CC5FF3"/>
    <w:rsid w:val="00D36FE8"/>
    <w:rsid w:val="00DE1A43"/>
    <w:rsid w:val="00DF77CF"/>
    <w:rsid w:val="00EA6295"/>
    <w:rsid w:val="00F429C0"/>
    <w:rsid w:val="00FB30A0"/>
    <w:rsid w:val="00FB45E1"/>
    <w:rsid w:val="00FD159B"/>
    <w:rsid w:val="05097B3E"/>
    <w:rsid w:val="05A918FD"/>
    <w:rsid w:val="066D6077"/>
    <w:rsid w:val="07D17F84"/>
    <w:rsid w:val="15D35DF5"/>
    <w:rsid w:val="192C6BD1"/>
    <w:rsid w:val="1ADF4FFF"/>
    <w:rsid w:val="21101740"/>
    <w:rsid w:val="27527BD8"/>
    <w:rsid w:val="276E5BBB"/>
    <w:rsid w:val="2ED21556"/>
    <w:rsid w:val="2F49601C"/>
    <w:rsid w:val="30B170B2"/>
    <w:rsid w:val="35C003EB"/>
    <w:rsid w:val="36DD628E"/>
    <w:rsid w:val="3C21458C"/>
    <w:rsid w:val="3DE714F5"/>
    <w:rsid w:val="3EE741B8"/>
    <w:rsid w:val="3EE91203"/>
    <w:rsid w:val="41582ED0"/>
    <w:rsid w:val="44BF503D"/>
    <w:rsid w:val="472A5D26"/>
    <w:rsid w:val="47356ED0"/>
    <w:rsid w:val="493C20A5"/>
    <w:rsid w:val="4A415E07"/>
    <w:rsid w:val="4E947623"/>
    <w:rsid w:val="50041FB8"/>
    <w:rsid w:val="52285550"/>
    <w:rsid w:val="52633C59"/>
    <w:rsid w:val="64F21F12"/>
    <w:rsid w:val="67A40522"/>
    <w:rsid w:val="67D2734F"/>
    <w:rsid w:val="67E12001"/>
    <w:rsid w:val="745F682E"/>
    <w:rsid w:val="74917807"/>
    <w:rsid w:val="7697339E"/>
    <w:rsid w:val="7CB64FF4"/>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F31C5"/>
    <w:pPr>
      <w:widowControl w:val="0"/>
      <w:jc w:val="both"/>
    </w:pPr>
    <w:rPr>
      <w:rFonts w:ascii="Calibri" w:hAnsi="Calibri"/>
      <w:kern w:val="2"/>
      <w:sz w:val="21"/>
      <w:szCs w:val="22"/>
    </w:rPr>
  </w:style>
  <w:style w:type="paragraph" w:styleId="1">
    <w:name w:val="heading 1"/>
    <w:basedOn w:val="a"/>
    <w:next w:val="a"/>
    <w:link w:val="1Char"/>
    <w:qFormat/>
    <w:rsid w:val="00A64EDC"/>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8F31C5"/>
    <w:rPr>
      <w:rFonts w:ascii="宋体" w:eastAsia="仿宋_GB2312" w:hAnsi="宋体" w:cs="宋体"/>
      <w:sz w:val="32"/>
      <w:szCs w:val="28"/>
      <w:lang w:val="zh-CN" w:bidi="zh-CN"/>
    </w:rPr>
  </w:style>
  <w:style w:type="paragraph" w:styleId="a4">
    <w:name w:val="footer"/>
    <w:basedOn w:val="a"/>
    <w:qFormat/>
    <w:rsid w:val="008F31C5"/>
    <w:pPr>
      <w:tabs>
        <w:tab w:val="center" w:pos="4153"/>
        <w:tab w:val="right" w:pos="8306"/>
      </w:tabs>
      <w:snapToGrid w:val="0"/>
      <w:jc w:val="left"/>
    </w:pPr>
    <w:rPr>
      <w:sz w:val="18"/>
      <w:szCs w:val="18"/>
    </w:rPr>
  </w:style>
  <w:style w:type="paragraph" w:styleId="a5">
    <w:name w:val="header"/>
    <w:basedOn w:val="a"/>
    <w:qFormat/>
    <w:rsid w:val="008F31C5"/>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8F31C5"/>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8F31C5"/>
  </w:style>
  <w:style w:type="paragraph" w:styleId="a6">
    <w:name w:val="Balloon Text"/>
    <w:basedOn w:val="a"/>
    <w:link w:val="Char"/>
    <w:rsid w:val="00FD159B"/>
    <w:rPr>
      <w:sz w:val="18"/>
      <w:szCs w:val="18"/>
    </w:rPr>
  </w:style>
  <w:style w:type="character" w:customStyle="1" w:styleId="Char">
    <w:name w:val="批注框文本 Char"/>
    <w:basedOn w:val="a1"/>
    <w:link w:val="a6"/>
    <w:rsid w:val="00FD159B"/>
    <w:rPr>
      <w:rFonts w:ascii="Calibri" w:hAnsi="Calibri"/>
      <w:kern w:val="2"/>
      <w:sz w:val="18"/>
      <w:szCs w:val="18"/>
    </w:rPr>
  </w:style>
  <w:style w:type="paragraph" w:styleId="10">
    <w:name w:val="toc 1"/>
    <w:basedOn w:val="a"/>
    <w:next w:val="a"/>
    <w:autoRedefine/>
    <w:uiPriority w:val="39"/>
    <w:rsid w:val="00FD159B"/>
  </w:style>
  <w:style w:type="character" w:styleId="a7">
    <w:name w:val="Hyperlink"/>
    <w:basedOn w:val="a1"/>
    <w:uiPriority w:val="99"/>
    <w:unhideWhenUsed/>
    <w:rsid w:val="00FD159B"/>
    <w:rPr>
      <w:color w:val="0000FF" w:themeColor="hyperlink"/>
      <w:u w:val="single"/>
    </w:rPr>
  </w:style>
  <w:style w:type="character" w:customStyle="1" w:styleId="1Char">
    <w:name w:val="标题 1 Char"/>
    <w:basedOn w:val="a1"/>
    <w:link w:val="1"/>
    <w:rsid w:val="00A64EDC"/>
    <w:rPr>
      <w:rFonts w:ascii="Calibri" w:hAnsi="Calibri"/>
      <w:b/>
      <w:bCs/>
      <w:kern w:val="44"/>
      <w:sz w:val="44"/>
      <w:szCs w:val="44"/>
    </w:rPr>
  </w:style>
  <w:style w:type="paragraph" w:styleId="TOC">
    <w:name w:val="TOC Heading"/>
    <w:basedOn w:val="1"/>
    <w:next w:val="a"/>
    <w:uiPriority w:val="39"/>
    <w:semiHidden/>
    <w:unhideWhenUsed/>
    <w:qFormat/>
    <w:rsid w:val="00A64E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rsid w:val="00A64EDC"/>
    <w:pPr>
      <w:ind w:leftChars="200" w:left="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9897F5-593E-431D-976C-D34155BC2F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915</Words>
  <Characters>5216</Characters>
  <Application>Microsoft Office Word</Application>
  <DocSecurity>0</DocSecurity>
  <Lines>43</Lines>
  <Paragraphs>12</Paragraphs>
  <ScaleCrop>false</ScaleCrop>
  <Company>微软中国</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18</cp:revision>
  <dcterms:created xsi:type="dcterms:W3CDTF">2018-02-05T06:16:00Z</dcterms:created>
  <dcterms:modified xsi:type="dcterms:W3CDTF">2022-05-31T08:09:00Z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