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ascii="方正小标宋简体" w:hAnsi="方正小标宋简体" w:eastAsia="方正小标宋简体" w:cs="方正小标宋简体"/>
          <w:color w:val="000000"/>
          <w:kern w:val="0"/>
          <w:sz w:val="43"/>
          <w:szCs w:val="43"/>
        </w:rPr>
        <w:t>目</w:t>
      </w:r>
      <w:r>
        <w:rPr>
          <w:rFonts w:hint="eastAsia" w:ascii="方正小标宋简体" w:hAnsi="方正小标宋简体" w:eastAsia="方正小标宋简体" w:cs="方正小标宋简体"/>
          <w:color w:val="000000"/>
          <w:kern w:val="0"/>
          <w:sz w:val="43"/>
          <w:szCs w:val="43"/>
        </w:rPr>
        <w:t xml:space="preserve">   </w:t>
      </w:r>
      <w:r>
        <w:rPr>
          <w:rFonts w:ascii="方正小标宋简体" w:hAnsi="方正小标宋简体" w:eastAsia="方正小标宋简体" w:cs="方正小标宋简体"/>
          <w:color w:val="000000"/>
          <w:kern w:val="0"/>
          <w:sz w:val="43"/>
          <w:szCs w:val="43"/>
        </w:rPr>
        <w:t>录</w:t>
      </w: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关峨眉山市教师培训中心单位2022年部门预算编制的说明</w:t>
      </w:r>
    </w:p>
    <w:p>
      <w:pPr>
        <w:widowControl/>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w:t>
      </w:r>
      <w:r>
        <w:rPr>
          <w:rFonts w:ascii="仿宋_GB2312" w:hAnsi="宋体" w:eastAsia="仿宋_GB2312" w:cs="仿宋_GB2312"/>
          <w:color w:val="333333"/>
          <w:kern w:val="0"/>
          <w:sz w:val="31"/>
          <w:szCs w:val="31"/>
        </w:rPr>
        <w:t xml:space="preserve">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二、部门概况</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三、收支预算总体情况</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四、财政拨款支出预算安排情况</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八、“三公”经费预算安排情况说明</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九、其他重要事项的情况说明</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十、名词解释</w:t>
      </w:r>
    </w:p>
    <w:p>
      <w:pPr>
        <w:widowControl/>
        <w:jc w:val="left"/>
      </w:pPr>
      <w:r>
        <w:rPr>
          <w:rFonts w:hint="eastAsia" w:ascii="黑体" w:hAnsi="宋体" w:eastAsia="黑体" w:cs="黑体"/>
          <w:color w:val="333333"/>
          <w:kern w:val="0"/>
          <w:sz w:val="31"/>
          <w:szCs w:val="31"/>
        </w:rPr>
        <w:t xml:space="preserve">第二部分 2022年峨眉山市教师培训中心本级部门预算表 </w:t>
      </w:r>
    </w:p>
    <w:p>
      <w:pPr>
        <w:widowControl/>
        <w:jc w:val="left"/>
      </w:pPr>
      <w:r>
        <w:rPr>
          <w:rFonts w:hint="eastAsia" w:ascii="仿宋_GB2312" w:hAnsi="宋体" w:eastAsia="仿宋_GB2312" w:cs="仿宋_GB2312"/>
          <w:color w:val="333333"/>
          <w:kern w:val="0"/>
          <w:sz w:val="31"/>
          <w:szCs w:val="31"/>
        </w:rPr>
        <w:t xml:space="preserve">一、收支预算总表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jc w:val="left"/>
      </w:pPr>
      <w:r>
        <w:rPr>
          <w:rFonts w:hint="eastAsia" w:ascii="仿宋_GB2312" w:hAnsi="宋体" w:eastAsia="仿宋_GB2312" w:cs="仿宋_GB2312"/>
          <w:color w:val="333333"/>
          <w:kern w:val="0"/>
          <w:sz w:val="31"/>
          <w:szCs w:val="31"/>
        </w:rPr>
        <w:t xml:space="preserve">三、支出预算总表 </w:t>
      </w:r>
    </w:p>
    <w:p>
      <w:pPr>
        <w:widowControl/>
        <w:jc w:val="left"/>
      </w:pPr>
      <w:r>
        <w:rPr>
          <w:rFonts w:hint="eastAsia" w:ascii="仿宋_GB2312" w:hAnsi="宋体" w:eastAsia="仿宋_GB2312" w:cs="仿宋_GB2312"/>
          <w:color w:val="333333"/>
          <w:kern w:val="0"/>
          <w:sz w:val="31"/>
          <w:szCs w:val="31"/>
        </w:rPr>
        <w:t xml:space="preserve">四、财政拨款预算总表 </w:t>
      </w:r>
    </w:p>
    <w:p>
      <w:pPr>
        <w:widowControl/>
        <w:jc w:val="left"/>
      </w:pPr>
      <w:r>
        <w:rPr>
          <w:rFonts w:hint="eastAsia" w:ascii="仿宋_GB2312" w:hAnsi="宋体" w:eastAsia="仿宋_GB2312" w:cs="仿宋_GB2312"/>
          <w:color w:val="333333"/>
          <w:kern w:val="0"/>
          <w:sz w:val="31"/>
          <w:szCs w:val="31"/>
        </w:rPr>
        <w:t xml:space="preserve">五、一般公共预算支出表 </w:t>
      </w:r>
    </w:p>
    <w:p>
      <w:pPr>
        <w:widowControl/>
        <w:jc w:val="left"/>
      </w:pPr>
      <w:r>
        <w:rPr>
          <w:rFonts w:hint="eastAsia" w:ascii="仿宋_GB2312" w:hAnsi="宋体" w:eastAsia="仿宋_GB2312" w:cs="仿宋_GB2312"/>
          <w:color w:val="333333"/>
          <w:kern w:val="0"/>
          <w:sz w:val="31"/>
          <w:szCs w:val="31"/>
        </w:rPr>
        <w:t xml:space="preserve">六、一般公共预算基本支出表 </w:t>
      </w:r>
    </w:p>
    <w:p>
      <w:pPr>
        <w:widowControl/>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jc w:val="left"/>
      </w:pPr>
      <w:r>
        <w:rPr>
          <w:rFonts w:hint="eastAsia" w:ascii="仿宋_GB2312" w:hAnsi="宋体" w:eastAsia="仿宋_GB2312" w:cs="仿宋_GB2312"/>
          <w:color w:val="333333"/>
          <w:kern w:val="0"/>
          <w:sz w:val="31"/>
          <w:szCs w:val="31"/>
        </w:rPr>
        <w:t xml:space="preserve">八、政府性基金预算支出表 </w:t>
      </w:r>
    </w:p>
    <w:p>
      <w:pPr>
        <w:widowControl/>
        <w:jc w:val="left"/>
      </w:pPr>
      <w:r>
        <w:rPr>
          <w:rFonts w:hint="eastAsia" w:ascii="仿宋_GB2312" w:hAnsi="宋体" w:eastAsia="仿宋_GB2312" w:cs="仿宋_GB2312"/>
          <w:color w:val="333333"/>
          <w:kern w:val="0"/>
          <w:sz w:val="31"/>
          <w:szCs w:val="31"/>
        </w:rPr>
        <w:t xml:space="preserve">九、国有资本经营预算支出表 </w:t>
      </w:r>
    </w:p>
    <w:p>
      <w:pPr>
        <w:widowControl/>
        <w:jc w:val="left"/>
      </w:pPr>
      <w:r>
        <w:rPr>
          <w:rFonts w:hint="eastAsia" w:ascii="仿宋_GB2312" w:hAnsi="宋体" w:eastAsia="仿宋_GB2312" w:cs="仿宋_GB2312"/>
          <w:color w:val="333333"/>
          <w:kern w:val="0"/>
          <w:sz w:val="31"/>
          <w:szCs w:val="31"/>
        </w:rPr>
        <w:t>十、 支出功能分类预算表</w:t>
      </w:r>
    </w:p>
    <w:p>
      <w:pPr>
        <w:widowControl/>
        <w:jc w:val="left"/>
      </w:pPr>
      <w:r>
        <w:rPr>
          <w:rFonts w:hint="eastAsia" w:ascii="仿宋_GB2312" w:hAnsi="宋体" w:eastAsia="仿宋_GB2312" w:cs="仿宋_GB2312"/>
          <w:color w:val="333333"/>
          <w:kern w:val="0"/>
          <w:sz w:val="31"/>
          <w:szCs w:val="31"/>
        </w:rPr>
        <w:t>十一、 支出经济分类预算表</w:t>
      </w:r>
    </w:p>
    <w:p>
      <w:pPr>
        <w:widowControl/>
        <w:jc w:val="left"/>
      </w:pPr>
      <w:r>
        <w:rPr>
          <w:rFonts w:hint="eastAsia" w:ascii="仿宋_GB2312" w:hAnsi="宋体" w:eastAsia="仿宋_GB2312" w:cs="仿宋_GB2312"/>
          <w:color w:val="333333"/>
          <w:kern w:val="0"/>
          <w:sz w:val="31"/>
          <w:szCs w:val="31"/>
        </w:rPr>
        <w:t>十二、 项目支出表</w:t>
      </w:r>
    </w:p>
    <w:p>
      <w:pPr>
        <w:widowControl/>
        <w:jc w:val="left"/>
      </w:pPr>
      <w:r>
        <w:rPr>
          <w:rFonts w:hint="eastAsia" w:ascii="仿宋_GB2312" w:hAnsi="宋体" w:eastAsia="仿宋_GB2312" w:cs="仿宋_GB2312"/>
          <w:color w:val="333333"/>
          <w:kern w:val="0"/>
          <w:sz w:val="31"/>
          <w:szCs w:val="31"/>
        </w:rPr>
        <w:t>十三、 项目支出预算明细表</w:t>
      </w:r>
    </w:p>
    <w:p>
      <w:pPr>
        <w:widowControl/>
        <w:jc w:val="left"/>
      </w:pPr>
      <w:r>
        <w:rPr>
          <w:rFonts w:hint="eastAsia" w:ascii="仿宋_GB2312" w:hAnsi="宋体" w:eastAsia="仿宋_GB2312" w:cs="仿宋_GB2312"/>
          <w:color w:val="333333"/>
          <w:kern w:val="0"/>
          <w:sz w:val="31"/>
          <w:szCs w:val="31"/>
        </w:rPr>
        <w:t>十四、 项目支出绩效表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十五、政府购买服务预算表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政府采购预算表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w:t>
      </w:r>
      <w:r>
        <w:rPr>
          <w:rFonts w:ascii="仿宋_GB2312" w:hAnsi="宋体" w:eastAsia="仿宋_GB2312" w:cs="仿宋_GB2312"/>
          <w:color w:val="333333"/>
          <w:kern w:val="0"/>
          <w:sz w:val="31"/>
          <w:szCs w:val="31"/>
        </w:rPr>
        <w:t>国有资产配置预算表</w:t>
      </w:r>
    </w:p>
    <w:p>
      <w:pPr>
        <w:spacing w:line="600" w:lineRule="exact"/>
        <w:outlineLvl w:val="0"/>
        <w:rPr>
          <w:rFonts w:ascii="黑体" w:eastAsia="黑体"/>
          <w:sz w:val="32"/>
          <w:szCs w:val="32"/>
        </w:rPr>
      </w:pPr>
      <w:r>
        <w:rPr>
          <w:rFonts w:hint="eastAsia" w:ascii="仿宋_GB2312" w:hAnsi="宋体" w:eastAsia="仿宋_GB2312" w:cs="仿宋_GB2312"/>
          <w:color w:val="333333"/>
          <w:kern w:val="0"/>
          <w:sz w:val="31"/>
          <w:szCs w:val="31"/>
        </w:rPr>
        <w:t>十八、</w:t>
      </w:r>
      <w:r>
        <w:rPr>
          <w:rFonts w:ascii="仿宋_GB2312" w:hAnsi="宋体" w:eastAsia="仿宋_GB2312" w:cs="仿宋_GB2312"/>
          <w:color w:val="333333"/>
          <w:kern w:val="0"/>
          <w:sz w:val="31"/>
          <w:szCs w:val="31"/>
        </w:rPr>
        <w:t>部门（单位）整体支出绩效目标申报</w:t>
      </w: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关于峨眉山市教师培训中心</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2年预算编制的说明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w:t>
      </w:r>
      <w:bookmarkStart w:id="0" w:name="_GoBack"/>
      <w:r>
        <w:rPr>
          <w:rFonts w:hint="eastAsia" w:ascii="仿宋_GB2312" w:eastAsia="仿宋_GB2312"/>
          <w:sz w:val="32"/>
          <w:szCs w:val="32"/>
        </w:rPr>
        <w:t xml:space="preserve">“经营收入”等以外的收入。本单位主要是事业收入。 </w:t>
      </w:r>
    </w:p>
    <w:bookmarkEnd w:id="0"/>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w:t>
      </w:r>
    </w:p>
    <w:p>
      <w:pPr>
        <w:ind w:firstLine="640" w:firstLineChars="200"/>
        <w:rPr>
          <w:rFonts w:ascii="仿宋_GB2312" w:eastAsia="仿宋_GB2312"/>
          <w:color w:val="000000"/>
          <w:sz w:val="32"/>
          <w:szCs w:val="32"/>
        </w:rPr>
      </w:pPr>
      <w:r>
        <w:rPr>
          <w:rFonts w:ascii="仿宋_GB2312" w:eastAsia="仿宋_GB2312"/>
          <w:color w:val="000000"/>
          <w:sz w:val="32"/>
          <w:szCs w:val="32"/>
        </w:rPr>
        <w:t>2050299</w:t>
      </w:r>
      <w:r>
        <w:rPr>
          <w:rFonts w:hint="eastAsia" w:ascii="仿宋_GB2312" w:eastAsia="仿宋_GB2312"/>
          <w:color w:val="000000"/>
          <w:sz w:val="32"/>
          <w:szCs w:val="32"/>
        </w:rPr>
        <w:t>其他普通教育支出：指全市的中小学文化课统考检测及非统考学科评价工作经费。</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2050801</w:t>
      </w:r>
      <w:r>
        <w:rPr>
          <w:rFonts w:hint="eastAsia" w:ascii="仿宋_GB2312" w:eastAsia="仿宋_GB2312"/>
          <w:color w:val="000000"/>
          <w:sz w:val="32"/>
          <w:szCs w:val="32"/>
        </w:rPr>
        <w:t>教师进修，指教师培训中心运转的基本支出，包括基本工资、津贴补贴、绩效工资等人员经费以及办公费、印刷费、水电费等日常公用经费。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w:t>
      </w:r>
      <w:r>
        <w:rPr>
          <w:rFonts w:hint="eastAsia" w:ascii="仿宋_GB2312" w:eastAsia="仿宋_GB2312"/>
          <w:color w:val="000000"/>
          <w:sz w:val="32"/>
          <w:szCs w:val="32"/>
        </w:rPr>
        <w:t xml:space="preserve"> 指机关事业单位实施养老保险制度由单位缴纳的基本养老保险费支出。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w:t>
      </w:r>
      <w:r>
        <w:rPr>
          <w:rFonts w:hint="eastAsia" w:ascii="仿宋_GB2312" w:eastAsia="仿宋_GB2312"/>
          <w:color w:val="000000"/>
          <w:sz w:val="32"/>
          <w:szCs w:val="32"/>
        </w:rPr>
        <w:t xml:space="preserve"> 指机关事业单位实施养老保险制度由单位实际缴纳的职业年金支出。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w:t>
      </w:r>
      <w:r>
        <w:rPr>
          <w:rFonts w:hint="eastAsia" w:ascii="仿宋_GB2312" w:eastAsia="仿宋_GB2312"/>
          <w:color w:val="000000"/>
          <w:sz w:val="32"/>
          <w:szCs w:val="32"/>
        </w:rPr>
        <w:t>主要用于：指行政事业单位养老方面的支出，包括离休干部的基本工资、津贴补贴、生活补贴等人员支出。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2089999其他社会保障和就业支出，指工伤保险方面的支出。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w:t>
      </w:r>
      <w:r>
        <w:rPr>
          <w:rFonts w:hint="eastAsia" w:ascii="仿宋_GB2312" w:eastAsia="仿宋_GB2312"/>
          <w:color w:val="000000"/>
          <w:sz w:val="32"/>
          <w:szCs w:val="32"/>
        </w:rPr>
        <w:t xml:space="preserve"> 指财政部门安排的事业单位基本医疗保险缴费经费支出。</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2210201 </w:t>
      </w:r>
      <w:r>
        <w:rPr>
          <w:rFonts w:hint="eastAsia" w:ascii="仿宋_GB2312" w:eastAsia="仿宋_GB2312"/>
          <w:sz w:val="32"/>
          <w:szCs w:val="32"/>
        </w:rPr>
        <w:t>住房公积金，</w:t>
      </w:r>
      <w:r>
        <w:rPr>
          <w:rFonts w:hint="eastAsia" w:ascii="仿宋_GB2312" w:eastAsia="仿宋_GB2312"/>
          <w:color w:val="000000"/>
          <w:sz w:val="32"/>
          <w:szCs w:val="32"/>
        </w:rPr>
        <w:t>指</w:t>
      </w:r>
      <w:r>
        <w:rPr>
          <w:rFonts w:hint="eastAsia" w:ascii="仿宋_GB2312" w:eastAsia="仿宋_GB2312"/>
          <w:sz w:val="32"/>
          <w:szCs w:val="32"/>
        </w:rPr>
        <w:t>行政事业单位按人力资源和社会保障部、财政部规定的基本工资和津贴补贴以及规定比例为职工缴纳的住房公积金支出。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5.教育2050801：指教师培训中心运转的基本支出，包括基本工资、津贴补贴、绩效工资等人员经费以及办公费、印刷费、水电费等日常公用经费。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w:t>
      </w:r>
      <w:r>
        <w:rPr>
          <w:rFonts w:hint="eastAsia" w:ascii="仿宋_GB2312" w:eastAsia="仿宋_GB2312"/>
          <w:color w:val="000000"/>
          <w:sz w:val="32"/>
          <w:szCs w:val="32"/>
        </w:rPr>
        <w:t xml:space="preserve"> 指机关事业单位实施养老保险制度由单位缴纳的基本养老保险费支出。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w:t>
      </w:r>
      <w:r>
        <w:rPr>
          <w:rFonts w:hint="eastAsia" w:ascii="仿宋_GB2312" w:eastAsia="仿宋_GB2312"/>
          <w:color w:val="000000"/>
          <w:sz w:val="32"/>
          <w:szCs w:val="32"/>
        </w:rPr>
        <w:t xml:space="preserve"> 指机关事业单位实施养老保险制度由单位实际缴纳的职业年金支出。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w:t>
      </w:r>
      <w:r>
        <w:rPr>
          <w:rFonts w:hint="eastAsia" w:ascii="仿宋_GB2312" w:eastAsia="仿宋_GB2312"/>
          <w:color w:val="000000"/>
          <w:sz w:val="32"/>
          <w:szCs w:val="32"/>
        </w:rPr>
        <w:t>主要用于：指行政事业单位养老方面的支出，包括离休干部的基本工资、津贴补贴、生活补贴等人员支出。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2089999其他社会保障和就业支出，指工伤保险方面的支出。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firstLineChars="200"/>
        <w:rPr>
          <w:rFonts w:ascii="仿宋_GB2312" w:eastAsia="仿宋_GB2312"/>
          <w:color w:val="000000"/>
          <w:sz w:val="32"/>
          <w:szCs w:val="32"/>
        </w:rPr>
      </w:pPr>
    </w:p>
    <w:p>
      <w:pPr>
        <w:pStyle w:val="6"/>
        <w:spacing w:line="560" w:lineRule="exact"/>
        <w:ind w:firstLine="640" w:firstLineChars="200"/>
        <w:rPr>
          <w:rFonts w:ascii="仿宋_GB2312" w:eastAsia="仿宋_GB2312"/>
          <w:sz w:val="32"/>
          <w:szCs w:val="32"/>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41506"/>
    <w:rsid w:val="00050092"/>
    <w:rsid w:val="00091317"/>
    <w:rsid w:val="00094A22"/>
    <w:rsid w:val="000C3EC7"/>
    <w:rsid w:val="000F0A83"/>
    <w:rsid w:val="000F755E"/>
    <w:rsid w:val="001A0437"/>
    <w:rsid w:val="001A2108"/>
    <w:rsid w:val="001B0A88"/>
    <w:rsid w:val="00245DC0"/>
    <w:rsid w:val="00255CC2"/>
    <w:rsid w:val="002730CD"/>
    <w:rsid w:val="002806C0"/>
    <w:rsid w:val="0029489F"/>
    <w:rsid w:val="002E4EB1"/>
    <w:rsid w:val="00347A7A"/>
    <w:rsid w:val="0039454B"/>
    <w:rsid w:val="003A561B"/>
    <w:rsid w:val="00425810"/>
    <w:rsid w:val="004A1A00"/>
    <w:rsid w:val="00525A58"/>
    <w:rsid w:val="0053746F"/>
    <w:rsid w:val="00564603"/>
    <w:rsid w:val="005A3FA6"/>
    <w:rsid w:val="005C6761"/>
    <w:rsid w:val="005E688F"/>
    <w:rsid w:val="005F533E"/>
    <w:rsid w:val="005F7106"/>
    <w:rsid w:val="00621907"/>
    <w:rsid w:val="006479E8"/>
    <w:rsid w:val="00652C0A"/>
    <w:rsid w:val="00673CCA"/>
    <w:rsid w:val="006D1035"/>
    <w:rsid w:val="00777E08"/>
    <w:rsid w:val="007934F3"/>
    <w:rsid w:val="007A4B34"/>
    <w:rsid w:val="007A65D4"/>
    <w:rsid w:val="00861D72"/>
    <w:rsid w:val="00866233"/>
    <w:rsid w:val="008C51E7"/>
    <w:rsid w:val="008C72F8"/>
    <w:rsid w:val="008F2066"/>
    <w:rsid w:val="00903A72"/>
    <w:rsid w:val="009340F3"/>
    <w:rsid w:val="00950CA2"/>
    <w:rsid w:val="00A527E0"/>
    <w:rsid w:val="00AE4401"/>
    <w:rsid w:val="00B3548B"/>
    <w:rsid w:val="00BB666B"/>
    <w:rsid w:val="00C0251C"/>
    <w:rsid w:val="00C044B7"/>
    <w:rsid w:val="00C07D40"/>
    <w:rsid w:val="00C5515C"/>
    <w:rsid w:val="00C937E2"/>
    <w:rsid w:val="00CA54D2"/>
    <w:rsid w:val="00CC5FF3"/>
    <w:rsid w:val="00D36FE8"/>
    <w:rsid w:val="00DA49B9"/>
    <w:rsid w:val="00DE1A43"/>
    <w:rsid w:val="00DF77CF"/>
    <w:rsid w:val="00E06FBD"/>
    <w:rsid w:val="00EA6295"/>
    <w:rsid w:val="00EC20A3"/>
    <w:rsid w:val="00F21240"/>
    <w:rsid w:val="00F429C0"/>
    <w:rsid w:val="00F81D48"/>
    <w:rsid w:val="00FB45E1"/>
    <w:rsid w:val="052A5228"/>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1335</Words>
  <Characters>7613</Characters>
  <Lines>63</Lines>
  <Paragraphs>17</Paragraphs>
  <TotalTime>347</TotalTime>
  <ScaleCrop>false</ScaleCrop>
  <LinksUpToDate>false</LinksUpToDate>
  <CharactersWithSpaces>8931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2022-05-31T02:42:00Z</cp:lastPrinted>
  <dcterms:modified xsi:type="dcterms:W3CDTF">2022-06-01T01:43:41Z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