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auto"/>
          <w:sz w:val="32"/>
          <w:szCs w:val="32"/>
        </w:rPr>
      </w:pPr>
      <w:r>
        <w:rPr>
          <w:rFonts w:hint="eastAsia" w:ascii="黑体" w:eastAsia="黑体"/>
          <w:color w:val="auto"/>
          <w:sz w:val="32"/>
          <w:szCs w:val="32"/>
        </w:rPr>
        <w:t>附件1</w:t>
      </w:r>
    </w:p>
    <w:p>
      <w:pPr>
        <w:spacing w:line="600" w:lineRule="exact"/>
        <w:jc w:val="center"/>
        <w:outlineLvl w:val="0"/>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峨眉山市军队离退休干部干休所</w:t>
      </w:r>
    </w:p>
    <w:p>
      <w:pPr>
        <w:spacing w:line="600" w:lineRule="exact"/>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rPr>
        <w:t>20</w:t>
      </w:r>
      <w:r>
        <w:rPr>
          <w:rFonts w:hint="default" w:ascii="方正小标宋简体" w:eastAsia="方正小标宋简体"/>
          <w:color w:val="auto"/>
          <w:sz w:val="44"/>
          <w:szCs w:val="44"/>
          <w:lang w:val="en-US"/>
        </w:rPr>
        <w:t>2</w:t>
      </w:r>
      <w:r>
        <w:rPr>
          <w:rFonts w:hint="eastAsia" w:ascii="方正小标宋简体" w:eastAsia="方正小标宋简体"/>
          <w:color w:val="auto"/>
          <w:sz w:val="44"/>
          <w:szCs w:val="44"/>
          <w:lang w:val="en-US" w:eastAsia="zh-CN"/>
        </w:rPr>
        <w:t>1</w:t>
      </w:r>
      <w:r>
        <w:rPr>
          <w:rFonts w:hint="eastAsia" w:ascii="方正小标宋简体" w:eastAsia="方正小标宋简体"/>
          <w:color w:val="auto"/>
          <w:sz w:val="44"/>
          <w:szCs w:val="44"/>
        </w:rPr>
        <w:t>年预算编制的说明</w:t>
      </w: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按照预算管理有关规定，目前</w:t>
      </w:r>
      <w:bookmarkStart w:id="0" w:name="_GoBack"/>
      <w:bookmarkEnd w:id="0"/>
      <w:r>
        <w:rPr>
          <w:rFonts w:hint="eastAsia" w:ascii="仿宋_GB2312" w:eastAsia="仿宋_GB2312"/>
          <w:color w:val="auto"/>
          <w:sz w:val="32"/>
          <w:szCs w:val="32"/>
          <w:lang w:eastAsia="zh-CN"/>
        </w:rPr>
        <w:t>部门及单位</w:t>
      </w:r>
      <w:r>
        <w:rPr>
          <w:rFonts w:hint="eastAsia" w:ascii="仿宋_GB2312" w:eastAsia="仿宋_GB2312"/>
          <w:color w:val="auto"/>
          <w:sz w:val="32"/>
          <w:szCs w:val="32"/>
        </w:rPr>
        <w:t>预算编制实行综合预算制度，即全部收入和支出都反映在预算中。</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lang w:eastAsia="zh-CN"/>
        </w:rPr>
        <w:t>一、</w:t>
      </w:r>
      <w:r>
        <w:rPr>
          <w:rFonts w:hint="eastAsia" w:ascii="黑体" w:eastAsia="黑体"/>
          <w:color w:val="auto"/>
          <w:sz w:val="32"/>
          <w:szCs w:val="32"/>
        </w:rPr>
        <w:t>20</w:t>
      </w:r>
      <w:r>
        <w:rPr>
          <w:rFonts w:ascii="黑体" w:eastAsia="黑体"/>
          <w:color w:val="auto"/>
          <w:sz w:val="32"/>
          <w:szCs w:val="32"/>
        </w:rPr>
        <w:t>2</w:t>
      </w:r>
      <w:r>
        <w:rPr>
          <w:rFonts w:hint="eastAsia" w:ascii="黑体" w:eastAsia="黑体"/>
          <w:color w:val="auto"/>
          <w:sz w:val="32"/>
          <w:szCs w:val="32"/>
          <w:lang w:val="en-US" w:eastAsia="zh-CN"/>
        </w:rPr>
        <w:t>1</w:t>
      </w:r>
      <w:r>
        <w:rPr>
          <w:rFonts w:hint="eastAsia" w:ascii="黑体" w:eastAsia="黑体"/>
          <w:color w:val="auto"/>
          <w:sz w:val="32"/>
          <w:szCs w:val="32"/>
        </w:rPr>
        <w:t>年重点工作任务</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按照</w:t>
      </w:r>
      <w:r>
        <w:rPr>
          <w:rFonts w:hint="eastAsia" w:ascii="仿宋_GB2312" w:hAnsi="仿宋_GB2312" w:eastAsia="仿宋_GB2312" w:cs="仿宋_GB2312"/>
          <w:color w:val="auto"/>
          <w:sz w:val="32"/>
          <w:szCs w:val="32"/>
          <w:lang w:eastAsia="zh-CN"/>
        </w:rPr>
        <w:t>全面落实军休干部“两个待遇”</w:t>
      </w:r>
      <w:r>
        <w:rPr>
          <w:rFonts w:hint="eastAsia" w:ascii="仿宋_GB2312" w:eastAsia="仿宋_GB2312"/>
          <w:color w:val="auto"/>
          <w:sz w:val="32"/>
          <w:szCs w:val="32"/>
        </w:rPr>
        <w:t>的工作目标，鲜明“干在实处、走在前列”的工作取向，以党的政治建设为统领，在202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年完善组织管理体系、工作运行体系、政策制度体系，不断改进创新服务管理保障工作，着力提高工作精细化、优质化、高效化水平，服务中心大局、强化担当进取、狠抓工作落实，全心全意</w:t>
      </w:r>
      <w:r>
        <w:rPr>
          <w:rFonts w:hint="eastAsia" w:ascii="仿宋_GB2312" w:eastAsia="仿宋_GB2312"/>
          <w:color w:val="auto"/>
          <w:sz w:val="32"/>
          <w:szCs w:val="32"/>
          <w:lang w:eastAsia="zh-CN"/>
        </w:rPr>
        <w:t>做好军休服务管理工作</w:t>
      </w:r>
      <w:r>
        <w:rPr>
          <w:rFonts w:hint="eastAsia" w:ascii="仿宋_GB2312" w:eastAsia="仿宋_GB2312"/>
          <w:color w:val="auto"/>
          <w:sz w:val="32"/>
          <w:szCs w:val="32"/>
        </w:rPr>
        <w:t>，为打造绿水青山典范城市提供强有力保证。</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lang w:eastAsia="zh-CN"/>
        </w:rPr>
        <w:t>二</w:t>
      </w:r>
      <w:r>
        <w:rPr>
          <w:rFonts w:hint="eastAsia" w:ascii="黑体" w:eastAsia="黑体"/>
          <w:color w:val="auto"/>
          <w:sz w:val="32"/>
          <w:szCs w:val="32"/>
        </w:rPr>
        <w:t>、收支预算总体情况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按照综合预算的原则， 峨眉山市军队离退休干部干休所所有收入和支出均纳入预算管理。20</w:t>
      </w:r>
      <w:r>
        <w:rPr>
          <w:rFonts w:hint="default" w:ascii="仿宋_GB2312" w:eastAsia="仿宋_GB2312"/>
          <w:color w:val="auto"/>
          <w:sz w:val="32"/>
          <w:szCs w:val="32"/>
          <w:lang w:val="en-US"/>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年峨眉山市军队离退休干部干休所收入预算总额为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10.01</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w:t>
      </w:r>
    </w:p>
    <w:p>
      <w:pPr>
        <w:spacing w:line="600" w:lineRule="exact"/>
        <w:ind w:firstLine="640" w:firstLineChars="200"/>
        <w:outlineLvl w:val="1"/>
        <w:rPr>
          <w:rFonts w:hint="eastAsia" w:ascii="黑体" w:eastAsia="黑体"/>
          <w:color w:val="auto"/>
          <w:sz w:val="32"/>
          <w:szCs w:val="32"/>
        </w:rPr>
      </w:pP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四、财政拨款支出预算安排情况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峨眉山市军队离退休干部干休所</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万元，主要用于保障峨眉山市军队离退休干部干休所机构正常运转、完成日常工作任务以及承担</w:t>
      </w:r>
      <w:r>
        <w:rPr>
          <w:rFonts w:hint="eastAsia" w:ascii="仿宋_GB2312" w:eastAsia="仿宋_GB2312"/>
          <w:color w:val="auto"/>
          <w:sz w:val="32"/>
          <w:szCs w:val="32"/>
          <w:lang w:eastAsia="zh-CN"/>
        </w:rPr>
        <w:t>军休服务管理</w:t>
      </w:r>
      <w:r>
        <w:rPr>
          <w:rFonts w:hint="eastAsia" w:ascii="仿宋_GB2312" w:eastAsia="仿宋_GB2312"/>
          <w:color w:val="auto"/>
          <w:sz w:val="32"/>
          <w:szCs w:val="32"/>
        </w:rPr>
        <w:t>事业发展相关工作。其中：</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万元，是用于保障峨眉山市军队离退休干部干休所正常运转的日常支出，包括基本工资、津贴补贴等人员经费。</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五、一般公共预算当年拨款情况说明</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（一）一般公共预算当年拨款规模及变化情况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峨眉山市军队离退休干部干休所</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10.01</w:t>
      </w:r>
      <w:r>
        <w:rPr>
          <w:rFonts w:hint="eastAsia" w:ascii="仿宋_GB2312" w:eastAsia="仿宋_GB2312"/>
          <w:color w:val="auto"/>
          <w:sz w:val="32"/>
          <w:szCs w:val="32"/>
        </w:rPr>
        <w:t>万元。主要原因是</w:t>
      </w:r>
      <w:r>
        <w:rPr>
          <w:rFonts w:hint="eastAsia" w:ascii="仿宋_GB2312" w:eastAsia="仿宋_GB2312"/>
          <w:color w:val="auto"/>
          <w:sz w:val="32"/>
          <w:szCs w:val="32"/>
          <w:lang w:val="en-US" w:eastAsia="zh-CN"/>
        </w:rPr>
        <w:t>2020年度内在职工作人员正常退休1人</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（二）一般公共预算当年拨款结构情况。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一般公共服务支出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r>
        <w:rPr>
          <w:rFonts w:hint="eastAsia" w:ascii="仿宋_GB2312" w:eastAsia="仿宋_GB2312"/>
          <w:color w:val="auto"/>
          <w:sz w:val="32"/>
          <w:szCs w:val="32"/>
          <w:lang w:eastAsia="zh-CN"/>
        </w:rPr>
        <w:t>（其中：</w:t>
      </w: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44.72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87</w:t>
      </w:r>
      <w:r>
        <w:rPr>
          <w:rFonts w:hint="eastAsia" w:ascii="仿宋_GB2312" w:eastAsia="仿宋_GB2312"/>
          <w:color w:val="auto"/>
          <w:sz w:val="32"/>
          <w:szCs w:val="32"/>
        </w:rPr>
        <w:t>%；</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1.56万元，占3%；住房保障支出5.20万元，占10%）</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（三）一般公共预算当年拨款具体使用情况。</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.社会保障和就业（类）行政事业单位养老支出（款）机关事业单位基本养老保障缴费支出（项），202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4.05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%，主要用于：单位养老保险缴费支出。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2.社会保障和就业支出（类）行政事业单位离退休（款）机关事业单位职业年金缴费支出（项），202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3.96</w:t>
      </w:r>
      <w:r>
        <w:rPr>
          <w:rFonts w:hint="eastAsia" w:ascii="仿宋_GB2312" w:eastAsia="仿宋_GB2312"/>
          <w:color w:val="auto"/>
          <w:sz w:val="32"/>
          <w:szCs w:val="32"/>
        </w:rPr>
        <w:t>%，主要用于：单位职业年金缴费支出。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.社会保障和就业支出（类）退役安置（款）军队移交政府离退休干部管理机构（项），202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38.45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75</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单位</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万元，占0.0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%，主要用于：工伤保险支出。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六、一般公共预算基本支出情况说明</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峨眉山市军队离退休干部干休所</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万元，其中：</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万元，主要包括：基本工资、津贴补贴、</w:t>
      </w:r>
      <w:r>
        <w:rPr>
          <w:rFonts w:hint="eastAsia" w:ascii="仿宋_GB2312" w:eastAsia="仿宋_GB2312"/>
          <w:color w:val="auto"/>
          <w:sz w:val="32"/>
          <w:szCs w:val="32"/>
          <w:lang w:eastAsia="zh-CN"/>
        </w:rPr>
        <w:t>伙食补助费、</w:t>
      </w:r>
      <w:r>
        <w:rPr>
          <w:rFonts w:hint="eastAsia" w:ascii="仿宋_GB2312" w:eastAsia="仿宋_GB2312"/>
          <w:color w:val="auto"/>
          <w:sz w:val="32"/>
          <w:szCs w:val="32"/>
        </w:rPr>
        <w:t>绩效工资、养老保险、职业年金</w:t>
      </w:r>
      <w:r>
        <w:rPr>
          <w:rFonts w:hint="eastAsia" w:ascii="仿宋_GB2312" w:eastAsia="仿宋_GB2312"/>
          <w:color w:val="auto"/>
          <w:sz w:val="32"/>
          <w:szCs w:val="32"/>
          <w:lang w:eastAsia="zh-CN"/>
        </w:rPr>
        <w:t>、</w:t>
      </w:r>
      <w:r>
        <w:rPr>
          <w:rFonts w:hint="eastAsia" w:ascii="仿宋_GB2312" w:eastAsia="仿宋_GB2312"/>
          <w:color w:val="auto"/>
          <w:sz w:val="32"/>
          <w:szCs w:val="32"/>
        </w:rPr>
        <w:t>社会保险缴费、</w:t>
      </w:r>
      <w:r>
        <w:rPr>
          <w:rFonts w:hint="eastAsia" w:ascii="仿宋_GB2312" w:eastAsia="仿宋_GB2312"/>
          <w:color w:val="auto"/>
          <w:sz w:val="32"/>
          <w:szCs w:val="32"/>
          <w:lang w:eastAsia="zh-CN"/>
        </w:rPr>
        <w:t>住房公积金、其他工资福利支出、生活补助、奖励金。</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lang w:eastAsia="zh-CN"/>
        </w:rPr>
        <w:t>七</w:t>
      </w:r>
      <w:r>
        <w:rPr>
          <w:rFonts w:hint="eastAsia" w:ascii="黑体" w:eastAsia="黑体"/>
          <w:color w:val="auto"/>
          <w:sz w:val="32"/>
          <w:szCs w:val="32"/>
        </w:rPr>
        <w:t>、其他重要事项的情况说明</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）国有资产占有使用情况。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截至去年底，峨眉山市军队离退休干部干休所实际共有车辆</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（四）绩效目标设置情况。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年，峨眉山市军队离退休干部干休所按要求实行绩效目标管理，</w:t>
      </w:r>
      <w:r>
        <w:rPr>
          <w:rFonts w:hint="eastAsia" w:ascii="仿宋_GB2312" w:eastAsia="仿宋_GB2312"/>
          <w:color w:val="auto"/>
          <w:sz w:val="32"/>
          <w:szCs w:val="32"/>
          <w:lang w:eastAsia="zh-CN"/>
        </w:rPr>
        <w:t>部门（</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整体绩效目标涉及预算安排</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51.48</w:t>
      </w:r>
      <w:r>
        <w:rPr>
          <w:rFonts w:hint="eastAsia" w:ascii="仿宋_GB2312" w:eastAsia="仿宋_GB2312"/>
          <w:color w:val="auto"/>
          <w:sz w:val="32"/>
          <w:szCs w:val="32"/>
        </w:rPr>
        <w:t>万元。</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十、名词解释</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auto"/>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7A0783D"/>
    <w:rsid w:val="15D35DF5"/>
    <w:rsid w:val="2ED21556"/>
    <w:rsid w:val="36DD628E"/>
    <w:rsid w:val="3EE741B8"/>
    <w:rsid w:val="493C20A5"/>
    <w:rsid w:val="4E2D3CD0"/>
    <w:rsid w:val="64223325"/>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9</TotalTime>
  <ScaleCrop>false</ScaleCrop>
  <LinksUpToDate>false</LinksUpToDate>
  <CharactersWithSpaces>2882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先行者</cp:lastModifiedBy>
  <dcterms:modified xsi:type="dcterms:W3CDTF">2021-01-16T06:14:56Z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