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附件1</w:t>
      </w:r>
    </w:p>
    <w:p>
      <w:pPr>
        <w:spacing w:line="600" w:lineRule="exact"/>
        <w:jc w:val="center"/>
        <w:outlineLvl w:val="0"/>
        <w:rPr>
          <w:rFonts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关于</w:t>
      </w:r>
      <w:r>
        <w:rPr>
          <w:rFonts w:hint="eastAsia" w:ascii="方正小标宋简体" w:eastAsia="方正小标宋简体"/>
          <w:color w:val="000000" w:themeColor="text1"/>
          <w:sz w:val="44"/>
          <w:szCs w:val="44"/>
          <w:lang w:eastAsia="zh-CN"/>
          <w14:textFill>
            <w14:solidFill>
              <w14:schemeClr w14:val="tx1"/>
            </w14:solidFill>
          </w14:textFill>
        </w:rPr>
        <w:t>峨眉山市乐都镇卫生院</w:t>
      </w:r>
      <w:r>
        <w:rPr>
          <w:rFonts w:ascii="方正小标宋简体" w:eastAsia="方正小标宋简体"/>
          <w:color w:val="000000" w:themeColor="text1"/>
          <w:sz w:val="44"/>
          <w:szCs w:val="44"/>
          <w14:textFill>
            <w14:solidFill>
              <w14:schemeClr w14:val="tx1"/>
            </w14:solidFill>
          </w14:textFill>
        </w:rPr>
        <w:br w:type="textWrapping"/>
      </w:r>
      <w:r>
        <w:rPr>
          <w:rFonts w:hint="eastAsia" w:ascii="方正小标宋简体" w:eastAsia="方正小标宋简体"/>
          <w:color w:val="000000" w:themeColor="text1"/>
          <w:sz w:val="44"/>
          <w:szCs w:val="44"/>
          <w14:textFill>
            <w14:solidFill>
              <w14:schemeClr w14:val="tx1"/>
            </w14:solidFill>
          </w14:textFill>
        </w:rPr>
        <w:t>20</w:t>
      </w:r>
      <w:r>
        <w:rPr>
          <w:rFonts w:hint="default" w:ascii="方正小标宋简体" w:eastAsia="方正小标宋简体"/>
          <w:color w:val="000000" w:themeColor="text1"/>
          <w:sz w:val="44"/>
          <w:szCs w:val="44"/>
          <w:lang w:val="en-US"/>
          <w14:textFill>
            <w14:solidFill>
              <w14:schemeClr w14:val="tx1"/>
            </w14:solidFill>
          </w14:textFill>
        </w:rPr>
        <w:t>2</w:t>
      </w:r>
      <w:r>
        <w:rPr>
          <w:rFonts w:hint="eastAsia" w:ascii="方正小标宋简体" w:eastAsia="方正小标宋简体"/>
          <w:color w:val="000000" w:themeColor="text1"/>
          <w:sz w:val="44"/>
          <w:szCs w:val="44"/>
          <w:lang w:val="en-US" w:eastAsia="zh-CN"/>
          <w14:textFill>
            <w14:solidFill>
              <w14:schemeClr w14:val="tx1"/>
            </w14:solidFill>
          </w14:textFill>
        </w:rPr>
        <w:t>2</w:t>
      </w:r>
      <w:r>
        <w:rPr>
          <w:rFonts w:hint="eastAsia" w:ascii="方正小标宋简体" w:eastAsia="方正小标宋简体"/>
          <w:color w:val="000000" w:themeColor="text1"/>
          <w:sz w:val="44"/>
          <w:szCs w:val="44"/>
          <w14:textFill>
            <w14:solidFill>
              <w14:schemeClr w14:val="tx1"/>
            </w14:solidFill>
          </w14:textFill>
        </w:rPr>
        <w:t>年预算编制的说明</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按照预算管理有关规定，目前</w:t>
      </w:r>
      <w:r>
        <w:rPr>
          <w:rFonts w:hint="eastAsia" w:ascii="仿宋_GB2312" w:eastAsia="仿宋_GB2312"/>
          <w:color w:val="000000" w:themeColor="text1"/>
          <w:sz w:val="32"/>
          <w:szCs w:val="32"/>
          <w:lang w:eastAsia="zh-CN"/>
          <w14:textFill>
            <w14:solidFill>
              <w14:schemeClr w14:val="tx1"/>
            </w14:solidFill>
          </w14:textFill>
        </w:rPr>
        <w:t>部门及单位</w:t>
      </w:r>
      <w:r>
        <w:rPr>
          <w:rFonts w:hint="eastAsia" w:ascii="仿宋_GB2312" w:eastAsia="仿宋_GB2312"/>
          <w:color w:val="000000" w:themeColor="text1"/>
          <w:sz w:val="32"/>
          <w:szCs w:val="32"/>
          <w14:textFill>
            <w14:solidFill>
              <w14:schemeClr w14:val="tx1"/>
            </w14:solidFill>
          </w14:textFill>
        </w:rPr>
        <w:t>预算编制实行综合预算制度，即全部收入和支出都反映在预算中。</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一、基本职能及主要工作</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（一）主要职能</w:t>
      </w:r>
    </w:p>
    <w:p>
      <w:pPr>
        <w:snapToGrid w:val="0"/>
        <w:spacing w:line="52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 w:hAnsi="仿宋" w:eastAsia="仿宋"/>
          <w:bCs/>
          <w:color w:val="000000"/>
          <w:sz w:val="32"/>
          <w:szCs w:val="32"/>
        </w:rPr>
        <w:t>为人民身体健康提供医疗与预防保健服务。从事常见病多发病诊治、院前急救、巡回医疗、预防保健、卫生防疫、妇幼保健等服务。承担本辖区内围产保健、妇幼保健、儿童保健等妇幼保健和妇女儿童常见病防治任务；承担计划生育技术服务相关任务；落实妇幼重大公共卫生服务项目和基本公共卫生服务项目，配合承担孕前优生健康检查项目等任务；负责对村级卫生技术服务人员提供业务培训指导。</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（二）20</w:t>
      </w:r>
      <w:r>
        <w:rPr>
          <w:rFonts w:hint="default" w:ascii="仿宋_GB2312" w:eastAsia="仿宋_GB2312"/>
          <w:color w:val="000000" w:themeColor="text1"/>
          <w:sz w:val="32"/>
          <w:szCs w:val="32"/>
          <w:lang w:val="en-US"/>
          <w14:textFill>
            <w14:solidFill>
              <w14:schemeClr w14:val="tx1"/>
            </w14:solidFill>
          </w14:textFill>
        </w:rPr>
        <w:t>2</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年重点工作任务</w:t>
      </w:r>
    </w:p>
    <w:p>
      <w:pPr>
        <w:spacing w:line="600" w:lineRule="exact"/>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20</w:t>
      </w:r>
      <w:r>
        <w:rPr>
          <w:rFonts w:hint="eastAsia" w:ascii="仿宋" w:hAnsi="仿宋" w:eastAsia="仿宋" w:cs="仿宋"/>
          <w:color w:val="000000" w:themeColor="text1"/>
          <w:sz w:val="32"/>
          <w:szCs w:val="32"/>
          <w:lang w:val="en-US"/>
          <w14:textFill>
            <w14:solidFill>
              <w14:schemeClr w14:val="tx1"/>
            </w14:solidFill>
          </w14:textFill>
        </w:rPr>
        <w:t>2</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年重点工作任务</w:t>
      </w:r>
      <w:r>
        <w:rPr>
          <w:rFonts w:hint="eastAsia" w:ascii="仿宋" w:hAnsi="仿宋" w:eastAsia="仿宋" w:cs="仿宋"/>
          <w:color w:val="000000" w:themeColor="text1"/>
          <w:sz w:val="32"/>
          <w:szCs w:val="32"/>
          <w:lang w:val="en-US" w:eastAsia="zh-CN"/>
          <w14:textFill>
            <w14:solidFill>
              <w14:schemeClr w14:val="tx1"/>
            </w14:solidFill>
          </w14:textFill>
        </w:rPr>
        <w:t>:</w:t>
      </w:r>
    </w:p>
    <w:p>
      <w:pPr>
        <w:numPr>
          <w:ilvl w:val="0"/>
          <w:numId w:val="0"/>
        </w:numPr>
        <w:spacing w:line="600" w:lineRule="exact"/>
        <w:ind w:leftChars="0"/>
        <w:outlineLvl w:val="1"/>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sz w:val="32"/>
          <w:szCs w:val="32"/>
          <w:lang w:val="en-US" w:eastAsia="zh-CN"/>
        </w:rPr>
        <w:t>1.</w:t>
      </w:r>
      <w:r>
        <w:rPr>
          <w:rFonts w:hint="eastAsia" w:ascii="仿宋" w:hAnsi="仿宋" w:eastAsia="仿宋" w:cs="仿宋"/>
          <w:sz w:val="32"/>
          <w:szCs w:val="32"/>
        </w:rPr>
        <w:t>狠抓思想政治建设，促进和谐发展，严格落实卫生行业“九不准”等相关规范，加强卫生院行风党风廉政建设，人人做到廉洁自律；</w:t>
      </w:r>
      <w:r>
        <w:rPr>
          <w:rFonts w:hint="eastAsia" w:ascii="仿宋" w:hAnsi="仿宋" w:eastAsia="仿宋" w:cs="仿宋"/>
          <w:sz w:val="32"/>
          <w:szCs w:val="32"/>
        </w:rPr>
        <w:br w:type="textWrapping"/>
      </w:r>
      <w:r>
        <w:rPr>
          <w:rFonts w:hint="eastAsia" w:ascii="仿宋" w:hAnsi="仿宋" w:eastAsia="仿宋" w:cs="仿宋"/>
          <w:sz w:val="32"/>
          <w:szCs w:val="32"/>
        </w:rPr>
        <w:t>2.夯实基础，努力提高医疗服务质量。加强人才培养，通过自身培训、卫健局继续教育培训以及进修学习，努力提高医务人员业务技能；开展中医药特色服务；加强医疗文书的书写，培训基药处方集提高处方书写质量；强化病历质量检查；贯输合理检查，合理治疗观念，努力提升老百姓“就医获得感”。</w:t>
      </w:r>
      <w:r>
        <w:rPr>
          <w:rFonts w:hint="eastAsia" w:ascii="仿宋" w:hAnsi="仿宋" w:eastAsia="仿宋" w:cs="仿宋"/>
          <w:sz w:val="32"/>
          <w:szCs w:val="32"/>
        </w:rPr>
        <w:br w:type="textWrapping"/>
      </w:r>
      <w:r>
        <w:rPr>
          <w:rFonts w:hint="eastAsia" w:ascii="仿宋" w:hAnsi="仿宋" w:eastAsia="仿宋" w:cs="仿宋"/>
          <w:sz w:val="32"/>
          <w:szCs w:val="32"/>
        </w:rPr>
        <w:t>3.促进国家基本公共卫生服务各项目有序开展。加强卫生院职工与村医联系，把家庭医生签约服务做实做细。完成65岁以上老年人一年一次的健康体检工作，加强慢病管理，完成4次/年面对面服务，提高慢病发现率和规范管理率，努力实现基本公共卫生服务均等化。</w:t>
      </w:r>
      <w:r>
        <w:rPr>
          <w:rFonts w:hint="eastAsia" w:ascii="仿宋" w:hAnsi="仿宋" w:eastAsia="仿宋" w:cs="仿宋"/>
          <w:sz w:val="32"/>
          <w:szCs w:val="32"/>
        </w:rPr>
        <w:br w:type="textWrapping"/>
      </w:r>
      <w:r>
        <w:rPr>
          <w:rFonts w:hint="eastAsia" w:ascii="仿宋" w:hAnsi="仿宋" w:eastAsia="仿宋" w:cs="仿宋"/>
          <w:sz w:val="32"/>
          <w:szCs w:val="32"/>
        </w:rPr>
        <w:t>4.强化疫情防控，认真落实新冠肺炎防控措施，加强集中场所宣传、消毒工作，及时关注最新疫情动态，组织医务人员学习最新诊疗方案和防控相关文件内容，做到参与人员准确掌握新知识、新动态。严格落实发热预检分诊制度，做好医院感染控制管理工作，配合镇村做好人员分类管理工作，切实保障人民生命健康安全。</w:t>
      </w:r>
      <w:r>
        <w:rPr>
          <w:rFonts w:hint="eastAsia" w:ascii="仿宋" w:hAnsi="仿宋" w:eastAsia="仿宋" w:cs="仿宋"/>
          <w:sz w:val="32"/>
          <w:szCs w:val="32"/>
        </w:rPr>
        <w:br w:type="textWrapping"/>
      </w:r>
      <w:r>
        <w:rPr>
          <w:rFonts w:hint="eastAsia" w:ascii="仿宋" w:hAnsi="仿宋" w:eastAsia="仿宋" w:cs="仿宋"/>
          <w:sz w:val="32"/>
          <w:szCs w:val="32"/>
        </w:rPr>
        <w:t>5.服从上级部门领导，力争按时按点完成上级部门交办的各项工作任务目标。</w:t>
      </w:r>
    </w:p>
    <w:p>
      <w:pPr>
        <w:numPr>
          <w:ilvl w:val="0"/>
          <w:numId w:val="0"/>
        </w:numPr>
        <w:spacing w:line="600" w:lineRule="exact"/>
        <w:ind w:leftChars="0"/>
        <w:outlineLvl w:val="1"/>
        <w:rPr>
          <w:rFonts w:hint="eastAsia" w:ascii="黑体" w:eastAsia="黑体"/>
          <w:color w:val="000000" w:themeColor="text1"/>
          <w:sz w:val="32"/>
          <w:szCs w:val="32"/>
          <w:lang w:eastAsia="zh-CN"/>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二、部门概况</w:t>
      </w:r>
      <w:r>
        <w:rPr>
          <w:rFonts w:hint="eastAsia" w:ascii="黑体" w:eastAsia="黑体"/>
          <w:color w:val="000000" w:themeColor="text1"/>
          <w:sz w:val="32"/>
          <w:szCs w:val="32"/>
          <w:lang w:eastAsia="zh-CN"/>
          <w14:textFill>
            <w14:solidFill>
              <w14:schemeClr w14:val="tx1"/>
            </w14:solidFill>
          </w14:textFill>
        </w:rPr>
        <w:t>（部门编写，所属单位公开不需编写）</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（部门名称）</w:t>
      </w:r>
      <w:r>
        <w:rPr>
          <w:rFonts w:hint="eastAsia" w:ascii="仿宋_GB2312" w:eastAsia="仿宋_GB2312"/>
          <w:color w:val="000000" w:themeColor="text1"/>
          <w:sz w:val="32"/>
          <w:szCs w:val="32"/>
          <w14:textFill>
            <w14:solidFill>
              <w14:schemeClr w14:val="tx1"/>
            </w14:solidFill>
          </w14:textFill>
        </w:rPr>
        <w:t>下属二级预算单位**个，其中行政单位**个，参照公务员法管理的事业单位**个，其他事业单位**个。主要包括：***、***、***等。</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三、收支预算总体情况</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按照综合预算的原则</w:t>
      </w:r>
      <w:r>
        <w:rPr>
          <w:rFonts w:hint="eastAsia" w:ascii="仿宋_GB2312" w:eastAsia="仿宋_GB2312"/>
          <w:color w:val="000000" w:themeColor="text1"/>
          <w:sz w:val="32"/>
          <w:szCs w:val="32"/>
          <w:lang w:val="en-US" w:eastAsia="zh-CN"/>
          <w14:textFill>
            <w14:solidFill>
              <w14:schemeClr w14:val="tx1"/>
            </w14:solidFill>
          </w14:textFill>
        </w:rPr>
        <w:t>,峨眉山市乐都镇卫生院</w:t>
      </w:r>
      <w:r>
        <w:rPr>
          <w:rFonts w:hint="eastAsia" w:ascii="仿宋_GB2312" w:eastAsia="仿宋_GB2312"/>
          <w:color w:val="000000" w:themeColor="text1"/>
          <w:sz w:val="32"/>
          <w:szCs w:val="32"/>
          <w14:textFill>
            <w14:solidFill>
              <w14:schemeClr w14:val="tx1"/>
            </w14:solidFill>
          </w14:textFill>
        </w:rPr>
        <w:t>所有收入和支出均纳入预算管理。20</w:t>
      </w:r>
      <w:r>
        <w:rPr>
          <w:rFonts w:hint="default" w:ascii="仿宋_GB2312" w:eastAsia="仿宋_GB2312"/>
          <w:color w:val="000000" w:themeColor="text1"/>
          <w:sz w:val="32"/>
          <w:szCs w:val="32"/>
          <w:lang w:val="en-US"/>
          <w14:textFill>
            <w14:solidFill>
              <w14:schemeClr w14:val="tx1"/>
            </w14:solidFill>
          </w14:textFill>
        </w:rPr>
        <w:t>2</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val="en-US" w:eastAsia="zh-CN"/>
          <w14:textFill>
            <w14:solidFill>
              <w14:schemeClr w14:val="tx1"/>
            </w14:solidFill>
          </w14:textFill>
        </w:rPr>
        <w:t>峨眉山市乐都镇卫生院</w:t>
      </w:r>
      <w:r>
        <w:rPr>
          <w:rFonts w:hint="eastAsia" w:ascii="仿宋_GB2312" w:eastAsia="仿宋_GB2312"/>
          <w:color w:val="000000" w:themeColor="text1"/>
          <w:sz w:val="32"/>
          <w:szCs w:val="32"/>
          <w14:textFill>
            <w14:solidFill>
              <w14:schemeClr w14:val="tx1"/>
            </w14:solidFill>
          </w14:textFill>
        </w:rPr>
        <w:t>收入预算总额为</w:t>
      </w:r>
      <w:r>
        <w:rPr>
          <w:rFonts w:hint="eastAsia" w:ascii="仿宋_GB2312" w:eastAsia="仿宋_GB2312"/>
          <w:color w:val="000000" w:themeColor="text1"/>
          <w:sz w:val="32"/>
          <w:szCs w:val="32"/>
          <w:lang w:val="en-US" w:eastAsia="zh-CN"/>
          <w14:textFill>
            <w14:solidFill>
              <w14:schemeClr w14:val="tx1"/>
            </w14:solidFill>
          </w14:textFill>
        </w:rPr>
        <w:t>18.10</w:t>
      </w:r>
      <w:r>
        <w:rPr>
          <w:rFonts w:hint="eastAsia" w:ascii="仿宋_GB2312" w:eastAsia="仿宋_GB2312"/>
          <w:color w:val="000000" w:themeColor="text1"/>
          <w:sz w:val="32"/>
          <w:szCs w:val="32"/>
          <w14:textFill>
            <w14:solidFill>
              <w14:schemeClr w14:val="tx1"/>
            </w14:solidFill>
          </w14:textFill>
        </w:rPr>
        <w:t>万元，较上年预算数减少</w:t>
      </w:r>
      <w:r>
        <w:rPr>
          <w:rFonts w:hint="eastAsia" w:ascii="仿宋_GB2312" w:eastAsia="仿宋_GB2312"/>
          <w:color w:val="000000" w:themeColor="text1"/>
          <w:sz w:val="32"/>
          <w:szCs w:val="32"/>
          <w:lang w:val="en-US" w:eastAsia="zh-CN"/>
          <w14:textFill>
            <w14:solidFill>
              <w14:schemeClr w14:val="tx1"/>
            </w14:solidFill>
          </w14:textFill>
        </w:rPr>
        <w:t>105.519</w:t>
      </w:r>
      <w:r>
        <w:rPr>
          <w:rFonts w:hint="eastAsia" w:ascii="仿宋_GB2312" w:eastAsia="仿宋_GB2312"/>
          <w:color w:val="000000" w:themeColor="text1"/>
          <w:sz w:val="32"/>
          <w:szCs w:val="32"/>
          <w14:textFill>
            <w14:solidFill>
              <w14:schemeClr w14:val="tx1"/>
            </w14:solidFill>
          </w14:textFill>
        </w:rPr>
        <w:t>万元。其中：当年财政拨款收入</w:t>
      </w:r>
      <w:r>
        <w:rPr>
          <w:rFonts w:hint="eastAsia" w:ascii="仿宋_GB2312" w:eastAsia="仿宋_GB2312"/>
          <w:color w:val="000000" w:themeColor="text1"/>
          <w:sz w:val="32"/>
          <w:szCs w:val="32"/>
          <w:lang w:val="en-US" w:eastAsia="zh-CN"/>
          <w14:textFill>
            <w14:solidFill>
              <w14:schemeClr w14:val="tx1"/>
            </w14:solidFill>
          </w14:textFill>
        </w:rPr>
        <w:t>18.10</w:t>
      </w:r>
      <w:r>
        <w:rPr>
          <w:rFonts w:hint="eastAsia" w:ascii="仿宋_GB2312" w:eastAsia="仿宋_GB2312"/>
          <w:color w:val="000000" w:themeColor="text1"/>
          <w:sz w:val="32"/>
          <w:szCs w:val="32"/>
          <w14:textFill>
            <w14:solidFill>
              <w14:schemeClr w14:val="tx1"/>
            </w14:solidFill>
          </w14:textFill>
        </w:rPr>
        <w:t>万元，事业收入**万元，其他收入**万元。相应安排支出预算**万元，其中：人员支出</w:t>
      </w:r>
      <w:r>
        <w:rPr>
          <w:rFonts w:hint="eastAsia" w:ascii="仿宋_GB2312" w:eastAsia="仿宋_GB2312"/>
          <w:color w:val="000000" w:themeColor="text1"/>
          <w:sz w:val="32"/>
          <w:szCs w:val="32"/>
          <w:lang w:val="en-US" w:eastAsia="zh-CN"/>
          <w14:textFill>
            <w14:solidFill>
              <w14:schemeClr w14:val="tx1"/>
            </w14:solidFill>
          </w14:textFill>
        </w:rPr>
        <w:t>18.10</w:t>
      </w:r>
      <w:r>
        <w:rPr>
          <w:rFonts w:hint="eastAsia" w:ascii="仿宋_GB2312" w:eastAsia="仿宋_GB2312"/>
          <w:color w:val="000000" w:themeColor="text1"/>
          <w:sz w:val="32"/>
          <w:szCs w:val="32"/>
          <w14:textFill>
            <w14:solidFill>
              <w14:schemeClr w14:val="tx1"/>
            </w14:solidFill>
          </w14:textFill>
        </w:rPr>
        <w:t>万元，日常公用支出**万元，对个人和家庭的补助支出**万元，专项支出**万元。</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四、财政拨款支出预算安排情况</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峨眉山市乐都镇卫生院2022</w:t>
      </w:r>
      <w:r>
        <w:rPr>
          <w:rFonts w:hint="eastAsia" w:ascii="仿宋_GB2312" w:eastAsia="仿宋_GB2312"/>
          <w:color w:val="000000" w:themeColor="text1"/>
          <w:sz w:val="32"/>
          <w:szCs w:val="32"/>
          <w14:textFill>
            <w14:solidFill>
              <w14:schemeClr w14:val="tx1"/>
            </w14:solidFill>
          </w14:textFill>
        </w:rPr>
        <w:t>年财政拨款收支总预算</w:t>
      </w:r>
      <w:r>
        <w:rPr>
          <w:rFonts w:hint="eastAsia" w:ascii="仿宋_GB2312" w:eastAsia="仿宋_GB2312"/>
          <w:color w:val="000000" w:themeColor="text1"/>
          <w:sz w:val="32"/>
          <w:szCs w:val="32"/>
          <w:lang w:val="en-US" w:eastAsia="zh-CN"/>
          <w14:textFill>
            <w14:solidFill>
              <w14:schemeClr w14:val="tx1"/>
            </w14:solidFill>
          </w14:textFill>
        </w:rPr>
        <w:t>18.10</w:t>
      </w:r>
      <w:r>
        <w:rPr>
          <w:rFonts w:hint="eastAsia" w:ascii="仿宋_GB2312" w:eastAsia="仿宋_GB2312"/>
          <w:color w:val="000000" w:themeColor="text1"/>
          <w:sz w:val="32"/>
          <w:szCs w:val="32"/>
          <w14:textFill>
            <w14:solidFill>
              <w14:schemeClr w14:val="tx1"/>
            </w14:solidFill>
          </w14:textFill>
        </w:rPr>
        <w:t>万元，主要用于保障</w:t>
      </w:r>
      <w:r>
        <w:rPr>
          <w:rFonts w:hint="eastAsia" w:ascii="仿宋_GB2312" w:eastAsia="仿宋_GB2312"/>
          <w:color w:val="000000" w:themeColor="text1"/>
          <w:sz w:val="32"/>
          <w:szCs w:val="32"/>
          <w:lang w:val="en-US" w:eastAsia="zh-CN"/>
          <w14:textFill>
            <w14:solidFill>
              <w14:schemeClr w14:val="tx1"/>
            </w14:solidFill>
          </w14:textFill>
        </w:rPr>
        <w:t>峨眉山市乐都镇卫生院</w:t>
      </w:r>
      <w:r>
        <w:rPr>
          <w:rFonts w:hint="eastAsia" w:ascii="仿宋_GB2312" w:eastAsia="仿宋_GB2312"/>
          <w:color w:val="000000" w:themeColor="text1"/>
          <w:sz w:val="32"/>
          <w:szCs w:val="32"/>
          <w14:textFill>
            <w14:solidFill>
              <w14:schemeClr w14:val="tx1"/>
            </w14:solidFill>
          </w14:textFill>
        </w:rPr>
        <w:t>机构正常运转、以及</w:t>
      </w:r>
      <w:r>
        <w:rPr>
          <w:rFonts w:hint="eastAsia" w:ascii="仿宋" w:hAnsi="仿宋" w:eastAsia="仿宋"/>
          <w:bCs/>
          <w:color w:val="000000"/>
          <w:sz w:val="32"/>
          <w:szCs w:val="32"/>
        </w:rPr>
        <w:t>为人民身体健康提供医疗与</w:t>
      </w:r>
      <w:r>
        <w:rPr>
          <w:rFonts w:hint="eastAsia" w:ascii="仿宋" w:hAnsi="仿宋" w:eastAsia="仿宋"/>
          <w:bCs/>
          <w:color w:val="000000"/>
          <w:sz w:val="32"/>
          <w:szCs w:val="32"/>
          <w:lang w:eastAsia="zh-CN"/>
        </w:rPr>
        <w:t>公共卫生服</w:t>
      </w:r>
      <w:r>
        <w:rPr>
          <w:rFonts w:hint="eastAsia" w:ascii="仿宋" w:hAnsi="仿宋" w:eastAsia="仿宋"/>
          <w:bCs/>
          <w:color w:val="000000"/>
          <w:sz w:val="32"/>
          <w:szCs w:val="32"/>
        </w:rPr>
        <w:t>务</w:t>
      </w:r>
      <w:r>
        <w:rPr>
          <w:rFonts w:hint="eastAsia" w:ascii="仿宋" w:hAnsi="仿宋" w:eastAsia="仿宋"/>
          <w:bCs/>
          <w:color w:val="000000"/>
          <w:sz w:val="32"/>
          <w:szCs w:val="32"/>
          <w:lang w:eastAsia="zh-CN"/>
        </w:rPr>
        <w:t>以及</w:t>
      </w:r>
      <w:r>
        <w:rPr>
          <w:rFonts w:hint="eastAsia" w:ascii="仿宋_GB2312" w:eastAsia="仿宋_GB2312"/>
          <w:sz w:val="32"/>
          <w:szCs w:val="32"/>
        </w:rPr>
        <w:t>完成日常工作任务</w:t>
      </w:r>
      <w:r>
        <w:rPr>
          <w:rFonts w:hint="eastAsia" w:ascii="仿宋" w:hAnsi="仿宋" w:eastAsia="仿宋"/>
          <w:bCs/>
          <w:color w:val="000000"/>
          <w:sz w:val="32"/>
          <w:szCs w:val="32"/>
        </w:rPr>
        <w:t>。</w:t>
      </w:r>
      <w:r>
        <w:rPr>
          <w:rFonts w:hint="eastAsia" w:ascii="仿宋_GB2312" w:eastAsia="仿宋_GB2312"/>
          <w:color w:val="000000" w:themeColor="text1"/>
          <w:sz w:val="32"/>
          <w:szCs w:val="32"/>
          <w14:textFill>
            <w14:solidFill>
              <w14:schemeClr w14:val="tx1"/>
            </w14:solidFill>
          </w14:textFill>
        </w:rPr>
        <w:t>其中：</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基本支出</w:t>
      </w:r>
      <w:r>
        <w:rPr>
          <w:rFonts w:hint="eastAsia" w:ascii="仿宋_GB2312" w:eastAsia="仿宋_GB2312"/>
          <w:color w:val="000000" w:themeColor="text1"/>
          <w:sz w:val="32"/>
          <w:szCs w:val="32"/>
          <w:lang w:val="en-US" w:eastAsia="zh-CN"/>
          <w14:textFill>
            <w14:solidFill>
              <w14:schemeClr w14:val="tx1"/>
            </w14:solidFill>
          </w14:textFill>
        </w:rPr>
        <w:t>18.10</w:t>
      </w:r>
      <w:r>
        <w:rPr>
          <w:rFonts w:hint="eastAsia" w:ascii="仿宋_GB2312" w:eastAsia="仿宋_GB2312"/>
          <w:color w:val="000000" w:themeColor="text1"/>
          <w:sz w:val="32"/>
          <w:szCs w:val="32"/>
          <w14:textFill>
            <w14:solidFill>
              <w14:schemeClr w14:val="tx1"/>
            </w14:solidFill>
          </w14:textFill>
        </w:rPr>
        <w:t>万元，是用于保障</w:t>
      </w:r>
      <w:r>
        <w:rPr>
          <w:rFonts w:hint="eastAsia" w:ascii="仿宋_GB2312" w:eastAsia="仿宋_GB2312"/>
          <w:color w:val="000000" w:themeColor="text1"/>
          <w:sz w:val="32"/>
          <w:szCs w:val="32"/>
          <w:lang w:val="en-US" w:eastAsia="zh-CN"/>
          <w14:textFill>
            <w14:solidFill>
              <w14:schemeClr w14:val="tx1"/>
            </w14:solidFill>
          </w14:textFill>
        </w:rPr>
        <w:t>峨眉山市乐都镇卫生院</w:t>
      </w:r>
      <w:r>
        <w:rPr>
          <w:rFonts w:hint="eastAsia" w:ascii="仿宋_GB2312" w:eastAsia="仿宋_GB2312"/>
          <w:color w:val="000000" w:themeColor="text1"/>
          <w:sz w:val="32"/>
          <w:szCs w:val="32"/>
          <w14:textFill>
            <w14:solidFill>
              <w14:schemeClr w14:val="tx1"/>
            </w14:solidFill>
          </w14:textFill>
        </w:rPr>
        <w:t>正常运转的日常支出，包括基本工资、津贴补贴等人员经费。</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项目支出</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万元，是用于保障***</w:t>
      </w:r>
      <w:r>
        <w:rPr>
          <w:rFonts w:hint="eastAsia" w:ascii="仿宋_GB2312" w:eastAsia="仿宋_GB2312"/>
          <w:color w:val="000000" w:themeColor="text1"/>
          <w:sz w:val="32"/>
          <w:szCs w:val="32"/>
          <w:lang w:eastAsia="zh-CN"/>
          <w14:textFill>
            <w14:solidFill>
              <w14:schemeClr w14:val="tx1"/>
            </w14:solidFill>
          </w14:textFill>
        </w:rPr>
        <w:t>（部门或单位名称）</w:t>
      </w:r>
      <w:r>
        <w:rPr>
          <w:rFonts w:hint="eastAsia" w:ascii="仿宋_GB2312" w:eastAsia="仿宋_GB2312"/>
          <w:color w:val="000000" w:themeColor="text1"/>
          <w:sz w:val="32"/>
          <w:szCs w:val="32"/>
          <w14:textFill>
            <w14:solidFill>
              <w14:schemeClr w14:val="tx1"/>
            </w14:solidFill>
          </w14:textFill>
        </w:rPr>
        <w:t>为完成特定的行政工作任务或事业发展目标，用于专项业务工作的经费支出。</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五、一般公共预算当年拨款情况说明</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color w:val="000000" w:themeColor="text1"/>
          <w:sz w:val="32"/>
          <w:szCs w:val="32"/>
          <w:lang w:val="en-US" w:eastAsia="zh-CN"/>
          <w14:textFill>
            <w14:solidFill>
              <w14:schemeClr w14:val="tx1"/>
            </w14:solidFill>
          </w14:textFill>
        </w:rPr>
        <w:t>峨眉山市乐都镇卫生院2022</w:t>
      </w:r>
      <w:r>
        <w:rPr>
          <w:rFonts w:hint="eastAsia" w:ascii="仿宋_GB2312" w:eastAsia="仿宋_GB2312"/>
          <w:color w:val="000000" w:themeColor="text1"/>
          <w:sz w:val="32"/>
          <w:szCs w:val="32"/>
          <w14:textFill>
            <w14:solidFill>
              <w14:schemeClr w14:val="tx1"/>
            </w14:solidFill>
          </w14:textFill>
        </w:rPr>
        <w:t>年一般公共预算当年拨款</w:t>
      </w:r>
      <w:r>
        <w:rPr>
          <w:rFonts w:hint="eastAsia" w:ascii="仿宋_GB2312" w:eastAsia="仿宋_GB2312"/>
          <w:color w:val="000000" w:themeColor="text1"/>
          <w:sz w:val="32"/>
          <w:szCs w:val="32"/>
          <w:lang w:val="en-US" w:eastAsia="zh-CN"/>
          <w14:textFill>
            <w14:solidFill>
              <w14:schemeClr w14:val="tx1"/>
            </w14:solidFill>
          </w14:textFill>
        </w:rPr>
        <w:t>18.10</w:t>
      </w:r>
      <w:r>
        <w:rPr>
          <w:rFonts w:hint="eastAsia" w:ascii="仿宋_GB2312" w:eastAsia="仿宋_GB2312"/>
          <w:color w:val="000000" w:themeColor="text1"/>
          <w:sz w:val="32"/>
          <w:szCs w:val="32"/>
          <w14:textFill>
            <w14:solidFill>
              <w14:schemeClr w14:val="tx1"/>
            </w14:solidFill>
          </w14:textFill>
        </w:rPr>
        <w:t>万元，较上年预算数增加</w:t>
      </w:r>
      <w:r>
        <w:rPr>
          <w:rFonts w:hint="eastAsia" w:ascii="仿宋_GB2312" w:eastAsia="仿宋_GB2312"/>
          <w:color w:val="000000" w:themeColor="text1"/>
          <w:sz w:val="32"/>
          <w:szCs w:val="32"/>
          <w:lang w:val="en-US" w:eastAsia="zh-CN"/>
          <w14:textFill>
            <w14:solidFill>
              <w14:schemeClr w14:val="tx1"/>
            </w14:solidFill>
          </w14:textFill>
        </w:rPr>
        <w:t>1.0476</w:t>
      </w:r>
      <w:r>
        <w:rPr>
          <w:rFonts w:hint="eastAsia" w:ascii="仿宋_GB2312" w:eastAsia="仿宋_GB2312"/>
          <w:color w:val="000000" w:themeColor="text1"/>
          <w:sz w:val="32"/>
          <w:szCs w:val="32"/>
          <w14:textFill>
            <w14:solidFill>
              <w14:schemeClr w14:val="tx1"/>
            </w14:solidFill>
          </w14:textFill>
        </w:rPr>
        <w:t>万元。主要原因是</w:t>
      </w:r>
      <w:r>
        <w:rPr>
          <w:rFonts w:hint="eastAsia" w:ascii="仿宋_GB2312" w:eastAsia="仿宋_GB2312"/>
          <w:sz w:val="32"/>
          <w:szCs w:val="32"/>
          <w:lang w:eastAsia="zh-CN"/>
        </w:rPr>
        <w:t>工资上调</w:t>
      </w:r>
      <w:r>
        <w:rPr>
          <w:rFonts w:hint="eastAsia" w:ascii="仿宋_GB2312" w:eastAsia="仿宋_GB2312"/>
          <w:sz w:val="32"/>
          <w:szCs w:val="32"/>
        </w:rPr>
        <w:t>。</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（二）一般公共预算当年拨款结构情况。</w:t>
      </w:r>
    </w:p>
    <w:p>
      <w:pPr>
        <w:spacing w:line="600" w:lineRule="exact"/>
        <w:ind w:firstLine="640"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社会保障和就业支出</w:t>
      </w:r>
      <w:r>
        <w:rPr>
          <w:rFonts w:hint="eastAsia" w:ascii="仿宋_GB2312" w:eastAsia="仿宋_GB2312"/>
          <w:color w:val="000000" w:themeColor="text1"/>
          <w:sz w:val="32"/>
          <w:szCs w:val="32"/>
          <w:lang w:val="en-US" w:eastAsia="zh-CN"/>
          <w14:textFill>
            <w14:solidFill>
              <w14:schemeClr w14:val="tx1"/>
            </w14:solidFill>
          </w14:textFill>
        </w:rPr>
        <w:t>0.21</w:t>
      </w:r>
      <w:r>
        <w:rPr>
          <w:rFonts w:hint="eastAsia" w:ascii="仿宋_GB2312" w:eastAsia="仿宋_GB2312"/>
          <w:color w:val="000000" w:themeColor="text1"/>
          <w:sz w:val="32"/>
          <w:szCs w:val="32"/>
          <w14:textFill>
            <w14:solidFill>
              <w14:schemeClr w14:val="tx1"/>
            </w14:solidFill>
          </w14:textFill>
        </w:rPr>
        <w:t>万元，占</w:t>
      </w:r>
      <w:r>
        <w:rPr>
          <w:rFonts w:hint="eastAsia" w:ascii="仿宋_GB2312" w:eastAsia="仿宋_GB2312"/>
          <w:color w:val="000000" w:themeColor="text1"/>
          <w:sz w:val="32"/>
          <w:szCs w:val="32"/>
          <w:lang w:val="en-US" w:eastAsia="zh-CN"/>
          <w14:textFill>
            <w14:solidFill>
              <w14:schemeClr w14:val="tx1"/>
            </w14:solidFill>
          </w14:textFill>
        </w:rPr>
        <w:t>1.16</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卫生健康支出乡镇卫生院</w:t>
      </w:r>
      <w:r>
        <w:rPr>
          <w:rFonts w:hint="eastAsia" w:ascii="仿宋_GB2312" w:eastAsia="仿宋_GB2312"/>
          <w:color w:val="000000" w:themeColor="text1"/>
          <w:sz w:val="32"/>
          <w:szCs w:val="32"/>
          <w:lang w:val="en-US" w:eastAsia="zh-CN"/>
          <w14:textFill>
            <w14:solidFill>
              <w14:schemeClr w14:val="tx1"/>
            </w14:solidFill>
          </w14:textFill>
        </w:rPr>
        <w:t>14.80万元，占81.76；事业单位医疗1.42万元，占7.85；住房保障支出住房公积金1.67万元，占9.23%。</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（三）一般公共预算当年拨款具体使用情况。</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2089999</w:t>
      </w:r>
      <w:r>
        <w:rPr>
          <w:rFonts w:hint="eastAsia" w:ascii="仿宋_GB2312" w:eastAsia="仿宋_GB2312"/>
          <w:color w:val="000000" w:themeColor="text1"/>
          <w:sz w:val="32"/>
          <w:szCs w:val="32"/>
          <w14:textFill>
            <w14:solidFill>
              <w14:schemeClr w14:val="tx1"/>
            </w14:solidFill>
          </w14:textFill>
        </w:rPr>
        <w:t>社会保障和就业</w:t>
      </w:r>
      <w:r>
        <w:rPr>
          <w:rFonts w:hint="eastAsia" w:ascii="仿宋_GB2312" w:eastAsia="仿宋_GB2312"/>
          <w:color w:val="000000" w:themeColor="text1"/>
          <w:sz w:val="32"/>
          <w:szCs w:val="32"/>
          <w:lang w:eastAsia="zh-CN"/>
          <w14:textFill>
            <w14:solidFill>
              <w14:schemeClr w14:val="tx1"/>
            </w14:solidFill>
          </w14:textFill>
        </w:rPr>
        <w:t>支出</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年预算数为</w:t>
      </w:r>
      <w:r>
        <w:rPr>
          <w:rFonts w:hint="eastAsia" w:ascii="仿宋_GB2312" w:eastAsia="仿宋_GB2312"/>
          <w:color w:val="000000" w:themeColor="text1"/>
          <w:sz w:val="32"/>
          <w:szCs w:val="32"/>
          <w:lang w:val="en-US" w:eastAsia="zh-CN"/>
          <w14:textFill>
            <w14:solidFill>
              <w14:schemeClr w14:val="tx1"/>
            </w14:solidFill>
          </w14:textFill>
        </w:rPr>
        <w:t>0.21</w:t>
      </w:r>
      <w:r>
        <w:rPr>
          <w:rFonts w:hint="eastAsia" w:ascii="仿宋_GB2312" w:eastAsia="仿宋_GB2312"/>
          <w:color w:val="000000" w:themeColor="text1"/>
          <w:sz w:val="32"/>
          <w:szCs w:val="32"/>
          <w14:textFill>
            <w14:solidFill>
              <w14:schemeClr w14:val="tx1"/>
            </w14:solidFill>
          </w14:textFill>
        </w:rPr>
        <w:t>万元，主要用于：</w:t>
      </w:r>
      <w:r>
        <w:rPr>
          <w:rFonts w:hint="eastAsia" w:ascii="仿宋_GB2312" w:eastAsia="仿宋_GB2312"/>
          <w:color w:val="000000"/>
          <w:sz w:val="32"/>
          <w:szCs w:val="32"/>
        </w:rPr>
        <w:t>工伤保险方面的支出。</w:t>
      </w:r>
    </w:p>
    <w:p>
      <w:pPr>
        <w:spacing w:line="600" w:lineRule="exact"/>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sz w:val="32"/>
          <w:szCs w:val="32"/>
          <w:lang w:val="en-US" w:eastAsia="zh-CN"/>
        </w:rPr>
        <w:t>2100302乡镇卫生院：</w:t>
      </w:r>
      <w:r>
        <w:rPr>
          <w:rFonts w:hint="eastAsia" w:ascii="仿宋_GB2312" w:eastAsia="仿宋_GB2312"/>
          <w:color w:val="000000"/>
          <w:sz w:val="32"/>
          <w:szCs w:val="32"/>
        </w:rPr>
        <w:t>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14.80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主要用于：在编人员基本工资和津贴补贴。</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w:t>
      </w:r>
      <w:r>
        <w:rPr>
          <w:rFonts w:ascii="仿宋_GB2312" w:eastAsia="仿宋_GB2312"/>
          <w:color w:val="000000"/>
          <w:sz w:val="32"/>
          <w:szCs w:val="32"/>
        </w:rPr>
        <w:t>2101102</w:t>
      </w:r>
      <w:r>
        <w:rPr>
          <w:rFonts w:hint="eastAsia" w:ascii="仿宋_GB2312" w:eastAsia="仿宋_GB2312"/>
          <w:color w:val="000000"/>
          <w:sz w:val="32"/>
          <w:szCs w:val="32"/>
        </w:rPr>
        <w:t>事业单位医疗</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1.42</w:t>
      </w:r>
      <w:r>
        <w:rPr>
          <w:rFonts w:hint="eastAsia" w:ascii="仿宋_GB2312" w:eastAsia="仿宋_GB2312"/>
          <w:color w:val="000000"/>
          <w:sz w:val="32"/>
          <w:szCs w:val="32"/>
        </w:rPr>
        <w:t>万元，主要用于：财政部门安排的事业单位基本医疗保险缴费经费支出。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ascii="仿宋_GB2312" w:eastAsia="仿宋_GB2312"/>
          <w:sz w:val="32"/>
          <w:szCs w:val="32"/>
        </w:rPr>
        <w:t xml:space="preserve">2210201 </w:t>
      </w:r>
      <w:r>
        <w:rPr>
          <w:rFonts w:hint="eastAsia" w:ascii="仿宋_GB2312" w:eastAsia="仿宋_GB2312"/>
          <w:sz w:val="32"/>
          <w:szCs w:val="32"/>
        </w:rPr>
        <w:t>住房公积金，</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年预算数为</w:t>
      </w:r>
      <w:r>
        <w:rPr>
          <w:rFonts w:hint="eastAsia" w:ascii="仿宋_GB2312" w:eastAsia="仿宋_GB2312"/>
          <w:sz w:val="32"/>
          <w:szCs w:val="32"/>
          <w:lang w:val="en-US" w:eastAsia="zh-CN"/>
        </w:rPr>
        <w:t>1.67</w:t>
      </w:r>
      <w:r>
        <w:rPr>
          <w:rFonts w:hint="eastAsia" w:ascii="仿宋_GB2312" w:eastAsia="仿宋_GB2312"/>
          <w:sz w:val="32"/>
          <w:szCs w:val="32"/>
        </w:rPr>
        <w:t>万元，主要用于：行政事业单位按人力资源和社会保障部、财政部规定的按规定比例为职工缴纳的住房公积金支出。</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六、一般公共预算基本支出情况说明</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峨眉山市乐都镇卫生院2022</w:t>
      </w:r>
      <w:r>
        <w:rPr>
          <w:rFonts w:hint="eastAsia" w:ascii="仿宋_GB2312" w:eastAsia="仿宋_GB2312"/>
          <w:color w:val="000000" w:themeColor="text1"/>
          <w:sz w:val="32"/>
          <w:szCs w:val="32"/>
          <w14:textFill>
            <w14:solidFill>
              <w14:schemeClr w14:val="tx1"/>
            </w14:solidFill>
          </w14:textFill>
        </w:rPr>
        <w:t>年一般公共预算基本支出</w:t>
      </w:r>
      <w:r>
        <w:rPr>
          <w:rFonts w:hint="eastAsia" w:ascii="仿宋_GB2312" w:eastAsia="仿宋_GB2312"/>
          <w:color w:val="000000" w:themeColor="text1"/>
          <w:sz w:val="32"/>
          <w:szCs w:val="32"/>
          <w:lang w:val="en-US" w:eastAsia="zh-CN"/>
          <w14:textFill>
            <w14:solidFill>
              <w14:schemeClr w14:val="tx1"/>
            </w14:solidFill>
          </w14:textFill>
        </w:rPr>
        <w:t>18.10</w:t>
      </w:r>
      <w:r>
        <w:rPr>
          <w:rFonts w:hint="eastAsia" w:ascii="仿宋_GB2312" w:eastAsia="仿宋_GB2312"/>
          <w:color w:val="000000" w:themeColor="text1"/>
          <w:sz w:val="32"/>
          <w:szCs w:val="32"/>
          <w14:textFill>
            <w14:solidFill>
              <w14:schemeClr w14:val="tx1"/>
            </w14:solidFill>
          </w14:textFill>
        </w:rPr>
        <w:t>万元，其中：</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人员经费</w:t>
      </w:r>
      <w:r>
        <w:rPr>
          <w:rFonts w:hint="eastAsia" w:ascii="仿宋_GB2312" w:eastAsia="仿宋_GB2312"/>
          <w:color w:val="000000" w:themeColor="text1"/>
          <w:sz w:val="32"/>
          <w:szCs w:val="32"/>
          <w:lang w:val="en-US" w:eastAsia="zh-CN"/>
          <w14:textFill>
            <w14:solidFill>
              <w14:schemeClr w14:val="tx1"/>
            </w14:solidFill>
          </w14:textFill>
        </w:rPr>
        <w:t>18.1</w:t>
      </w:r>
      <w:r>
        <w:rPr>
          <w:rFonts w:hint="eastAsia" w:ascii="仿宋_GB2312" w:eastAsia="仿宋_GB2312"/>
          <w:color w:val="000000" w:themeColor="text1"/>
          <w:sz w:val="32"/>
          <w:szCs w:val="32"/>
          <w14:textFill>
            <w14:solidFill>
              <w14:schemeClr w14:val="tx1"/>
            </w14:solidFill>
          </w14:textFill>
        </w:rPr>
        <w:t>万元，主要包括：基本工资、津贴补贴、社会保险缴费、</w:t>
      </w:r>
      <w:r>
        <w:rPr>
          <w:rFonts w:hint="eastAsia" w:ascii="仿宋_GB2312" w:eastAsia="仿宋_GB2312"/>
          <w:sz w:val="32"/>
          <w:szCs w:val="32"/>
          <w:lang w:eastAsia="zh-CN"/>
        </w:rPr>
        <w:t>医疗保险、住房公积金</w:t>
      </w:r>
    </w:p>
    <w:p>
      <w:pPr>
        <w:spacing w:line="600" w:lineRule="exact"/>
        <w:ind w:firstLine="640" w:firstLineChars="200"/>
        <w:outlineLvl w:val="1"/>
        <w:rPr>
          <w:rFonts w:ascii="仿宋_GB2312" w:eastAsia="仿宋_GB2312"/>
          <w:b/>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公用经费</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万元，主要包括：办公费、印刷费、手续费、水费、电费、</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b/>
          <w:color w:val="000000" w:themeColor="text1"/>
          <w:sz w:val="32"/>
          <w:szCs w:val="32"/>
          <w14:textFill>
            <w14:solidFill>
              <w14:schemeClr w14:val="tx1"/>
            </w14:solidFill>
          </w14:textFill>
        </w:rPr>
        <w:t>（据实列全）</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七、政府性基金预算支出规模及变化情况说明</w:t>
      </w:r>
    </w:p>
    <w:p>
      <w:pPr>
        <w:spacing w:line="600" w:lineRule="exact"/>
        <w:ind w:firstLine="640" w:firstLineChars="200"/>
        <w:outlineLvl w:val="1"/>
        <w:rPr>
          <w:rFonts w:hint="eastAsia" w:ascii="仿宋_GB2312" w:eastAsia="仿宋_GB2312"/>
          <w:b/>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峨眉山市乐都镇卫生院2022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eastAsia="zh-CN"/>
          <w14:textFill>
            <w14:solidFill>
              <w14:schemeClr w14:val="tx1"/>
            </w14:solidFill>
          </w14:textFill>
        </w:rPr>
        <w:t>无</w:t>
      </w:r>
      <w:r>
        <w:rPr>
          <w:rFonts w:hint="eastAsia" w:ascii="仿宋_GB2312" w:eastAsia="仿宋_GB2312"/>
          <w:color w:val="000000" w:themeColor="text1"/>
          <w:sz w:val="32"/>
          <w:szCs w:val="32"/>
          <w14:textFill>
            <w14:solidFill>
              <w14:schemeClr w14:val="tx1"/>
            </w14:solidFill>
          </w14:textFill>
        </w:rPr>
        <w:t>政府性基金预算拨款</w:t>
      </w:r>
      <w:r>
        <w:rPr>
          <w:rFonts w:hint="eastAsia" w:ascii="仿宋_GB2312" w:eastAsia="仿宋_GB2312"/>
          <w:color w:val="000000" w:themeColor="text1"/>
          <w:sz w:val="32"/>
          <w:szCs w:val="32"/>
          <w:lang w:eastAsia="zh-CN"/>
          <w14:textFill>
            <w14:solidFill>
              <w14:schemeClr w14:val="tx1"/>
            </w14:solidFill>
          </w14:textFill>
        </w:rPr>
        <w:t>。</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八、“三公”经费预算安排情况说明</w:t>
      </w:r>
    </w:p>
    <w:p>
      <w:pPr>
        <w:spacing w:line="600" w:lineRule="exact"/>
        <w:ind w:firstLine="640" w:firstLineChars="200"/>
        <w:outlineLvl w:val="1"/>
        <w:rPr>
          <w:rFonts w:ascii="楷体_GB2312" w:eastAsia="楷体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峨眉山市乐都镇卫生院2022</w:t>
      </w:r>
      <w:r>
        <w:rPr>
          <w:rFonts w:hint="eastAsia" w:ascii="仿宋_GB2312" w:eastAsia="仿宋_GB2312"/>
          <w:color w:val="000000" w:themeColor="text1"/>
          <w:sz w:val="32"/>
          <w:szCs w:val="32"/>
          <w14:textFill>
            <w14:solidFill>
              <w14:schemeClr w14:val="tx1"/>
            </w14:solidFill>
          </w14:textFill>
        </w:rPr>
        <w:t>年“三公”经费预算数</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万元，较上年“三公”经费预算数减少（增加）</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万元。其中财政拨款安排“三公”经费</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万元。因公出国（境）经费</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万元，公务接待费</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万元，公务用车购置及运行维护费</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w:t>
      </w:r>
    </w:p>
    <w:p>
      <w:pPr>
        <w:spacing w:line="600" w:lineRule="exact"/>
        <w:ind w:firstLine="640" w:firstLineChars="200"/>
        <w:outlineLvl w:val="1"/>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（一）因公出国（境）经费较上年预算减少（增加）</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万元，下降（增长）</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%。减少（增加）</w:t>
      </w:r>
      <w:r>
        <w:rPr>
          <w:rFonts w:hint="eastAsia" w:ascii="仿宋_GB2312" w:eastAsia="仿宋_GB2312"/>
          <w:color w:val="000000" w:themeColor="text1"/>
          <w:sz w:val="32"/>
          <w:szCs w:val="32"/>
          <w:lang w:eastAsia="zh-CN"/>
          <w14:textFill>
            <w14:solidFill>
              <w14:schemeClr w14:val="tx1"/>
            </w14:solidFill>
          </w14:textFill>
        </w:rPr>
        <w:t>原因：</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年因公临时出国（境）安排</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人次。主要包括</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w:t>
      </w:r>
    </w:p>
    <w:p>
      <w:pPr>
        <w:spacing w:line="600" w:lineRule="exact"/>
        <w:ind w:firstLine="643" w:firstLineChars="200"/>
        <w:outlineLvl w:val="1"/>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（若无因公出国（境）：无因公出国（境）预算。</w:t>
      </w:r>
      <w:r>
        <w:rPr>
          <w:rFonts w:hint="eastAsia" w:ascii="仿宋_GB2312" w:eastAsia="仿宋_GB2312"/>
          <w:b/>
          <w:color w:val="000000" w:themeColor="text1"/>
          <w:sz w:val="32"/>
          <w:szCs w:val="32"/>
          <w:lang w:val="en-US" w:eastAsia="zh-CN"/>
          <w14:textFill>
            <w14:solidFill>
              <w14:schemeClr w14:val="tx1"/>
            </w14:solidFill>
          </w14:textFill>
        </w:rPr>
        <w:t>2022</w:t>
      </w:r>
      <w:r>
        <w:rPr>
          <w:rFonts w:hint="eastAsia" w:ascii="仿宋_GB2312" w:eastAsia="仿宋_GB2312"/>
          <w:b/>
          <w:color w:val="000000" w:themeColor="text1"/>
          <w:sz w:val="32"/>
          <w:szCs w:val="32"/>
          <w14:textFill>
            <w14:solidFill>
              <w14:schemeClr w14:val="tx1"/>
            </w14:solidFill>
          </w14:textFill>
        </w:rPr>
        <w:t>年因公临时出国（境）未安排人次。）</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（二）公务接待费较上年预算减少（增加）</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万元，下降（增长）</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%。减少（增加）</w:t>
      </w:r>
      <w:r>
        <w:rPr>
          <w:rFonts w:hint="eastAsia" w:ascii="仿宋_GB2312" w:eastAsia="仿宋_GB2312"/>
          <w:color w:val="000000" w:themeColor="text1"/>
          <w:sz w:val="32"/>
          <w:szCs w:val="32"/>
          <w:lang w:eastAsia="zh-CN"/>
          <w14:textFill>
            <w14:solidFill>
              <w14:schemeClr w14:val="tx1"/>
            </w14:solidFill>
          </w14:textFill>
        </w:rPr>
        <w:t>原因：</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年公务接待费计划用于</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w:t>
      </w:r>
    </w:p>
    <w:p>
      <w:pPr>
        <w:numPr>
          <w:ilvl w:val="0"/>
          <w:numId w:val="1"/>
        </w:numPr>
        <w:spacing w:line="600" w:lineRule="exact"/>
        <w:ind w:firstLine="640" w:firstLineChars="200"/>
        <w:outlineLvl w:val="1"/>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公务用车购置及运行维护费较上年预算减少（增加）</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万元，下降（增加）</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%。减少（增加）</w:t>
      </w:r>
      <w:r>
        <w:rPr>
          <w:rFonts w:hint="eastAsia" w:ascii="仿宋_GB2312" w:eastAsia="仿宋_GB2312"/>
          <w:color w:val="000000" w:themeColor="text1"/>
          <w:sz w:val="32"/>
          <w:szCs w:val="32"/>
          <w:lang w:eastAsia="zh-CN"/>
          <w14:textFill>
            <w14:solidFill>
              <w14:schemeClr w14:val="tx1"/>
            </w14:solidFill>
          </w14:textFill>
        </w:rPr>
        <w:t>原因：</w:t>
      </w:r>
    </w:p>
    <w:p>
      <w:pPr>
        <w:numPr>
          <w:ilvl w:val="0"/>
          <w:numId w:val="0"/>
        </w:num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单位现有公务用车</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辆，其中：</w:t>
      </w:r>
      <w:r>
        <w:rPr>
          <w:rFonts w:hint="eastAsia" w:ascii="仿宋_GB2312" w:eastAsia="仿宋_GB2312"/>
          <w:color w:val="000000" w:themeColor="text1"/>
          <w:sz w:val="32"/>
          <w:szCs w:val="32"/>
          <w:lang w:eastAsia="zh-CN"/>
          <w14:textFill>
            <w14:solidFill>
              <w14:schemeClr w14:val="tx1"/>
            </w14:solidFill>
          </w14:textFill>
        </w:rPr>
        <w:t>其他车型</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辆。</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年安排公务用车购置费</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年安排公务用车运行维护费</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九、其他重要事项的情况说明</w:t>
      </w:r>
    </w:p>
    <w:p>
      <w:pPr>
        <w:spacing w:line="600" w:lineRule="exact"/>
        <w:ind w:firstLine="640" w:firstLineChars="200"/>
        <w:outlineLvl w:val="1"/>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（一）机关运行经费</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sz w:val="32"/>
          <w:szCs w:val="32"/>
        </w:rPr>
        <w:t>峨眉山市</w:t>
      </w:r>
      <w:r>
        <w:rPr>
          <w:rFonts w:hint="eastAsia" w:ascii="仿宋_GB2312" w:eastAsia="仿宋_GB2312"/>
          <w:sz w:val="32"/>
          <w:szCs w:val="32"/>
          <w:lang w:eastAsia="zh-CN"/>
        </w:rPr>
        <w:t>乐都镇卫生院</w:t>
      </w:r>
      <w:r>
        <w:rPr>
          <w:rFonts w:hint="eastAsia" w:ascii="仿宋_GB2312" w:eastAsia="仿宋_GB2312"/>
          <w:sz w:val="32"/>
          <w:szCs w:val="32"/>
        </w:rPr>
        <w:t>无机关运行经费预算</w:t>
      </w:r>
      <w:r>
        <w:rPr>
          <w:rFonts w:hint="eastAsia" w:ascii="仿宋_GB2312" w:eastAsia="仿宋_GB2312"/>
          <w:color w:val="000000" w:themeColor="text1"/>
          <w:sz w:val="32"/>
          <w:szCs w:val="32"/>
          <w14:textFill>
            <w14:solidFill>
              <w14:schemeClr w14:val="tx1"/>
            </w14:solidFill>
          </w14:textFill>
        </w:rPr>
        <w:t>。</w:t>
      </w:r>
    </w:p>
    <w:p>
      <w:pPr>
        <w:spacing w:line="600" w:lineRule="exact"/>
        <w:ind w:firstLine="640" w:firstLineChars="200"/>
        <w:outlineLvl w:val="1"/>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（二）政府采购情况</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sz w:val="32"/>
          <w:szCs w:val="32"/>
        </w:rPr>
        <w:t>峨眉山市</w:t>
      </w:r>
      <w:r>
        <w:rPr>
          <w:rFonts w:hint="eastAsia" w:ascii="仿宋_GB2312" w:eastAsia="仿宋_GB2312"/>
          <w:sz w:val="32"/>
          <w:szCs w:val="32"/>
          <w:lang w:eastAsia="zh-CN"/>
        </w:rPr>
        <w:t>乐都镇卫生院</w:t>
      </w:r>
      <w:r>
        <w:rPr>
          <w:rFonts w:hint="eastAsia" w:ascii="仿宋_GB2312" w:eastAsia="仿宋_GB2312"/>
          <w:color w:val="000000" w:themeColor="text1"/>
          <w:sz w:val="32"/>
          <w:szCs w:val="32"/>
          <w14:textFill>
            <w14:solidFill>
              <w14:schemeClr w14:val="tx1"/>
            </w14:solidFill>
          </w14:textFill>
        </w:rPr>
        <w:t>安排政府采购预算</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w:t>
      </w:r>
    </w:p>
    <w:p>
      <w:pPr>
        <w:spacing w:line="600" w:lineRule="exact"/>
        <w:ind w:firstLine="640" w:firstLineChars="200"/>
        <w:outlineLvl w:val="1"/>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（三）国有资产占有使用情况</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截至去年底，</w:t>
      </w:r>
      <w:r>
        <w:rPr>
          <w:rFonts w:hint="eastAsia" w:ascii="仿宋_GB2312" w:eastAsia="仿宋_GB2312"/>
          <w:sz w:val="32"/>
          <w:szCs w:val="32"/>
        </w:rPr>
        <w:t>峨眉山市</w:t>
      </w:r>
      <w:r>
        <w:rPr>
          <w:rFonts w:hint="eastAsia" w:ascii="仿宋_GB2312" w:eastAsia="仿宋_GB2312"/>
          <w:sz w:val="32"/>
          <w:szCs w:val="32"/>
          <w:lang w:eastAsia="zh-CN"/>
        </w:rPr>
        <w:t>乐都镇卫生院</w:t>
      </w:r>
      <w:r>
        <w:rPr>
          <w:rFonts w:hint="eastAsia" w:ascii="仿宋_GB2312" w:eastAsia="仿宋_GB2312"/>
          <w:color w:val="000000" w:themeColor="text1"/>
          <w:sz w:val="32"/>
          <w:szCs w:val="32"/>
          <w14:textFill>
            <w14:solidFill>
              <w14:schemeClr w14:val="tx1"/>
            </w14:solidFill>
          </w14:textFill>
        </w:rPr>
        <w:t>实际共有车辆</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辆。单位价值200万元以上大型设备0台（套）。</w:t>
      </w:r>
      <w:r>
        <w:rPr>
          <w:rFonts w:hint="eastAsia" w:ascii="仿宋_GB2312" w:eastAsia="仿宋_GB2312"/>
          <w:color w:val="000000" w:themeColor="text1"/>
          <w:sz w:val="32"/>
          <w:szCs w:val="32"/>
          <w14:textFill>
            <w14:solidFill>
              <w14:schemeClr w14:val="tx1"/>
            </w14:solidFill>
          </w14:textFill>
        </w:rPr>
        <w:br w:type="textWrapping"/>
      </w:r>
      <w:r>
        <w:rPr>
          <w:rFonts w:hint="eastAsia" w:ascii="仿宋_GB2312" w:eastAsia="仿宋_GB2312"/>
          <w:color w:val="000000" w:themeColor="text1"/>
          <w:sz w:val="32"/>
          <w:szCs w:val="32"/>
          <w14:textFill>
            <w14:solidFill>
              <w14:schemeClr w14:val="tx1"/>
            </w14:solidFill>
          </w14:textFill>
        </w:rPr>
        <w:t>　　</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年，预算安排购置车辆</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辆及单位价值200万元以上大型设备</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台（套）。</w:t>
      </w:r>
      <w:bookmarkStart w:id="0" w:name="_GoBack"/>
      <w:bookmarkEnd w:id="0"/>
    </w:p>
    <w:p>
      <w:pPr>
        <w:spacing w:line="600" w:lineRule="exact"/>
        <w:ind w:firstLine="640" w:firstLineChars="200"/>
        <w:outlineLvl w:val="1"/>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（四）绩效目标设置情况</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sz w:val="32"/>
          <w:szCs w:val="32"/>
        </w:rPr>
        <w:t>峨眉山市</w:t>
      </w:r>
      <w:r>
        <w:rPr>
          <w:rFonts w:hint="eastAsia" w:ascii="仿宋_GB2312" w:eastAsia="仿宋_GB2312"/>
          <w:sz w:val="32"/>
          <w:szCs w:val="32"/>
          <w:lang w:eastAsia="zh-CN"/>
        </w:rPr>
        <w:t>乐都镇卫生院</w:t>
      </w:r>
      <w:r>
        <w:rPr>
          <w:rFonts w:hint="eastAsia" w:ascii="仿宋_GB2312" w:eastAsia="仿宋_GB2312"/>
          <w:color w:val="000000" w:themeColor="text1"/>
          <w:sz w:val="32"/>
          <w:szCs w:val="32"/>
          <w14:textFill>
            <w14:solidFill>
              <w14:schemeClr w14:val="tx1"/>
            </w14:solidFill>
          </w14:textFill>
        </w:rPr>
        <w:t>按要求实行绩效目标管理，</w:t>
      </w:r>
      <w:r>
        <w:rPr>
          <w:rFonts w:hint="eastAsia" w:ascii="仿宋_GB2312" w:eastAsia="仿宋_GB2312"/>
          <w:color w:val="000000" w:themeColor="text1"/>
          <w:sz w:val="32"/>
          <w:szCs w:val="32"/>
          <w:lang w:eastAsia="zh-CN"/>
          <w14:textFill>
            <w14:solidFill>
              <w14:schemeClr w14:val="tx1"/>
            </w14:solidFill>
          </w14:textFill>
        </w:rPr>
        <w:t>部门（</w:t>
      </w:r>
      <w:r>
        <w:rPr>
          <w:rFonts w:hint="eastAsia" w:ascii="仿宋_GB2312" w:eastAsia="仿宋_GB2312"/>
          <w:color w:val="000000" w:themeColor="text1"/>
          <w:sz w:val="32"/>
          <w:szCs w:val="32"/>
          <w:lang w:val="en-US" w:eastAsia="zh-CN"/>
          <w14:textFill>
            <w14:solidFill>
              <w14:schemeClr w14:val="tx1"/>
            </w14:solidFill>
          </w14:textFill>
        </w:rPr>
        <w:t>单位）</w:t>
      </w:r>
      <w:r>
        <w:rPr>
          <w:rFonts w:hint="eastAsia" w:ascii="仿宋_GB2312" w:eastAsia="仿宋_GB2312"/>
          <w:color w:val="000000" w:themeColor="text1"/>
          <w:sz w:val="32"/>
          <w:szCs w:val="32"/>
          <w14:textFill>
            <w14:solidFill>
              <w14:schemeClr w14:val="tx1"/>
            </w14:solidFill>
          </w14:textFill>
        </w:rPr>
        <w:t>整体绩效目标涉及预算安排</w:t>
      </w:r>
      <w:r>
        <w:rPr>
          <w:rFonts w:hint="eastAsia" w:ascii="仿宋_GB2312" w:eastAsia="仿宋_GB2312"/>
          <w:color w:val="000000" w:themeColor="text1"/>
          <w:sz w:val="32"/>
          <w:szCs w:val="32"/>
          <w:lang w:val="en-US" w:eastAsia="zh-CN"/>
          <w14:textFill>
            <w14:solidFill>
              <w14:schemeClr w14:val="tx1"/>
            </w14:solidFill>
          </w14:textFill>
        </w:rPr>
        <w:t>18.10</w:t>
      </w:r>
      <w:r>
        <w:rPr>
          <w:rFonts w:hint="eastAsia" w:ascii="仿宋_GB2312" w:eastAsia="仿宋_GB2312"/>
          <w:color w:val="000000" w:themeColor="text1"/>
          <w:sz w:val="32"/>
          <w:szCs w:val="32"/>
          <w14:textFill>
            <w14:solidFill>
              <w14:schemeClr w14:val="tx1"/>
            </w14:solidFill>
          </w14:textFill>
        </w:rPr>
        <w:t>万元，其中基本支出</w:t>
      </w:r>
      <w:r>
        <w:rPr>
          <w:rFonts w:hint="eastAsia" w:ascii="仿宋_GB2312" w:eastAsia="仿宋_GB2312"/>
          <w:color w:val="000000" w:themeColor="text1"/>
          <w:sz w:val="32"/>
          <w:szCs w:val="32"/>
          <w:lang w:val="en-US" w:eastAsia="zh-CN"/>
          <w14:textFill>
            <w14:solidFill>
              <w14:schemeClr w14:val="tx1"/>
            </w14:solidFill>
          </w14:textFill>
        </w:rPr>
        <w:t>18.10</w:t>
      </w:r>
      <w:r>
        <w:rPr>
          <w:rFonts w:hint="eastAsia" w:ascii="仿宋_GB2312" w:eastAsia="仿宋_GB2312"/>
          <w:color w:val="000000" w:themeColor="text1"/>
          <w:sz w:val="32"/>
          <w:szCs w:val="32"/>
          <w14:textFill>
            <w14:solidFill>
              <w14:schemeClr w14:val="tx1"/>
            </w14:solidFill>
          </w14:textFill>
        </w:rPr>
        <w:t>万元，项目支出</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万元。其中编制了项目绩效目标的预算</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万元，主要为</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等项目。</w:t>
      </w:r>
    </w:p>
    <w:p>
      <w:pPr>
        <w:spacing w:line="600" w:lineRule="exact"/>
        <w:ind w:firstLine="643" w:firstLineChars="200"/>
        <w:outlineLvl w:val="1"/>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（项目绩效目标预算数与项目支出预算数一致。）</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十、名词解释</w:t>
      </w:r>
    </w:p>
    <w:p>
      <w:pPr>
        <w:pStyle w:val="6"/>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（一）</w:t>
      </w:r>
      <w:r>
        <w:rPr>
          <w:rFonts w:hint="eastAsia" w:ascii="仿宋_GB2312" w:eastAsia="仿宋_GB2312"/>
          <w:color w:val="000000" w:themeColor="text1"/>
          <w:sz w:val="32"/>
          <w:szCs w:val="32"/>
          <w14:textFill>
            <w14:solidFill>
              <w14:schemeClr w14:val="tx1"/>
            </w14:solidFill>
          </w14:textFill>
        </w:rPr>
        <w:t xml:space="preserve">财政拨款收支情况：指一般公共预算、政府性基金预算、国有资产经营预算拨款收支情况。 </w:t>
      </w:r>
    </w:p>
    <w:p>
      <w:pPr>
        <w:pStyle w:val="6"/>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（二）</w:t>
      </w:r>
      <w:r>
        <w:rPr>
          <w:rFonts w:hint="eastAsia" w:ascii="仿宋_GB2312" w:eastAsia="仿宋_GB2312"/>
          <w:color w:val="000000" w:themeColor="text1"/>
          <w:sz w:val="32"/>
          <w:szCs w:val="32"/>
          <w14:textFill>
            <w14:solidFill>
              <w14:schemeClr w14:val="tx1"/>
            </w14:solidFill>
          </w14:textFill>
        </w:rPr>
        <w:t>一般公共预算拨款收入：指本级财政当年拨付的资金。</w:t>
      </w:r>
    </w:p>
    <w:p>
      <w:pPr>
        <w:pStyle w:val="6"/>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（三）</w:t>
      </w:r>
      <w:r>
        <w:rPr>
          <w:rFonts w:hint="eastAsia" w:ascii="仿宋_GB2312" w:eastAsia="仿宋_GB2312"/>
          <w:color w:val="000000" w:themeColor="text1"/>
          <w:sz w:val="32"/>
          <w:szCs w:val="32"/>
          <w14:textFill>
            <w14:solidFill>
              <w14:schemeClr w14:val="tx1"/>
            </w14:solidFill>
          </w14:textFill>
        </w:rPr>
        <w:t>其他收入：指除上述“财政拨款收入”、“事业收入”、“经营收入”等以外的收入。主要是</w:t>
      </w:r>
      <w:r>
        <w:rPr>
          <w:rFonts w:hint="eastAsia" w:ascii="仿宋_GB2312" w:hAnsi="仿宋_GB2312" w:eastAsia="仿宋_GB2312" w:cs="仿宋_GB2312"/>
          <w:sz w:val="32"/>
          <w:szCs w:val="32"/>
        </w:rPr>
        <w:t>指利息收入、培训收入、食堂收入、捐赠收入等</w:t>
      </w:r>
      <w:r>
        <w:rPr>
          <w:rFonts w:hint="eastAsia" w:ascii="仿宋_GB2312" w:eastAsia="仿宋_GB2312"/>
          <w:color w:val="000000" w:themeColor="text1"/>
          <w:sz w:val="32"/>
          <w:szCs w:val="32"/>
          <w14:textFill>
            <w14:solidFill>
              <w14:schemeClr w14:val="tx1"/>
            </w14:solidFill>
          </w14:textFill>
        </w:rPr>
        <w:t xml:space="preserve">。 </w:t>
      </w:r>
    </w:p>
    <w:p>
      <w:pPr>
        <w:ind w:firstLine="640" w:firstLineChars="200"/>
        <w:rPr>
          <w:rFonts w:hint="eastAsia" w:ascii="仿宋_GB2312" w:eastAsia="仿宋_GB2312"/>
          <w:sz w:val="32"/>
          <w:szCs w:val="32"/>
        </w:rPr>
      </w:pPr>
      <w:r>
        <w:rPr>
          <w:rFonts w:hint="eastAsia" w:ascii="仿宋_GB2312" w:eastAsia="仿宋_GB2312"/>
          <w:color w:val="000000" w:themeColor="text1"/>
          <w:sz w:val="32"/>
          <w:szCs w:val="32"/>
          <w:lang w:eastAsia="zh-CN"/>
          <w14:textFill>
            <w14:solidFill>
              <w14:schemeClr w14:val="tx1"/>
            </w14:solidFill>
          </w14:textFill>
        </w:rPr>
        <w:t>（四）</w:t>
      </w:r>
      <w:r>
        <w:rPr>
          <w:rFonts w:hint="eastAsia" w:ascii="仿宋_GB2312" w:eastAsia="仿宋_GB2312"/>
          <w:sz w:val="32"/>
          <w:szCs w:val="32"/>
        </w:rPr>
        <w:t>社会保障和就业支出（类）其他社会保障和就业支出（款）其他社会保障和就业支出（项）</w:t>
      </w:r>
      <w:r>
        <w:rPr>
          <w:rFonts w:ascii="仿宋_GB2312" w:eastAsia="仿宋_GB2312"/>
          <w:sz w:val="32"/>
          <w:szCs w:val="32"/>
        </w:rPr>
        <w:t>:</w:t>
      </w:r>
      <w:r>
        <w:rPr>
          <w:rFonts w:hint="eastAsia" w:ascii="仿宋_GB2312" w:eastAsia="仿宋_GB2312"/>
          <w:sz w:val="32"/>
          <w:szCs w:val="32"/>
        </w:rPr>
        <w:t>指反映除上述项目以外其他用于社会保障和就业方面的支出。</w:t>
      </w:r>
    </w:p>
    <w:p>
      <w:pPr>
        <w:ind w:firstLine="640" w:firstLineChars="200"/>
        <w:rPr>
          <w:rFonts w:hint="eastAsia" w:ascii="仿宋_GB2312" w:eastAsia="仿宋_GB2312"/>
          <w:sz w:val="32"/>
          <w:szCs w:val="32"/>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乡镇卫生院：反映用于乡镇卫生院的支出。</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（六）</w:t>
      </w:r>
      <w:r>
        <w:rPr>
          <w:rFonts w:hint="eastAsia" w:ascii="仿宋_GB2312" w:eastAsia="仿宋_GB2312"/>
          <w:sz w:val="32"/>
          <w:szCs w:val="32"/>
        </w:rPr>
        <w:t>卫生健康支出（类）行政事业单位医疗（款）事业单位医疗（项）</w:t>
      </w:r>
      <w:r>
        <w:rPr>
          <w:rFonts w:ascii="仿宋_GB2312" w:eastAsia="仿宋_GB2312"/>
          <w:sz w:val="32"/>
          <w:szCs w:val="32"/>
        </w:rPr>
        <w:t>:</w:t>
      </w:r>
      <w:r>
        <w:rPr>
          <w:rFonts w:hint="eastAsia" w:ascii="仿宋_GB2312" w:eastAsia="仿宋_GB2312"/>
          <w:sz w:val="32"/>
          <w:szCs w:val="32"/>
        </w:rPr>
        <w:t>指反映财政部门安排的事业单位基本医疗保险缴费经费，未参加医疗保险的事业单位的公费医疗经费，按国家规定享受离休人员待遇人员的医疗经费。</w:t>
      </w:r>
    </w:p>
    <w:p>
      <w:pPr>
        <w:pStyle w:val="6"/>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（七）</w:t>
      </w:r>
      <w:r>
        <w:rPr>
          <w:rFonts w:hint="eastAsia" w:ascii="仿宋_GB2312" w:eastAsia="仿宋_GB2312"/>
          <w:sz w:val="32"/>
          <w:szCs w:val="32"/>
        </w:rPr>
        <w:t>住房保障支出（类）住房改革支出（款）住房公积金（项）</w:t>
      </w:r>
      <w:r>
        <w:rPr>
          <w:rFonts w:ascii="仿宋_GB2312" w:eastAsia="仿宋_GB2312"/>
          <w:sz w:val="32"/>
          <w:szCs w:val="32"/>
        </w:rPr>
        <w:t xml:space="preserve">: </w:t>
      </w:r>
      <w:r>
        <w:rPr>
          <w:rFonts w:hint="eastAsia" w:ascii="仿宋_GB2312" w:eastAsia="仿宋_GB2312"/>
          <w:sz w:val="32"/>
          <w:szCs w:val="32"/>
        </w:rPr>
        <w:t>指反映行政事业单位按人力资源和社会保障部、财政部规定的基本工资和津贴补贴以及规定比例为职工缴纳的住房公积金。</w:t>
      </w:r>
    </w:p>
    <w:p>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（八）</w:t>
      </w:r>
      <w:r>
        <w:rPr>
          <w:rFonts w:hint="eastAsia" w:ascii="仿宋_GB2312" w:eastAsia="仿宋_GB2312"/>
          <w:color w:val="000000" w:themeColor="text1"/>
          <w:sz w:val="32"/>
          <w:szCs w:val="32"/>
          <w14:textFill>
            <w14:solidFill>
              <w14:schemeClr w14:val="tx1"/>
            </w14:solidFill>
          </w14:textFill>
        </w:rPr>
        <w:t>基本支出：指为保障机构正常运转、完成日常工作任务而发生的人员支出和公用支出。</w:t>
      </w:r>
    </w:p>
    <w:p>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（九）</w:t>
      </w:r>
      <w:r>
        <w:rPr>
          <w:rFonts w:hint="eastAsia" w:ascii="仿宋_GB2312" w:eastAsia="仿宋_GB2312"/>
          <w:color w:val="000000" w:themeColor="text1"/>
          <w:sz w:val="32"/>
          <w:szCs w:val="32"/>
          <w14:textFill>
            <w14:solidFill>
              <w14:schemeClr w14:val="tx1"/>
            </w14:solidFill>
          </w14:textFill>
        </w:rPr>
        <w:t xml:space="preserve">项目支出：指在基本支出之外为完成特定行政任务和事业发展目标所发生的支出。 </w:t>
      </w:r>
    </w:p>
    <w:p>
      <w:pPr>
        <w:pStyle w:val="6"/>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（十）</w:t>
      </w:r>
      <w:r>
        <w:rPr>
          <w:rFonts w:hint="eastAsia" w:ascii="仿宋_GB2312" w:eastAsia="仿宋_GB2312"/>
          <w:color w:val="000000" w:themeColor="text1"/>
          <w:sz w:val="32"/>
          <w:szCs w:val="32"/>
          <w14:textFill>
            <w14:solidFill>
              <w14:schemeClr w14:val="tx1"/>
            </w14:solidFill>
          </w14:textFill>
        </w:rPr>
        <w:t>三公”经费：纳入预算管理的“三公”经费，是指部门</w:t>
      </w:r>
      <w:r>
        <w:rPr>
          <w:rFonts w:hint="eastAsia" w:ascii="仿宋_GB2312" w:eastAsia="仿宋_GB2312"/>
          <w:color w:val="000000" w:themeColor="text1"/>
          <w:sz w:val="32"/>
          <w:szCs w:val="32"/>
          <w:lang w:eastAsia="zh-CN"/>
          <w14:textFill>
            <w14:solidFill>
              <w14:schemeClr w14:val="tx1"/>
            </w14:solidFill>
          </w14:textFill>
        </w:rPr>
        <w:t>（单位）</w:t>
      </w:r>
      <w:r>
        <w:rPr>
          <w:rFonts w:hint="eastAsia" w:ascii="仿宋_GB2312" w:eastAsia="仿宋_GB2312"/>
          <w:color w:val="000000" w:themeColor="text1"/>
          <w:sz w:val="32"/>
          <w:szCs w:val="32"/>
          <w14:textFill>
            <w14:solidFill>
              <w14:schemeClr w14:val="tx1"/>
            </w14:solidFill>
          </w14:textFill>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rPr>
          <w:color w:val="000000" w:themeColor="text1"/>
          <w14:textFill>
            <w14:solidFill>
              <w14:schemeClr w14:val="tx1"/>
            </w14:solidFill>
          </w14:textFill>
        </w:rPr>
      </w:pPr>
    </w:p>
    <w:sectPr>
      <w:footerReference r:id="rId3" w:type="default"/>
      <w:footerReference r:id="rId4" w:type="even"/>
      <w:pgSz w:w="11906" w:h="16838"/>
      <w:pgMar w:top="2041" w:right="1468" w:bottom="1587" w:left="1468" w:header="851"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104BCE"/>
    <w:multiLevelType w:val="singleLevel"/>
    <w:tmpl w:val="34104BC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val="1"/>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66D6077"/>
    <w:rsid w:val="15D35DF5"/>
    <w:rsid w:val="167605B3"/>
    <w:rsid w:val="198B2FE9"/>
    <w:rsid w:val="19E25DC4"/>
    <w:rsid w:val="1A4E1B9F"/>
    <w:rsid w:val="270B2E60"/>
    <w:rsid w:val="276557C3"/>
    <w:rsid w:val="29793D6A"/>
    <w:rsid w:val="2ED21556"/>
    <w:rsid w:val="36DD628E"/>
    <w:rsid w:val="3C21458C"/>
    <w:rsid w:val="3EE741B8"/>
    <w:rsid w:val="472A5D26"/>
    <w:rsid w:val="493C20A5"/>
    <w:rsid w:val="4A977D4B"/>
    <w:rsid w:val="50041FB8"/>
    <w:rsid w:val="529816FF"/>
    <w:rsid w:val="559C5C21"/>
    <w:rsid w:val="5AAB5BBB"/>
    <w:rsid w:val="5B9A0B02"/>
    <w:rsid w:val="5C7954C3"/>
    <w:rsid w:val="5CAD4FB8"/>
    <w:rsid w:val="5E194533"/>
    <w:rsid w:val="62FD54B8"/>
    <w:rsid w:val="634D3512"/>
    <w:rsid w:val="67D2734F"/>
    <w:rsid w:val="71EB38AE"/>
    <w:rsid w:val="745F682E"/>
    <w:rsid w:val="7697339E"/>
    <w:rsid w:val="794D33BD"/>
    <w:rsid w:val="7D3309A6"/>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127</TotalTime>
  <ScaleCrop>false</ScaleCrop>
  <LinksUpToDate>false</LinksUpToDate>
  <CharactersWithSpaces>2882</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Administrator</cp:lastModifiedBy>
  <dcterms:modified xsi:type="dcterms:W3CDTF">2022-02-23T09:54:15Z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