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CA" w:rsidRDefault="0082361D">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峨眉山市疾病预防控制中心</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E26DCA" w:rsidRDefault="00E26DCA">
      <w:pPr>
        <w:spacing w:line="600" w:lineRule="exact"/>
        <w:ind w:firstLineChars="200" w:firstLine="640"/>
        <w:rPr>
          <w:rFonts w:ascii="仿宋_GB2312" w:eastAsia="仿宋_GB2312"/>
          <w:sz w:val="32"/>
          <w:szCs w:val="32"/>
        </w:rPr>
      </w:pP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26DCA" w:rsidRDefault="0082361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单位主要职能：传染病疫情管理；地方病、寄生虫病的防治；慢性非传染性疾病的防治；基本公共卫生；免疫规划；艾滋病性病</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结核病</w:t>
      </w:r>
      <w:r>
        <w:rPr>
          <w:rFonts w:ascii="仿宋_GB2312" w:eastAsia="仿宋_GB2312" w:hint="eastAsia"/>
          <w:color w:val="000000" w:themeColor="text1"/>
          <w:sz w:val="32"/>
          <w:szCs w:val="32"/>
        </w:rPr>
        <w:t>防治以及卫生监测检验等</w:t>
      </w:r>
      <w:r>
        <w:rPr>
          <w:rFonts w:ascii="仿宋_GB2312" w:eastAsia="仿宋_GB2312" w:hint="eastAsia"/>
          <w:color w:val="000000" w:themeColor="text1"/>
          <w:sz w:val="32"/>
          <w:szCs w:val="32"/>
        </w:rPr>
        <w:t>。</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w:t>
      </w:r>
    </w:p>
    <w:p w:rsidR="00E26DCA" w:rsidRDefault="0082361D">
      <w:pPr>
        <w:numPr>
          <w:ilvl w:val="0"/>
          <w:numId w:val="1"/>
        </w:num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新冠疫情的常态化防控。</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继续</w:t>
      </w:r>
      <w:r>
        <w:rPr>
          <w:rFonts w:ascii="仿宋_GB2312" w:eastAsia="仿宋_GB2312" w:hint="eastAsia"/>
          <w:color w:val="000000" w:themeColor="text1"/>
          <w:kern w:val="2"/>
          <w:sz w:val="32"/>
          <w:szCs w:val="32"/>
        </w:rPr>
        <w:t>开展新冠病毒疫苗群体性接种工作。按照国家和省联防联控机制的要求，开展新冠病毒疫苗加强接种，继续做好技术培训、疫苗调配、现场技术指导，进一步提高各年龄段人群基础免疫及</w:t>
      </w:r>
      <w:r>
        <w:rPr>
          <w:rFonts w:ascii="仿宋_GB2312" w:eastAsia="仿宋_GB2312" w:hint="eastAsia"/>
          <w:color w:val="000000" w:themeColor="text1"/>
          <w:kern w:val="2"/>
          <w:sz w:val="32"/>
          <w:szCs w:val="32"/>
        </w:rPr>
        <w:t>18</w:t>
      </w:r>
      <w:r>
        <w:rPr>
          <w:rFonts w:ascii="仿宋_GB2312" w:eastAsia="仿宋_GB2312" w:hint="eastAsia"/>
          <w:color w:val="000000" w:themeColor="text1"/>
          <w:kern w:val="2"/>
          <w:sz w:val="32"/>
          <w:szCs w:val="32"/>
        </w:rPr>
        <w:t>岁以上人群加强免疫接种率，筑牢免疫屏障。积极做好本中心、集中隔离场所工作人员和隔离人员核酸样本采集、送检和检测</w:t>
      </w:r>
    </w:p>
    <w:p w:rsidR="00E26DCA" w:rsidRDefault="0082361D">
      <w:pPr>
        <w:numPr>
          <w:ilvl w:val="0"/>
          <w:numId w:val="1"/>
        </w:num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加强疫情管理。</w:t>
      </w:r>
    </w:p>
    <w:p w:rsidR="00E26DCA" w:rsidRDefault="0082361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加强霍乱、艾滋病、结核病、病毒性肝炎、血吸虫病等重大疾病的防控，巩固历年防控成果，严防甲类传染病发生，做好传</w:t>
      </w:r>
      <w:r>
        <w:rPr>
          <w:rFonts w:ascii="仿宋_GB2312" w:eastAsia="仿宋_GB2312" w:hint="eastAsia"/>
          <w:color w:val="000000" w:themeColor="text1"/>
          <w:sz w:val="32"/>
          <w:szCs w:val="32"/>
        </w:rPr>
        <w:lastRenderedPageBreak/>
        <w:t>染病聚集性疫情处置。”</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3</w:t>
      </w:r>
      <w:r>
        <w:rPr>
          <w:rFonts w:ascii="仿宋_GB2312" w:eastAsia="仿宋_GB2312" w:hint="eastAsia"/>
          <w:color w:val="000000" w:themeColor="text1"/>
          <w:kern w:val="2"/>
          <w:sz w:val="32"/>
          <w:szCs w:val="32"/>
        </w:rPr>
        <w:t>、</w:t>
      </w:r>
      <w:r>
        <w:rPr>
          <w:rFonts w:ascii="仿宋_GB2312" w:eastAsia="仿宋_GB2312" w:hint="eastAsia"/>
          <w:color w:val="000000" w:themeColor="text1"/>
          <w:kern w:val="2"/>
          <w:sz w:val="32"/>
          <w:szCs w:val="32"/>
        </w:rPr>
        <w:t>加强突发性公共卫生应急处置能力建设，全面提升疾控能力继续坚持新冠肺炎动态清零总方</w:t>
      </w:r>
      <w:r>
        <w:rPr>
          <w:rFonts w:ascii="仿宋_GB2312" w:eastAsia="仿宋_GB2312" w:hint="eastAsia"/>
          <w:color w:val="000000" w:themeColor="text1"/>
          <w:kern w:val="2"/>
          <w:sz w:val="32"/>
          <w:szCs w:val="32"/>
        </w:rPr>
        <w:t>针，加强流调队伍学习与培训，对风险人员及时摸排、调查、处置。加强突发性公共卫生事件应急处置，认真防控和应对输入性新冠、疟疾等传染病的发生和蔓延，打造一支拉得出，顶得住，技术过硬，作风顽强的应对各类突发公共卫生事件的专业处置队伍。</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4</w:t>
      </w:r>
      <w:r>
        <w:rPr>
          <w:rFonts w:ascii="仿宋_GB2312" w:eastAsia="仿宋_GB2312" w:hint="eastAsia"/>
          <w:color w:val="000000" w:themeColor="text1"/>
          <w:kern w:val="2"/>
          <w:sz w:val="32"/>
          <w:szCs w:val="32"/>
        </w:rPr>
        <w:t>、加强中心信息化建设</w:t>
      </w:r>
      <w:r>
        <w:rPr>
          <w:rFonts w:ascii="仿宋_GB2312" w:eastAsia="仿宋_GB2312" w:hint="eastAsia"/>
          <w:color w:val="000000" w:themeColor="text1"/>
          <w:kern w:val="2"/>
          <w:sz w:val="32"/>
          <w:szCs w:val="32"/>
        </w:rPr>
        <w:t>，</w:t>
      </w:r>
      <w:r>
        <w:rPr>
          <w:rFonts w:ascii="仿宋_GB2312" w:eastAsia="仿宋_GB2312" w:hint="eastAsia"/>
          <w:color w:val="000000" w:themeColor="text1"/>
          <w:kern w:val="2"/>
          <w:sz w:val="32"/>
          <w:szCs w:val="32"/>
        </w:rPr>
        <w:t>规范各类公共卫生专业网络管理；加强网络安全，防范网络安全事故。积极做好中心党建和精准扶贫工作，完成党建任务。积极做好中心安全管理和维稳工作。积极做好“传帮带”对口支援马边疾控中心工作。</w:t>
      </w:r>
    </w:p>
    <w:p w:rsidR="00E26DCA" w:rsidRDefault="0082361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、慢病工作</w:t>
      </w:r>
    </w:p>
    <w:p w:rsidR="00E26DCA" w:rsidRDefault="0082361D">
      <w:pPr>
        <w:spacing w:line="600" w:lineRule="exact"/>
        <w:ind w:firstLineChars="300" w:firstLine="96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积极开展全人群死因监测、肿瘤随访登记、心脑血管疾病监测工作</w:t>
      </w:r>
      <w:r>
        <w:rPr>
          <w:rFonts w:ascii="仿宋_GB2312" w:eastAsia="仿宋_GB2312" w:hint="eastAsia"/>
          <w:color w:val="000000" w:themeColor="text1"/>
          <w:sz w:val="32"/>
          <w:szCs w:val="32"/>
        </w:rPr>
        <w:t>，提高监测数据质量</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开展死因漏报调查，减少死亡漏报迟报；开展儿童口腔疾病综合干预项目，提升儿童口腔健康水平；开展心脑血管早期筛查与综合干预项目，有效降低我市心脑血管病的发病率、复发率、致残率和死亡率；开展居民营养与健康监测，收集我市居民的营养与健康状况信息，为相关政策制定提供依据；开展儿童伤害监测工作，做好数据审核和质量控制</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深入开展全民健康生活方式行动，强化慢病自我防控意识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全面</w:t>
      </w:r>
      <w:r>
        <w:rPr>
          <w:rFonts w:ascii="仿宋_GB2312" w:eastAsia="仿宋_GB2312" w:hint="eastAsia"/>
          <w:color w:val="000000" w:themeColor="text1"/>
          <w:sz w:val="32"/>
          <w:szCs w:val="32"/>
        </w:rPr>
        <w:lastRenderedPageBreak/>
        <w:t>推进慢病综合防控，突出慢病综合防控示范区示范引领效应。</w:t>
      </w:r>
      <w:r>
        <w:rPr>
          <w:rFonts w:ascii="仿宋_GB2312" w:eastAsia="仿宋_GB2312" w:hint="eastAsia"/>
          <w:color w:val="000000" w:themeColor="text1"/>
          <w:sz w:val="32"/>
          <w:szCs w:val="32"/>
        </w:rPr>
        <w:br/>
        <w:t xml:space="preserve">     </w:t>
      </w:r>
      <w:r>
        <w:rPr>
          <w:rFonts w:ascii="仿宋_GB2312" w:eastAsia="仿宋_GB2312" w:hint="eastAsia"/>
          <w:color w:val="000000" w:themeColor="text1"/>
          <w:sz w:val="32"/>
          <w:szCs w:val="32"/>
        </w:rPr>
        <w:t>积极开展全市健康教育，做好健康教育和健康促进工作。</w:t>
      </w:r>
    </w:p>
    <w:p w:rsidR="00E26DCA" w:rsidRDefault="0082361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、免疫规</w:t>
      </w:r>
      <w:r>
        <w:rPr>
          <w:rFonts w:ascii="仿宋_GB2312" w:eastAsia="仿宋_GB2312" w:hint="eastAsia"/>
          <w:color w:val="000000" w:themeColor="text1"/>
          <w:sz w:val="32"/>
          <w:szCs w:val="32"/>
        </w:rPr>
        <w:t>划工作</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加强预防接种门诊建设。根据省级确立的数字化门诊建设验收和考核标准，</w:t>
      </w:r>
      <w:r>
        <w:rPr>
          <w:rFonts w:ascii="仿宋_GB2312" w:eastAsia="仿宋_GB2312" w:hint="eastAsia"/>
          <w:color w:val="000000" w:themeColor="text1"/>
          <w:kern w:val="2"/>
          <w:sz w:val="32"/>
          <w:szCs w:val="32"/>
        </w:rPr>
        <w:t>202</w:t>
      </w:r>
      <w:r>
        <w:rPr>
          <w:rFonts w:ascii="仿宋_GB2312" w:eastAsia="仿宋_GB2312" w:hint="eastAsia"/>
          <w:color w:val="000000" w:themeColor="text1"/>
          <w:kern w:val="2"/>
          <w:sz w:val="32"/>
          <w:szCs w:val="32"/>
        </w:rPr>
        <w:t>2</w:t>
      </w:r>
      <w:r>
        <w:rPr>
          <w:rFonts w:ascii="仿宋_GB2312" w:eastAsia="仿宋_GB2312" w:hint="eastAsia"/>
          <w:color w:val="000000" w:themeColor="text1"/>
          <w:kern w:val="2"/>
          <w:sz w:val="32"/>
          <w:szCs w:val="32"/>
        </w:rPr>
        <w:t>年我市将建设</w:t>
      </w:r>
      <w:r>
        <w:rPr>
          <w:rFonts w:ascii="仿宋_GB2312" w:eastAsia="仿宋_GB2312" w:hint="eastAsia"/>
          <w:color w:val="000000" w:themeColor="text1"/>
          <w:kern w:val="2"/>
          <w:sz w:val="32"/>
          <w:szCs w:val="32"/>
        </w:rPr>
        <w:t>2</w:t>
      </w:r>
      <w:r>
        <w:rPr>
          <w:rFonts w:ascii="仿宋_GB2312" w:eastAsia="仿宋_GB2312" w:hint="eastAsia"/>
          <w:color w:val="000000" w:themeColor="text1"/>
          <w:kern w:val="2"/>
          <w:sz w:val="32"/>
          <w:szCs w:val="32"/>
        </w:rPr>
        <w:t>个预防接种数字化门诊，其余接种单位要进一步完善硬件设备，提高人员素质，推动全市预防接种工作更加规范高效。</w:t>
      </w:r>
    </w:p>
    <w:p w:rsidR="00E26DCA" w:rsidRDefault="0082361D">
      <w:pPr>
        <w:spacing w:line="360" w:lineRule="auto"/>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持续提升国家免疫规划疫苗接种率。保持乙肝疫苗、卡介苗、脊灰减毒活疫苗、麻疹类疫苗、流脑疫苗、乙脑疫苗、甲肝疫苗等国家免疫规划疫苗高接种率。国家免疫规划疫苗接种率以乡镇为单位达到</w:t>
      </w:r>
      <w:r>
        <w:rPr>
          <w:rFonts w:ascii="仿宋_GB2312" w:eastAsia="仿宋_GB2312" w:hint="eastAsia"/>
          <w:color w:val="000000" w:themeColor="text1"/>
          <w:sz w:val="32"/>
          <w:szCs w:val="32"/>
        </w:rPr>
        <w:t>90%</w:t>
      </w:r>
      <w:r>
        <w:rPr>
          <w:rFonts w:ascii="仿宋_GB2312" w:eastAsia="仿宋_GB2312" w:hint="eastAsia"/>
          <w:color w:val="000000" w:themeColor="text1"/>
          <w:sz w:val="32"/>
          <w:szCs w:val="32"/>
        </w:rPr>
        <w:t>以上。</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继续做好入托入学儿童查验预防接种证工作，以及麻疹、</w:t>
      </w:r>
      <w:r>
        <w:rPr>
          <w:rFonts w:ascii="仿宋_GB2312" w:eastAsia="仿宋_GB2312" w:hint="eastAsia"/>
          <w:color w:val="000000" w:themeColor="text1"/>
          <w:kern w:val="2"/>
          <w:sz w:val="32"/>
          <w:szCs w:val="32"/>
        </w:rPr>
        <w:t>AFP</w:t>
      </w:r>
      <w:r>
        <w:rPr>
          <w:rFonts w:ascii="仿宋_GB2312" w:eastAsia="仿宋_GB2312" w:hint="eastAsia"/>
          <w:color w:val="000000" w:themeColor="text1"/>
          <w:kern w:val="2"/>
          <w:sz w:val="32"/>
          <w:szCs w:val="32"/>
        </w:rPr>
        <w:t>、</w:t>
      </w:r>
      <w:r>
        <w:rPr>
          <w:rFonts w:ascii="仿宋_GB2312" w:eastAsia="仿宋_GB2312" w:hint="eastAsia"/>
          <w:color w:val="000000" w:themeColor="text1"/>
          <w:kern w:val="2"/>
          <w:sz w:val="32"/>
          <w:szCs w:val="32"/>
        </w:rPr>
        <w:t>AEFI</w:t>
      </w:r>
      <w:r>
        <w:rPr>
          <w:rFonts w:ascii="仿宋_GB2312" w:eastAsia="仿宋_GB2312" w:hint="eastAsia"/>
          <w:color w:val="000000" w:themeColor="text1"/>
          <w:kern w:val="2"/>
          <w:sz w:val="32"/>
          <w:szCs w:val="32"/>
        </w:rPr>
        <w:t>监测，各项指标均达到相关要求。</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7</w:t>
      </w:r>
      <w:r>
        <w:rPr>
          <w:rFonts w:ascii="仿宋_GB2312" w:eastAsia="仿宋_GB2312" w:hint="eastAsia"/>
          <w:color w:val="000000" w:themeColor="text1"/>
          <w:kern w:val="2"/>
          <w:sz w:val="32"/>
          <w:szCs w:val="32"/>
        </w:rPr>
        <w:t>、艾滋病防治方面</w:t>
      </w:r>
    </w:p>
    <w:p w:rsidR="00E26DCA" w:rsidRDefault="0082361D">
      <w:pPr>
        <w:pStyle w:val="a5"/>
        <w:ind w:firstLine="640"/>
        <w:rPr>
          <w:rFonts w:ascii="仿宋_GB2312" w:eastAsia="仿宋_GB2312"/>
          <w:color w:val="000000" w:themeColor="text1"/>
          <w:sz w:val="32"/>
          <w:szCs w:val="32"/>
        </w:rPr>
      </w:pPr>
      <w:bookmarkStart w:id="0" w:name="_GoBack"/>
      <w:bookmarkEnd w:id="0"/>
      <w:r>
        <w:rPr>
          <w:rFonts w:ascii="仿宋_GB2312" w:eastAsia="仿宋_GB2312" w:hint="eastAsia"/>
          <w:color w:val="000000" w:themeColor="text1"/>
          <w:sz w:val="32"/>
          <w:szCs w:val="32"/>
        </w:rPr>
        <w:t>健全以政府领导、部门负责、全社会共同参与的防治工作机制，推进艾滋病预防与控制体系建设。开展艾滋病防治宣传、安全套促进、美沙酮奖励、多部门协调、加强艾防专业队伍建设等防治措施。通过艾滋病防治进学校活动开展对广大大学生艾滋病防治知识宣传，加强艾滋病感染者和病人的管理、开展</w:t>
      </w:r>
      <w:r>
        <w:rPr>
          <w:rFonts w:ascii="仿宋_GB2312" w:eastAsia="仿宋_GB2312" w:hint="eastAsia"/>
          <w:color w:val="000000" w:themeColor="text1"/>
          <w:sz w:val="32"/>
          <w:szCs w:val="32"/>
        </w:rPr>
        <w:t>HIV</w:t>
      </w:r>
      <w:r>
        <w:rPr>
          <w:rFonts w:ascii="仿宋_GB2312" w:eastAsia="仿宋_GB2312" w:hint="eastAsia"/>
          <w:color w:val="000000" w:themeColor="text1"/>
          <w:sz w:val="32"/>
          <w:szCs w:val="32"/>
        </w:rPr>
        <w:t>监测、“四免一关怀”政策落实、高危人群干预、药物维持治疗、预防</w:t>
      </w:r>
      <w:r>
        <w:rPr>
          <w:rFonts w:ascii="仿宋_GB2312" w:eastAsia="仿宋_GB2312" w:hint="eastAsia"/>
          <w:color w:val="000000" w:themeColor="text1"/>
          <w:sz w:val="32"/>
          <w:szCs w:val="32"/>
        </w:rPr>
        <w:lastRenderedPageBreak/>
        <w:t>艾滋病母婴传播、抗病毒治疗这些措施的开展，有力地推动我市艾滋病防治工作的顺利进行。</w:t>
      </w:r>
      <w:r>
        <w:rPr>
          <w:rFonts w:ascii="仿宋_GB2312" w:eastAsia="仿宋_GB2312" w:hint="eastAsia"/>
          <w:color w:val="000000" w:themeColor="text1"/>
          <w:sz w:val="32"/>
          <w:szCs w:val="32"/>
        </w:rPr>
        <w:t>每年两次</w:t>
      </w:r>
      <w:r>
        <w:rPr>
          <w:rFonts w:ascii="仿宋_GB2312" w:eastAsia="仿宋_GB2312" w:hint="eastAsia"/>
          <w:color w:val="000000" w:themeColor="text1"/>
          <w:sz w:val="32"/>
          <w:szCs w:val="32"/>
        </w:rPr>
        <w:t>次对服药人员</w:t>
      </w:r>
      <w:r>
        <w:rPr>
          <w:rFonts w:ascii="仿宋_GB2312" w:eastAsia="仿宋_GB2312" w:hint="eastAsia"/>
          <w:color w:val="000000" w:themeColor="text1"/>
          <w:sz w:val="32"/>
          <w:szCs w:val="32"/>
        </w:rPr>
        <w:t>进行</w:t>
      </w:r>
      <w:r>
        <w:rPr>
          <w:rFonts w:ascii="仿宋_GB2312" w:eastAsia="仿宋_GB2312" w:hint="eastAsia"/>
          <w:color w:val="000000" w:themeColor="text1"/>
          <w:sz w:val="32"/>
          <w:szCs w:val="32"/>
        </w:rPr>
        <w:t>HIV</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HCV</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梅毒的检测。每周对服药人员心理疏导，加强后期干预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定期与公安局和社区康复戒毒相关单位联系协调，加强对服药人员的管理</w:t>
      </w:r>
      <w:r>
        <w:rPr>
          <w:rFonts w:ascii="仿宋_GB2312" w:eastAsia="仿宋_GB2312" w:hint="eastAsia"/>
          <w:color w:val="000000" w:themeColor="text1"/>
          <w:sz w:val="32"/>
          <w:szCs w:val="32"/>
        </w:rPr>
        <w:t>。每月</w:t>
      </w:r>
      <w:r>
        <w:rPr>
          <w:rFonts w:ascii="仿宋_GB2312" w:eastAsia="仿宋_GB2312" w:hint="eastAsia"/>
          <w:color w:val="000000" w:themeColor="text1"/>
          <w:sz w:val="32"/>
          <w:szCs w:val="32"/>
        </w:rPr>
        <w:t>对服药人员进行家访和社区随访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对服药人员进行一次尿检</w:t>
      </w:r>
      <w:r>
        <w:rPr>
          <w:rFonts w:ascii="仿宋_GB2312" w:eastAsia="仿宋_GB2312" w:hint="eastAsia"/>
          <w:color w:val="000000" w:themeColor="text1"/>
          <w:sz w:val="32"/>
          <w:szCs w:val="32"/>
        </w:rPr>
        <w:t>。</w:t>
      </w:r>
    </w:p>
    <w:p w:rsidR="00E26DCA" w:rsidRDefault="0082361D">
      <w:pPr>
        <w:pStyle w:val="a5"/>
        <w:ind w:firstLineChars="300" w:firstLine="960"/>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、结核病防治方面</w:t>
      </w:r>
    </w:p>
    <w:p w:rsidR="00E26DCA" w:rsidRDefault="0082361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继续推行“三位一体”的新型结核病防治模式，理顺在结核病防治中与定点医院和乡镇卫生院的关系。积极开展“结核病防治知识进学校活动”。</w:t>
      </w:r>
    </w:p>
    <w:p w:rsidR="00E26DCA" w:rsidRDefault="0082361D">
      <w:pPr>
        <w:spacing w:line="600" w:lineRule="exact"/>
        <w:ind w:firstLineChars="300" w:firstLine="96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、地方病和寄生虫病防治平稳推进，无新发地方病出现</w:t>
      </w:r>
    </w:p>
    <w:p w:rsidR="00E26DCA" w:rsidRDefault="0082361D">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加强手足口病、水痘、流感等学校传染病监测，及时指导学校落实防控措施。继续做好麻风病监测、病人关怀慰问工作。继续做好疟疾蚊媒监测、广州管圆性线虫等寄生虫病监测，覆盖我市寄生虫病监测空白区</w:t>
      </w:r>
      <w:r>
        <w:rPr>
          <w:rFonts w:ascii="仿宋_GB2312" w:eastAsia="仿宋_GB2312" w:hint="eastAsia"/>
          <w:color w:val="000000" w:themeColor="text1"/>
          <w:sz w:val="32"/>
          <w:szCs w:val="32"/>
        </w:rPr>
        <w:t>域。继续做好碘缺乏病、克山病等地方病监测，确保按时完成任务。</w:t>
      </w:r>
    </w:p>
    <w:p w:rsidR="00E26DCA" w:rsidRDefault="0082361D">
      <w:pPr>
        <w:spacing w:line="600" w:lineRule="exact"/>
        <w:ind w:firstLineChars="300" w:firstLine="96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、积极开展卫生监测工作</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积极做好创文相关工作，完成枯水期、丰水期农村集中式供水水质监测、并做好城区、景区集中式供水水质常规监测、完成人体生物监测县水质新型污染物的采样并送检；做好建成区“四害”监测；完成学校卫生、人群合理膳食、食源性疾病检测以及</w:t>
      </w:r>
      <w:r>
        <w:rPr>
          <w:rFonts w:ascii="仿宋_GB2312" w:eastAsia="仿宋_GB2312" w:hint="eastAsia"/>
          <w:color w:val="000000" w:themeColor="text1"/>
          <w:kern w:val="2"/>
          <w:sz w:val="32"/>
          <w:szCs w:val="32"/>
        </w:rPr>
        <w:lastRenderedPageBreak/>
        <w:t>配合上级相关部门完成食品风险监测的采样监测；做好企业职业危害因素监测以及用人单位健康体检网报的审核；配合相关部门做好各类环境的抽查工作。</w:t>
      </w:r>
    </w:p>
    <w:p w:rsidR="00E26DCA" w:rsidRDefault="0082361D">
      <w:pPr>
        <w:numPr>
          <w:ilvl w:val="0"/>
          <w:numId w:val="2"/>
        </w:num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基本公共卫生</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扎实开展建立居民健康档案、健康教育、预防接种、儿童</w:t>
      </w:r>
      <w:r>
        <w:rPr>
          <w:rFonts w:ascii="仿宋_GB2312" w:eastAsia="仿宋_GB2312" w:hint="eastAsia"/>
          <w:color w:val="000000" w:themeColor="text1"/>
          <w:kern w:val="2"/>
          <w:sz w:val="32"/>
          <w:szCs w:val="32"/>
        </w:rPr>
        <w:t>健康管理、孕产妇健康管理、老年人健康管理、高血压和</w:t>
      </w:r>
      <w:r>
        <w:rPr>
          <w:rFonts w:ascii="仿宋_GB2312" w:eastAsia="仿宋_GB2312" w:hint="eastAsia"/>
          <w:color w:val="000000" w:themeColor="text1"/>
          <w:kern w:val="2"/>
          <w:sz w:val="32"/>
          <w:szCs w:val="32"/>
        </w:rPr>
        <w:t>2</w:t>
      </w:r>
      <w:r>
        <w:rPr>
          <w:rFonts w:ascii="仿宋_GB2312" w:eastAsia="仿宋_GB2312" w:hint="eastAsia"/>
          <w:color w:val="000000" w:themeColor="text1"/>
          <w:kern w:val="2"/>
          <w:sz w:val="32"/>
          <w:szCs w:val="32"/>
        </w:rPr>
        <w:t>型糖尿病等慢性病患者健康管理、严重精神障碍患者管理、肺结核患者健康管理、中医药健康管理、传染病和突发公共卫生事件报告和处理、卫生监督协管等原基本公共卫生服务</w:t>
      </w:r>
      <w:r>
        <w:rPr>
          <w:rFonts w:ascii="仿宋_GB2312" w:eastAsia="仿宋_GB2312" w:hint="eastAsia"/>
          <w:color w:val="000000" w:themeColor="text1"/>
          <w:kern w:val="2"/>
          <w:sz w:val="32"/>
          <w:szCs w:val="32"/>
        </w:rPr>
        <w:t>12</w:t>
      </w:r>
      <w:r>
        <w:rPr>
          <w:rFonts w:ascii="仿宋_GB2312" w:eastAsia="仿宋_GB2312" w:hint="eastAsia"/>
          <w:color w:val="000000" w:themeColor="text1"/>
          <w:kern w:val="2"/>
          <w:sz w:val="32"/>
          <w:szCs w:val="32"/>
        </w:rPr>
        <w:t>大项目，同时依托家庭医生签约服务和各专业机构项目运行，按照“就高不就低”的原则，完成各项目标任务，切实提高群众满意度，促进居民健康素养。</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峨眉山市疾病预防控制中心</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峨眉山市疾病预防控制中心</w:t>
      </w:r>
      <w:r>
        <w:rPr>
          <w:rFonts w:ascii="仿宋_GB2312" w:eastAsia="仿宋_GB2312" w:hint="eastAsia"/>
          <w:sz w:val="32"/>
          <w:szCs w:val="32"/>
        </w:rPr>
        <w:t>收入预算总额</w:t>
      </w:r>
      <w:r>
        <w:rPr>
          <w:rFonts w:ascii="仿宋_GB2312" w:eastAsia="仿宋_GB2312" w:hint="eastAsia"/>
          <w:sz w:val="32"/>
          <w:szCs w:val="32"/>
        </w:rPr>
        <w:t>为</w:t>
      </w:r>
      <w:r>
        <w:rPr>
          <w:rFonts w:ascii="仿宋_GB2312" w:eastAsia="仿宋_GB2312"/>
          <w:sz w:val="32"/>
          <w:szCs w:val="32"/>
        </w:rPr>
        <w:t>867.8</w:t>
      </w:r>
      <w:r>
        <w:rPr>
          <w:rFonts w:ascii="仿宋_GB2312" w:eastAsia="仿宋_GB2312" w:hint="eastAsia"/>
          <w:sz w:val="32"/>
          <w:szCs w:val="32"/>
        </w:rPr>
        <w:t>万元。其中：当年财政拨款收入</w:t>
      </w:r>
      <w:r>
        <w:rPr>
          <w:rFonts w:ascii="仿宋_GB2312" w:eastAsia="仿宋_GB2312"/>
          <w:sz w:val="32"/>
          <w:szCs w:val="32"/>
        </w:rPr>
        <w:t>867.8</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sz w:val="32"/>
          <w:szCs w:val="32"/>
        </w:rPr>
        <w:t>867.8</w:t>
      </w:r>
      <w:r>
        <w:rPr>
          <w:rFonts w:ascii="仿宋_GB2312" w:eastAsia="仿宋_GB2312" w:hint="eastAsia"/>
          <w:sz w:val="32"/>
          <w:szCs w:val="32"/>
        </w:rPr>
        <w:t>万</w:t>
      </w:r>
      <w:r>
        <w:rPr>
          <w:rFonts w:ascii="仿宋_GB2312" w:eastAsia="仿宋_GB2312" w:hint="eastAsia"/>
          <w:sz w:val="32"/>
          <w:szCs w:val="32"/>
        </w:rPr>
        <w:t>元，其中</w:t>
      </w:r>
      <w:r>
        <w:rPr>
          <w:rFonts w:ascii="仿宋_GB2312" w:eastAsia="仿宋_GB2312" w:hint="eastAsia"/>
          <w:sz w:val="32"/>
          <w:szCs w:val="32"/>
        </w:rPr>
        <w:t>基本</w:t>
      </w:r>
      <w:r>
        <w:rPr>
          <w:rFonts w:ascii="仿宋_GB2312" w:eastAsia="仿宋_GB2312" w:hint="eastAsia"/>
          <w:sz w:val="32"/>
          <w:szCs w:val="32"/>
        </w:rPr>
        <w:t>人员支出</w:t>
      </w:r>
      <w:r>
        <w:rPr>
          <w:rFonts w:ascii="仿宋_GB2312" w:eastAsia="仿宋_GB2312"/>
          <w:sz w:val="32"/>
          <w:szCs w:val="32"/>
        </w:rPr>
        <w:t>586.83</w:t>
      </w:r>
      <w:r>
        <w:rPr>
          <w:rFonts w:ascii="仿宋_GB2312" w:eastAsia="仿宋_GB2312" w:hint="eastAsia"/>
          <w:sz w:val="32"/>
          <w:szCs w:val="32"/>
        </w:rPr>
        <w:t>万元，日常公用支出</w:t>
      </w:r>
      <w:r>
        <w:rPr>
          <w:rFonts w:ascii="仿宋_GB2312" w:eastAsia="仿宋_GB2312"/>
          <w:sz w:val="32"/>
          <w:szCs w:val="32"/>
        </w:rPr>
        <w:t>114.37</w:t>
      </w:r>
      <w:r>
        <w:rPr>
          <w:rFonts w:ascii="仿宋_GB2312" w:eastAsia="仿宋_GB2312" w:hint="eastAsia"/>
          <w:sz w:val="32"/>
          <w:szCs w:val="32"/>
        </w:rPr>
        <w:t>万元。</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峨眉山市疾病预防控制中心</w:t>
      </w:r>
      <w:r>
        <w:rPr>
          <w:rFonts w:ascii="仿宋_GB2312" w:eastAsia="仿宋_GB2312" w:hint="eastAsia"/>
          <w:sz w:val="32"/>
          <w:szCs w:val="32"/>
        </w:rPr>
        <w:t>2022</w:t>
      </w:r>
      <w:r>
        <w:rPr>
          <w:rFonts w:ascii="仿宋_GB2312" w:eastAsia="仿宋_GB2312" w:hint="eastAsia"/>
          <w:sz w:val="32"/>
          <w:szCs w:val="32"/>
        </w:rPr>
        <w:t>年财政拨款收支总预算</w:t>
      </w:r>
      <w:r>
        <w:rPr>
          <w:rFonts w:ascii="仿宋_GB2312" w:eastAsia="仿宋_GB2312"/>
          <w:sz w:val="32"/>
          <w:szCs w:val="32"/>
        </w:rPr>
        <w:lastRenderedPageBreak/>
        <w:t>867.8</w:t>
      </w:r>
      <w:r>
        <w:rPr>
          <w:rFonts w:ascii="仿宋_GB2312" w:eastAsia="仿宋_GB2312" w:hint="eastAsia"/>
          <w:sz w:val="32"/>
          <w:szCs w:val="32"/>
        </w:rPr>
        <w:t>万元，主要用于保障</w:t>
      </w:r>
      <w:r>
        <w:rPr>
          <w:rFonts w:ascii="仿宋_GB2312" w:eastAsia="仿宋_GB2312" w:hint="eastAsia"/>
          <w:sz w:val="32"/>
          <w:szCs w:val="32"/>
        </w:rPr>
        <w:t>峨眉山市疾病预防控制中心</w:t>
      </w:r>
      <w:r>
        <w:rPr>
          <w:rFonts w:ascii="仿宋_GB2312" w:eastAsia="仿宋_GB2312" w:hint="eastAsia"/>
          <w:sz w:val="32"/>
          <w:szCs w:val="32"/>
        </w:rPr>
        <w:t>机构正常运转、完成日常工作任务以及承担</w:t>
      </w:r>
      <w:r>
        <w:rPr>
          <w:rFonts w:ascii="仿宋_GB2312" w:eastAsia="仿宋_GB2312" w:hint="eastAsia"/>
          <w:sz w:val="32"/>
          <w:szCs w:val="32"/>
        </w:rPr>
        <w:t>卫生</w:t>
      </w:r>
      <w:r>
        <w:rPr>
          <w:rFonts w:ascii="仿宋_GB2312" w:eastAsia="仿宋_GB2312" w:hint="eastAsia"/>
          <w:sz w:val="32"/>
          <w:szCs w:val="32"/>
        </w:rPr>
        <w:t>事业发展相关工作。其中：</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sz w:val="32"/>
          <w:szCs w:val="32"/>
        </w:rPr>
        <w:t>701.2</w:t>
      </w:r>
      <w:r>
        <w:rPr>
          <w:rFonts w:ascii="仿宋_GB2312" w:eastAsia="仿宋_GB2312" w:hint="eastAsia"/>
          <w:sz w:val="32"/>
          <w:szCs w:val="32"/>
        </w:rPr>
        <w:t>万元，是用于保障</w:t>
      </w:r>
      <w:r>
        <w:rPr>
          <w:rFonts w:ascii="仿宋_GB2312" w:eastAsia="仿宋_GB2312" w:hint="eastAsia"/>
          <w:sz w:val="32"/>
          <w:szCs w:val="32"/>
        </w:rPr>
        <w:t>峨眉山市疾病预防控制中心</w:t>
      </w:r>
      <w:r>
        <w:rPr>
          <w:rFonts w:ascii="仿宋_GB2312" w:eastAsia="仿宋_GB2312" w:hint="eastAsia"/>
          <w:sz w:val="32"/>
          <w:szCs w:val="32"/>
        </w:rPr>
        <w:t>正常运转的日常支出，包括基本工资、津贴补贴等人员经费以及办公费、印刷费、水电费、办公设备购置等</w:t>
      </w:r>
      <w:r>
        <w:rPr>
          <w:rFonts w:ascii="仿宋_GB2312" w:eastAsia="仿宋_GB2312" w:hint="eastAsia"/>
          <w:sz w:val="32"/>
          <w:szCs w:val="32"/>
        </w:rPr>
        <w:t>日常公用经费。</w:t>
      </w:r>
      <w:r>
        <w:rPr>
          <w:rFonts w:ascii="仿宋_GB2312" w:eastAsia="仿宋_GB2312" w:hint="eastAsia"/>
          <w:sz w:val="32"/>
          <w:szCs w:val="32"/>
        </w:rPr>
        <w:t>项目支出</w:t>
      </w:r>
      <w:r>
        <w:rPr>
          <w:rFonts w:ascii="仿宋_GB2312" w:eastAsia="仿宋_GB2312"/>
          <w:sz w:val="32"/>
          <w:szCs w:val="32"/>
        </w:rPr>
        <w:t>166.6</w:t>
      </w:r>
      <w:r>
        <w:rPr>
          <w:rFonts w:ascii="仿宋_GB2312" w:eastAsia="仿宋_GB2312" w:hint="eastAsia"/>
          <w:sz w:val="32"/>
          <w:szCs w:val="32"/>
        </w:rPr>
        <w:t>万元。</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峨眉山市疾病预防控制中心</w:t>
      </w:r>
      <w:r>
        <w:rPr>
          <w:rFonts w:ascii="仿宋_GB2312" w:eastAsia="仿宋_GB2312" w:hint="eastAsia"/>
          <w:sz w:val="32"/>
          <w:szCs w:val="32"/>
        </w:rPr>
        <w:t>2022</w:t>
      </w:r>
      <w:r>
        <w:rPr>
          <w:rFonts w:ascii="仿宋_GB2312" w:eastAsia="仿宋_GB2312" w:hint="eastAsia"/>
          <w:sz w:val="32"/>
          <w:szCs w:val="32"/>
        </w:rPr>
        <w:t>年一般公共预算当年拨款</w:t>
      </w:r>
      <w:r>
        <w:rPr>
          <w:rFonts w:ascii="仿宋_GB2312" w:eastAsia="仿宋_GB2312"/>
          <w:sz w:val="32"/>
          <w:szCs w:val="32"/>
        </w:rPr>
        <w:t>701.2</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无专项资金</w:t>
      </w:r>
      <w:r>
        <w:rPr>
          <w:rFonts w:ascii="仿宋_GB2312" w:eastAsia="仿宋_GB2312" w:hint="eastAsia"/>
          <w:sz w:val="32"/>
          <w:szCs w:val="32"/>
        </w:rPr>
        <w:t>。</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w:t>
      </w:r>
      <w:r>
        <w:rPr>
          <w:rFonts w:ascii="仿宋_GB2312" w:eastAsia="仿宋_GB2312"/>
          <w:sz w:val="32"/>
          <w:szCs w:val="32"/>
        </w:rPr>
        <w:t>96.77</w:t>
      </w:r>
      <w:r>
        <w:rPr>
          <w:rFonts w:ascii="仿宋_GB2312" w:eastAsia="仿宋_GB2312" w:hint="eastAsia"/>
          <w:sz w:val="32"/>
          <w:szCs w:val="32"/>
        </w:rPr>
        <w:t>万元，占</w:t>
      </w:r>
      <w:r>
        <w:rPr>
          <w:rFonts w:ascii="仿宋_GB2312" w:eastAsia="仿宋_GB2312" w:hint="eastAsia"/>
          <w:sz w:val="32"/>
          <w:szCs w:val="32"/>
        </w:rPr>
        <w:t>11</w:t>
      </w:r>
      <w:r>
        <w:rPr>
          <w:rFonts w:ascii="仿宋_GB2312" w:eastAsia="仿宋_GB2312"/>
          <w:sz w:val="32"/>
          <w:szCs w:val="32"/>
        </w:rPr>
        <w:t>.15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卫生健康支出</w:t>
      </w:r>
      <w:r>
        <w:rPr>
          <w:rFonts w:ascii="仿宋_GB2312" w:eastAsia="仿宋_GB2312"/>
          <w:sz w:val="32"/>
          <w:szCs w:val="32"/>
        </w:rPr>
        <w:t>698.22</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sz w:val="32"/>
          <w:szCs w:val="32"/>
        </w:rPr>
        <w:t>80.46</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sz w:val="32"/>
          <w:szCs w:val="32"/>
        </w:rPr>
        <w:t>72.81</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sz w:val="32"/>
          <w:szCs w:val="32"/>
        </w:rPr>
        <w:t>8.39</w:t>
      </w:r>
      <w:r>
        <w:rPr>
          <w:rFonts w:ascii="仿宋_GB2312" w:eastAsia="仿宋_GB2312" w:hint="eastAsia"/>
          <w:sz w:val="32"/>
          <w:szCs w:val="32"/>
        </w:rPr>
        <w:t>%</w:t>
      </w:r>
      <w:r>
        <w:rPr>
          <w:rFonts w:ascii="仿宋_GB2312" w:eastAsia="仿宋_GB2312" w:hint="eastAsia"/>
          <w:sz w:val="32"/>
          <w:szCs w:val="32"/>
        </w:rPr>
        <w:t>。</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208.05.05</w:t>
      </w:r>
      <w:r>
        <w:rPr>
          <w:rFonts w:ascii="仿宋_GB2312" w:eastAsia="仿宋_GB2312" w:hint="eastAsia"/>
          <w:sz w:val="32"/>
          <w:szCs w:val="32"/>
        </w:rPr>
        <w:t>支出</w:t>
      </w:r>
      <w:r>
        <w:rPr>
          <w:rFonts w:ascii="仿宋_GB2312" w:eastAsia="仿宋_GB2312"/>
          <w:sz w:val="32"/>
          <w:szCs w:val="32"/>
        </w:rPr>
        <w:t>60.87</w:t>
      </w:r>
      <w:r>
        <w:rPr>
          <w:rFonts w:ascii="仿宋_GB2312" w:eastAsia="仿宋_GB2312" w:hint="eastAsia"/>
          <w:sz w:val="32"/>
          <w:szCs w:val="32"/>
        </w:rPr>
        <w:t>万元。用于机关事业单位基本养老保险缴费支出。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208.05.06</w:t>
      </w:r>
      <w:r>
        <w:rPr>
          <w:rFonts w:ascii="仿宋_GB2312" w:eastAsia="仿宋_GB2312" w:hint="eastAsia"/>
          <w:sz w:val="32"/>
          <w:szCs w:val="32"/>
        </w:rPr>
        <w:t>支出</w:t>
      </w:r>
      <w:r>
        <w:rPr>
          <w:rFonts w:ascii="仿宋_GB2312" w:eastAsia="仿宋_GB2312"/>
          <w:sz w:val="32"/>
          <w:szCs w:val="32"/>
        </w:rPr>
        <w:t>30.43</w:t>
      </w:r>
      <w:r>
        <w:rPr>
          <w:rFonts w:ascii="仿宋_GB2312" w:eastAsia="仿宋_GB2312" w:hint="eastAsia"/>
          <w:sz w:val="32"/>
          <w:szCs w:val="32"/>
        </w:rPr>
        <w:t>万元。用于机关事业单位职业年金缴费支出。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208.08.99</w:t>
      </w:r>
      <w:r>
        <w:rPr>
          <w:rFonts w:ascii="仿宋_GB2312" w:eastAsia="仿宋_GB2312" w:hint="eastAsia"/>
          <w:sz w:val="32"/>
          <w:szCs w:val="32"/>
        </w:rPr>
        <w:t>支出</w:t>
      </w:r>
      <w:r>
        <w:rPr>
          <w:rFonts w:ascii="仿宋_GB2312" w:eastAsia="仿宋_GB2312"/>
          <w:sz w:val="32"/>
          <w:szCs w:val="32"/>
        </w:rPr>
        <w:t>2.24</w:t>
      </w:r>
      <w:r>
        <w:rPr>
          <w:rFonts w:ascii="仿宋_GB2312" w:eastAsia="仿宋_GB2312" w:hint="eastAsia"/>
          <w:sz w:val="32"/>
          <w:szCs w:val="32"/>
        </w:rPr>
        <w:t>万元。用于死亡抚恤金。</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208.99.99</w:t>
      </w:r>
      <w:r>
        <w:rPr>
          <w:rFonts w:ascii="仿宋_GB2312" w:eastAsia="仿宋_GB2312" w:hint="eastAsia"/>
          <w:sz w:val="32"/>
          <w:szCs w:val="32"/>
        </w:rPr>
        <w:t>支出</w:t>
      </w:r>
      <w:r>
        <w:rPr>
          <w:rFonts w:ascii="仿宋_GB2312" w:eastAsia="仿宋_GB2312"/>
          <w:sz w:val="32"/>
          <w:szCs w:val="32"/>
        </w:rPr>
        <w:t>3.23</w:t>
      </w:r>
      <w:r>
        <w:rPr>
          <w:rFonts w:ascii="仿宋_GB2312" w:eastAsia="仿宋_GB2312" w:hint="eastAsia"/>
          <w:sz w:val="32"/>
          <w:szCs w:val="32"/>
        </w:rPr>
        <w:t>万元，用于其他社会保障和就业支出。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210.04.01</w:t>
      </w:r>
      <w:r>
        <w:rPr>
          <w:rFonts w:ascii="仿宋_GB2312" w:eastAsia="仿宋_GB2312" w:hint="eastAsia"/>
          <w:sz w:val="32"/>
          <w:szCs w:val="32"/>
        </w:rPr>
        <w:t>支出</w:t>
      </w:r>
      <w:r>
        <w:rPr>
          <w:rFonts w:ascii="仿宋_GB2312" w:eastAsia="仿宋_GB2312"/>
          <w:sz w:val="32"/>
          <w:szCs w:val="32"/>
        </w:rPr>
        <w:t>506.41</w:t>
      </w:r>
      <w:r>
        <w:rPr>
          <w:rFonts w:ascii="仿宋_GB2312" w:eastAsia="仿宋_GB2312" w:hint="eastAsia"/>
          <w:sz w:val="32"/>
          <w:szCs w:val="32"/>
        </w:rPr>
        <w:t>万元。用于疾病预防控制机构。</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lastRenderedPageBreak/>
        <w:t>210.04.09</w:t>
      </w:r>
      <w:r>
        <w:rPr>
          <w:rFonts w:ascii="仿宋_GB2312" w:eastAsia="仿宋_GB2312" w:hint="eastAsia"/>
          <w:sz w:val="32"/>
          <w:szCs w:val="32"/>
        </w:rPr>
        <w:t>支出</w:t>
      </w:r>
      <w:r>
        <w:rPr>
          <w:rFonts w:ascii="仿宋_GB2312" w:eastAsia="仿宋_GB2312"/>
          <w:sz w:val="32"/>
          <w:szCs w:val="32"/>
        </w:rPr>
        <w:t>166.6</w:t>
      </w:r>
      <w:r>
        <w:rPr>
          <w:rFonts w:ascii="仿宋_GB2312" w:eastAsia="仿宋_GB2312" w:hint="eastAsia"/>
          <w:sz w:val="32"/>
          <w:szCs w:val="32"/>
        </w:rPr>
        <w:t>万元，用于重大公共卫生服务。</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210.11.02</w:t>
      </w:r>
      <w:r>
        <w:rPr>
          <w:rFonts w:ascii="仿宋_GB2312" w:eastAsia="仿宋_GB2312" w:hint="eastAsia"/>
          <w:sz w:val="32"/>
          <w:szCs w:val="32"/>
        </w:rPr>
        <w:t>支出</w:t>
      </w:r>
      <w:r>
        <w:rPr>
          <w:rFonts w:ascii="仿宋_GB2312" w:eastAsia="仿宋_GB2312"/>
          <w:sz w:val="32"/>
          <w:szCs w:val="32"/>
        </w:rPr>
        <w:t>25.22</w:t>
      </w:r>
      <w:r>
        <w:rPr>
          <w:rFonts w:ascii="仿宋_GB2312" w:eastAsia="仿宋_GB2312" w:hint="eastAsia"/>
          <w:sz w:val="32"/>
          <w:szCs w:val="32"/>
        </w:rPr>
        <w:t>万元，用于事业单位医疗保障支出。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221.02.01</w:t>
      </w:r>
      <w:r>
        <w:rPr>
          <w:rFonts w:ascii="仿宋_GB2312" w:eastAsia="仿宋_GB2312" w:hint="eastAsia"/>
          <w:sz w:val="32"/>
          <w:szCs w:val="32"/>
        </w:rPr>
        <w:t>支出</w:t>
      </w:r>
      <w:r>
        <w:rPr>
          <w:rFonts w:ascii="仿宋_GB2312" w:eastAsia="仿宋_GB2312"/>
          <w:sz w:val="32"/>
          <w:szCs w:val="32"/>
        </w:rPr>
        <w:t>72.81</w:t>
      </w:r>
      <w:r>
        <w:rPr>
          <w:rFonts w:ascii="仿宋_GB2312" w:eastAsia="仿宋_GB2312" w:hint="eastAsia"/>
          <w:sz w:val="32"/>
          <w:szCs w:val="32"/>
        </w:rPr>
        <w:t>万元，用于住房公积金支出。</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峨眉山市疾病预防控制中心</w:t>
      </w:r>
      <w:r>
        <w:rPr>
          <w:rFonts w:ascii="仿宋_GB2312" w:eastAsia="仿宋_GB2312" w:hint="eastAsia"/>
          <w:sz w:val="32"/>
          <w:szCs w:val="32"/>
        </w:rPr>
        <w:t>2022</w:t>
      </w:r>
      <w:r>
        <w:rPr>
          <w:rFonts w:ascii="仿宋_GB2312" w:eastAsia="仿宋_GB2312" w:hint="eastAsia"/>
          <w:sz w:val="32"/>
          <w:szCs w:val="32"/>
        </w:rPr>
        <w:t>年一般公共预算基本支出</w:t>
      </w:r>
      <w:r>
        <w:rPr>
          <w:rFonts w:ascii="仿宋_GB2312" w:eastAsia="仿宋_GB2312"/>
          <w:sz w:val="32"/>
          <w:szCs w:val="32"/>
        </w:rPr>
        <w:t>701.2</w:t>
      </w:r>
      <w:r>
        <w:rPr>
          <w:rFonts w:ascii="仿宋_GB2312" w:eastAsia="仿宋_GB2312" w:hint="eastAsia"/>
          <w:sz w:val="32"/>
          <w:szCs w:val="32"/>
        </w:rPr>
        <w:t>万元，其中：</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Pr>
          <w:rFonts w:ascii="仿宋_GB2312" w:eastAsia="仿宋_GB2312"/>
          <w:sz w:val="32"/>
          <w:szCs w:val="32"/>
        </w:rPr>
        <w:t>586.83</w:t>
      </w:r>
      <w:r>
        <w:rPr>
          <w:rFonts w:ascii="仿宋_GB2312" w:eastAsia="仿宋_GB2312" w:hint="eastAsia"/>
          <w:sz w:val="32"/>
          <w:szCs w:val="32"/>
        </w:rPr>
        <w:t>万元，主要包括：基本工资、津贴补贴、奖金、</w:t>
      </w:r>
      <w:r>
        <w:rPr>
          <w:rFonts w:ascii="仿宋_GB2312" w:eastAsia="仿宋_GB2312" w:hint="eastAsia"/>
          <w:sz w:val="32"/>
          <w:szCs w:val="32"/>
        </w:rPr>
        <w:t>伙食补助费、</w:t>
      </w:r>
      <w:r>
        <w:rPr>
          <w:rFonts w:ascii="仿宋_GB2312" w:eastAsia="仿宋_GB2312" w:hint="eastAsia"/>
          <w:sz w:val="32"/>
          <w:szCs w:val="32"/>
        </w:rPr>
        <w:t>社会保险缴费、</w:t>
      </w:r>
      <w:r>
        <w:rPr>
          <w:rFonts w:ascii="仿宋_GB2312" w:eastAsia="仿宋_GB2312" w:hint="eastAsia"/>
          <w:sz w:val="32"/>
          <w:szCs w:val="32"/>
        </w:rPr>
        <w:t>住房公积金。</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商品和服务支出</w:t>
      </w:r>
      <w:r>
        <w:rPr>
          <w:rFonts w:ascii="仿宋_GB2312" w:eastAsia="仿宋_GB2312"/>
          <w:sz w:val="32"/>
          <w:szCs w:val="32"/>
        </w:rPr>
        <w:t>114.37</w:t>
      </w:r>
      <w:r>
        <w:rPr>
          <w:rFonts w:ascii="仿宋_GB2312" w:eastAsia="仿宋_GB2312" w:hint="eastAsia"/>
          <w:sz w:val="32"/>
          <w:szCs w:val="32"/>
        </w:rPr>
        <w:t>万元，主要包括：办公费、印刷费、</w:t>
      </w:r>
      <w:r>
        <w:rPr>
          <w:rFonts w:ascii="仿宋_GB2312" w:eastAsia="仿宋_GB2312" w:hint="eastAsia"/>
          <w:sz w:val="32"/>
          <w:szCs w:val="32"/>
        </w:rPr>
        <w:t>邮电费、差旅费、维修费、公务接待费、工会经费</w:t>
      </w:r>
      <w:r>
        <w:rPr>
          <w:rFonts w:ascii="仿宋_GB2312" w:eastAsia="仿宋_GB2312" w:hint="eastAsia"/>
          <w:sz w:val="32"/>
          <w:szCs w:val="32"/>
        </w:rPr>
        <w:t>、</w:t>
      </w:r>
      <w:r>
        <w:rPr>
          <w:rFonts w:ascii="仿宋_GB2312" w:eastAsia="仿宋_GB2312" w:hint="eastAsia"/>
          <w:sz w:val="32"/>
          <w:szCs w:val="32"/>
        </w:rPr>
        <w:t>公务用车运行维护费、其他交通费。</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峨眉山市疾病预防控制中心</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26DCA" w:rsidRDefault="0082361D">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峨眉山市疾病预防控制中心</w:t>
      </w:r>
      <w:r>
        <w:rPr>
          <w:rFonts w:ascii="仿宋_GB2312" w:eastAsia="仿宋_GB2312" w:hint="eastAsia"/>
          <w:sz w:val="32"/>
          <w:szCs w:val="32"/>
        </w:rPr>
        <w:t>2022</w:t>
      </w:r>
      <w:r>
        <w:rPr>
          <w:rFonts w:ascii="仿宋_GB2312" w:eastAsia="仿宋_GB2312" w:hint="eastAsia"/>
          <w:sz w:val="32"/>
          <w:szCs w:val="32"/>
        </w:rPr>
        <w:t>年“三公”经费预算数</w:t>
      </w:r>
      <w:r>
        <w:rPr>
          <w:rFonts w:ascii="仿宋_GB2312" w:eastAsia="仿宋_GB2312"/>
          <w:sz w:val="32"/>
          <w:szCs w:val="32"/>
        </w:rPr>
        <w:t>14</w:t>
      </w:r>
      <w:r>
        <w:rPr>
          <w:rFonts w:ascii="仿宋_GB2312" w:eastAsia="仿宋_GB2312" w:hint="eastAsia"/>
          <w:sz w:val="32"/>
          <w:szCs w:val="32"/>
        </w:rPr>
        <w:t>万元</w:t>
      </w:r>
      <w:r>
        <w:rPr>
          <w:rFonts w:ascii="仿宋_GB2312" w:eastAsia="仿宋_GB2312" w:hint="eastAsia"/>
          <w:sz w:val="32"/>
          <w:szCs w:val="32"/>
        </w:rPr>
        <w:t>。其中财政拨款安排“三公”经费</w:t>
      </w:r>
      <w:r>
        <w:rPr>
          <w:rFonts w:ascii="仿宋_GB2312" w:eastAsia="仿宋_GB2312"/>
          <w:sz w:val="32"/>
          <w:szCs w:val="32"/>
        </w:rPr>
        <w:t>14</w:t>
      </w:r>
      <w:r>
        <w:rPr>
          <w:rFonts w:ascii="仿宋_GB2312" w:eastAsia="仿宋_GB2312" w:hint="eastAsia"/>
          <w:sz w:val="32"/>
          <w:szCs w:val="32"/>
        </w:rPr>
        <w:t>万元。因公出国（境</w:t>
      </w:r>
      <w:r>
        <w:rPr>
          <w:rFonts w:ascii="仿宋_GB2312" w:eastAsia="仿宋_GB2312" w:hint="eastAsia"/>
          <w:sz w:val="32"/>
          <w:szCs w:val="32"/>
        </w:rPr>
        <w:t>）经费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sz w:val="32"/>
          <w:szCs w:val="32"/>
        </w:rPr>
        <w:t>1</w:t>
      </w:r>
      <w:r>
        <w:rPr>
          <w:rFonts w:ascii="仿宋_GB2312" w:eastAsia="仿宋_GB2312" w:hint="eastAsia"/>
          <w:sz w:val="32"/>
          <w:szCs w:val="32"/>
        </w:rPr>
        <w:t>万元，公务用车购置及运行维护费</w:t>
      </w:r>
      <w:r>
        <w:rPr>
          <w:rFonts w:ascii="仿宋_GB2312" w:eastAsia="仿宋_GB2312"/>
          <w:sz w:val="32"/>
          <w:szCs w:val="32"/>
        </w:rPr>
        <w:t>13</w:t>
      </w:r>
      <w:r>
        <w:rPr>
          <w:rFonts w:ascii="仿宋_GB2312" w:eastAsia="仿宋_GB2312" w:hint="eastAsia"/>
          <w:sz w:val="32"/>
          <w:szCs w:val="32"/>
        </w:rPr>
        <w:t>万元。</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无</w:t>
      </w:r>
      <w:r>
        <w:rPr>
          <w:rFonts w:ascii="仿宋_GB2312" w:eastAsia="仿宋_GB2312" w:hint="eastAsia"/>
          <w:sz w:val="32"/>
          <w:szCs w:val="32"/>
        </w:rPr>
        <w:t>因公出国（境）</w:t>
      </w:r>
      <w:r>
        <w:rPr>
          <w:rFonts w:ascii="仿宋_GB2312" w:eastAsia="仿宋_GB2312" w:hint="eastAsia"/>
          <w:sz w:val="32"/>
          <w:szCs w:val="32"/>
        </w:rPr>
        <w:t>预算</w:t>
      </w:r>
      <w:r>
        <w:rPr>
          <w:rFonts w:ascii="仿宋_GB2312" w:eastAsia="仿宋_GB2312" w:hint="eastAsia"/>
          <w:sz w:val="32"/>
          <w:szCs w:val="32"/>
        </w:rPr>
        <w:t>。</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年因公临时出国（境）未安排人次。</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2022</w:t>
      </w:r>
      <w:r>
        <w:rPr>
          <w:rFonts w:ascii="仿宋_GB2312" w:eastAsia="仿宋_GB2312" w:hint="eastAsia"/>
          <w:sz w:val="32"/>
          <w:szCs w:val="32"/>
        </w:rPr>
        <w:t>年公务接待费计划用于</w:t>
      </w:r>
      <w:r>
        <w:rPr>
          <w:rFonts w:ascii="仿宋_GB2312" w:eastAsia="仿宋_GB2312" w:hint="eastAsia"/>
          <w:sz w:val="32"/>
          <w:szCs w:val="32"/>
        </w:rPr>
        <w:t>对上级单位来我单位进</w:t>
      </w:r>
      <w:r>
        <w:rPr>
          <w:rFonts w:ascii="仿宋_GB2312" w:eastAsia="仿宋_GB2312" w:hint="eastAsia"/>
          <w:sz w:val="32"/>
          <w:szCs w:val="32"/>
        </w:rPr>
        <w:lastRenderedPageBreak/>
        <w:t>行工作督导时接待用</w:t>
      </w:r>
      <w:r>
        <w:rPr>
          <w:rFonts w:ascii="仿宋_GB2312" w:eastAsia="仿宋_GB2312" w:hint="eastAsia"/>
          <w:sz w:val="32"/>
          <w:szCs w:val="32"/>
        </w:rPr>
        <w:t>。</w:t>
      </w:r>
    </w:p>
    <w:p w:rsidR="00E26DCA" w:rsidRDefault="0082361D">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w:t>
      </w:r>
      <w:r>
        <w:rPr>
          <w:rFonts w:ascii="仿宋_GB2312" w:eastAsia="仿宋_GB2312"/>
          <w:sz w:val="32"/>
          <w:szCs w:val="32"/>
        </w:rPr>
        <w:t>13</w:t>
      </w:r>
      <w:r>
        <w:rPr>
          <w:rFonts w:ascii="仿宋_GB2312" w:eastAsia="仿宋_GB2312" w:hint="eastAsia"/>
          <w:sz w:val="32"/>
          <w:szCs w:val="32"/>
        </w:rPr>
        <w:t>万元</w:t>
      </w:r>
      <w:r>
        <w:rPr>
          <w:rFonts w:ascii="仿宋_GB2312" w:eastAsia="仿宋_GB2312" w:hint="eastAsia"/>
          <w:sz w:val="32"/>
          <w:szCs w:val="32"/>
        </w:rPr>
        <w:t>。单位现有公务用车</w:t>
      </w:r>
      <w:r>
        <w:rPr>
          <w:rFonts w:ascii="仿宋_GB2312" w:eastAsia="仿宋_GB2312"/>
          <w:sz w:val="32"/>
          <w:szCs w:val="32"/>
        </w:rPr>
        <w:t>3</w:t>
      </w:r>
      <w:r>
        <w:rPr>
          <w:rFonts w:ascii="仿宋_GB2312" w:eastAsia="仿宋_GB2312" w:hint="eastAsia"/>
          <w:sz w:val="32"/>
          <w:szCs w:val="32"/>
        </w:rPr>
        <w:t>辆</w:t>
      </w:r>
      <w:r>
        <w:rPr>
          <w:rFonts w:ascii="仿宋_GB2312" w:eastAsia="仿宋_GB2312" w:hint="eastAsia"/>
          <w:sz w:val="32"/>
          <w:szCs w:val="32"/>
        </w:rPr>
        <w:t>。</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年安排公务用车运行维护费</w:t>
      </w:r>
      <w:r>
        <w:rPr>
          <w:rFonts w:ascii="仿宋_GB2312" w:eastAsia="仿宋_GB2312"/>
          <w:sz w:val="32"/>
          <w:szCs w:val="32"/>
        </w:rPr>
        <w:t>13</w:t>
      </w:r>
      <w:r>
        <w:rPr>
          <w:rFonts w:ascii="仿宋_GB2312" w:eastAsia="仿宋_GB2312" w:hint="eastAsia"/>
          <w:sz w:val="32"/>
          <w:szCs w:val="32"/>
        </w:rPr>
        <w:t>万元，用于</w:t>
      </w:r>
      <w:r>
        <w:rPr>
          <w:rFonts w:ascii="仿宋_GB2312" w:eastAsia="仿宋_GB2312" w:hint="eastAsia"/>
          <w:sz w:val="32"/>
          <w:szCs w:val="32"/>
        </w:rPr>
        <w:t>维修、养护公务用车</w:t>
      </w:r>
      <w:r>
        <w:rPr>
          <w:rFonts w:ascii="仿宋_GB2312" w:eastAsia="仿宋_GB2312" w:hint="eastAsia"/>
          <w:sz w:val="32"/>
          <w:szCs w:val="32"/>
        </w:rPr>
        <w:t>。</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峨眉山市疾病预防控制中心</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114.37</w:t>
      </w:r>
      <w:r>
        <w:rPr>
          <w:rFonts w:ascii="仿宋_GB2312" w:eastAsia="仿宋_GB2312" w:hint="eastAsia"/>
          <w:sz w:val="32"/>
          <w:szCs w:val="32"/>
        </w:rPr>
        <w:t>万元。</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峨眉山市疾病预防控制中心无</w:t>
      </w:r>
      <w:r>
        <w:rPr>
          <w:rFonts w:ascii="仿宋_GB2312" w:eastAsia="仿宋_GB2312" w:hint="eastAsia"/>
          <w:sz w:val="32"/>
          <w:szCs w:val="32"/>
        </w:rPr>
        <w:t>安排政府采购预算。</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sz w:val="32"/>
          <w:szCs w:val="32"/>
        </w:rPr>
        <w:t>峨眉山市疾病预防控制中心</w:t>
      </w:r>
      <w:r>
        <w:rPr>
          <w:rFonts w:ascii="仿宋_GB2312" w:eastAsia="仿宋_GB2312" w:hint="eastAsia"/>
          <w:sz w:val="32"/>
          <w:szCs w:val="32"/>
        </w:rPr>
        <w:t>实际共有车辆</w:t>
      </w:r>
      <w:r>
        <w:rPr>
          <w:rFonts w:ascii="仿宋_GB2312" w:eastAsia="仿宋_GB2312"/>
          <w:sz w:val="32"/>
          <w:szCs w:val="32"/>
        </w:rPr>
        <w:t>3</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预算安排购置车辆及单位价值</w:t>
      </w:r>
      <w:r>
        <w:rPr>
          <w:rFonts w:ascii="仿宋_GB2312" w:eastAsia="仿宋_GB2312" w:hint="eastAsia"/>
          <w:sz w:val="32"/>
          <w:szCs w:val="32"/>
        </w:rPr>
        <w:t>200</w:t>
      </w:r>
      <w:r>
        <w:rPr>
          <w:rFonts w:ascii="仿宋_GB2312" w:eastAsia="仿宋_GB2312" w:hint="eastAsia"/>
          <w:sz w:val="32"/>
          <w:szCs w:val="32"/>
        </w:rPr>
        <w:t>万元以上大型设备。</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w:t>
      </w:r>
      <w:r>
        <w:rPr>
          <w:rFonts w:ascii="仿宋_GB2312" w:eastAsia="仿宋_GB2312" w:hint="eastAsia"/>
          <w:sz w:val="32"/>
          <w:szCs w:val="32"/>
        </w:rPr>
        <w:t>标设置情况。</w:t>
      </w:r>
    </w:p>
    <w:p w:rsidR="00E26DCA" w:rsidRDefault="008236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预算安排</w:t>
      </w:r>
      <w:r>
        <w:rPr>
          <w:rFonts w:ascii="仿宋_GB2312" w:eastAsia="仿宋_GB2312" w:hint="eastAsia"/>
          <w:sz w:val="32"/>
          <w:szCs w:val="32"/>
        </w:rPr>
        <w:t>绩效目标管理预算</w:t>
      </w:r>
      <w:r>
        <w:rPr>
          <w:rFonts w:ascii="仿宋_GB2312" w:eastAsia="仿宋_GB2312" w:hint="eastAsia"/>
          <w:sz w:val="32"/>
          <w:szCs w:val="32"/>
        </w:rPr>
        <w:t>。</w:t>
      </w:r>
    </w:p>
    <w:p w:rsidR="00E26DCA" w:rsidRDefault="0082361D">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w:t>
      </w:r>
      <w:r>
        <w:rPr>
          <w:rFonts w:ascii="仿宋_GB2312" w:eastAsia="仿宋_GB2312" w:hint="eastAsia"/>
          <w:color w:val="000000"/>
          <w:sz w:val="32"/>
          <w:szCs w:val="32"/>
        </w:rPr>
        <w:t>社会保障和就业</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）：指机关事业单位基本养老保险缴费支出；</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06</w:t>
      </w:r>
      <w:r>
        <w:rPr>
          <w:rFonts w:ascii="仿宋_GB2312" w:eastAsia="仿宋_GB2312" w:hint="eastAsia"/>
          <w:sz w:val="32"/>
          <w:szCs w:val="32"/>
        </w:rPr>
        <w:t>（项）：</w:t>
      </w:r>
      <w:r>
        <w:rPr>
          <w:rFonts w:ascii="仿宋_GB2312" w:eastAsia="仿宋_GB2312" w:hint="eastAsia"/>
          <w:sz w:val="32"/>
          <w:szCs w:val="32"/>
        </w:rPr>
        <w:t>指机关事业单位职业年金缴费支出；</w:t>
      </w:r>
      <w:r>
        <w:rPr>
          <w:rFonts w:ascii="仿宋_GB2312" w:eastAsia="仿宋_GB2312" w:hint="eastAsia"/>
          <w:sz w:val="32"/>
          <w:szCs w:val="32"/>
        </w:rPr>
        <w:t>99</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指机关事业单位工伤保险缴费支出</w:t>
      </w:r>
      <w:r>
        <w:rPr>
          <w:rFonts w:ascii="仿宋_GB2312" w:eastAsia="仿宋_GB2312" w:hint="eastAsia"/>
          <w:color w:val="000000"/>
          <w:sz w:val="32"/>
          <w:szCs w:val="32"/>
        </w:rPr>
        <w:t>。</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26DCA" w:rsidRDefault="00E26DCA">
      <w:pPr>
        <w:spacing w:line="600" w:lineRule="exact"/>
        <w:outlineLvl w:val="1"/>
      </w:pPr>
    </w:p>
    <w:sectPr w:rsidR="00E26DCA" w:rsidSect="00E26DCA">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DCA" w:rsidRDefault="00E26DCA" w:rsidP="00E26DCA">
      <w:r>
        <w:separator/>
      </w:r>
    </w:p>
  </w:endnote>
  <w:endnote w:type="continuationSeparator" w:id="1">
    <w:p w:rsidR="00E26DCA" w:rsidRDefault="00E26DCA" w:rsidP="00E26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CA" w:rsidRDefault="0082361D">
    <w:pPr>
      <w:pStyle w:val="a3"/>
      <w:ind w:firstLineChars="100" w:firstLine="280"/>
      <w:rPr>
        <w:rFonts w:ascii="宋体" w:hAnsi="宋体"/>
        <w:sz w:val="28"/>
        <w:szCs w:val="28"/>
      </w:rPr>
    </w:pPr>
    <w:r>
      <w:rPr>
        <w:rFonts w:ascii="宋体" w:hAnsi="宋体" w:hint="eastAsia"/>
        <w:kern w:val="0"/>
        <w:sz w:val="28"/>
        <w:szCs w:val="28"/>
      </w:rPr>
      <w:t>—</w:t>
    </w:r>
    <w:r w:rsidR="00E26DCA">
      <w:rPr>
        <w:rFonts w:ascii="宋体" w:hAnsi="宋体"/>
        <w:kern w:val="0"/>
        <w:sz w:val="28"/>
        <w:szCs w:val="28"/>
      </w:rPr>
      <w:fldChar w:fldCharType="begin"/>
    </w:r>
    <w:r>
      <w:rPr>
        <w:rFonts w:ascii="宋体" w:hAnsi="宋体"/>
        <w:kern w:val="0"/>
        <w:sz w:val="28"/>
        <w:szCs w:val="28"/>
      </w:rPr>
      <w:instrText xml:space="preserve"> PAGE </w:instrText>
    </w:r>
    <w:r w:rsidR="00E26DCA">
      <w:rPr>
        <w:rFonts w:ascii="宋体" w:hAnsi="宋体"/>
        <w:kern w:val="0"/>
        <w:sz w:val="28"/>
        <w:szCs w:val="28"/>
      </w:rPr>
      <w:fldChar w:fldCharType="separate"/>
    </w:r>
    <w:r>
      <w:rPr>
        <w:rFonts w:ascii="宋体" w:hAnsi="宋体"/>
        <w:noProof/>
        <w:kern w:val="0"/>
        <w:sz w:val="28"/>
        <w:szCs w:val="28"/>
      </w:rPr>
      <w:t>10</w:t>
    </w:r>
    <w:r w:rsidR="00E26DCA">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CA" w:rsidRDefault="0082361D">
    <w:pPr>
      <w:pStyle w:val="a3"/>
      <w:wordWrap w:val="0"/>
      <w:jc w:val="right"/>
      <w:rPr>
        <w:rFonts w:ascii="宋体" w:hAnsi="宋体"/>
        <w:sz w:val="28"/>
        <w:szCs w:val="28"/>
      </w:rPr>
    </w:pPr>
    <w:r>
      <w:rPr>
        <w:rFonts w:ascii="宋体" w:hAnsi="宋体" w:hint="eastAsia"/>
        <w:kern w:val="0"/>
        <w:sz w:val="28"/>
        <w:szCs w:val="28"/>
      </w:rPr>
      <w:t>—</w:t>
    </w:r>
    <w:r w:rsidR="00E26DCA">
      <w:rPr>
        <w:rFonts w:ascii="宋体" w:hAnsi="宋体"/>
        <w:kern w:val="0"/>
        <w:sz w:val="28"/>
        <w:szCs w:val="28"/>
      </w:rPr>
      <w:fldChar w:fldCharType="begin"/>
    </w:r>
    <w:r>
      <w:rPr>
        <w:rFonts w:ascii="宋体" w:hAnsi="宋体"/>
        <w:kern w:val="0"/>
        <w:sz w:val="28"/>
        <w:szCs w:val="28"/>
      </w:rPr>
      <w:instrText xml:space="preserve"> PAGE </w:instrText>
    </w:r>
    <w:r w:rsidR="00E26DCA">
      <w:rPr>
        <w:rFonts w:ascii="宋体" w:hAnsi="宋体"/>
        <w:kern w:val="0"/>
        <w:sz w:val="28"/>
        <w:szCs w:val="28"/>
      </w:rPr>
      <w:fldChar w:fldCharType="separate"/>
    </w:r>
    <w:r>
      <w:rPr>
        <w:rFonts w:ascii="宋体" w:hAnsi="宋体"/>
        <w:noProof/>
        <w:kern w:val="0"/>
        <w:sz w:val="28"/>
        <w:szCs w:val="28"/>
      </w:rPr>
      <w:t>9</w:t>
    </w:r>
    <w:r w:rsidR="00E26DCA">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DCA" w:rsidRDefault="00E26DCA" w:rsidP="00E26DCA">
      <w:r>
        <w:separator/>
      </w:r>
    </w:p>
  </w:footnote>
  <w:footnote w:type="continuationSeparator" w:id="1">
    <w:p w:rsidR="00E26DCA" w:rsidRDefault="00E26DCA" w:rsidP="00E26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A22FE2"/>
    <w:multiLevelType w:val="singleLevel"/>
    <w:tmpl w:val="FDA22FE2"/>
    <w:lvl w:ilvl="0">
      <w:start w:val="11"/>
      <w:numFmt w:val="decimal"/>
      <w:suff w:val="nothing"/>
      <w:lvlText w:val="%1、"/>
      <w:lvlJc w:val="left"/>
    </w:lvl>
  </w:abstractNum>
  <w:abstractNum w:abstractNumId="1">
    <w:nsid w:val="0F9100AF"/>
    <w:multiLevelType w:val="singleLevel"/>
    <w:tmpl w:val="0F9100AF"/>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420"/>
  <w:evenAndOddHeaders/>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2361D"/>
    <w:rsid w:val="00861D72"/>
    <w:rsid w:val="008C72F8"/>
    <w:rsid w:val="009340F3"/>
    <w:rsid w:val="00A527E0"/>
    <w:rsid w:val="00AE4401"/>
    <w:rsid w:val="00B3548B"/>
    <w:rsid w:val="00BB666B"/>
    <w:rsid w:val="00C044B7"/>
    <w:rsid w:val="00C5515C"/>
    <w:rsid w:val="00CC5FF3"/>
    <w:rsid w:val="00D36FE8"/>
    <w:rsid w:val="00DE1A43"/>
    <w:rsid w:val="00DF77CF"/>
    <w:rsid w:val="00E26DCA"/>
    <w:rsid w:val="00EA6295"/>
    <w:rsid w:val="00F429C0"/>
    <w:rsid w:val="00FB45E1"/>
    <w:rsid w:val="0137585C"/>
    <w:rsid w:val="049904F6"/>
    <w:rsid w:val="055C1DCA"/>
    <w:rsid w:val="06222FBA"/>
    <w:rsid w:val="066D6077"/>
    <w:rsid w:val="0802719B"/>
    <w:rsid w:val="09CA0F5B"/>
    <w:rsid w:val="0FB613D7"/>
    <w:rsid w:val="10E4799A"/>
    <w:rsid w:val="15D35DF5"/>
    <w:rsid w:val="16D06097"/>
    <w:rsid w:val="18172F42"/>
    <w:rsid w:val="184E07CD"/>
    <w:rsid w:val="1CB167FF"/>
    <w:rsid w:val="1EA025C2"/>
    <w:rsid w:val="1F365049"/>
    <w:rsid w:val="1FE52FAA"/>
    <w:rsid w:val="26B07CDA"/>
    <w:rsid w:val="2DEF49D8"/>
    <w:rsid w:val="2E224CF9"/>
    <w:rsid w:val="2ED21556"/>
    <w:rsid w:val="3181090E"/>
    <w:rsid w:val="35767A63"/>
    <w:rsid w:val="36653C36"/>
    <w:rsid w:val="36AA04C1"/>
    <w:rsid w:val="36DD628E"/>
    <w:rsid w:val="39FD2415"/>
    <w:rsid w:val="3B324F99"/>
    <w:rsid w:val="3CD6781F"/>
    <w:rsid w:val="3D35481F"/>
    <w:rsid w:val="3EC55E70"/>
    <w:rsid w:val="3ED2439E"/>
    <w:rsid w:val="3EE741B8"/>
    <w:rsid w:val="478E3008"/>
    <w:rsid w:val="493C20A5"/>
    <w:rsid w:val="4A100EE1"/>
    <w:rsid w:val="50412636"/>
    <w:rsid w:val="5075198A"/>
    <w:rsid w:val="541A530D"/>
    <w:rsid w:val="556E384F"/>
    <w:rsid w:val="58B53759"/>
    <w:rsid w:val="5BF36CAC"/>
    <w:rsid w:val="5D2A58DF"/>
    <w:rsid w:val="5E4C5202"/>
    <w:rsid w:val="61FC5561"/>
    <w:rsid w:val="64017D28"/>
    <w:rsid w:val="64F75876"/>
    <w:rsid w:val="660C18CA"/>
    <w:rsid w:val="67D2734F"/>
    <w:rsid w:val="680143B0"/>
    <w:rsid w:val="68773B49"/>
    <w:rsid w:val="689C4E6C"/>
    <w:rsid w:val="68BA29D0"/>
    <w:rsid w:val="6B5B7CDD"/>
    <w:rsid w:val="6C174659"/>
    <w:rsid w:val="6C790353"/>
    <w:rsid w:val="6C95052E"/>
    <w:rsid w:val="6D827EB8"/>
    <w:rsid w:val="6F9F2EBE"/>
    <w:rsid w:val="70076BE8"/>
    <w:rsid w:val="71E0251A"/>
    <w:rsid w:val="72C8433E"/>
    <w:rsid w:val="74E32AF5"/>
    <w:rsid w:val="75D42C87"/>
    <w:rsid w:val="7697339E"/>
    <w:rsid w:val="771066E9"/>
    <w:rsid w:val="77A66D20"/>
    <w:rsid w:val="783F6C83"/>
    <w:rsid w:val="794A5C49"/>
    <w:rsid w:val="7A026B23"/>
    <w:rsid w:val="7B68025A"/>
    <w:rsid w:val="7B7826B4"/>
    <w:rsid w:val="7BD53DFB"/>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DC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6DCA"/>
    <w:pPr>
      <w:tabs>
        <w:tab w:val="center" w:pos="4153"/>
        <w:tab w:val="right" w:pos="8306"/>
      </w:tabs>
      <w:snapToGrid w:val="0"/>
      <w:jc w:val="left"/>
    </w:pPr>
    <w:rPr>
      <w:sz w:val="18"/>
      <w:szCs w:val="18"/>
    </w:rPr>
  </w:style>
  <w:style w:type="paragraph" w:styleId="a4">
    <w:name w:val="header"/>
    <w:basedOn w:val="a"/>
    <w:qFormat/>
    <w:rsid w:val="00E26DCA"/>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26DCA"/>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qFormat/>
    <w:rsid w:val="00E26DCA"/>
    <w:pPr>
      <w:widowControl/>
    </w:pPr>
    <w:rPr>
      <w:kern w:val="0"/>
    </w:rPr>
  </w:style>
  <w:style w:type="paragraph" w:styleId="a5">
    <w:name w:val="List Paragraph"/>
    <w:basedOn w:val="a"/>
    <w:uiPriority w:val="34"/>
    <w:qFormat/>
    <w:rsid w:val="00E26DC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3910</Words>
  <Characters>354</Characters>
  <Application>Microsoft Office Word</Application>
  <DocSecurity>0</DocSecurity>
  <Lines>2</Lines>
  <Paragraphs>8</Paragraphs>
  <ScaleCrop>false</ScaleCrop>
  <Company>微软中国</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cp:revision>
  <cp:lastPrinted>2022-02-18T07:40:00Z</cp:lastPrinted>
  <dcterms:created xsi:type="dcterms:W3CDTF">2018-02-05T06:16:00Z</dcterms:created>
  <dcterms:modified xsi:type="dcterms:W3CDTF">2022-03-03T01:38:00Z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7B46D63FBEAA438592A65F8226445980</vt:lpwstr>
  </property>
</Properties>
</file>