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峨眉山市峨山镇卫生院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bookmarkStart w:id="0" w:name="_GoBack"/>
      <w:bookmarkEnd w:id="0"/>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306.92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1.73</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0.31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1.21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22.80万元，占89.13%；住房保障支出2.47万元，占9.66%</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20.72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0.31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2.47</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峨眉山市峨山镇卫生院不属于机关单位，无机关运行经费。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峨眉山市峨山镇卫生院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25.58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0E1122"/>
    <w:rsid w:val="066D6077"/>
    <w:rsid w:val="154C626B"/>
    <w:rsid w:val="15D35DF5"/>
    <w:rsid w:val="1E793494"/>
    <w:rsid w:val="270B2E60"/>
    <w:rsid w:val="276557C3"/>
    <w:rsid w:val="2EB76F3E"/>
    <w:rsid w:val="2ED21556"/>
    <w:rsid w:val="36285339"/>
    <w:rsid w:val="36DD628E"/>
    <w:rsid w:val="3C21458C"/>
    <w:rsid w:val="3EE741B8"/>
    <w:rsid w:val="472A5D26"/>
    <w:rsid w:val="493C20A5"/>
    <w:rsid w:val="50041FB8"/>
    <w:rsid w:val="53CB20CE"/>
    <w:rsid w:val="5D840237"/>
    <w:rsid w:val="67D2734F"/>
    <w:rsid w:val="71EB38AE"/>
    <w:rsid w:val="745F682E"/>
    <w:rsid w:val="7697339E"/>
    <w:rsid w:val="7A3B4968"/>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2022-02-24T03:06:00Z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