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关于峨眉山市</w:t>
      </w:r>
      <w:r>
        <w:rPr>
          <w:rFonts w:hint="eastAsia" w:ascii="方正小标宋简体" w:eastAsia="方正小标宋简体"/>
          <w:sz w:val="44"/>
          <w:szCs w:val="44"/>
          <w:lang w:eastAsia="zh-CN"/>
        </w:rPr>
        <w:t>第三幼儿园</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2年预算编制的说明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（一）主要职能</w:t>
      </w:r>
      <w:r>
        <w:rPr>
          <w:rFonts w:hint="eastAsia" w:ascii="仿宋_GB2312" w:eastAsia="仿宋_GB2312"/>
          <w:sz w:val="32"/>
          <w:szCs w:val="32"/>
          <w:lang w:eastAsia="zh-CN"/>
        </w:rPr>
        <w:t>。为学龄前儿童提供保育和教育服务，从事幼儿保育和教育。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2年重点工作任务</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1、全面加强党的领导，夯实先锋工程。学习宣传阐释党的创新理论；</w:t>
      </w:r>
      <w:r>
        <w:rPr>
          <w:rFonts w:hint="eastAsia" w:ascii="仿宋" w:hAnsi="仿宋" w:eastAsia="仿宋" w:cs="仿宋"/>
          <w:sz w:val="32"/>
          <w:szCs w:val="32"/>
        </w:rPr>
        <w:t>坚定不移推进全面从严治党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强化两支队伍</w:t>
      </w:r>
      <w:r>
        <w:rPr>
          <w:rFonts w:hint="eastAsia" w:ascii="仿宋" w:hAnsi="仿宋" w:eastAsia="仿宋" w:cs="仿宋"/>
          <w:sz w:val="32"/>
          <w:szCs w:val="32"/>
        </w:rPr>
        <w:t>建设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培养</w:t>
      </w:r>
      <w:r>
        <w:rPr>
          <w:rFonts w:hint="eastAsia" w:ascii="仿宋" w:hAnsi="仿宋" w:eastAsia="仿宋" w:cs="仿宋"/>
          <w:sz w:val="32"/>
          <w:szCs w:val="32"/>
        </w:rPr>
        <w:t>高素质专业化干部队伍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对宣传工作的领导。利用好中国网、微峨眉、峨眉教育、天下峨眉等载体，发挥园所官微喉舌作用和阵地作用、展示作用，播种教育先进理念，展示学校全面工作、儿童健康成长样态；加强对群团工作领导。贯彻教育部2022关工工作精神，求真务实、切实保障好幼儿和特殊儿童健康成长；关心退协工作，支持老同志们老有所乐、老有所为。关心青年成长，为党员发展和干部培养做好储备，开展创建活动，提升共青团活跃度。推进工会职能进一步发挥，更广泛凝聚学校高品质建设智慧和力量。</w:t>
      </w:r>
    </w:p>
    <w:p>
      <w:pPr>
        <w:bidi w:val="0"/>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2、全面推进高品质建设、抓实强基工程。</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（1）推进《幼儿园幸福课程编制与完善》紧扣幸福儿童核心素养，构建幸福课程。以幸福课程实施推进成就幸福教师、助力幸福家庭建设。</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（2）对话审视完善管理制度、内控制度，推进落实高质量发展视角下的部门管理，促进推进满意度美誉度提升。落实五走进，多种对话方式畅通联系渠道，及时发现问题和解决问题。</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以办园行为评估指导为重点，以规范园务管理、质量提升为目标，以切实解决联盟内学校真问题为抓手，多形式、行之有效指导和助力联盟学校扩容提质健康发展，探索和实施集团整体发展实践，提升集团品牌影响力。</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实施高质量发展视角下的业务管理。以《幼儿园保育教育质量评估指南》为指导，抓好“规范与质量”两条主线，推进双减和五项管理改革背景下的保教常规管理；固化和创新举措、优化机制，抓实保教管理，并形成保教管理手册。</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（5）幸福教育课程实施方案编制与完善。全面梳理已有课程、架构和实施《峨眉三幼入学准备课程》，围绕幸福儿童核心素养构建幸福教育课程体系，深化幸福教育品牌实施。</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（6）营造良好推普环境，使用规范字，结合主题教育开展经典诵读、小小朗读者、图书漂流等推进爱上阅读计划，传承弘扬中华优秀语言文化。</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家庭是高品质幼儿园的支撑。协同共生打造理念认同行动协同的高品质教育共同体。多形式提升家园联系有效性、助力家庭科学育儿；推进两级家委会工作、家长学校高品质建设；提升亲子活动常态化和影响力，以活动为载体助力幸福家庭建设。</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研训教一体园本教研模式促进教师专业自觉，聚焦真问题提升实践智慧，共享探索经验寻求突破之策。深化园本研训、常态组内教研、拓展自我研修，赋能生命提升专业幸福。抓实微课题和理立项课题工作。</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3、后勤管理。</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（1）加强学习、梳理完善内控机制、强化经费预算、优化常规采购、推进能耗降低、强化节约意识、做好固定资产管理、精细运维管理、加强部门协作、提升保障能力。</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（2）推进省级创建示范园硬件提升暨园所高品质建设项目。</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（3）强化学习、培训展示、物化岗位流程，提高队伍认识水平、岗位履职能力和安全“一岗双责”。</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（4）以“你点我检”细则等上级相关要求为指导，推进饮食饮水制度完善和品质提升、切实保障安全底线、助力儿童健康成长。</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4、平安工程。</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全防疫工作。完善制度和机制建设，建构完善的管理网络。梳理完善责任清单、开展安全承诺，抓实安全各项工作闭环管理、落实安全考核奖惩，推进安防建设三年行动计划。加强队伍建设常态岗位培训，全面提升管理者、安保、教职员工各岗位履职能力。完善家长护卫队、教职工应急队伍等组织建设，应对突发事件等，多维聚力保障安全。</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保健防疫工作。抓实常态工作：两案九制和开学方案等动态完善、开学工评估、日常师生辅助人员及共同生活人摸排管控、校园封闭式管理实施等常态工作。保健常规落实到位：抓实视力、贫血、体弱幼儿等健康干预措施，精细日常保健管理筑牢传染病防控屏障，有效控制和杜绝继发性传染病保障幼儿健康发育。根据《中国学校结核病防控指南》完善工作机制，抓好保健室建设和保健医专业能力提升，夯实健康教育、幼儿入园离园管理全链条各环节、畅通相关单位沟通机制、抓好结核病防控工作。开展保健卫生问题针对性研究，切实解决存在问题，促进保健防疫工作品质提升助力儿童健康成长。</w:t>
      </w:r>
    </w:p>
    <w:p>
      <w:pPr>
        <w:numPr>
          <w:ilvl w:val="0"/>
          <w:numId w:val="0"/>
        </w:numPr>
        <w:ind w:firstLine="640" w:firstLineChars="200"/>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峨眉山市第三幼儿园</w:t>
      </w:r>
      <w:r>
        <w:rPr>
          <w:rFonts w:hint="eastAsia" w:ascii="仿宋_GB2312" w:eastAsia="仿宋_GB2312"/>
          <w:sz w:val="32"/>
          <w:szCs w:val="32"/>
        </w:rPr>
        <w:t>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峨眉山市第三幼儿园</w:t>
      </w:r>
      <w:r>
        <w:rPr>
          <w:rFonts w:hint="eastAsia" w:ascii="仿宋_GB2312" w:eastAsia="仿宋_GB2312"/>
          <w:sz w:val="32"/>
          <w:szCs w:val="32"/>
        </w:rPr>
        <w:t>所有收入和支出均纳入预算管理。20</w:t>
      </w:r>
      <w:r>
        <w:rPr>
          <w:rFonts w:ascii="仿宋_GB2312" w:eastAsia="仿宋_GB2312"/>
          <w:sz w:val="32"/>
          <w:szCs w:val="32"/>
        </w:rPr>
        <w:t>2</w:t>
      </w:r>
      <w:r>
        <w:rPr>
          <w:rFonts w:hint="eastAsia" w:ascii="仿宋_GB2312" w:eastAsia="仿宋_GB2312"/>
          <w:sz w:val="32"/>
          <w:szCs w:val="32"/>
        </w:rPr>
        <w:t>2年</w:t>
      </w:r>
      <w:r>
        <w:rPr>
          <w:rFonts w:hint="eastAsia" w:ascii="仿宋_GB2312" w:eastAsia="仿宋_GB2312"/>
          <w:sz w:val="32"/>
          <w:szCs w:val="32"/>
          <w:lang w:eastAsia="zh-CN"/>
        </w:rPr>
        <w:t>峨眉山市第三幼儿园</w:t>
      </w:r>
      <w:r>
        <w:rPr>
          <w:rFonts w:hint="eastAsia" w:ascii="仿宋_GB2312" w:eastAsia="仿宋_GB2312"/>
          <w:sz w:val="32"/>
          <w:szCs w:val="32"/>
        </w:rPr>
        <w:t>收入预算总额为</w:t>
      </w:r>
      <w:r>
        <w:rPr>
          <w:rFonts w:hint="eastAsia" w:ascii="仿宋_GB2312" w:eastAsia="仿宋_GB2312"/>
          <w:sz w:val="32"/>
          <w:szCs w:val="32"/>
          <w:lang w:val="en-US" w:eastAsia="zh-CN"/>
        </w:rPr>
        <w:t>525.18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17.9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525.18</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525.18</w:t>
      </w:r>
      <w:r>
        <w:rPr>
          <w:rFonts w:hint="eastAsia" w:ascii="仿宋_GB2312" w:eastAsia="仿宋_GB2312"/>
          <w:sz w:val="32"/>
          <w:szCs w:val="32"/>
        </w:rPr>
        <w:t>万元，其中：人员支出</w:t>
      </w:r>
      <w:r>
        <w:rPr>
          <w:rFonts w:hint="eastAsia" w:ascii="仿宋_GB2312" w:eastAsia="仿宋_GB2312"/>
          <w:sz w:val="32"/>
          <w:szCs w:val="32"/>
          <w:lang w:val="en-US" w:eastAsia="zh-CN"/>
        </w:rPr>
        <w:t>284.89</w:t>
      </w:r>
      <w:r>
        <w:rPr>
          <w:rFonts w:hint="eastAsia" w:ascii="仿宋_GB2312" w:eastAsia="仿宋_GB2312"/>
          <w:sz w:val="32"/>
          <w:szCs w:val="32"/>
        </w:rPr>
        <w:t>万元，日常公用支出</w:t>
      </w:r>
      <w:r>
        <w:rPr>
          <w:rFonts w:hint="eastAsia" w:ascii="仿宋_GB2312" w:eastAsia="仿宋_GB2312"/>
          <w:sz w:val="32"/>
          <w:szCs w:val="32"/>
          <w:lang w:val="en-US" w:eastAsia="zh-CN"/>
        </w:rPr>
        <w:t>137.1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峨眉山市第三幼儿园</w:t>
      </w:r>
      <w:r>
        <w:rPr>
          <w:rFonts w:hint="eastAsia" w:ascii="仿宋_GB2312" w:eastAsia="仿宋_GB2312"/>
          <w:sz w:val="32"/>
          <w:szCs w:val="32"/>
        </w:rPr>
        <w:t>2022年财政拨款收支总预算</w:t>
      </w:r>
      <w:r>
        <w:rPr>
          <w:rFonts w:hint="eastAsia" w:ascii="仿宋_GB2312" w:eastAsia="仿宋_GB2312"/>
          <w:sz w:val="32"/>
          <w:szCs w:val="32"/>
          <w:lang w:val="en-US" w:eastAsia="zh-CN"/>
        </w:rPr>
        <w:t>525.18</w:t>
      </w:r>
      <w:r>
        <w:rPr>
          <w:rFonts w:hint="eastAsia" w:ascii="仿宋_GB2312" w:eastAsia="仿宋_GB2312"/>
          <w:sz w:val="32"/>
          <w:szCs w:val="32"/>
        </w:rPr>
        <w:t>万元，主要用于保障</w:t>
      </w:r>
      <w:r>
        <w:rPr>
          <w:rFonts w:hint="eastAsia" w:ascii="仿宋_GB2312" w:eastAsia="仿宋_GB2312"/>
          <w:sz w:val="32"/>
          <w:szCs w:val="32"/>
          <w:lang w:eastAsia="zh-CN"/>
        </w:rPr>
        <w:t>峨眉山市第三幼儿园</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421.98</w:t>
      </w:r>
      <w:r>
        <w:rPr>
          <w:rFonts w:hint="eastAsia" w:ascii="仿宋_GB2312" w:eastAsia="仿宋_GB2312"/>
          <w:sz w:val="32"/>
          <w:szCs w:val="32"/>
        </w:rPr>
        <w:t>万元，是用于保障</w:t>
      </w:r>
      <w:r>
        <w:rPr>
          <w:rFonts w:hint="eastAsia" w:ascii="仿宋_GB2312" w:eastAsia="仿宋_GB2312"/>
          <w:sz w:val="32"/>
          <w:szCs w:val="32"/>
          <w:lang w:eastAsia="zh-CN"/>
        </w:rPr>
        <w:t>峨眉山市第三幼儿园</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103.2</w:t>
      </w:r>
      <w:r>
        <w:rPr>
          <w:rFonts w:hint="eastAsia" w:ascii="仿宋_GB2312" w:eastAsia="仿宋_GB2312"/>
          <w:sz w:val="32"/>
          <w:szCs w:val="32"/>
        </w:rPr>
        <w:t>万元，是用于保障</w:t>
      </w:r>
      <w:r>
        <w:rPr>
          <w:rFonts w:hint="eastAsia" w:ascii="仿宋_GB2312" w:eastAsia="仿宋_GB2312"/>
          <w:sz w:val="32"/>
          <w:szCs w:val="32"/>
          <w:lang w:eastAsia="zh-CN"/>
        </w:rPr>
        <w:t>峨眉山市第三幼儿园</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峨眉山市第三幼儿园</w:t>
      </w:r>
      <w:r>
        <w:rPr>
          <w:rFonts w:hint="eastAsia" w:ascii="仿宋_GB2312" w:eastAsia="仿宋_GB2312"/>
          <w:sz w:val="32"/>
          <w:szCs w:val="32"/>
        </w:rPr>
        <w:t>2022年一般公共预算当年拨款</w:t>
      </w:r>
      <w:r>
        <w:rPr>
          <w:rFonts w:hint="eastAsia" w:ascii="仿宋_GB2312" w:eastAsia="仿宋_GB2312"/>
          <w:sz w:val="32"/>
          <w:szCs w:val="32"/>
          <w:lang w:val="en-US" w:eastAsia="zh-CN"/>
        </w:rPr>
        <w:t>525.18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17.90</w:t>
      </w:r>
      <w:r>
        <w:rPr>
          <w:rFonts w:hint="eastAsia" w:ascii="仿宋_GB2312" w:eastAsia="仿宋_GB2312"/>
          <w:sz w:val="32"/>
          <w:szCs w:val="32"/>
        </w:rPr>
        <w:t>万元。主要原因是工资上</w:t>
      </w:r>
      <w:r>
        <w:rPr>
          <w:rFonts w:hint="eastAsia" w:ascii="仿宋_GB2312" w:eastAsia="仿宋_GB2312"/>
          <w:sz w:val="32"/>
          <w:szCs w:val="32"/>
          <w:lang w:eastAsia="zh-CN"/>
        </w:rPr>
        <w:t>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w:t>
      </w:r>
      <w:r>
        <w:rPr>
          <w:rFonts w:hint="eastAsia" w:ascii="仿宋_GB2312" w:eastAsia="仿宋_GB2312"/>
          <w:sz w:val="32"/>
          <w:szCs w:val="32"/>
          <w:lang w:val="en-US" w:eastAsia="zh-CN"/>
        </w:rPr>
        <w:t xml:space="preserve"> </w:t>
      </w:r>
      <w:r>
        <w:rPr>
          <w:rFonts w:hint="eastAsia" w:ascii="仿宋_GB2312" w:eastAsia="仿宋_GB2312"/>
          <w:sz w:val="32"/>
          <w:szCs w:val="32"/>
        </w:rPr>
        <w:t>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423.17</w:t>
      </w:r>
      <w:r>
        <w:rPr>
          <w:rFonts w:hint="eastAsia" w:ascii="仿宋_GB2312" w:eastAsia="仿宋_GB2312"/>
          <w:sz w:val="32"/>
          <w:szCs w:val="32"/>
        </w:rPr>
        <w:t>万元，占</w:t>
      </w:r>
      <w:r>
        <w:rPr>
          <w:rFonts w:hint="eastAsia" w:ascii="仿宋_GB2312" w:eastAsia="仿宋_GB2312"/>
          <w:sz w:val="32"/>
          <w:szCs w:val="32"/>
          <w:lang w:val="en-US" w:eastAsia="zh-CN"/>
        </w:rPr>
        <w:t>80.58</w:t>
      </w:r>
      <w:r>
        <w:rPr>
          <w:rFonts w:hint="eastAsia" w:ascii="仿宋_GB2312" w:eastAsia="仿宋_GB2312"/>
          <w:sz w:val="32"/>
          <w:szCs w:val="32"/>
        </w:rPr>
        <w:t>%；社会保障和就业支出</w:t>
      </w:r>
      <w:r>
        <w:rPr>
          <w:rFonts w:hint="eastAsia" w:ascii="仿宋_GB2312" w:eastAsia="仿宋_GB2312"/>
          <w:sz w:val="32"/>
          <w:szCs w:val="32"/>
          <w:lang w:val="en-US" w:eastAsia="zh-CN"/>
        </w:rPr>
        <w:t>52.71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10.04</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13.55万元，占2.6%；</w:t>
      </w:r>
      <w:r>
        <w:rPr>
          <w:rFonts w:hint="eastAsia" w:ascii="仿宋_GB2312" w:eastAsia="仿宋_GB2312"/>
          <w:color w:val="auto"/>
          <w:sz w:val="32"/>
          <w:szCs w:val="32"/>
        </w:rPr>
        <w:t>住房保障支出</w:t>
      </w:r>
      <w:r>
        <w:rPr>
          <w:rFonts w:hint="eastAsia" w:ascii="仿宋_GB2312" w:eastAsia="仿宋_GB2312"/>
          <w:color w:val="auto"/>
          <w:sz w:val="32"/>
          <w:szCs w:val="32"/>
          <w:lang w:val="en-US" w:eastAsia="zh-CN"/>
        </w:rPr>
        <w:t>35.75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6.81</w:t>
      </w:r>
      <w:r>
        <w:rPr>
          <w:rFonts w:ascii="仿宋_GB2312" w:eastAsia="仿宋_GB2312"/>
          <w:color w:val="auto"/>
          <w:sz w:val="32"/>
          <w:szCs w:val="32"/>
        </w:rPr>
        <w:t>%</w:t>
      </w:r>
      <w:r>
        <w:rPr>
          <w:rFonts w:hint="eastAsia" w:ascii="仿宋_GB2312" w:eastAsia="仿宋_GB2312"/>
          <w:color w:val="auto"/>
          <w:sz w:val="32"/>
          <w:szCs w:val="32"/>
        </w:rPr>
        <w:t>。</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420" w:firstLineChars="200"/>
        <w:rPr>
          <w:rFonts w:ascii="仿宋_GB2312" w:eastAsia="仿宋_GB2312"/>
          <w:color w:val="000000"/>
          <w:sz w:val="32"/>
          <w:szCs w:val="32"/>
        </w:rPr>
      </w:pPr>
      <w:r>
        <w:rPr>
          <w:rFonts w:hint="eastAsia"/>
          <w:lang w:val="en-US" w:eastAsia="zh-CN"/>
        </w:rPr>
        <w:t xml:space="preserve">       </w:t>
      </w:r>
      <w:r>
        <w:rPr>
          <w:rFonts w:hint="eastAsia" w:ascii="仿宋_GB2312" w:eastAsia="仿宋_GB2312"/>
          <w:color w:val="000000"/>
          <w:sz w:val="32"/>
          <w:szCs w:val="32"/>
          <w:lang w:val="en-US" w:eastAsia="zh-CN"/>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423.17</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33.83</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16.92</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1.96</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13.55</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color w:val="auto"/>
          <w:sz w:val="32"/>
          <w:szCs w:val="32"/>
          <w:lang w:val="en-US" w:eastAsia="zh-CN"/>
        </w:rPr>
        <w:t>35.75</w:t>
      </w:r>
      <w:r>
        <w:rPr>
          <w:rFonts w:hint="eastAsia" w:ascii="仿宋_GB2312" w:eastAsia="仿宋_GB2312"/>
          <w:color w:val="auto"/>
          <w:sz w:val="32"/>
          <w:szCs w:val="32"/>
        </w:rPr>
        <w:t>万元</w:t>
      </w:r>
      <w:r>
        <w:rPr>
          <w:rFonts w:hint="eastAsia" w:ascii="仿宋_GB2312" w:eastAsia="仿宋_GB2312"/>
          <w:sz w:val="32"/>
          <w:szCs w:val="32"/>
        </w:rPr>
        <w:t>，主要用于：行政事业单位按人力资源和社会保障部、财政部规定的基本工资和津贴补贴以及规定比例为职工缴纳的住房公积金支出。</w:t>
      </w:r>
    </w:p>
    <w:p>
      <w:pPr>
        <w:spacing w:line="600" w:lineRule="exact"/>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峨眉山市第三幼儿园</w:t>
      </w:r>
      <w:r>
        <w:rPr>
          <w:rFonts w:hint="eastAsia" w:ascii="仿宋_GB2312" w:eastAsia="仿宋_GB2312"/>
          <w:sz w:val="32"/>
          <w:szCs w:val="32"/>
        </w:rPr>
        <w:t>2022年一般公共预算基本支出</w:t>
      </w:r>
      <w:r>
        <w:rPr>
          <w:rFonts w:hint="eastAsia" w:ascii="仿宋_GB2312" w:eastAsia="仿宋_GB2312"/>
          <w:sz w:val="32"/>
          <w:szCs w:val="32"/>
          <w:lang w:val="en-US" w:eastAsia="zh-CN"/>
        </w:rPr>
        <w:t>421.98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284.89</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137.1</w:t>
      </w:r>
      <w:r>
        <w:rPr>
          <w:rFonts w:hint="eastAsia" w:ascii="仿宋_GB2312" w:eastAsia="仿宋_GB2312"/>
          <w:sz w:val="32"/>
          <w:szCs w:val="32"/>
        </w:rPr>
        <w:t>万元，主要包括：办公费、印刷费、手续费、水费、电费</w:t>
      </w:r>
      <w:r>
        <w:rPr>
          <w:rFonts w:hint="eastAsia" w:ascii="仿宋_GB2312" w:eastAsia="仿宋_GB2312"/>
          <w:sz w:val="32"/>
          <w:szCs w:val="32"/>
          <w:lang w:eastAsia="zh-CN"/>
        </w:rPr>
        <w:t>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auto"/>
          <w:sz w:val="32"/>
          <w:szCs w:val="32"/>
        </w:rPr>
      </w:pPr>
      <w:r>
        <w:rPr>
          <w:rFonts w:hint="eastAsia" w:ascii="仿宋_GB2312" w:eastAsia="仿宋_GB2312"/>
          <w:color w:val="auto"/>
          <w:sz w:val="32"/>
          <w:szCs w:val="32"/>
          <w:lang w:eastAsia="zh-CN"/>
        </w:rPr>
        <w:t>峨眉山市第三幼儿园</w:t>
      </w:r>
      <w:r>
        <w:rPr>
          <w:rFonts w:hint="eastAsia" w:ascii="仿宋_GB2312" w:eastAsia="仿宋_GB2312"/>
          <w:b/>
          <w:color w:val="auto"/>
          <w:sz w:val="32"/>
          <w:szCs w:val="32"/>
        </w:rPr>
        <w:t>2022年无政府性基金预算。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峨眉山市第三幼儿园</w:t>
      </w:r>
      <w:r>
        <w:rPr>
          <w:rFonts w:hint="eastAsia" w:ascii="仿宋_GB2312" w:eastAsia="仿宋_GB2312"/>
          <w:sz w:val="32"/>
          <w:szCs w:val="32"/>
        </w:rPr>
        <w:t>2022年“三公”经费预算数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无</w:t>
      </w:r>
      <w:r>
        <w:rPr>
          <w:rFonts w:hint="eastAsia" w:ascii="仿宋_GB2312" w:eastAsia="仿宋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楷体_GB2312" w:eastAsia="楷体_GB2312"/>
          <w:sz w:val="32"/>
          <w:szCs w:val="32"/>
          <w:lang w:eastAsia="zh-CN"/>
        </w:rPr>
        <w:t>无</w:t>
      </w:r>
      <w:r>
        <w:rPr>
          <w:rFonts w:hint="eastAsia" w:ascii="仿宋_GB2312" w:eastAsia="仿宋_GB2312"/>
          <w:sz w:val="32"/>
          <w:szCs w:val="32"/>
        </w:rPr>
        <w:t>公务用车购置及运行维护费。单位现有公务用车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outlineLvl w:val="1"/>
        <w:rPr>
          <w:rFonts w:ascii="黑体" w:eastAsia="黑体"/>
          <w:color w:val="C00000"/>
          <w:sz w:val="32"/>
          <w:szCs w:val="32"/>
        </w:rPr>
      </w:pPr>
      <w:r>
        <w:rPr>
          <w:rFonts w:hint="eastAsia" w:ascii="黑体" w:eastAsia="黑体"/>
          <w:color w:val="C00000"/>
          <w:sz w:val="32"/>
          <w:szCs w:val="32"/>
        </w:rPr>
        <w:t>九、其他重要事项的情况说明</w:t>
      </w:r>
    </w:p>
    <w:p>
      <w:pPr>
        <w:spacing w:line="600" w:lineRule="exact"/>
        <w:ind w:firstLine="640" w:firstLineChars="200"/>
        <w:outlineLvl w:val="1"/>
        <w:rPr>
          <w:rFonts w:ascii="仿宋_GB2312" w:eastAsia="仿宋_GB2312"/>
          <w:color w:val="C00000"/>
          <w:sz w:val="32"/>
          <w:szCs w:val="32"/>
        </w:rPr>
      </w:pPr>
      <w:r>
        <w:rPr>
          <w:rFonts w:hint="eastAsia" w:ascii="仿宋_GB2312" w:eastAsia="仿宋_GB2312"/>
          <w:color w:val="C00000"/>
          <w:sz w:val="32"/>
          <w:szCs w:val="32"/>
        </w:rPr>
        <w:t>（一）机关运行经费。</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sz w:val="32"/>
          <w:szCs w:val="32"/>
          <w:lang w:eastAsia="zh-CN"/>
        </w:rPr>
        <w:t>峨眉山市第三幼儿园</w:t>
      </w:r>
      <w:r>
        <w:rPr>
          <w:rFonts w:hint="eastAsia" w:ascii="仿宋_GB2312" w:eastAsia="仿宋_GB2312"/>
          <w:sz w:val="32"/>
          <w:szCs w:val="32"/>
        </w:rPr>
        <w:t>安排政府采购预算</w:t>
      </w:r>
      <w:r>
        <w:rPr>
          <w:rFonts w:hint="eastAsia" w:ascii="仿宋_GB2312" w:eastAsia="仿宋_GB2312"/>
          <w:sz w:val="32"/>
          <w:szCs w:val="32"/>
          <w:lang w:val="en-US" w:eastAsia="zh-CN"/>
        </w:rPr>
        <w:t>95</w:t>
      </w:r>
      <w:r>
        <w:rPr>
          <w:rFonts w:hint="eastAsia" w:ascii="仿宋_GB2312" w:eastAsia="仿宋_GB2312"/>
          <w:sz w:val="32"/>
          <w:szCs w:val="32"/>
        </w:rPr>
        <w:t>万元，主要用于采购室内外玩具</w:t>
      </w:r>
      <w:r>
        <w:rPr>
          <w:rFonts w:hint="eastAsia" w:ascii="仿宋_GB2312" w:eastAsia="仿宋_GB2312"/>
          <w:sz w:val="32"/>
          <w:szCs w:val="32"/>
          <w:lang w:eastAsia="zh-CN"/>
        </w:rPr>
        <w:t>、房屋外墙处理、楼顶防漏处理、双通道的改造等，以及沙池的改造</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eastAsia="zh-CN"/>
        </w:rPr>
        <w:t>峨眉山市第三幼儿</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　（四）绩效目标设置情况。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sz w:val="32"/>
          <w:szCs w:val="32"/>
          <w:lang w:eastAsia="zh-CN"/>
        </w:rPr>
        <w:t>峨眉山市第三幼儿园</w:t>
      </w:r>
      <w:r>
        <w:rPr>
          <w:rFonts w:hint="eastAsia" w:ascii="仿宋_GB2312" w:eastAsia="仿宋_GB2312"/>
          <w:sz w:val="32"/>
          <w:szCs w:val="32"/>
        </w:rPr>
        <w:t>按要求实行绩效目标管理，部门（</w:t>
      </w:r>
      <w:r>
        <w:rPr>
          <w:rFonts w:hint="eastAsia" w:ascii="仿宋_GB2312" w:eastAsia="仿宋_GB2312"/>
          <w:sz w:val="32"/>
          <w:szCs w:val="32"/>
          <w:lang w:eastAsia="zh-CN"/>
        </w:rPr>
        <w:t>峨眉山市第三幼儿园</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525.18</w:t>
      </w:r>
      <w:r>
        <w:rPr>
          <w:rFonts w:hint="eastAsia" w:ascii="仿宋_GB2312" w:eastAsia="仿宋_GB2312"/>
          <w:sz w:val="32"/>
          <w:szCs w:val="32"/>
        </w:rPr>
        <w:t>万元，其中基本支出</w:t>
      </w:r>
      <w:r>
        <w:rPr>
          <w:rFonts w:hint="eastAsia" w:ascii="仿宋_GB2312" w:eastAsia="仿宋_GB2312"/>
          <w:sz w:val="32"/>
          <w:szCs w:val="32"/>
          <w:lang w:val="en-US" w:eastAsia="zh-CN"/>
        </w:rPr>
        <w:t>421.98</w:t>
      </w:r>
      <w:r>
        <w:rPr>
          <w:rFonts w:hint="eastAsia" w:ascii="仿宋_GB2312" w:eastAsia="仿宋_GB2312"/>
          <w:sz w:val="32"/>
          <w:szCs w:val="32"/>
        </w:rPr>
        <w:t>万元，项目支出</w:t>
      </w:r>
      <w:r>
        <w:rPr>
          <w:rFonts w:hint="eastAsia" w:ascii="仿宋_GB2312" w:eastAsia="仿宋_GB2312"/>
          <w:sz w:val="32"/>
          <w:szCs w:val="32"/>
          <w:lang w:val="en-US" w:eastAsia="zh-CN"/>
        </w:rPr>
        <w:t>103.2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103.2</w:t>
      </w:r>
      <w:bookmarkStart w:id="0" w:name="_GoBack"/>
      <w:bookmarkEnd w:id="0"/>
      <w:r>
        <w:rPr>
          <w:rFonts w:hint="eastAsia" w:ascii="仿宋_GB2312" w:eastAsia="仿宋_GB2312"/>
          <w:sz w:val="32"/>
          <w:szCs w:val="32"/>
        </w:rPr>
        <w:t>万元，主要为采购室内外玩具</w:t>
      </w:r>
      <w:r>
        <w:rPr>
          <w:rFonts w:hint="eastAsia" w:ascii="仿宋_GB2312" w:eastAsia="仿宋_GB2312"/>
          <w:sz w:val="32"/>
          <w:szCs w:val="32"/>
          <w:lang w:eastAsia="zh-CN"/>
        </w:rPr>
        <w:t>、房屋外墙处理、楼顶防漏处理、双通道的改造等，以及沙池的改造</w:t>
      </w:r>
      <w:r>
        <w:rPr>
          <w:rFonts w:hint="eastAsia" w:ascii="仿宋_GB2312" w:eastAsia="仿宋_GB2312"/>
          <w:sz w:val="32"/>
          <w:szCs w:val="32"/>
        </w:rPr>
        <w:t>等项目。</w:t>
      </w:r>
    </w:p>
    <w:p>
      <w:pPr>
        <w:numPr>
          <w:ilvl w:val="0"/>
          <w:numId w:val="2"/>
        </w:numPr>
        <w:spacing w:line="600" w:lineRule="exact"/>
        <w:ind w:firstLine="640" w:firstLineChars="200"/>
        <w:outlineLvl w:val="1"/>
        <w:rPr>
          <w:rFonts w:hint="eastAsia" w:ascii="黑体" w:eastAsia="黑体"/>
          <w:sz w:val="32"/>
          <w:szCs w:val="32"/>
        </w:rPr>
      </w:pPr>
      <w:r>
        <w:rPr>
          <w:rFonts w:hint="eastAsia" w:ascii="黑体" w:eastAsia="黑体"/>
          <w:sz w:val="32"/>
          <w:szCs w:val="32"/>
        </w:rPr>
        <w:t>名词解释</w:t>
      </w:r>
    </w:p>
    <w:p>
      <w:pPr>
        <w:pStyle w:val="9"/>
        <w:spacing w:line="600" w:lineRule="exact"/>
        <w:ind w:firstLine="480" w:firstLineChars="200"/>
        <w:rPr>
          <w:rFonts w:ascii="仿宋_GB2312" w:eastAsia="仿宋_GB2312"/>
          <w:sz w:val="32"/>
          <w:szCs w:val="32"/>
        </w:rPr>
      </w:pPr>
      <w:r>
        <w:rPr>
          <w:rFonts w:hint="eastAsia"/>
          <w:lang w:val="en-US" w:eastAsia="zh-CN"/>
        </w:rPr>
        <w:t xml:space="preserve">       </w:t>
      </w: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9"/>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9"/>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9"/>
        <w:spacing w:line="600" w:lineRule="exact"/>
        <w:ind w:firstLine="640" w:firstLineChars="200"/>
        <w:rPr>
          <w:rFonts w:hint="eastAsia" w:ascii="仿宋_GB2312" w:eastAsia="仿宋_GB2312"/>
          <w:sz w:val="32"/>
          <w:szCs w:val="32"/>
          <w:lang w:eastAsia="zh-CN"/>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一</w:t>
      </w:r>
      <w:r>
        <w:rPr>
          <w:rFonts w:hint="eastAsia" w:ascii="楷体_GB2312" w:eastAsia="楷体_GB2312" w:cs="Times New Roman"/>
          <w:color w:val="auto"/>
          <w:kern w:val="2"/>
          <w:sz w:val="32"/>
          <w:szCs w:val="32"/>
        </w:rPr>
        <w:t>）</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 xml:space="preserve">   （十</w:t>
      </w:r>
      <w:r>
        <w:rPr>
          <w:rFonts w:hint="eastAsia" w:ascii="楷体_GB2312" w:eastAsia="楷体_GB2312" w:cs="Times New Roman"/>
          <w:color w:val="auto"/>
          <w:kern w:val="2"/>
          <w:sz w:val="32"/>
          <w:szCs w:val="32"/>
          <w:lang w:eastAsia="zh-CN"/>
        </w:rPr>
        <w:t>二</w:t>
      </w:r>
      <w:r>
        <w:rPr>
          <w:rFonts w:hint="eastAsia" w:ascii="楷体_GB2312" w:eastAsia="楷体_GB2312" w:cs="Times New Roman"/>
          <w:color w:val="auto"/>
          <w:kern w:val="2"/>
          <w:sz w:val="32"/>
          <w:szCs w:val="32"/>
        </w:rPr>
        <w:t>）</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三</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9"/>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六</w:t>
      </w:r>
      <w:r>
        <w:rPr>
          <w:rFonts w:hint="eastAsia" w:ascii="楷体_GB2312" w:eastAsia="楷体_GB2312" w:cs="Times New Roman"/>
          <w:color w:val="auto"/>
          <w:kern w:val="2"/>
          <w:sz w:val="32"/>
          <w:szCs w:val="32"/>
        </w:rPr>
        <w:t>）</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numPr>
          <w:ilvl w:val="0"/>
          <w:numId w:val="0"/>
        </w:numPr>
        <w:rPr>
          <w:rFonts w:hint="default" w:eastAsia="宋体"/>
          <w:lang w:val="en-US" w:eastAsia="zh-CN"/>
        </w:rPr>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DB833"/>
    <w:multiLevelType w:val="singleLevel"/>
    <w:tmpl w:val="44DDB833"/>
    <w:lvl w:ilvl="0" w:tentative="0">
      <w:start w:val="3"/>
      <w:numFmt w:val="chineseCounting"/>
      <w:suff w:val="nothing"/>
      <w:lvlText w:val="（%1）"/>
      <w:lvlJc w:val="left"/>
      <w:rPr>
        <w:rFonts w:hint="eastAsia"/>
      </w:rPr>
    </w:lvl>
  </w:abstractNum>
  <w:abstractNum w:abstractNumId="1">
    <w:nsid w:val="7D66B53F"/>
    <w:multiLevelType w:val="singleLevel"/>
    <w:tmpl w:val="7D66B53F"/>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1514F"/>
    <w:rsid w:val="00A527E0"/>
    <w:rsid w:val="00AE4401"/>
    <w:rsid w:val="00B106DE"/>
    <w:rsid w:val="00B3548B"/>
    <w:rsid w:val="00BB666B"/>
    <w:rsid w:val="00C044B7"/>
    <w:rsid w:val="00C5515C"/>
    <w:rsid w:val="00CC5FF3"/>
    <w:rsid w:val="00D36FE8"/>
    <w:rsid w:val="00DE1A43"/>
    <w:rsid w:val="00DF77CF"/>
    <w:rsid w:val="00EA6295"/>
    <w:rsid w:val="00F429C0"/>
    <w:rsid w:val="00FB45E1"/>
    <w:rsid w:val="01515B78"/>
    <w:rsid w:val="03BB602E"/>
    <w:rsid w:val="066D6077"/>
    <w:rsid w:val="0B220922"/>
    <w:rsid w:val="0CB83F37"/>
    <w:rsid w:val="10372B16"/>
    <w:rsid w:val="11032FA4"/>
    <w:rsid w:val="14833E48"/>
    <w:rsid w:val="15D35DF5"/>
    <w:rsid w:val="175B488E"/>
    <w:rsid w:val="1D0936F0"/>
    <w:rsid w:val="1D6848BB"/>
    <w:rsid w:val="1EE61F3B"/>
    <w:rsid w:val="2149055F"/>
    <w:rsid w:val="23FF584D"/>
    <w:rsid w:val="25197F63"/>
    <w:rsid w:val="270B2E60"/>
    <w:rsid w:val="276557C3"/>
    <w:rsid w:val="2809347C"/>
    <w:rsid w:val="281178FD"/>
    <w:rsid w:val="2A663F30"/>
    <w:rsid w:val="2ABC535A"/>
    <w:rsid w:val="2BC43604"/>
    <w:rsid w:val="2C8E59C0"/>
    <w:rsid w:val="2ED21556"/>
    <w:rsid w:val="36DD628E"/>
    <w:rsid w:val="3B2A71FC"/>
    <w:rsid w:val="3B9F72A2"/>
    <w:rsid w:val="3BFE1F56"/>
    <w:rsid w:val="3C21458C"/>
    <w:rsid w:val="3DEE31B7"/>
    <w:rsid w:val="3EE741B8"/>
    <w:rsid w:val="3F010273"/>
    <w:rsid w:val="472A5D26"/>
    <w:rsid w:val="47BB36B5"/>
    <w:rsid w:val="493C20A5"/>
    <w:rsid w:val="4A5B5167"/>
    <w:rsid w:val="4BCE41B0"/>
    <w:rsid w:val="50041FB8"/>
    <w:rsid w:val="54CB5B1B"/>
    <w:rsid w:val="580E5A83"/>
    <w:rsid w:val="595079D6"/>
    <w:rsid w:val="60632263"/>
    <w:rsid w:val="616D7E56"/>
    <w:rsid w:val="67D2734F"/>
    <w:rsid w:val="6C3F7B62"/>
    <w:rsid w:val="6CFF29C7"/>
    <w:rsid w:val="704C6CF1"/>
    <w:rsid w:val="739E5AB6"/>
    <w:rsid w:val="745F682E"/>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2757</Words>
  <Characters>299</Characters>
  <Lines>2</Lines>
  <Paragraphs>6</Paragraphs>
  <TotalTime>189</TotalTime>
  <ScaleCrop>false</ScaleCrop>
  <LinksUpToDate>false</LinksUpToDate>
  <CharactersWithSpaces>3050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2022-02-17T05:06:00Z</dcterms:created>
  <dc:creator>微软用户</dc:creator>
  <cp:lastModifiedBy>Administrator</cp:lastModifiedBy>
  <cp:lastPrinted>2022-02-25T00:42:00Z</cp:lastPrinted>
  <dcterms:modified xsi:type="dcterms:W3CDTF">2022-02-25T01:03:59Z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59AF8E9F6FE04A2EB759C626AF8006A3</vt:lpwstr>
  </property>
</Properties>
</file>