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关于峨眉山市龙池镇小学校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实施小学义务教育，促进基础教育发展。进行小学学历教育。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pStyle w:val="7"/>
        <w:spacing w:line="360" w:lineRule="auto"/>
        <w:ind w:firstLine="610"/>
        <w:rPr>
          <w:rFonts w:ascii="宋体" w:hAnsi="宋体"/>
          <w:b/>
          <w:bCs/>
          <w:sz w:val="28"/>
          <w:szCs w:val="28"/>
        </w:rPr>
      </w:pPr>
      <w:r>
        <w:rPr>
          <w:rFonts w:hint="eastAsia" w:ascii="宋体" w:hAnsi="宋体"/>
          <w:b/>
          <w:bCs/>
          <w:sz w:val="28"/>
          <w:szCs w:val="28"/>
        </w:rPr>
        <w:t>1、加强党员和教师意识形态教育，提升党员和教师思政素养。</w:t>
      </w:r>
    </w:p>
    <w:p>
      <w:pPr>
        <w:pStyle w:val="7"/>
        <w:spacing w:line="360" w:lineRule="auto"/>
        <w:ind w:firstLine="551" w:firstLineChars="196"/>
        <w:rPr>
          <w:rFonts w:ascii="宋体" w:hAnsi="宋体"/>
          <w:b/>
          <w:bCs/>
          <w:sz w:val="28"/>
          <w:szCs w:val="28"/>
        </w:rPr>
      </w:pPr>
      <w:r>
        <w:rPr>
          <w:rFonts w:hint="eastAsia" w:ascii="宋体" w:hAnsi="宋体"/>
          <w:b/>
          <w:bCs/>
          <w:sz w:val="28"/>
          <w:szCs w:val="28"/>
        </w:rPr>
        <w:t>2、加强德育工作，提高工作实效。</w:t>
      </w:r>
    </w:p>
    <w:p>
      <w:pPr>
        <w:pStyle w:val="7"/>
        <w:spacing w:line="360" w:lineRule="auto"/>
        <w:ind w:firstLine="551" w:firstLineChars="196"/>
        <w:rPr>
          <w:rFonts w:ascii="宋体" w:hAnsi="宋体"/>
          <w:b/>
          <w:bCs/>
          <w:sz w:val="28"/>
          <w:szCs w:val="28"/>
        </w:rPr>
      </w:pPr>
      <w:r>
        <w:rPr>
          <w:rFonts w:hint="eastAsia" w:ascii="宋体" w:hAnsi="宋体"/>
          <w:b/>
          <w:bCs/>
          <w:sz w:val="28"/>
          <w:szCs w:val="28"/>
        </w:rPr>
        <w:t>3、加强课堂改革，提升教学质量。</w:t>
      </w:r>
    </w:p>
    <w:p>
      <w:pPr>
        <w:pStyle w:val="7"/>
        <w:numPr>
          <w:ilvl w:val="0"/>
          <w:numId w:val="1"/>
        </w:numPr>
        <w:spacing w:line="360" w:lineRule="auto"/>
        <w:rPr>
          <w:rFonts w:ascii="宋体" w:hAnsi="宋体"/>
          <w:b/>
          <w:bCs/>
          <w:sz w:val="28"/>
          <w:szCs w:val="28"/>
        </w:rPr>
      </w:pPr>
      <w:r>
        <w:rPr>
          <w:rFonts w:hint="eastAsia" w:ascii="宋体" w:hAnsi="宋体"/>
          <w:b/>
          <w:bCs/>
          <w:sz w:val="28"/>
          <w:szCs w:val="28"/>
        </w:rPr>
        <w:t>加强后勤管理，提高服务质量。</w:t>
      </w:r>
    </w:p>
    <w:p>
      <w:pPr>
        <w:pStyle w:val="7"/>
        <w:numPr>
          <w:ilvl w:val="0"/>
          <w:numId w:val="1"/>
        </w:numPr>
        <w:spacing w:line="360" w:lineRule="auto"/>
        <w:rPr>
          <w:rFonts w:ascii="宋体" w:hAnsi="宋体"/>
          <w:sz w:val="28"/>
          <w:szCs w:val="28"/>
        </w:rPr>
      </w:pPr>
      <w:r>
        <w:rPr>
          <w:rFonts w:hint="eastAsia" w:ascii="宋体" w:hAnsi="宋体"/>
          <w:b/>
          <w:bCs/>
          <w:sz w:val="28"/>
          <w:szCs w:val="28"/>
        </w:rPr>
        <w:t>加强安全工作，确保学校稳定</w:t>
      </w:r>
      <w:r>
        <w:rPr>
          <w:rFonts w:hint="eastAsia" w:ascii="宋体" w:hAnsi="宋体"/>
          <w:sz w:val="28"/>
          <w:szCs w:val="28"/>
        </w:rPr>
        <w:t>。</w:t>
      </w:r>
    </w:p>
    <w:p>
      <w:pPr>
        <w:pStyle w:val="7"/>
        <w:numPr>
          <w:ilvl w:val="0"/>
          <w:numId w:val="1"/>
        </w:numPr>
        <w:spacing w:line="360" w:lineRule="auto"/>
        <w:rPr>
          <w:rFonts w:ascii="宋体" w:hAnsi="宋体"/>
          <w:b/>
          <w:bCs/>
          <w:sz w:val="28"/>
          <w:szCs w:val="28"/>
        </w:rPr>
      </w:pPr>
      <w:r>
        <w:rPr>
          <w:rFonts w:hint="eastAsia" w:ascii="宋体" w:hAnsi="宋体"/>
          <w:b/>
          <w:bCs/>
          <w:sz w:val="28"/>
          <w:szCs w:val="28"/>
        </w:rPr>
        <w:t>积极开展参加上级相关活动.。</w:t>
      </w:r>
    </w:p>
    <w:p>
      <w:pPr>
        <w:pStyle w:val="7"/>
        <w:spacing w:line="360" w:lineRule="auto"/>
        <w:ind w:left="551"/>
        <w:rPr>
          <w:rFonts w:ascii="宋体" w:hAnsi="宋体"/>
          <w:b/>
          <w:bCs/>
          <w:sz w:val="28"/>
          <w:szCs w:val="28"/>
        </w:rPr>
      </w:pPr>
      <w:r>
        <w:rPr>
          <w:rFonts w:hint="eastAsia" w:ascii="宋体" w:hAnsi="宋体"/>
          <w:b/>
          <w:bCs/>
          <w:sz w:val="28"/>
          <w:szCs w:val="28"/>
        </w:rPr>
        <w:t>7、狠抓党建工作，促进学校发展。</w:t>
      </w:r>
    </w:p>
    <w:p>
      <w:pPr>
        <w:pStyle w:val="7"/>
        <w:spacing w:line="360" w:lineRule="auto"/>
        <w:ind w:left="567"/>
        <w:rPr>
          <w:rFonts w:ascii="宋体" w:hAnsi="宋体"/>
          <w:b/>
          <w:bCs/>
          <w:sz w:val="28"/>
          <w:szCs w:val="28"/>
        </w:rPr>
      </w:pPr>
      <w:r>
        <w:rPr>
          <w:rFonts w:hint="eastAsia" w:ascii="宋体" w:hAnsi="宋体"/>
          <w:b/>
          <w:bCs/>
          <w:sz w:val="28"/>
          <w:szCs w:val="28"/>
        </w:rPr>
        <w:t>8、规范语言文字管理，提升校园普通话质量。</w:t>
      </w:r>
    </w:p>
    <w:p>
      <w:pPr>
        <w:pStyle w:val="7"/>
        <w:spacing w:line="360" w:lineRule="auto"/>
        <w:ind w:firstLine="413" w:firstLineChars="147"/>
        <w:rPr>
          <w:rFonts w:ascii="宋体" w:hAnsi="宋体"/>
          <w:b/>
          <w:bCs/>
          <w:sz w:val="28"/>
          <w:szCs w:val="28"/>
        </w:rPr>
      </w:pPr>
      <w:r>
        <w:rPr>
          <w:rFonts w:hint="eastAsia" w:ascii="宋体" w:hAnsi="宋体"/>
          <w:b/>
          <w:bCs/>
          <w:sz w:val="28"/>
          <w:szCs w:val="28"/>
        </w:rPr>
        <w:t>9、做好留守儿童和退休教师的工作。</w:t>
      </w:r>
    </w:p>
    <w:p>
      <w:pPr>
        <w:spacing w:line="600" w:lineRule="exact"/>
        <w:ind w:firstLine="640" w:firstLineChars="200"/>
        <w:outlineLvl w:val="1"/>
        <w:rPr>
          <w:rFonts w:ascii="黑体" w:eastAsia="黑体"/>
          <w:sz w:val="32"/>
          <w:szCs w:val="32"/>
        </w:rPr>
      </w:pPr>
      <w:r>
        <w:rPr>
          <w:rFonts w:hint="eastAsia" w:ascii="黑体" w:eastAsia="黑体"/>
          <w:sz w:val="32"/>
          <w:szCs w:val="32"/>
        </w:rPr>
        <w:t>二、收支预算总体情况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 我校所有收入和支出均纳入预算管理。20</w:t>
      </w:r>
      <w:r>
        <w:rPr>
          <w:rFonts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年我校收入预算总额为</w:t>
      </w:r>
      <w:r>
        <w:rPr>
          <w:rFonts w:hint="eastAsia" w:ascii="仿宋_GB2312" w:eastAsia="仿宋_GB2312"/>
          <w:sz w:val="32"/>
          <w:szCs w:val="32"/>
          <w:lang w:val="en-US" w:eastAsia="zh-CN"/>
        </w:rPr>
        <w:t>762.59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42.89</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762.59</w:t>
      </w:r>
      <w:r>
        <w:rPr>
          <w:rFonts w:hint="eastAsia" w:ascii="仿宋_GB2312" w:eastAsia="仿宋_GB2312"/>
          <w:sz w:val="32"/>
          <w:szCs w:val="32"/>
        </w:rPr>
        <w:t>万元，上级补助收入0万元，事业收入0万元，其他收入0万元。相应安排支出预算</w:t>
      </w:r>
      <w:r>
        <w:rPr>
          <w:rFonts w:hint="eastAsia" w:ascii="仿宋_GB2312" w:eastAsia="仿宋_GB2312"/>
          <w:sz w:val="32"/>
          <w:szCs w:val="32"/>
          <w:lang w:val="en-US" w:eastAsia="zh-CN"/>
        </w:rPr>
        <w:t>762.59</w:t>
      </w:r>
      <w:r>
        <w:rPr>
          <w:rFonts w:hint="eastAsia" w:ascii="仿宋_GB2312" w:eastAsia="仿宋_GB2312"/>
          <w:sz w:val="32"/>
          <w:szCs w:val="32"/>
        </w:rPr>
        <w:t>万元，其中：人员支出</w:t>
      </w:r>
      <w:r>
        <w:rPr>
          <w:rFonts w:hint="eastAsia" w:ascii="仿宋_GB2312" w:eastAsia="仿宋_GB2312"/>
          <w:sz w:val="32"/>
          <w:szCs w:val="32"/>
          <w:lang w:val="en-US" w:eastAsia="zh-CN"/>
        </w:rPr>
        <w:t>694.58</w:t>
      </w:r>
      <w:r>
        <w:rPr>
          <w:rFonts w:hint="eastAsia" w:ascii="仿宋_GB2312" w:eastAsia="仿宋_GB2312"/>
          <w:sz w:val="32"/>
          <w:szCs w:val="32"/>
        </w:rPr>
        <w:t>万元，日常公用支出</w:t>
      </w:r>
      <w:r>
        <w:rPr>
          <w:rFonts w:hint="eastAsia" w:ascii="仿宋_GB2312" w:eastAsia="仿宋_GB2312"/>
          <w:sz w:val="32"/>
          <w:szCs w:val="32"/>
          <w:lang w:val="en-US" w:eastAsia="zh-CN"/>
        </w:rPr>
        <w:t>47.49</w:t>
      </w:r>
      <w:r>
        <w:rPr>
          <w:rFonts w:hint="eastAsia" w:ascii="仿宋_GB2312" w:eastAsia="仿宋_GB2312"/>
          <w:sz w:val="32"/>
          <w:szCs w:val="32"/>
        </w:rPr>
        <w:t>万元，</w:t>
      </w:r>
      <w:r>
        <w:rPr>
          <w:rFonts w:hint="eastAsia" w:ascii="仿宋_GB2312" w:eastAsia="仿宋_GB2312"/>
          <w:sz w:val="32"/>
          <w:szCs w:val="32"/>
          <w:lang w:val="en-US" w:eastAsia="zh-CN"/>
        </w:rPr>
        <w:t>项目</w:t>
      </w:r>
      <w:r>
        <w:rPr>
          <w:rFonts w:hint="eastAsia" w:ascii="仿宋_GB2312" w:eastAsia="仿宋_GB2312"/>
          <w:sz w:val="32"/>
          <w:szCs w:val="32"/>
        </w:rPr>
        <w:t>支出</w:t>
      </w:r>
      <w:r>
        <w:rPr>
          <w:rFonts w:hint="eastAsia" w:ascii="仿宋_GB2312" w:eastAsia="仿宋_GB2312"/>
          <w:sz w:val="32"/>
          <w:szCs w:val="32"/>
          <w:lang w:val="en-US" w:eastAsia="zh-CN"/>
        </w:rPr>
        <w:t>20.52</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三、财政拨款支出预算安排情况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我校202</w:t>
      </w:r>
      <w:r>
        <w:rPr>
          <w:rFonts w:hint="eastAsia" w:ascii="仿宋_GB2312" w:eastAsia="仿宋_GB2312"/>
          <w:sz w:val="32"/>
          <w:szCs w:val="32"/>
          <w:lang w:val="en-US" w:eastAsia="zh-CN"/>
        </w:rPr>
        <w:t>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762.59</w:t>
      </w:r>
      <w:r>
        <w:rPr>
          <w:rFonts w:hint="eastAsia" w:ascii="仿宋_GB2312" w:eastAsia="仿宋_GB2312"/>
          <w:sz w:val="32"/>
          <w:szCs w:val="32"/>
        </w:rPr>
        <w:t>万元，主要用于保障我校正常运转、完成日常工作任务以及承担教育事业发展相关工作。其中：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742.07</w:t>
      </w:r>
      <w:r>
        <w:rPr>
          <w:rFonts w:hint="eastAsia" w:ascii="仿宋_GB2312" w:eastAsia="仿宋_GB2312"/>
          <w:sz w:val="32"/>
          <w:szCs w:val="32"/>
        </w:rPr>
        <w:t>万元，是用于保障我校正常运转的日常支出，包括基本工资、津贴补贴、养老保险、职业年金、医疗保险、住房公积金等人员经费支出。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20.52</w:t>
      </w:r>
      <w:r>
        <w:rPr>
          <w:rFonts w:hint="eastAsia" w:ascii="仿宋_GB2312" w:eastAsia="仿宋_GB2312"/>
          <w:sz w:val="32"/>
          <w:szCs w:val="32"/>
        </w:rPr>
        <w:t>万元，是用于保障我校幼儿园办公费、水电费等日常公用经费支出。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四、一般公共预算当年拨款情况说明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我校202</w:t>
      </w:r>
      <w:r>
        <w:rPr>
          <w:rFonts w:hint="eastAsia" w:ascii="仿宋_GB2312" w:eastAsia="仿宋_GB2312"/>
          <w:sz w:val="32"/>
          <w:szCs w:val="32"/>
          <w:lang w:val="en-US" w:eastAsia="zh-CN"/>
        </w:rPr>
        <w:t>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762.59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42.89</w:t>
      </w:r>
      <w:r>
        <w:rPr>
          <w:rFonts w:hint="eastAsia" w:ascii="仿宋_GB2312" w:eastAsia="仿宋_GB2312"/>
          <w:sz w:val="32"/>
          <w:szCs w:val="32"/>
        </w:rPr>
        <w:t>万元。主要原因是：人员</w:t>
      </w:r>
      <w:r>
        <w:rPr>
          <w:rFonts w:hint="eastAsia" w:ascii="仿宋_GB2312" w:eastAsia="仿宋_GB2312"/>
          <w:sz w:val="32"/>
          <w:szCs w:val="32"/>
          <w:lang w:val="en-US" w:eastAsia="zh-CN"/>
        </w:rPr>
        <w:t>保险增加</w:t>
      </w:r>
      <w:r>
        <w:rPr>
          <w:rFonts w:hint="eastAsia" w:ascii="仿宋_GB2312" w:eastAsia="仿宋_GB2312"/>
          <w:sz w:val="32"/>
          <w:szCs w:val="32"/>
        </w:rPr>
        <w:t>、工资上调。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519.69</w:t>
      </w:r>
      <w:r>
        <w:rPr>
          <w:rFonts w:hint="eastAsia" w:ascii="仿宋_GB2312" w:eastAsia="仿宋_GB2312"/>
          <w:sz w:val="32"/>
          <w:szCs w:val="32"/>
        </w:rPr>
        <w:t>万元，占</w:t>
      </w:r>
      <w:r>
        <w:rPr>
          <w:rFonts w:hint="eastAsia" w:ascii="仿宋_GB2312" w:eastAsia="仿宋_GB2312"/>
          <w:sz w:val="32"/>
          <w:szCs w:val="32"/>
          <w:lang w:val="en-US" w:eastAsia="zh-CN"/>
        </w:rPr>
        <w:t>68.15</w:t>
      </w:r>
      <w:r>
        <w:rPr>
          <w:rFonts w:hint="eastAsia" w:ascii="仿宋_GB2312" w:eastAsia="仿宋_GB2312"/>
          <w:sz w:val="32"/>
          <w:szCs w:val="32"/>
        </w:rPr>
        <w:t>%；社会保障和就业支出</w:t>
      </w:r>
      <w:r>
        <w:rPr>
          <w:rFonts w:hint="eastAsia" w:ascii="仿宋_GB2312" w:eastAsia="仿宋_GB2312"/>
          <w:sz w:val="32"/>
          <w:szCs w:val="32"/>
          <w:lang w:val="en-US" w:eastAsia="zh-CN"/>
        </w:rPr>
        <w:t>128.53</w:t>
      </w:r>
      <w:r>
        <w:rPr>
          <w:rFonts w:hint="eastAsia" w:ascii="仿宋_GB2312" w:eastAsia="仿宋_GB2312"/>
          <w:sz w:val="32"/>
          <w:szCs w:val="32"/>
        </w:rPr>
        <w:t>万元，占</w:t>
      </w:r>
      <w:r>
        <w:rPr>
          <w:rFonts w:hint="eastAsia" w:ascii="仿宋_GB2312" w:eastAsia="仿宋_GB2312"/>
          <w:sz w:val="32"/>
          <w:szCs w:val="32"/>
          <w:lang w:val="en-US" w:eastAsia="zh-CN"/>
        </w:rPr>
        <w:t>16.85</w:t>
      </w:r>
      <w:r>
        <w:rPr>
          <w:rFonts w:hint="eastAsia" w:ascii="仿宋_GB2312" w:eastAsia="仿宋_GB2312"/>
          <w:sz w:val="32"/>
          <w:szCs w:val="32"/>
        </w:rPr>
        <w:t>%；卫生健康支出</w:t>
      </w:r>
      <w:r>
        <w:rPr>
          <w:rFonts w:hint="eastAsia" w:ascii="仿宋_GB2312" w:eastAsia="仿宋_GB2312"/>
          <w:sz w:val="32"/>
          <w:szCs w:val="32"/>
          <w:lang w:val="en-US" w:eastAsia="zh-CN"/>
        </w:rPr>
        <w:t>31.52</w:t>
      </w:r>
      <w:r>
        <w:rPr>
          <w:rFonts w:hint="eastAsia" w:ascii="仿宋_GB2312" w:eastAsia="仿宋_GB2312"/>
          <w:sz w:val="32"/>
          <w:szCs w:val="32"/>
        </w:rPr>
        <w:t>万元，占</w:t>
      </w:r>
      <w:r>
        <w:rPr>
          <w:rFonts w:hint="eastAsia" w:ascii="仿宋_GB2312" w:eastAsia="仿宋_GB2312"/>
          <w:sz w:val="32"/>
          <w:szCs w:val="32"/>
          <w:lang w:val="en-US" w:eastAsia="zh-CN"/>
        </w:rPr>
        <w:t>4.13</w:t>
      </w:r>
      <w:r>
        <w:rPr>
          <w:rFonts w:hint="eastAsia" w:ascii="仿宋_GB2312" w:eastAsia="仿宋_GB2312"/>
          <w:sz w:val="32"/>
          <w:szCs w:val="32"/>
        </w:rPr>
        <w:t>%；住房保障支出</w:t>
      </w:r>
      <w:r>
        <w:rPr>
          <w:rFonts w:hint="eastAsia" w:ascii="仿宋_GB2312" w:eastAsia="仿宋_GB2312"/>
          <w:sz w:val="32"/>
          <w:szCs w:val="32"/>
          <w:lang w:val="en-US" w:eastAsia="zh-CN"/>
        </w:rPr>
        <w:t>82.84</w:t>
      </w:r>
      <w:r>
        <w:rPr>
          <w:rFonts w:hint="eastAsia" w:ascii="仿宋_GB2312" w:eastAsia="仿宋_GB2312"/>
          <w:sz w:val="32"/>
          <w:szCs w:val="32"/>
        </w:rPr>
        <w:t>万元，占</w:t>
      </w:r>
      <w:r>
        <w:rPr>
          <w:rFonts w:hint="eastAsia" w:ascii="仿宋_GB2312" w:eastAsia="仿宋_GB2312"/>
          <w:sz w:val="32"/>
          <w:szCs w:val="32"/>
          <w:lang w:val="en-US" w:eastAsia="zh-CN"/>
        </w:rPr>
        <w:t>10.86</w:t>
      </w:r>
      <w:r>
        <w:rPr>
          <w:rFonts w:ascii="仿宋_GB2312" w:eastAsia="仿宋_GB2312"/>
          <w:sz w:val="32"/>
          <w:szCs w:val="32"/>
        </w:rPr>
        <w:t>%</w:t>
      </w:r>
      <w:r>
        <w:rPr>
          <w:rFonts w:hint="eastAsia" w:ascii="仿宋_GB2312" w:eastAsia="仿宋_GB2312"/>
          <w:sz w:val="32"/>
          <w:szCs w:val="32"/>
        </w:rPr>
        <w:t>。</w:t>
      </w:r>
    </w:p>
    <w:p>
      <w:pPr>
        <w:numPr>
          <w:ilvl w:val="0"/>
          <w:numId w:val="2"/>
        </w:numPr>
        <w:spacing w:line="600" w:lineRule="exact"/>
        <w:ind w:firstLine="640" w:firstLineChars="200"/>
        <w:rPr>
          <w:rFonts w:ascii="仿宋_GB2312" w:eastAsia="仿宋_GB2312"/>
          <w:sz w:val="32"/>
          <w:szCs w:val="32"/>
        </w:rPr>
      </w:pPr>
      <w:r>
        <w:rPr>
          <w:rFonts w:hint="eastAsia" w:ascii="仿宋_GB2312" w:eastAsia="仿宋_GB2312"/>
          <w:sz w:val="32"/>
          <w:szCs w:val="32"/>
        </w:rPr>
        <w:t>一般公共预算当年拨款具体使用情况。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.2050201</w:t>
      </w:r>
      <w:r>
        <w:rPr>
          <w:rFonts w:hint="eastAsia" w:ascii="仿宋_GB2312" w:eastAsia="仿宋_GB2312"/>
          <w:color w:val="000000"/>
          <w:sz w:val="32"/>
          <w:szCs w:val="32"/>
        </w:rPr>
        <w:t>学前教育，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35.19</w:t>
      </w:r>
      <w:r>
        <w:rPr>
          <w:rFonts w:hint="eastAsia" w:ascii="仿宋_GB2312" w:eastAsia="仿宋_GB2312"/>
          <w:color w:val="000000"/>
          <w:sz w:val="32"/>
          <w:szCs w:val="32"/>
        </w:rPr>
        <w:t>万元，主要用于：学前教育运转的基本支出，包栝办公费、印刷费、</w:t>
      </w:r>
      <w:r>
        <w:rPr>
          <w:rFonts w:hint="eastAsia" w:ascii="仿宋_GB2312" w:eastAsia="仿宋_GB2312"/>
          <w:color w:val="000000"/>
          <w:sz w:val="32"/>
          <w:szCs w:val="32"/>
          <w:lang w:val="en-US" w:eastAsia="zh-CN"/>
        </w:rPr>
        <w:t>劳务费、</w:t>
      </w:r>
      <w:bookmarkStart w:id="0" w:name="_GoBack"/>
      <w:bookmarkEnd w:id="0"/>
      <w:r>
        <w:rPr>
          <w:rFonts w:hint="eastAsia" w:ascii="仿宋_GB2312" w:eastAsia="仿宋_GB2312"/>
          <w:color w:val="000000"/>
          <w:sz w:val="32"/>
          <w:szCs w:val="32"/>
        </w:rPr>
        <w:t>水电费等日常公用经费。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.2050202</w:t>
      </w:r>
      <w:r>
        <w:rPr>
          <w:rFonts w:hint="eastAsia" w:ascii="仿宋_GB2312" w:eastAsia="仿宋_GB2312"/>
          <w:color w:val="000000"/>
          <w:sz w:val="32"/>
          <w:szCs w:val="32"/>
        </w:rPr>
        <w:t>小学教育，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484.5</w:t>
      </w:r>
      <w:r>
        <w:rPr>
          <w:rFonts w:hint="eastAsia" w:ascii="仿宋_GB2312" w:eastAsia="仿宋_GB2312"/>
          <w:color w:val="000000"/>
          <w:sz w:val="32"/>
          <w:szCs w:val="32"/>
        </w:rPr>
        <w:t>万元，主要用于：小学教育运转的基本支出，包括基本工资、津贴补贴、绩效工资等人员经费。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77.35</w:t>
      </w:r>
      <w:r>
        <w:rPr>
          <w:rFonts w:hint="eastAsia" w:ascii="仿宋_GB2312" w:eastAsia="仿宋_GB2312"/>
          <w:color w:val="000000"/>
          <w:sz w:val="32"/>
          <w:szCs w:val="32"/>
        </w:rPr>
        <w:t>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38.68</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 xml:space="preserve">.2080899 </w:t>
      </w:r>
      <w:r>
        <w:rPr>
          <w:rFonts w:hint="eastAsia" w:ascii="仿宋_GB2312" w:eastAsia="仿宋_GB2312"/>
          <w:color w:val="000000"/>
          <w:sz w:val="32"/>
          <w:szCs w:val="32"/>
        </w:rPr>
        <w:t>其他优抚支出，</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7.9</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主要用于：遗属补助人员支出。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6.2089999其他社会保障和就业支出，202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4.6</w:t>
      </w:r>
      <w:r>
        <w:rPr>
          <w:rFonts w:hint="eastAsia" w:ascii="仿宋_GB2312" w:eastAsia="仿宋_GB2312"/>
          <w:color w:val="000000"/>
          <w:sz w:val="32"/>
          <w:szCs w:val="32"/>
        </w:rPr>
        <w:t>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31.52</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82.84</w:t>
      </w:r>
      <w:r>
        <w:rPr>
          <w:rFonts w:hint="eastAsia" w:ascii="仿宋_GB2312" w:eastAsia="仿宋_GB2312"/>
          <w:sz w:val="32"/>
          <w:szCs w:val="32"/>
        </w:rPr>
        <w:t>万元，主要用于：行政事业单位按规定比例为职工缴纳的住房公积金支出。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我校202</w:t>
      </w:r>
      <w:r>
        <w:rPr>
          <w:rFonts w:hint="eastAsia" w:ascii="仿宋_GB2312" w:eastAsia="仿宋_GB2312"/>
          <w:sz w:val="32"/>
          <w:szCs w:val="32"/>
          <w:lang w:val="en-US" w:eastAsia="zh-CN"/>
        </w:rPr>
        <w:t>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762.59</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694.58</w:t>
      </w:r>
      <w:r>
        <w:rPr>
          <w:rFonts w:hint="eastAsia" w:ascii="仿宋_GB2312" w:eastAsia="仿宋_GB2312"/>
          <w:sz w:val="32"/>
          <w:szCs w:val="32"/>
        </w:rPr>
        <w:t>万元，主要包括：基本工资、津贴补贴、奖金、伙食补助费、绩效工资、机关事业单位基本养老保险缴费、职业年金缴费、职工基本医疗保险缴费、其他社会保障缴费、住房公积金、其他工资福利支出、离休费、生活补贴、奖励金。</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47.49</w:t>
      </w:r>
      <w:r>
        <w:rPr>
          <w:rFonts w:hint="eastAsia" w:ascii="仿宋_GB2312" w:eastAsia="仿宋_GB2312"/>
          <w:sz w:val="32"/>
          <w:szCs w:val="32"/>
        </w:rPr>
        <w:t>万元，主要包括：办公费、水费、电费、邮电费、差旅费、</w:t>
      </w:r>
      <w:r>
        <w:rPr>
          <w:rFonts w:hint="eastAsia" w:ascii="仿宋_GB2312" w:eastAsia="仿宋_GB2312"/>
          <w:sz w:val="32"/>
          <w:szCs w:val="32"/>
          <w:lang w:val="en-US" w:eastAsia="zh-CN"/>
        </w:rPr>
        <w:t>劳务费、</w:t>
      </w:r>
      <w:r>
        <w:rPr>
          <w:rFonts w:hint="eastAsia" w:ascii="仿宋_GB2312" w:eastAsia="仿宋_GB2312"/>
          <w:sz w:val="32"/>
          <w:szCs w:val="32"/>
        </w:rPr>
        <w:t>会议费、培训费、其他商品和服务支出</w:t>
      </w:r>
      <w:r>
        <w:rPr>
          <w:rFonts w:hint="eastAsia" w:ascii="仿宋_GB2312" w:eastAsia="仿宋_GB2312"/>
          <w:sz w:val="32"/>
          <w:szCs w:val="32"/>
          <w:lang w:eastAsia="zh-CN"/>
        </w:rPr>
        <w:t>。</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项目经费20.52万元，</w:t>
      </w:r>
      <w:r>
        <w:rPr>
          <w:rFonts w:hint="eastAsia" w:ascii="仿宋_GB2312" w:eastAsia="仿宋_GB2312"/>
          <w:sz w:val="32"/>
          <w:szCs w:val="32"/>
        </w:rPr>
        <w:t>主要包括：</w:t>
      </w:r>
      <w:r>
        <w:rPr>
          <w:rFonts w:hint="eastAsia" w:ascii="仿宋_GB2312" w:eastAsia="仿宋_GB2312"/>
          <w:sz w:val="32"/>
          <w:szCs w:val="32"/>
          <w:lang w:val="en-US" w:eastAsia="zh-CN"/>
        </w:rPr>
        <w:t>幼儿园</w:t>
      </w:r>
      <w:r>
        <w:rPr>
          <w:rFonts w:hint="eastAsia" w:ascii="仿宋_GB2312" w:eastAsia="仿宋_GB2312"/>
          <w:sz w:val="32"/>
          <w:szCs w:val="32"/>
        </w:rPr>
        <w:t>办公费、水费、电费、邮电费、差旅费、会议费、培训费、其他商品和服务支出</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我校</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我校202</w:t>
      </w:r>
      <w:r>
        <w:rPr>
          <w:rFonts w:hint="eastAsia" w:ascii="仿宋_GB2312" w:eastAsia="仿宋_GB2312"/>
          <w:sz w:val="32"/>
          <w:szCs w:val="32"/>
          <w:lang w:val="en-US" w:eastAsia="zh-CN"/>
        </w:rPr>
        <w:t>2</w:t>
      </w:r>
      <w:r>
        <w:rPr>
          <w:rFonts w:hint="eastAsia" w:ascii="仿宋_GB2312" w:eastAsia="仿宋_GB2312"/>
          <w:sz w:val="32"/>
          <w:szCs w:val="32"/>
        </w:rPr>
        <w:t>年无“三公”经费预算。</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我校为保障机关运行，安排的包括办公及印刷费、邮电费、差旅费、会议费、福利费、日常维修费、专用材料及一般设备购置费、办公用房水电费、办公用房物业管理费、公务用车运行维护费以及其他费用等机关运行经费预算为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年，教育部门安排政府采购预算0万元。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截至去年底，我校实际共有车辆0辆。单位价值200万元以上大型设备0台（套）。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w:t>
      </w:r>
      <w:r>
        <w:rPr>
          <w:rFonts w:hint="eastAsia" w:ascii="仿宋_GB2312" w:eastAsia="仿宋_GB2312"/>
          <w:sz w:val="32"/>
          <w:szCs w:val="32"/>
          <w:lang w:val="en-US" w:eastAsia="zh-CN"/>
        </w:rPr>
        <w:t>2</w:t>
      </w:r>
      <w:r>
        <w:rPr>
          <w:rFonts w:hint="eastAsia" w:ascii="仿宋_GB2312" w:eastAsia="仿宋_GB2312"/>
          <w:sz w:val="32"/>
          <w:szCs w:val="32"/>
        </w:rPr>
        <w:t>年，预算安排购置车辆0辆及单位价值200万元以上大型设备0台（套）。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年，我校按要求实行绩效目标管理，部门整体绩效目标涉及预算安排</w:t>
      </w:r>
      <w:r>
        <w:rPr>
          <w:rFonts w:hint="eastAsia" w:ascii="仿宋_GB2312" w:eastAsia="仿宋_GB2312"/>
          <w:sz w:val="32"/>
          <w:szCs w:val="32"/>
          <w:lang w:val="en-US" w:eastAsia="zh-CN"/>
        </w:rPr>
        <w:t>762.59</w:t>
      </w:r>
      <w:r>
        <w:rPr>
          <w:rFonts w:hint="eastAsia" w:ascii="仿宋_GB2312" w:eastAsia="仿宋_GB2312"/>
          <w:sz w:val="32"/>
          <w:szCs w:val="32"/>
        </w:rPr>
        <w:t>万元，其中基本支出</w:t>
      </w:r>
      <w:r>
        <w:rPr>
          <w:rFonts w:hint="eastAsia" w:ascii="仿宋_GB2312" w:eastAsia="仿宋_GB2312"/>
          <w:sz w:val="32"/>
          <w:szCs w:val="32"/>
          <w:lang w:val="en-US" w:eastAsia="zh-CN"/>
        </w:rPr>
        <w:t>742.07</w:t>
      </w:r>
      <w:r>
        <w:rPr>
          <w:rFonts w:hint="eastAsia" w:ascii="仿宋_GB2312" w:eastAsia="仿宋_GB2312"/>
          <w:sz w:val="32"/>
          <w:szCs w:val="32"/>
        </w:rPr>
        <w:t>万元，项目支出</w:t>
      </w:r>
      <w:r>
        <w:rPr>
          <w:rFonts w:hint="eastAsia" w:ascii="仿宋_GB2312" w:eastAsia="仿宋_GB2312"/>
          <w:sz w:val="32"/>
          <w:szCs w:val="32"/>
          <w:lang w:val="en-US" w:eastAsia="zh-CN"/>
        </w:rPr>
        <w:t>20.52</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20.52</w:t>
      </w:r>
      <w:r>
        <w:rPr>
          <w:rFonts w:hint="eastAsia" w:ascii="仿宋_GB2312" w:eastAsia="仿宋_GB2312"/>
          <w:sz w:val="32"/>
          <w:szCs w:val="32"/>
        </w:rPr>
        <w:t>万元，主要为幼儿园办公费、水费、电费、邮电费、差旅费、会议费、培训费、其他商品和服务支出。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（一）</w:t>
      </w:r>
      <w:r>
        <w:rPr>
          <w:rFonts w:hint="eastAsia" w:ascii="仿宋_GB2312" w:eastAsia="仿宋_GB2312"/>
          <w:sz w:val="32"/>
          <w:szCs w:val="32"/>
        </w:rPr>
        <w:t xml:space="preserve">财政拨款收支情况：指一般公共预算、政府性基金预算、国有资产经营预算拨款收支情况。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w:t>
      </w:r>
      <w:r>
        <w:rPr>
          <w:rFonts w:hint="eastAsia" w:ascii="仿宋_GB2312" w:eastAsia="仿宋_GB2312"/>
          <w:sz w:val="32"/>
          <w:szCs w:val="32"/>
        </w:rPr>
        <w:t>一般公共预算拨款收入：指本级财政当年拨付的资金。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（三）</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（四）</w:t>
      </w:r>
      <w:r>
        <w:rPr>
          <w:rFonts w:hint="eastAsia" w:ascii="仿宋_GB2312" w:eastAsia="仿宋_GB2312"/>
          <w:sz w:val="32"/>
          <w:szCs w:val="32"/>
        </w:rPr>
        <w:t>教育支出（类）教育管理事务（款）行政运行（项）</w:t>
      </w:r>
      <w:r>
        <w:rPr>
          <w:rFonts w:ascii="仿宋_GB2312" w:eastAsia="仿宋_GB2312"/>
          <w:sz w:val="32"/>
          <w:szCs w:val="32"/>
        </w:rPr>
        <w:t>:</w:t>
      </w:r>
      <w:r>
        <w:rPr>
          <w:rFonts w:hint="eastAsia" w:ascii="仿宋_GB2312" w:eastAsia="仿宋_GB2312"/>
          <w:sz w:val="32"/>
          <w:szCs w:val="32"/>
        </w:rPr>
        <w:t>指反映行政单位（包括实行公务员管理的事业单位）的基本支出。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（五）</w:t>
      </w:r>
      <w:r>
        <w:rPr>
          <w:rFonts w:hint="eastAsia" w:ascii="仿宋_GB2312" w:eastAsia="仿宋_GB2312"/>
          <w:sz w:val="32"/>
          <w:szCs w:val="32"/>
        </w:rPr>
        <w:t>教育支出（类）教育管理事务（款）一般行政管理事务（项）</w:t>
      </w:r>
      <w:r>
        <w:rPr>
          <w:rFonts w:ascii="仿宋_GB2312" w:eastAsia="仿宋_GB2312"/>
          <w:sz w:val="32"/>
          <w:szCs w:val="32"/>
        </w:rPr>
        <w:t>:</w:t>
      </w:r>
      <w:r>
        <w:rPr>
          <w:rFonts w:hint="eastAsia" w:ascii="仿宋_GB2312" w:eastAsia="仿宋_GB2312"/>
          <w:sz w:val="32"/>
          <w:szCs w:val="32"/>
        </w:rPr>
        <w:t>指反映行政单位（包括实行公务员管理的事业单位）未单独设置项级科目的其他项目支出。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（六）</w:t>
      </w:r>
      <w:r>
        <w:rPr>
          <w:rFonts w:hint="eastAsia" w:ascii="仿宋_GB2312" w:eastAsia="仿宋_GB2312"/>
          <w:sz w:val="32"/>
          <w:szCs w:val="32"/>
        </w:rPr>
        <w:t>教育支出（类）普通教育（款）学前教育（项）</w:t>
      </w:r>
      <w:r>
        <w:rPr>
          <w:rFonts w:ascii="仿宋_GB2312" w:eastAsia="仿宋_GB2312"/>
          <w:sz w:val="32"/>
          <w:szCs w:val="32"/>
        </w:rPr>
        <w:t>:</w:t>
      </w:r>
      <w:r>
        <w:rPr>
          <w:rFonts w:hint="eastAsia" w:ascii="仿宋_GB2312" w:eastAsia="仿宋_GB2312"/>
          <w:sz w:val="32"/>
          <w:szCs w:val="32"/>
        </w:rPr>
        <w:t>指反映各部门举办的学前教育支出。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（七）</w:t>
      </w:r>
      <w:r>
        <w:rPr>
          <w:rFonts w:hint="eastAsia" w:ascii="仿宋_GB2312" w:eastAsia="仿宋_GB2312"/>
          <w:sz w:val="32"/>
          <w:szCs w:val="32"/>
        </w:rPr>
        <w:t>教育支出（类）普通教育（款）小学教育（项）</w:t>
      </w:r>
      <w:r>
        <w:rPr>
          <w:rFonts w:ascii="仿宋_GB2312" w:eastAsia="仿宋_GB2312"/>
          <w:sz w:val="32"/>
          <w:szCs w:val="32"/>
        </w:rPr>
        <w:t>:</w:t>
      </w:r>
      <w:r>
        <w:rPr>
          <w:rFonts w:hint="eastAsia" w:ascii="仿宋_GB2312" w:eastAsia="仿宋_GB2312"/>
          <w:sz w:val="32"/>
          <w:szCs w:val="32"/>
        </w:rPr>
        <w:t>指反映各部门举办的小学教育支出。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（八）</w:t>
      </w:r>
      <w:r>
        <w:rPr>
          <w:rFonts w:hint="eastAsia" w:ascii="仿宋_GB2312" w:eastAsia="仿宋_GB2312"/>
          <w:sz w:val="32"/>
          <w:szCs w:val="32"/>
        </w:rPr>
        <w:t>教育支出（类）普通教育（款）初中教育（项）</w:t>
      </w:r>
      <w:r>
        <w:rPr>
          <w:rFonts w:ascii="仿宋_GB2312" w:eastAsia="仿宋_GB2312"/>
          <w:sz w:val="32"/>
          <w:szCs w:val="32"/>
        </w:rPr>
        <w:t>:</w:t>
      </w:r>
      <w:r>
        <w:rPr>
          <w:rFonts w:hint="eastAsia" w:ascii="仿宋_GB2312" w:eastAsia="仿宋_GB2312"/>
          <w:sz w:val="32"/>
          <w:szCs w:val="32"/>
        </w:rPr>
        <w:t>指反映各部门举办的初中教育支出。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（九）</w:t>
      </w:r>
      <w:r>
        <w:rPr>
          <w:rFonts w:hint="eastAsia" w:ascii="仿宋_GB2312" w:eastAsia="仿宋_GB2312"/>
          <w:sz w:val="32"/>
          <w:szCs w:val="32"/>
        </w:rPr>
        <w:t>教育支出（类）普通教育（款）高中教育（项）</w:t>
      </w:r>
      <w:r>
        <w:rPr>
          <w:rFonts w:ascii="仿宋_GB2312" w:eastAsia="仿宋_GB2312"/>
          <w:sz w:val="32"/>
          <w:szCs w:val="32"/>
        </w:rPr>
        <w:t>:</w:t>
      </w:r>
      <w:r>
        <w:rPr>
          <w:rFonts w:hint="eastAsia" w:ascii="仿宋_GB2312" w:eastAsia="仿宋_GB2312"/>
          <w:sz w:val="32"/>
          <w:szCs w:val="32"/>
        </w:rPr>
        <w:t>指反映各部门举办的高级中学教育支出。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仿宋_GB2312" w:eastAsia="仿宋_GB2312"/>
          <w:sz w:val="32"/>
          <w:szCs w:val="32"/>
        </w:rPr>
        <w:t>教育支出（类）普通教育（款）其他普通教育支出（项）</w:t>
      </w:r>
      <w:r>
        <w:rPr>
          <w:rFonts w:ascii="仿宋_GB2312" w:eastAsia="仿宋_GB2312"/>
          <w:sz w:val="32"/>
          <w:szCs w:val="32"/>
        </w:rPr>
        <w:t>:</w:t>
      </w:r>
      <w:r>
        <w:rPr>
          <w:rFonts w:hint="eastAsia" w:ascii="仿宋_GB2312" w:eastAsia="仿宋_GB2312"/>
          <w:sz w:val="32"/>
          <w:szCs w:val="32"/>
        </w:rPr>
        <w:t>指反映除上述项目以外其他用于普通教育方面的支出。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（十一）</w:t>
      </w:r>
      <w:r>
        <w:rPr>
          <w:rFonts w:hint="eastAsia" w:ascii="仿宋_GB2312" w:eastAsia="仿宋_GB2312"/>
          <w:sz w:val="32"/>
          <w:szCs w:val="32"/>
        </w:rPr>
        <w:t>教育支出（类）职业教育（款）中等职业教育（项）</w:t>
      </w:r>
      <w:r>
        <w:rPr>
          <w:rFonts w:ascii="仿宋_GB2312" w:eastAsia="仿宋_GB2312"/>
          <w:sz w:val="32"/>
          <w:szCs w:val="32"/>
        </w:rPr>
        <w:t>:</w:t>
      </w:r>
      <w:r>
        <w:rPr>
          <w:rFonts w:hint="eastAsia" w:ascii="仿宋_GB2312" w:eastAsia="仿宋_GB2312"/>
          <w:sz w:val="32"/>
          <w:szCs w:val="32"/>
        </w:rPr>
        <w:t>指反映各部门（不含人力资源社会保障部门）举办的中等职业学校支出。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（十二）</w:t>
      </w:r>
      <w:r>
        <w:rPr>
          <w:rFonts w:hint="eastAsia" w:ascii="仿宋_GB2312" w:eastAsia="仿宋_GB2312"/>
          <w:sz w:val="32"/>
          <w:szCs w:val="32"/>
        </w:rPr>
        <w:t>教育支出（类）成人教育（款）成人高等教育（项）</w:t>
      </w:r>
      <w:r>
        <w:rPr>
          <w:rFonts w:ascii="仿宋_GB2312" w:eastAsia="仿宋_GB2312"/>
          <w:sz w:val="32"/>
          <w:szCs w:val="32"/>
        </w:rPr>
        <w:t>:</w:t>
      </w:r>
      <w:r>
        <w:rPr>
          <w:rFonts w:hint="eastAsia" w:ascii="仿宋_GB2312" w:eastAsia="仿宋_GB2312"/>
          <w:sz w:val="32"/>
          <w:szCs w:val="32"/>
        </w:rPr>
        <w:t>指反映各部门举办函授、夜大、高等教育自学考试等方面的支出。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 xml:space="preserve">（十三） </w:t>
      </w:r>
      <w:r>
        <w:rPr>
          <w:rFonts w:hint="eastAsia" w:ascii="仿宋_GB2312" w:eastAsia="仿宋_GB2312"/>
          <w:sz w:val="32"/>
          <w:szCs w:val="32"/>
        </w:rPr>
        <w:t>教育支出（类）特殊教育（款）特殊学校教育（项）：指反映各部门举办盲童学校、聋哑学校、智力落后儿童学校、其他生理缺陷儿童学校的支出。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（十四）</w:t>
      </w:r>
      <w:r>
        <w:rPr>
          <w:rFonts w:hint="eastAsia" w:ascii="仿宋_GB2312" w:eastAsia="仿宋_GB2312"/>
          <w:sz w:val="32"/>
          <w:szCs w:val="32"/>
        </w:rPr>
        <w:t>教育支出（类）进修及培训（款）教师进修（项）</w:t>
      </w:r>
      <w:r>
        <w:rPr>
          <w:rFonts w:ascii="仿宋_GB2312" w:eastAsia="仿宋_GB2312"/>
          <w:sz w:val="32"/>
          <w:szCs w:val="32"/>
        </w:rPr>
        <w:t>:</w:t>
      </w:r>
      <w:r>
        <w:rPr>
          <w:rFonts w:hint="eastAsia" w:ascii="仿宋_GB2312" w:eastAsia="仿宋_GB2312"/>
          <w:sz w:val="32"/>
          <w:szCs w:val="32"/>
        </w:rPr>
        <w:t>指反映教师进修、师资培训支出。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（十五）</w:t>
      </w:r>
      <w:r>
        <w:rPr>
          <w:rFonts w:hint="eastAsia" w:ascii="仿宋_GB2312" w:eastAsia="仿宋_GB2312"/>
          <w:sz w:val="32"/>
          <w:szCs w:val="32"/>
        </w:rPr>
        <w:t>教育支出（类）教育费附加安排的支出（款）其他教育费附加安排的支出（项）</w:t>
      </w:r>
      <w:r>
        <w:rPr>
          <w:rFonts w:ascii="仿宋_GB2312" w:eastAsia="仿宋_GB2312"/>
          <w:sz w:val="32"/>
          <w:szCs w:val="32"/>
        </w:rPr>
        <w:t xml:space="preserve">: </w:t>
      </w:r>
      <w:r>
        <w:rPr>
          <w:rFonts w:hint="eastAsia" w:ascii="仿宋_GB2312" w:eastAsia="仿宋_GB2312"/>
          <w:sz w:val="32"/>
          <w:szCs w:val="32"/>
        </w:rPr>
        <w:t>指反映上述项目以外的教育费附加支出。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（十六）</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（十七）</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（十八）</w:t>
      </w:r>
      <w:r>
        <w:rPr>
          <w:rFonts w:hint="eastAsia" w:ascii="仿宋_GB2312" w:eastAsia="仿宋_GB2312"/>
          <w:sz w:val="32"/>
          <w:szCs w:val="32"/>
        </w:rPr>
        <w:t>社会保障和就业支出（类）行政事业单位养老支出（款）其他行政事业单位养老支出（项）</w:t>
      </w:r>
      <w:r>
        <w:rPr>
          <w:rFonts w:ascii="仿宋_GB2312" w:eastAsia="仿宋_GB2312"/>
          <w:sz w:val="32"/>
          <w:szCs w:val="32"/>
        </w:rPr>
        <w:t>:</w:t>
      </w:r>
      <w:r>
        <w:rPr>
          <w:rFonts w:hint="eastAsia" w:ascii="仿宋_GB2312" w:eastAsia="仿宋_GB2312"/>
          <w:sz w:val="32"/>
          <w:szCs w:val="32"/>
        </w:rPr>
        <w:t>指反映上述项目以外其他用于行政事业单位养老方面的支出。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（十九）</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（二十一）</w:t>
      </w:r>
      <w:r>
        <w:rPr>
          <w:rFonts w:hint="eastAsia" w:ascii="仿宋_GB2312" w:eastAsia="仿宋_GB2312"/>
          <w:sz w:val="32"/>
          <w:szCs w:val="32"/>
        </w:rPr>
        <w:t>卫生健康支出（类）行政事业单位医疗（款）行政单位医疗（项）</w:t>
      </w:r>
      <w:r>
        <w:rPr>
          <w:rFonts w:ascii="仿宋_GB2312" w:eastAsia="仿宋_GB2312"/>
          <w:sz w:val="32"/>
          <w:szCs w:val="32"/>
        </w:rPr>
        <w:t>:</w:t>
      </w:r>
      <w:r>
        <w:rPr>
          <w:rFonts w:hint="eastAsia" w:ascii="仿宋_GB2312" w:eastAsia="仿宋_GB2312"/>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_GB2312" w:eastAsia="仿宋_GB2312"/>
          <w:sz w:val="32"/>
          <w:szCs w:val="32"/>
        </w:rPr>
        <w:br w:type="textWrapping"/>
      </w:r>
      <w:r>
        <w:rPr>
          <w:rFonts w:hint="eastAsia" w:ascii="楷体_GB2312" w:eastAsia="楷体_GB2312" w:cs="Times New Roman"/>
          <w:color w:val="auto"/>
          <w:kern w:val="2"/>
          <w:sz w:val="32"/>
          <w:szCs w:val="32"/>
        </w:rPr>
        <w:t xml:space="preserve">   （二十二）</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（二十三）</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（二十四）</w:t>
      </w:r>
      <w:r>
        <w:rPr>
          <w:rFonts w:hint="eastAsia" w:ascii="仿宋_GB2312" w:eastAsia="仿宋_GB2312"/>
          <w:sz w:val="32"/>
          <w:szCs w:val="32"/>
        </w:rPr>
        <w:t>基本支出：指为保障机构正常运转、完成日常工作任务而发生的人员支出和公用支出。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（二十五）</w:t>
      </w:r>
      <w:r>
        <w:rPr>
          <w:rFonts w:hint="eastAsia" w:ascii="仿宋_GB2312" w:eastAsia="仿宋_GB2312"/>
          <w:sz w:val="32"/>
          <w:szCs w:val="32"/>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（二十六）</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6"/>
        <w:spacing w:line="560" w:lineRule="exact"/>
        <w:ind w:firstLine="640" w:firstLineChars="200"/>
        <w:rPr>
          <w:rFonts w:ascii="仿宋_GB2312" w:eastAsia="仿宋_GB2312"/>
          <w:sz w:val="32"/>
          <w:szCs w:val="32"/>
        </w:rPr>
      </w:pPr>
    </w:p>
    <w:p>
      <w:pPr>
        <w:pStyle w:val="6"/>
        <w:spacing w:line="560" w:lineRule="exact"/>
        <w:ind w:firstLine="5600" w:firstLineChars="1750"/>
        <w:rPr>
          <w:rFonts w:ascii="仿宋_GB2312" w:eastAsia="仿宋_GB2312"/>
          <w:sz w:val="32"/>
          <w:szCs w:val="32"/>
        </w:rPr>
      </w:pPr>
      <w:r>
        <w:rPr>
          <w:rFonts w:hint="eastAsia" w:ascii="仿宋_GB2312" w:eastAsia="仿宋_GB2312"/>
          <w:sz w:val="32"/>
          <w:szCs w:val="32"/>
        </w:rPr>
        <w:t>峨眉山市龙池镇小学校</w:t>
      </w:r>
    </w:p>
    <w:p>
      <w:pPr>
        <w:pStyle w:val="6"/>
        <w:spacing w:line="560" w:lineRule="exact"/>
        <w:ind w:firstLine="6560" w:firstLineChars="205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035AA"/>
    <w:multiLevelType w:val="multilevel"/>
    <w:tmpl w:val="0BE035AA"/>
    <w:lvl w:ilvl="0" w:tentative="0">
      <w:start w:val="4"/>
      <w:numFmt w:val="decimal"/>
      <w:lvlText w:val="%1、"/>
      <w:lvlJc w:val="left"/>
      <w:pPr>
        <w:ind w:left="1271" w:hanging="720"/>
      </w:pPr>
      <w:rPr>
        <w:rFonts w:hint="default"/>
      </w:rPr>
    </w:lvl>
    <w:lvl w:ilvl="1" w:tentative="0">
      <w:start w:val="1"/>
      <w:numFmt w:val="lowerLetter"/>
      <w:lvlText w:val="%2)"/>
      <w:lvlJc w:val="left"/>
      <w:pPr>
        <w:ind w:left="1391" w:hanging="420"/>
      </w:pPr>
    </w:lvl>
    <w:lvl w:ilvl="2" w:tentative="0">
      <w:start w:val="1"/>
      <w:numFmt w:val="lowerRoman"/>
      <w:lvlText w:val="%3."/>
      <w:lvlJc w:val="right"/>
      <w:pPr>
        <w:ind w:left="1811" w:hanging="420"/>
      </w:pPr>
    </w:lvl>
    <w:lvl w:ilvl="3" w:tentative="0">
      <w:start w:val="1"/>
      <w:numFmt w:val="decimal"/>
      <w:lvlText w:val="%4."/>
      <w:lvlJc w:val="left"/>
      <w:pPr>
        <w:ind w:left="2231" w:hanging="420"/>
      </w:pPr>
    </w:lvl>
    <w:lvl w:ilvl="4" w:tentative="0">
      <w:start w:val="1"/>
      <w:numFmt w:val="lowerLetter"/>
      <w:lvlText w:val="%5)"/>
      <w:lvlJc w:val="left"/>
      <w:pPr>
        <w:ind w:left="2651" w:hanging="420"/>
      </w:pPr>
    </w:lvl>
    <w:lvl w:ilvl="5" w:tentative="0">
      <w:start w:val="1"/>
      <w:numFmt w:val="lowerRoman"/>
      <w:lvlText w:val="%6."/>
      <w:lvlJc w:val="right"/>
      <w:pPr>
        <w:ind w:left="3071" w:hanging="420"/>
      </w:pPr>
    </w:lvl>
    <w:lvl w:ilvl="6" w:tentative="0">
      <w:start w:val="1"/>
      <w:numFmt w:val="decimal"/>
      <w:lvlText w:val="%7."/>
      <w:lvlJc w:val="left"/>
      <w:pPr>
        <w:ind w:left="3491" w:hanging="420"/>
      </w:pPr>
    </w:lvl>
    <w:lvl w:ilvl="7" w:tentative="0">
      <w:start w:val="1"/>
      <w:numFmt w:val="lowerLetter"/>
      <w:lvlText w:val="%8)"/>
      <w:lvlJc w:val="left"/>
      <w:pPr>
        <w:ind w:left="3911" w:hanging="420"/>
      </w:pPr>
    </w:lvl>
    <w:lvl w:ilvl="8" w:tentative="0">
      <w:start w:val="1"/>
      <w:numFmt w:val="lowerRoman"/>
      <w:lvlText w:val="%9."/>
      <w:lvlJc w:val="right"/>
      <w:pPr>
        <w:ind w:left="4331" w:hanging="420"/>
      </w:pPr>
    </w:lvl>
  </w:abstractNum>
  <w:abstractNum w:abstractNumId="1">
    <w:nsid w:val="197568C9"/>
    <w:multiLevelType w:val="singleLevel"/>
    <w:tmpl w:val="197568C9"/>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82C9B"/>
    <w:rsid w:val="00091317"/>
    <w:rsid w:val="000F0A83"/>
    <w:rsid w:val="000F755E"/>
    <w:rsid w:val="00170751"/>
    <w:rsid w:val="001A0437"/>
    <w:rsid w:val="001A2108"/>
    <w:rsid w:val="002730CD"/>
    <w:rsid w:val="002F1840"/>
    <w:rsid w:val="00320FDB"/>
    <w:rsid w:val="00362B59"/>
    <w:rsid w:val="00380BA3"/>
    <w:rsid w:val="003A561B"/>
    <w:rsid w:val="003B0847"/>
    <w:rsid w:val="00425810"/>
    <w:rsid w:val="004A1A00"/>
    <w:rsid w:val="0053746F"/>
    <w:rsid w:val="00564603"/>
    <w:rsid w:val="00590AF5"/>
    <w:rsid w:val="005B30AD"/>
    <w:rsid w:val="005E688F"/>
    <w:rsid w:val="0061651D"/>
    <w:rsid w:val="00624630"/>
    <w:rsid w:val="00777E08"/>
    <w:rsid w:val="007934F3"/>
    <w:rsid w:val="007D21E4"/>
    <w:rsid w:val="00861D72"/>
    <w:rsid w:val="008C72F8"/>
    <w:rsid w:val="009340F3"/>
    <w:rsid w:val="00A527E0"/>
    <w:rsid w:val="00A93FB0"/>
    <w:rsid w:val="00AE4401"/>
    <w:rsid w:val="00B0756D"/>
    <w:rsid w:val="00B3548B"/>
    <w:rsid w:val="00B45330"/>
    <w:rsid w:val="00BB666B"/>
    <w:rsid w:val="00C044B7"/>
    <w:rsid w:val="00C239A1"/>
    <w:rsid w:val="00C5515C"/>
    <w:rsid w:val="00CC5FF3"/>
    <w:rsid w:val="00D36FE8"/>
    <w:rsid w:val="00DE1A43"/>
    <w:rsid w:val="00DF77CF"/>
    <w:rsid w:val="00E33A92"/>
    <w:rsid w:val="00EA6295"/>
    <w:rsid w:val="00EB4E1D"/>
    <w:rsid w:val="00F429C0"/>
    <w:rsid w:val="00FB45E1"/>
    <w:rsid w:val="027B4ADE"/>
    <w:rsid w:val="05A977C0"/>
    <w:rsid w:val="066D6077"/>
    <w:rsid w:val="109F1CAD"/>
    <w:rsid w:val="11596B3E"/>
    <w:rsid w:val="15D35DF5"/>
    <w:rsid w:val="168116D5"/>
    <w:rsid w:val="17C80B70"/>
    <w:rsid w:val="1B104D03"/>
    <w:rsid w:val="1FB713D4"/>
    <w:rsid w:val="211C40DE"/>
    <w:rsid w:val="2127762C"/>
    <w:rsid w:val="231C6EC9"/>
    <w:rsid w:val="27766D7F"/>
    <w:rsid w:val="2AAC03DB"/>
    <w:rsid w:val="2ED21556"/>
    <w:rsid w:val="34E362BF"/>
    <w:rsid w:val="36DD628E"/>
    <w:rsid w:val="3A6C210B"/>
    <w:rsid w:val="3E601559"/>
    <w:rsid w:val="3E626042"/>
    <w:rsid w:val="3EE741B8"/>
    <w:rsid w:val="4378433C"/>
    <w:rsid w:val="47544D35"/>
    <w:rsid w:val="489E5894"/>
    <w:rsid w:val="48D30CE3"/>
    <w:rsid w:val="493C20A5"/>
    <w:rsid w:val="4A2302B0"/>
    <w:rsid w:val="4EE548E0"/>
    <w:rsid w:val="5DE84C6A"/>
    <w:rsid w:val="67D2734F"/>
    <w:rsid w:val="6B61559E"/>
    <w:rsid w:val="6BDD7AB9"/>
    <w:rsid w:val="6CD63FED"/>
    <w:rsid w:val="714E7A37"/>
    <w:rsid w:val="763212FC"/>
    <w:rsid w:val="7697339E"/>
    <w:rsid w:val="776A72DB"/>
    <w:rsid w:val="77E229AD"/>
    <w:rsid w:val="784D73EB"/>
    <w:rsid w:val="7CA52EFE"/>
    <w:rsid w:val="7D3309A6"/>
    <w:rsid w:val="7FDC49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7">
    <w:name w:val="p15"/>
    <w:basedOn w:val="1"/>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3563</Words>
  <Characters>369</Characters>
  <Lines>3</Lines>
  <Paragraphs>7</Paragraphs>
  <TotalTime>5</TotalTime>
  <ScaleCrop>false</ScaleCrop>
  <LinksUpToDate>false</LinksUpToDate>
  <CharactersWithSpaces>3925</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dell-pc</cp:lastModifiedBy>
  <dcterms:modified xsi:type="dcterms:W3CDTF">2022-02-18T14:03:28Z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