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关于峨眉山市退役军人事务局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年部门</w:t>
      </w:r>
      <w:r>
        <w:rPr>
          <w:rFonts w:hint="eastAsia" w:ascii="方正小标宋简体" w:eastAsia="方正小标宋简体"/>
          <w:sz w:val="44"/>
          <w:szCs w:val="44"/>
          <w:lang w:eastAsia="zh-CN"/>
        </w:rPr>
        <w:t>综合</w:t>
      </w:r>
      <w:r>
        <w:rPr>
          <w:rFonts w:hint="eastAsia" w:ascii="方正小标宋简体" w:eastAsia="方正小标宋简体"/>
          <w:sz w:val="44"/>
          <w:szCs w:val="44"/>
        </w:rPr>
        <w:t>预算编制的说明</w:t>
      </w:r>
    </w:p>
    <w:p>
      <w:pPr>
        <w:spacing w:line="600" w:lineRule="exact"/>
        <w:ind w:firstLine="640" w:firstLineChars="200"/>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按照预算管理有关规定，目前部门预算的编制实行综合预算制度，即全部收入和支出都反映在预算中。</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sz w:val="32"/>
          <w:szCs w:val="32"/>
        </w:rPr>
      </w:pPr>
      <w:r>
        <w:rPr>
          <w:rFonts w:hint="eastAsia" w:ascii="黑体" w:eastAsia="黑体"/>
          <w:sz w:val="32"/>
          <w:szCs w:val="32"/>
        </w:rPr>
        <w:t>一、20</w:t>
      </w:r>
      <w:r>
        <w:rPr>
          <w:rFonts w:ascii="黑体" w:eastAsia="黑体"/>
          <w:sz w:val="32"/>
          <w:szCs w:val="32"/>
        </w:rPr>
        <w:t>2</w:t>
      </w:r>
      <w:r>
        <w:rPr>
          <w:rFonts w:hint="eastAsia" w:ascii="黑体" w:eastAsia="黑体"/>
          <w:sz w:val="32"/>
          <w:szCs w:val="32"/>
          <w:lang w:val="en-US" w:eastAsia="zh-CN"/>
        </w:rPr>
        <w:t>1</w:t>
      </w:r>
      <w:r>
        <w:rPr>
          <w:rFonts w:hint="eastAsia" w:ascii="黑体" w:eastAsia="黑体"/>
          <w:sz w:val="32"/>
          <w:szCs w:val="32"/>
        </w:rPr>
        <w:t>年重点工作任务</w:t>
      </w:r>
    </w:p>
    <w:p>
      <w:pPr>
        <w:pStyle w:val="2"/>
        <w:keepNext w:val="0"/>
        <w:keepLines w:val="0"/>
        <w:pageBreakBefore w:val="0"/>
        <w:widowControl w:val="0"/>
        <w:numPr>
          <w:ilvl w:val="0"/>
          <w:numId w:val="1"/>
        </w:numPr>
        <w:kinsoku/>
        <w:wordWrap/>
        <w:topLinePunct w:val="0"/>
        <w:bidi w:val="0"/>
        <w:adjustRightInd/>
        <w:snapToGrid/>
        <w:spacing w:before="0" w:after="0" w:line="600" w:lineRule="exact"/>
        <w:ind w:left="0" w:leftChars="0" w:firstLine="640" w:firstLineChars="0"/>
        <w:jc w:val="both"/>
        <w:textAlignment w:val="baseline"/>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紧扣一个</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目标。</w:t>
      </w:r>
      <w:r>
        <w:rPr>
          <w:rFonts w:hint="eastAsia" w:ascii="仿宋_GB2312" w:hAnsi="仿宋_GB2312" w:eastAsia="仿宋_GB2312" w:cs="仿宋_GB2312"/>
          <w:b w:val="0"/>
          <w:bCs w:val="0"/>
          <w:color w:val="000000" w:themeColor="text1"/>
          <w:sz w:val="32"/>
          <w:szCs w:val="32"/>
          <w14:textFill>
            <w14:solidFill>
              <w14:schemeClr w14:val="tx1"/>
            </w14:solidFill>
          </w14:textFill>
        </w:rPr>
        <w:t>全面学习贯彻党的十九届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val="0"/>
          <w:bCs w:val="0"/>
          <w:color w:val="000000" w:themeColor="text1"/>
          <w:sz w:val="32"/>
          <w:szCs w:val="32"/>
          <w14:textFill>
            <w14:solidFill>
              <w14:schemeClr w14:val="tx1"/>
            </w14:solidFill>
          </w14:textFill>
        </w:rPr>
        <w:t>中全会精神，深入践行《退役军人保障法》，坚持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以“</w:t>
      </w:r>
      <w:r>
        <w:rPr>
          <w:rFonts w:hint="eastAsia" w:ascii="仿宋_GB2312" w:hAnsi="仿宋_GB2312" w:eastAsia="仿宋_GB2312" w:cs="仿宋_GB2312"/>
          <w:b w:val="0"/>
          <w:bCs w:val="0"/>
          <w:color w:val="000000" w:themeColor="text1"/>
          <w:sz w:val="32"/>
          <w:szCs w:val="32"/>
          <w14:textFill>
            <w14:solidFill>
              <w14:schemeClr w14:val="tx1"/>
            </w14:solidFill>
          </w14:textFill>
        </w:rPr>
        <w:t>懂军人、爱军人、全心全意服务退役军人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”工作理念为目标</w:t>
      </w:r>
      <w:r>
        <w:rPr>
          <w:rFonts w:hint="eastAsia" w:ascii="仿宋_GB2312" w:hAnsi="仿宋_GB2312" w:eastAsia="仿宋_GB2312" w:cs="仿宋_GB2312"/>
          <w:b w:val="0"/>
          <w:bCs w:val="0"/>
          <w:color w:val="000000" w:themeColor="text1"/>
          <w:sz w:val="32"/>
          <w:szCs w:val="32"/>
          <w14:textFill>
            <w14:solidFill>
              <w14:schemeClr w14:val="tx1"/>
            </w14:solidFill>
          </w14:textFill>
        </w:rPr>
        <w:t>，为“十四五”新征程贡献退役军人力量。</w:t>
      </w:r>
    </w:p>
    <w:p>
      <w:pPr>
        <w:pStyle w:val="2"/>
        <w:keepNext w:val="0"/>
        <w:keepLines w:val="0"/>
        <w:pageBreakBefore w:val="0"/>
        <w:widowControl w:val="0"/>
        <w:numPr>
          <w:ilvl w:val="0"/>
          <w:numId w:val="1"/>
        </w:numPr>
        <w:kinsoku/>
        <w:wordWrap/>
        <w:topLinePunct w:val="0"/>
        <w:bidi w:val="0"/>
        <w:adjustRightInd/>
        <w:snapToGrid/>
        <w:spacing w:before="0" w:after="0" w:line="600" w:lineRule="exact"/>
        <w:ind w:left="0" w:leftChars="0" w:firstLine="640" w:firstLineChars="0"/>
        <w:jc w:val="both"/>
        <w:textAlignment w:val="baseline"/>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聚焦一条主线。</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以深入推进服务保障体系建设为主线，</w:t>
      </w:r>
    </w:p>
    <w:p>
      <w:pPr>
        <w:pStyle w:val="2"/>
        <w:keepNext w:val="0"/>
        <w:keepLines w:val="0"/>
        <w:pageBreakBefore w:val="0"/>
        <w:widowControl w:val="0"/>
        <w:numPr>
          <w:ilvl w:val="0"/>
          <w:numId w:val="0"/>
        </w:numPr>
        <w:kinsoku/>
        <w:wordWrap/>
        <w:topLinePunct w:val="0"/>
        <w:bidi w:val="0"/>
        <w:adjustRightInd/>
        <w:snapToGrid/>
        <w:spacing w:before="0" w:after="0" w:line="600" w:lineRule="exact"/>
        <w:jc w:val="both"/>
        <w:textAlignment w:val="baseline"/>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进一步抓基层、打基础、强基本，在组织管理体系、工作运行体系、政策制度体系上持续发力，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提升标准化、规范化水平，深入学习新时代“枫桥经验”，推动镇、村两级服务站及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300名退役军人以上村（社区）服务站示范创建，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全面</w:t>
      </w:r>
      <w:r>
        <w:rPr>
          <w:rFonts w:hint="eastAsia" w:ascii="仿宋_GB2312" w:hAnsi="仿宋_GB2312" w:eastAsia="仿宋_GB2312" w:cs="仿宋_GB2312"/>
          <w:b w:val="0"/>
          <w:bCs w:val="0"/>
          <w:color w:val="000000" w:themeColor="text1"/>
          <w:sz w:val="32"/>
          <w:szCs w:val="32"/>
          <w14:textFill>
            <w14:solidFill>
              <w14:schemeClr w14:val="tx1"/>
            </w14:solidFill>
          </w14:textFill>
        </w:rPr>
        <w:t>提升退役军人服务保障能力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1"/>
        </w:numPr>
        <w:kinsoku/>
        <w:wordWrap/>
        <w:overflowPunct w:val="0"/>
        <w:topLinePunct w:val="0"/>
        <w:autoSpaceDE w:val="0"/>
        <w:autoSpaceDN w:val="0"/>
        <w:bidi w:val="0"/>
        <w:adjustRightInd/>
        <w:snapToGrid/>
        <w:spacing w:line="600" w:lineRule="exact"/>
        <w:ind w:left="0" w:leftChars="0" w:firstLine="640" w:firstLineChars="0"/>
        <w:textAlignment w:val="auto"/>
        <w:rPr>
          <w:rFonts w:hint="eastAsia" w:eastAsiaTheme="minorEastAsia"/>
          <w:color w:val="000000" w:themeColor="text1"/>
          <w:lang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抓实三项重点。</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一是稳步推进</w:t>
      </w:r>
      <w:r>
        <w:rPr>
          <w:rFonts w:hint="eastAsia" w:ascii="仿宋_GB2312" w:hAnsi="仿宋_GB2312" w:eastAsia="仿宋_GB2312" w:cs="仿宋_GB2312"/>
          <w:b/>
          <w:bCs/>
          <w:color w:val="000000" w:themeColor="text1"/>
          <w:sz w:val="32"/>
          <w:szCs w:val="32"/>
          <w14:textFill>
            <w14:solidFill>
              <w14:schemeClr w14:val="tx1"/>
            </w14:solidFill>
          </w14:textFill>
        </w:rPr>
        <w:t>安置就业。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进一步完善推广</w:t>
      </w:r>
      <w:r>
        <w:rPr>
          <w:rFonts w:hint="eastAsia" w:ascii="仿宋_GB2312" w:hAnsi="仿宋_GB2312" w:eastAsia="仿宋_GB2312" w:cs="仿宋_GB2312"/>
          <w:b w:val="0"/>
          <w:bCs w:val="0"/>
          <w:color w:val="000000" w:themeColor="text1"/>
          <w:sz w:val="32"/>
          <w:szCs w:val="32"/>
          <w14:textFill>
            <w14:solidFill>
              <w14:schemeClr w14:val="tx1"/>
            </w14:solidFill>
          </w14:textFill>
        </w:rPr>
        <w:t>“直通车”安置方式，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完善退役士兵移交安置“一站式”服务，全面实现“阳光安置”</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抓好退役军人就业教育培训，探索培训新模式，积极拓宽退役军人就业创业渠道，对接相关部门及金融机构提高减税降费减息等优惠政策力度。</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二是持续深化褒扬纪念</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大力弘扬英烈精神，提升烈士纪念设施管理保护水平，不断加大保护力度，</w:t>
      </w:r>
      <w:r>
        <w:rPr>
          <w:rFonts w:hint="eastAsia" w:ascii="仿宋_GB2312" w:eastAsia="仿宋_GB2312"/>
          <w:color w:val="auto"/>
          <w:sz w:val="32"/>
          <w:szCs w:val="32"/>
          <w:highlight w:val="none"/>
          <w:lang w:eastAsia="zh-CN"/>
        </w:rPr>
        <w:t>完成烈士陵园产权移交，推进烈士纪念馆建设</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做好烈士遗属优待，建立定期联络制度，主动靠前做好服务；深入挖掘“最美退役军人”、就业创业之星等先进典型，树立一批模范代表。</w:t>
      </w:r>
      <w:r>
        <w:rPr>
          <w:rFonts w:hint="eastAsia" w:ascii="仿宋_GB2312" w:hAnsi="仿宋_GB2312" w:eastAsia="仿宋_GB2312" w:cs="仿宋_GB2312"/>
          <w:b/>
          <w:bCs/>
          <w:color w:val="auto"/>
          <w:sz w:val="32"/>
          <w:szCs w:val="32"/>
          <w:highlight w:val="none"/>
          <w:lang w:eastAsia="zh-CN"/>
        </w:rPr>
        <w:t>三是落实优抚服务保障。</w:t>
      </w:r>
      <w:r>
        <w:rPr>
          <w:rFonts w:hint="eastAsia" w:ascii="仿宋_GB2312" w:hAnsi="仿宋_GB2312" w:eastAsia="仿宋_GB2312" w:cs="仿宋_GB2312"/>
          <w:b w:val="0"/>
          <w:bCs w:val="0"/>
          <w:color w:val="auto"/>
          <w:sz w:val="32"/>
          <w:szCs w:val="32"/>
          <w:highlight w:val="none"/>
          <w:lang w:eastAsia="zh-CN"/>
        </w:rPr>
        <w:t>扎实开展优抚对象核查工作，健全优抚对象信息库，做好</w:t>
      </w:r>
      <w:r>
        <w:rPr>
          <w:rFonts w:hint="eastAsia" w:ascii="仿宋_GB2312" w:hAnsi="仿宋_GB2312" w:eastAsia="仿宋_GB2312" w:cs="仿宋_GB2312"/>
          <w:sz w:val="32"/>
          <w:szCs w:val="32"/>
          <w:highlight w:val="none"/>
          <w:lang w:val="en-US" w:eastAsia="zh-CN"/>
        </w:rPr>
        <w:t>退役军人优待证发放前期筹备工作；按时足额发放各类优抚对象抚恤金，抓好各项优抚政策落地落实。</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四是</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积极</w:t>
      </w:r>
      <w:r>
        <w:rPr>
          <w:rFonts w:hint="eastAsia" w:ascii="仿宋_GB2312" w:hAnsi="仿宋_GB2312" w:eastAsia="仿宋_GB2312" w:cs="仿宋_GB2312"/>
          <w:b/>
          <w:bCs/>
          <w:color w:val="000000" w:themeColor="text1"/>
          <w:sz w:val="32"/>
          <w:szCs w:val="32"/>
          <w14:textFill>
            <w14:solidFill>
              <w14:schemeClr w14:val="tx1"/>
            </w14:solidFill>
          </w14:textFill>
        </w:rPr>
        <w:t>化解矛盾纠纷。</w:t>
      </w:r>
      <w:r>
        <w:rPr>
          <w:rFonts w:hint="eastAsia" w:ascii="仿宋_GB2312" w:hAnsi="仿宋_GB2312" w:eastAsia="仿宋_GB2312" w:cs="仿宋_GB2312"/>
          <w:b w:val="0"/>
          <w:bCs w:val="0"/>
          <w:color w:val="000000" w:themeColor="text1"/>
          <w:sz w:val="32"/>
          <w:szCs w:val="32"/>
          <w14:textFill>
            <w14:solidFill>
              <w14:schemeClr w14:val="tx1"/>
            </w14:solidFill>
          </w14:textFill>
        </w:rPr>
        <w:t>开展矛盾问题攻坚化解“回头看”，加强对全市退役军人稳定形势的分析研判</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抓好网络舆情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联动</w:t>
      </w:r>
      <w:r>
        <w:rPr>
          <w:rFonts w:hint="eastAsia" w:ascii="仿宋_GB2312" w:hAnsi="仿宋_GB2312" w:eastAsia="仿宋_GB2312" w:cs="仿宋_GB2312"/>
          <w:b w:val="0"/>
          <w:bCs w:val="0"/>
          <w:color w:val="000000" w:themeColor="text1"/>
          <w:sz w:val="32"/>
          <w:szCs w:val="32"/>
          <w14:textFill>
            <w14:solidFill>
              <w14:schemeClr w14:val="tx1"/>
            </w14:solidFill>
          </w14:textFill>
        </w:rPr>
        <w:t>监控引导，做好“治重化积”工作，确保不发生越级上访、进京上访和群体聚集事件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2"/>
        <w:keepNext w:val="0"/>
        <w:keepLines w:val="0"/>
        <w:pageBreakBefore w:val="0"/>
        <w:widowControl w:val="0"/>
        <w:numPr>
          <w:ilvl w:val="0"/>
          <w:numId w:val="1"/>
        </w:numPr>
        <w:kinsoku/>
        <w:wordWrap/>
        <w:topLinePunct w:val="0"/>
        <w:bidi w:val="0"/>
        <w:adjustRightInd/>
        <w:snapToGrid/>
        <w:spacing w:before="0" w:after="0" w:line="600" w:lineRule="exact"/>
        <w:ind w:left="0" w:leftChars="0" w:firstLine="640" w:firstLineChars="0"/>
        <w:jc w:val="both"/>
        <w:textAlignment w:val="auto"/>
        <w:rPr>
          <w:rFonts w:hint="eastAsia" w:ascii="仿宋_GB2312" w:hAnsi="仿宋" w:eastAsia="仿宋_GB2312" w:cs="仿宋"/>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做优四个品牌。</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一是做优县级军休“6+N”品牌。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围绕全面落实“两个待遇”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，构建以党建统领军休事业科学发展、以军休文化建设引领服务管理提档升级的“两轮驱动”新格局，提升</w:t>
      </w:r>
      <w:r>
        <w:rPr>
          <w:rFonts w:hint="eastAsia" w:ascii="仿宋_GB2312" w:hAnsi="仿宋" w:eastAsia="仿宋_GB2312" w:cs="仿宋"/>
          <w:b w:val="0"/>
          <w:bCs w:val="0"/>
          <w:color w:val="000000" w:themeColor="text1"/>
          <w:sz w:val="32"/>
          <w:szCs w:val="32"/>
          <w:lang w:val="en-US" w:eastAsia="zh-CN"/>
          <w14:textFill>
            <w14:solidFill>
              <w14:schemeClr w14:val="tx1"/>
            </w14:solidFill>
          </w14:textFill>
        </w:rPr>
        <w:t>软硬件养老服务保障，探索信息智慧服务。</w:t>
      </w:r>
      <w:r>
        <w:rPr>
          <w:rFonts w:hint="eastAsia" w:ascii="仿宋_GB2312" w:hAnsi="仿宋" w:eastAsia="仿宋_GB2312" w:cs="仿宋"/>
          <w:b/>
          <w:bCs/>
          <w:color w:val="000000" w:themeColor="text1"/>
          <w:sz w:val="32"/>
          <w:szCs w:val="32"/>
          <w:lang w:val="en-US" w:eastAsia="zh-CN"/>
          <w14:textFill>
            <w14:solidFill>
              <w14:schemeClr w14:val="tx1"/>
            </w14:solidFill>
          </w14:textFill>
        </w:rPr>
        <w:t>二是做优县级军供“星级服务”品牌。</w:t>
      </w:r>
      <w:r>
        <w:rPr>
          <w:rFonts w:hint="eastAsia" w:ascii="仿宋_GB2312" w:hAnsi="仿宋" w:eastAsia="仿宋_GB2312" w:cs="仿宋"/>
          <w:b w:val="0"/>
          <w:bCs w:val="0"/>
          <w:color w:val="000000" w:themeColor="text1"/>
          <w:sz w:val="32"/>
          <w:szCs w:val="32"/>
          <w:lang w:val="en-US" w:eastAsia="zh-CN"/>
          <w14:textFill>
            <w14:solidFill>
              <w14:schemeClr w14:val="tx1"/>
            </w14:solidFill>
          </w14:textFill>
        </w:rPr>
        <w:t>进一步推动军供效能改革，高效整合资金、资源、项目，加快推动军供站基础设施改造，深化拓展服务保障部队能力。</w:t>
      </w:r>
      <w:r>
        <w:rPr>
          <w:rFonts w:hint="eastAsia" w:ascii="仿宋_GB2312" w:hAnsi="仿宋" w:eastAsia="仿宋_GB2312" w:cs="仿宋"/>
          <w:b/>
          <w:bCs/>
          <w:color w:val="000000" w:themeColor="text1"/>
          <w:sz w:val="32"/>
          <w:szCs w:val="32"/>
          <w:lang w:val="en-US" w:eastAsia="zh-CN"/>
          <w14:textFill>
            <w14:solidFill>
              <w14:schemeClr w14:val="tx1"/>
            </w14:solidFill>
          </w14:textFill>
        </w:rPr>
        <w:t>三是做优双拥共建模范品牌。</w:t>
      </w:r>
      <w:r>
        <w:rPr>
          <w:rFonts w:hint="eastAsia" w:ascii="仿宋_GB2312" w:hAnsi="仿宋" w:eastAsia="仿宋_GB2312" w:cs="仿宋"/>
          <w:b w:val="0"/>
          <w:bCs w:val="0"/>
          <w:color w:val="000000" w:themeColor="text1"/>
          <w:sz w:val="32"/>
          <w:szCs w:val="32"/>
          <w:lang w:val="en-US" w:eastAsia="zh-CN"/>
          <w14:textFill>
            <w14:solidFill>
              <w14:schemeClr w14:val="tx1"/>
            </w14:solidFill>
          </w14:textFill>
        </w:rPr>
        <w:t>密切军地联系，加大军地问题解决力度，谋划打造一批拥军企业、拥军社会组织、拥军公交站台、拥军广场等，努力营造崇军拥军氛围。</w:t>
      </w:r>
      <w:r>
        <w:rPr>
          <w:rFonts w:hint="eastAsia" w:ascii="仿宋_GB2312" w:hAnsi="仿宋" w:eastAsia="仿宋_GB2312" w:cs="仿宋"/>
          <w:b/>
          <w:bCs/>
          <w:color w:val="000000" w:themeColor="text1"/>
          <w:sz w:val="32"/>
          <w:szCs w:val="32"/>
          <w:lang w:val="en-US" w:eastAsia="zh-CN"/>
          <w14:textFill>
            <w14:solidFill>
              <w14:schemeClr w14:val="tx1"/>
            </w14:solidFill>
          </w14:textFill>
        </w:rPr>
        <w:t>四是做优退役军人服务品牌。</w:t>
      </w:r>
      <w:r>
        <w:rPr>
          <w:rFonts w:hint="eastAsia" w:ascii="仿宋_GB2312" w:hAnsi="仿宋" w:eastAsia="仿宋_GB2312" w:cs="仿宋"/>
          <w:b w:val="0"/>
          <w:bCs w:val="0"/>
          <w:color w:val="000000" w:themeColor="text1"/>
          <w:sz w:val="32"/>
          <w:szCs w:val="32"/>
          <w:lang w:val="en-US" w:eastAsia="zh-CN"/>
          <w14:textFill>
            <w14:solidFill>
              <w14:schemeClr w14:val="tx1"/>
            </w14:solidFill>
          </w14:textFill>
        </w:rPr>
        <w:t>建强退役军人志愿服务四支队伍，在队伍</w:t>
      </w:r>
      <w:r>
        <w:rPr>
          <w:rFonts w:hint="eastAsia" w:ascii="仿宋_GB2312" w:hAnsi="仿宋_GB2312" w:eastAsia="仿宋_GB2312" w:cs="仿宋_GB2312"/>
          <w:b w:val="0"/>
          <w:bCs w:val="0"/>
          <w:i w:val="0"/>
          <w:caps w:val="0"/>
          <w:color w:val="000000" w:themeColor="text1"/>
          <w:spacing w:val="0"/>
          <w:w w:val="100"/>
          <w:sz w:val="32"/>
          <w:szCs w:val="32"/>
          <w14:textFill>
            <w14:solidFill>
              <w14:schemeClr w14:val="tx1"/>
            </w14:solidFill>
          </w14:textFill>
        </w:rPr>
        <w:t>建设规范化、工作常态化、载体品牌化</w:t>
      </w:r>
      <w:r>
        <w:rPr>
          <w:rFonts w:hint="eastAsia" w:ascii="仿宋_GB2312" w:hAnsi="仿宋_GB2312" w:eastAsia="仿宋_GB2312" w:cs="仿宋_GB2312"/>
          <w:b w:val="0"/>
          <w:bCs w:val="0"/>
          <w:i w:val="0"/>
          <w:caps w:val="0"/>
          <w:color w:val="000000" w:themeColor="text1"/>
          <w:spacing w:val="0"/>
          <w:w w:val="100"/>
          <w:sz w:val="32"/>
          <w:szCs w:val="32"/>
          <w:lang w:eastAsia="zh-CN"/>
          <w14:textFill>
            <w14:solidFill>
              <w14:schemeClr w14:val="tx1"/>
            </w14:solidFill>
          </w14:textFill>
        </w:rPr>
        <w:t>上再做文章，同时加快推进示范型退役军人服务超市建设，形成点、线、面相融合的服务保障新格局。</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sz w:val="32"/>
          <w:szCs w:val="32"/>
        </w:rPr>
      </w:pPr>
      <w:r>
        <w:rPr>
          <w:rFonts w:hint="eastAsia" w:ascii="黑体" w:eastAsia="黑体"/>
          <w:sz w:val="32"/>
          <w:szCs w:val="32"/>
        </w:rPr>
        <w:t>二、部门概况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峨眉山市退役军人事务局下属二级预算单位2个，均为事业单位。包括：峨眉山市军队离退休干部干休所和峨眉山军供站。</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sz w:val="32"/>
          <w:szCs w:val="32"/>
        </w:rPr>
      </w:pPr>
      <w:r>
        <w:rPr>
          <w:rFonts w:hint="eastAsia" w:ascii="黑体" w:eastAsia="黑体"/>
          <w:sz w:val="32"/>
          <w:szCs w:val="32"/>
        </w:rPr>
        <w:t>三、收支预算总体情况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按照综合预算的原则，峨眉山市退役军人事务局所有收入和支出均纳入部门预算管理。20</w:t>
      </w:r>
      <w:r>
        <w:rPr>
          <w:rFonts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年本部门收入预算总额为</w:t>
      </w:r>
      <w:r>
        <w:rPr>
          <w:rFonts w:hint="eastAsia" w:ascii="仿宋_GB2312" w:eastAsia="仿宋_GB2312"/>
          <w:sz w:val="32"/>
          <w:szCs w:val="32"/>
          <w:lang w:val="en-US" w:eastAsia="zh-CN"/>
        </w:rPr>
        <w:t>7920.81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3327.11</w:t>
      </w:r>
      <w:r>
        <w:rPr>
          <w:rFonts w:hint="eastAsia" w:ascii="仿宋_GB2312" w:eastAsia="仿宋_GB2312"/>
          <w:sz w:val="32"/>
          <w:szCs w:val="32"/>
        </w:rPr>
        <w:t>万元，</w:t>
      </w:r>
      <w:r>
        <w:rPr>
          <w:rFonts w:hint="eastAsia" w:ascii="仿宋_GB2312" w:eastAsia="仿宋_GB2312"/>
          <w:sz w:val="32"/>
          <w:szCs w:val="32"/>
          <w:lang w:eastAsia="zh-CN"/>
        </w:rPr>
        <w:t>上级补助</w:t>
      </w:r>
      <w:r>
        <w:rPr>
          <w:rFonts w:hint="eastAsia" w:ascii="仿宋_GB2312" w:eastAsia="仿宋_GB2312"/>
          <w:sz w:val="32"/>
          <w:szCs w:val="32"/>
        </w:rPr>
        <w:t>收入</w:t>
      </w:r>
      <w:r>
        <w:rPr>
          <w:rFonts w:hint="eastAsia" w:ascii="仿宋_GB2312" w:eastAsia="仿宋_GB2312"/>
          <w:sz w:val="32"/>
          <w:szCs w:val="32"/>
          <w:lang w:val="en-US" w:eastAsia="zh-CN"/>
        </w:rPr>
        <w:t>4593.7万元</w:t>
      </w:r>
      <w:r>
        <w:rPr>
          <w:rFonts w:hint="eastAsia" w:ascii="仿宋_GB2312" w:eastAsia="仿宋_GB2312"/>
          <w:sz w:val="32"/>
          <w:szCs w:val="32"/>
        </w:rPr>
        <w:t>，其他收入无。相应安排支出预算</w:t>
      </w:r>
      <w:r>
        <w:rPr>
          <w:rFonts w:hint="eastAsia" w:ascii="仿宋_GB2312" w:eastAsia="仿宋_GB2312"/>
          <w:sz w:val="32"/>
          <w:szCs w:val="32"/>
          <w:lang w:val="en-US" w:eastAsia="zh-CN"/>
        </w:rPr>
        <w:t>7920.81</w:t>
      </w:r>
      <w:r>
        <w:rPr>
          <w:rFonts w:hint="eastAsia" w:ascii="仿宋_GB2312" w:eastAsia="仿宋_GB2312"/>
          <w:sz w:val="32"/>
          <w:szCs w:val="32"/>
        </w:rPr>
        <w:t>万元，其中：人员支出</w:t>
      </w:r>
      <w:r>
        <w:rPr>
          <w:rFonts w:hint="eastAsia" w:ascii="仿宋_GB2312" w:eastAsia="仿宋_GB2312"/>
          <w:sz w:val="32"/>
          <w:szCs w:val="32"/>
          <w:lang w:val="en-US" w:eastAsia="zh-CN"/>
        </w:rPr>
        <w:t>269.71</w:t>
      </w:r>
      <w:r>
        <w:rPr>
          <w:rFonts w:hint="eastAsia" w:ascii="仿宋_GB2312" w:eastAsia="仿宋_GB2312"/>
          <w:sz w:val="32"/>
          <w:szCs w:val="32"/>
        </w:rPr>
        <w:t>万元，日常公用支出</w:t>
      </w:r>
      <w:r>
        <w:rPr>
          <w:rFonts w:hint="eastAsia" w:ascii="仿宋_GB2312" w:eastAsia="仿宋_GB2312"/>
          <w:sz w:val="32"/>
          <w:szCs w:val="32"/>
          <w:lang w:val="en-US" w:eastAsia="zh-CN"/>
        </w:rPr>
        <w:t>82.41</w:t>
      </w:r>
      <w:r>
        <w:rPr>
          <w:rFonts w:hint="eastAsia" w:ascii="仿宋_GB2312" w:eastAsia="仿宋_GB2312"/>
          <w:sz w:val="32"/>
          <w:szCs w:val="32"/>
        </w:rPr>
        <w:t>万元，</w:t>
      </w:r>
      <w:r>
        <w:rPr>
          <w:rFonts w:hint="eastAsia" w:ascii="仿宋_GB2312" w:eastAsia="仿宋_GB2312"/>
          <w:sz w:val="32"/>
          <w:szCs w:val="32"/>
          <w:lang w:eastAsia="zh-CN"/>
        </w:rPr>
        <w:t>项目</w:t>
      </w:r>
      <w:r>
        <w:rPr>
          <w:rFonts w:hint="eastAsia" w:ascii="仿宋_GB2312" w:eastAsia="仿宋_GB2312"/>
          <w:sz w:val="32"/>
          <w:szCs w:val="32"/>
        </w:rPr>
        <w:t>支出</w:t>
      </w:r>
      <w:r>
        <w:rPr>
          <w:rFonts w:hint="eastAsia" w:ascii="仿宋_GB2312" w:eastAsia="仿宋_GB2312"/>
          <w:sz w:val="32"/>
          <w:szCs w:val="32"/>
          <w:lang w:val="en-US" w:eastAsia="zh-CN"/>
        </w:rPr>
        <w:t>7568.69</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sz w:val="32"/>
          <w:szCs w:val="32"/>
        </w:rPr>
      </w:pPr>
      <w:r>
        <w:rPr>
          <w:rFonts w:hint="eastAsia" w:ascii="黑体" w:eastAsia="黑体"/>
          <w:sz w:val="32"/>
          <w:szCs w:val="32"/>
        </w:rPr>
        <w:t>四、财政拨款支出预算安排情况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峨眉山市退役军人事务局</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7920.81</w:t>
      </w:r>
      <w:r>
        <w:rPr>
          <w:rFonts w:hint="eastAsia" w:ascii="仿宋_GB2312" w:eastAsia="仿宋_GB2312"/>
          <w:sz w:val="32"/>
          <w:szCs w:val="32"/>
        </w:rPr>
        <w:t>万元，主要用于保障本部门机构正常运转、完成日常工作任务以及承担退役军人服务事业发展相关工作。其中：</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352.11</w:t>
      </w:r>
      <w:r>
        <w:rPr>
          <w:rFonts w:hint="eastAsia" w:ascii="仿宋_GB2312" w:eastAsia="仿宋_GB2312"/>
          <w:sz w:val="32"/>
          <w:szCs w:val="32"/>
        </w:rPr>
        <w:t>万元，是用于保障市退役军人局机关、下属事业单位等机构正常运转的日常支出，包括基本工资、津贴补贴等人员经费以及办公费、印刷费、水电费、办公设备购置等日常公用经费。</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7568.69</w:t>
      </w:r>
      <w:r>
        <w:rPr>
          <w:rFonts w:hint="eastAsia" w:ascii="仿宋_GB2312" w:eastAsia="仿宋_GB2312"/>
          <w:sz w:val="32"/>
          <w:szCs w:val="32"/>
        </w:rPr>
        <w:t>万元，</w:t>
      </w:r>
      <w:r>
        <w:rPr>
          <w:rFonts w:hint="eastAsia" w:ascii="仿宋_GB2312" w:eastAsia="仿宋_GB2312"/>
          <w:sz w:val="32"/>
          <w:szCs w:val="32"/>
          <w:lang w:eastAsia="zh-CN"/>
        </w:rPr>
        <w:t>主要是</w:t>
      </w:r>
      <w:r>
        <w:rPr>
          <w:rFonts w:hint="eastAsia" w:ascii="仿宋_GB2312" w:eastAsia="仿宋_GB2312"/>
          <w:sz w:val="32"/>
          <w:szCs w:val="32"/>
        </w:rPr>
        <w:t>用于专项业务工作的经费支出。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楷体_GB2312" w:eastAsia="楷体_GB2312"/>
          <w:sz w:val="32"/>
          <w:szCs w:val="32"/>
        </w:rPr>
        <w:t>（一）一般公共预算当年拨款规模及变化情况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峨眉山市退役军人事务局</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7920.81</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746.14万元</w:t>
      </w:r>
      <w:r>
        <w:rPr>
          <w:rFonts w:hint="eastAsia" w:ascii="仿宋_GB2312" w:eastAsia="仿宋_GB2312"/>
          <w:sz w:val="32"/>
          <w:szCs w:val="32"/>
        </w:rPr>
        <w:t>。主要原因是</w:t>
      </w:r>
      <w:r>
        <w:rPr>
          <w:rFonts w:hint="eastAsia" w:ascii="仿宋_GB2312" w:eastAsia="仿宋_GB2312"/>
          <w:sz w:val="32"/>
          <w:szCs w:val="32"/>
          <w:lang w:eastAsia="zh-CN"/>
        </w:rPr>
        <w:t>各类补助标准调增</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楷体_GB2312" w:eastAsia="楷体_GB2312"/>
          <w:sz w:val="32"/>
          <w:szCs w:val="32"/>
        </w:rPr>
        <w:t>（二）一般公共预算当年拨款结构情况。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b/>
          <w:color w:val="FF0000"/>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7831.32</w:t>
      </w:r>
      <w:r>
        <w:rPr>
          <w:rFonts w:hint="eastAsia" w:ascii="仿宋_GB2312" w:eastAsia="仿宋_GB2312"/>
          <w:sz w:val="32"/>
          <w:szCs w:val="32"/>
        </w:rPr>
        <w:t>万元，占9</w:t>
      </w:r>
      <w:r>
        <w:rPr>
          <w:rFonts w:hint="eastAsia" w:ascii="仿宋_GB2312" w:eastAsia="仿宋_GB2312"/>
          <w:sz w:val="32"/>
          <w:szCs w:val="32"/>
          <w:lang w:val="en-US" w:eastAsia="zh-CN"/>
        </w:rPr>
        <w:t>8.87</w:t>
      </w:r>
      <w:r>
        <w:rPr>
          <w:rFonts w:hint="eastAsia" w:ascii="仿宋_GB2312" w:eastAsia="仿宋_GB2312"/>
          <w:sz w:val="32"/>
          <w:szCs w:val="32"/>
        </w:rPr>
        <w:t>%；卫生健康支出</w:t>
      </w:r>
      <w:r>
        <w:rPr>
          <w:rFonts w:hint="eastAsia" w:ascii="仿宋_GB2312" w:eastAsia="仿宋_GB2312"/>
          <w:sz w:val="32"/>
          <w:szCs w:val="32"/>
          <w:lang w:val="en-US" w:eastAsia="zh-CN"/>
        </w:rPr>
        <w:t>55.32</w:t>
      </w:r>
      <w:r>
        <w:rPr>
          <w:rFonts w:hint="eastAsia" w:ascii="仿宋_GB2312" w:eastAsia="仿宋_GB2312"/>
          <w:sz w:val="32"/>
          <w:szCs w:val="32"/>
        </w:rPr>
        <w:t>万元，占</w:t>
      </w:r>
      <w:r>
        <w:rPr>
          <w:rFonts w:hint="eastAsia" w:ascii="仿宋_GB2312" w:eastAsia="仿宋_GB2312"/>
          <w:sz w:val="32"/>
          <w:szCs w:val="32"/>
          <w:lang w:val="en-US" w:eastAsia="zh-CN"/>
        </w:rPr>
        <w:t>0.7</w:t>
      </w:r>
      <w:r>
        <w:rPr>
          <w:rFonts w:hint="eastAsia" w:ascii="仿宋_GB2312" w:eastAsia="仿宋_GB2312"/>
          <w:sz w:val="32"/>
          <w:szCs w:val="32"/>
        </w:rPr>
        <w:t>%；住房保障支出</w:t>
      </w:r>
      <w:r>
        <w:rPr>
          <w:rFonts w:hint="eastAsia" w:ascii="仿宋_GB2312" w:eastAsia="仿宋_GB2312"/>
          <w:sz w:val="32"/>
          <w:szCs w:val="32"/>
          <w:lang w:val="en-US" w:eastAsia="zh-CN"/>
        </w:rPr>
        <w:t>34.17</w:t>
      </w:r>
      <w:r>
        <w:rPr>
          <w:rFonts w:hint="eastAsia" w:ascii="仿宋_GB2312" w:eastAsia="仿宋_GB2312"/>
          <w:sz w:val="32"/>
          <w:szCs w:val="32"/>
        </w:rPr>
        <w:t>万元，占</w:t>
      </w:r>
      <w:r>
        <w:rPr>
          <w:rFonts w:hint="eastAsia" w:ascii="仿宋_GB2312" w:eastAsia="仿宋_GB2312"/>
          <w:sz w:val="32"/>
          <w:szCs w:val="32"/>
          <w:lang w:val="en-US" w:eastAsia="zh-CN"/>
        </w:rPr>
        <w:t>0.43</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楷体_GB2312" w:eastAsia="楷体_GB2312"/>
          <w:sz w:val="32"/>
          <w:szCs w:val="32"/>
        </w:rPr>
        <w:t>（三）一般公共预算当年拨款具体使用情况。</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sz w:val="32"/>
          <w:szCs w:val="32"/>
        </w:rPr>
      </w:pPr>
      <w:r>
        <w:rPr>
          <w:rFonts w:hint="eastAsia" w:ascii="仿宋_GB2312" w:eastAsia="仿宋_GB2312"/>
          <w:sz w:val="32"/>
          <w:szCs w:val="32"/>
        </w:rPr>
        <w:t>1.社会保障和就业（类）行政事业单位养老支出（款）机关事业单位基本养老保障缴费支出（项），202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25.08</w:t>
      </w:r>
      <w:r>
        <w:rPr>
          <w:rFonts w:hint="eastAsia" w:ascii="仿宋_GB2312" w:eastAsia="仿宋_GB2312"/>
          <w:sz w:val="32"/>
          <w:szCs w:val="32"/>
        </w:rPr>
        <w:t>万元，占0.</w:t>
      </w:r>
      <w:r>
        <w:rPr>
          <w:rFonts w:hint="eastAsia" w:ascii="仿宋_GB2312" w:eastAsia="仿宋_GB2312"/>
          <w:sz w:val="32"/>
          <w:szCs w:val="32"/>
          <w:lang w:val="en-US" w:eastAsia="zh-CN"/>
        </w:rPr>
        <w:t>32</w:t>
      </w:r>
      <w:r>
        <w:rPr>
          <w:rFonts w:hint="eastAsia" w:ascii="仿宋_GB2312" w:eastAsia="仿宋_GB2312"/>
          <w:sz w:val="32"/>
          <w:szCs w:val="32"/>
        </w:rPr>
        <w:t>%，主要用于：单位养老保险缴费支出。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sz w:val="32"/>
          <w:szCs w:val="32"/>
        </w:rPr>
      </w:pPr>
      <w:r>
        <w:rPr>
          <w:rFonts w:hint="eastAsia" w:ascii="仿宋_GB2312" w:eastAsia="仿宋_GB2312"/>
          <w:sz w:val="32"/>
          <w:szCs w:val="32"/>
        </w:rPr>
        <w:t>2.社会保障和就业支出（类）行政事业单位离退休（款）机关事业单位职业年金缴费支出（项），202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12.54</w:t>
      </w:r>
      <w:r>
        <w:rPr>
          <w:rFonts w:hint="eastAsia" w:ascii="仿宋_GB2312" w:eastAsia="仿宋_GB2312"/>
          <w:sz w:val="32"/>
          <w:szCs w:val="32"/>
        </w:rPr>
        <w:t>万元，占0.</w:t>
      </w:r>
      <w:r>
        <w:rPr>
          <w:rFonts w:hint="eastAsia" w:ascii="仿宋_GB2312" w:eastAsia="仿宋_GB2312"/>
          <w:sz w:val="32"/>
          <w:szCs w:val="32"/>
          <w:lang w:val="en-US" w:eastAsia="zh-CN"/>
        </w:rPr>
        <w:t>16</w:t>
      </w:r>
      <w:r>
        <w:rPr>
          <w:rFonts w:hint="eastAsia" w:ascii="仿宋_GB2312" w:eastAsia="仿宋_GB2312"/>
          <w:sz w:val="32"/>
          <w:szCs w:val="32"/>
        </w:rPr>
        <w:t>%，主要用于：单位职业年金缴费支出。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sz w:val="32"/>
          <w:szCs w:val="32"/>
        </w:rPr>
      </w:pPr>
      <w:r>
        <w:rPr>
          <w:rFonts w:hint="eastAsia" w:ascii="仿宋_GB2312" w:eastAsia="仿宋_GB2312"/>
          <w:sz w:val="32"/>
          <w:szCs w:val="32"/>
        </w:rPr>
        <w:t>3.社会保障和就业支出（类）抚恤（款）义务兵优待（项），202</w:t>
      </w:r>
      <w:r>
        <w:rPr>
          <w:rFonts w:hint="eastAsia" w:ascii="仿宋_GB2312" w:eastAsia="仿宋_GB2312"/>
          <w:sz w:val="32"/>
          <w:szCs w:val="32"/>
          <w:lang w:val="en-US" w:eastAsia="zh-CN"/>
        </w:rPr>
        <w:t>2</w:t>
      </w:r>
      <w:r>
        <w:rPr>
          <w:rFonts w:hint="eastAsia" w:ascii="仿宋_GB2312" w:eastAsia="仿宋_GB2312"/>
          <w:sz w:val="32"/>
          <w:szCs w:val="32"/>
        </w:rPr>
        <w:t>年预算数为650万元，占</w:t>
      </w:r>
      <w:r>
        <w:rPr>
          <w:rFonts w:hint="eastAsia" w:ascii="仿宋_GB2312" w:eastAsia="仿宋_GB2312"/>
          <w:sz w:val="32"/>
          <w:szCs w:val="32"/>
          <w:lang w:val="en-US" w:eastAsia="zh-CN"/>
        </w:rPr>
        <w:t>8.21</w:t>
      </w:r>
      <w:r>
        <w:rPr>
          <w:rFonts w:hint="eastAsia" w:ascii="仿宋_GB2312" w:eastAsia="仿宋_GB2312"/>
          <w:sz w:val="32"/>
          <w:szCs w:val="32"/>
        </w:rPr>
        <w:t>%，主要用于：对我市义务兵家属进行优待</w:t>
      </w:r>
      <w:r>
        <w:rPr>
          <w:rFonts w:hint="eastAsia" w:ascii="仿宋_GB2312" w:eastAsia="仿宋_GB2312"/>
          <w:sz w:val="32"/>
          <w:szCs w:val="32"/>
          <w:lang w:eastAsia="zh-CN"/>
        </w:rPr>
        <w:t>、</w:t>
      </w:r>
      <w:r>
        <w:rPr>
          <w:rFonts w:hint="eastAsia" w:ascii="仿宋_GB2312" w:eastAsia="仿宋_GB2312"/>
          <w:sz w:val="32"/>
          <w:szCs w:val="32"/>
        </w:rPr>
        <w:t>新入伍大学生奖励</w:t>
      </w:r>
      <w:r>
        <w:rPr>
          <w:rFonts w:hint="eastAsia" w:ascii="仿宋_GB2312" w:eastAsia="仿宋_GB2312"/>
          <w:sz w:val="32"/>
          <w:szCs w:val="32"/>
          <w:lang w:eastAsia="zh-CN"/>
        </w:rPr>
        <w:t>和艰苦边远地区补助</w:t>
      </w:r>
      <w:r>
        <w:rPr>
          <w:rFonts w:hint="eastAsia" w:ascii="仿宋_GB2312" w:eastAsia="仿宋_GB2312"/>
          <w:sz w:val="32"/>
          <w:szCs w:val="32"/>
        </w:rPr>
        <w:t>。</w:t>
      </w:r>
      <w:r>
        <w:rPr>
          <w:rFonts w:ascii="仿宋_GB2312"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4.社会保障和就业支出（类）抚恤（款）其他优抚支出（项），202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3870.89</w:t>
      </w:r>
      <w:r>
        <w:rPr>
          <w:rFonts w:hint="eastAsia" w:ascii="仿宋_GB2312" w:eastAsia="仿宋_GB2312"/>
          <w:sz w:val="32"/>
          <w:szCs w:val="32"/>
        </w:rPr>
        <w:t>万元，占</w:t>
      </w:r>
      <w:r>
        <w:rPr>
          <w:rFonts w:hint="eastAsia" w:ascii="仿宋_GB2312" w:eastAsia="仿宋_GB2312"/>
          <w:sz w:val="32"/>
          <w:szCs w:val="32"/>
          <w:lang w:val="en-US" w:eastAsia="zh-CN"/>
        </w:rPr>
        <w:t>47.19</w:t>
      </w:r>
      <w:r>
        <w:rPr>
          <w:rFonts w:hint="eastAsia" w:ascii="仿宋_GB2312" w:eastAsia="仿宋_GB2312"/>
          <w:sz w:val="32"/>
          <w:szCs w:val="32"/>
        </w:rPr>
        <w:t>%，主要用于：保障开展在乡复退军人、</w:t>
      </w:r>
      <w:r>
        <w:rPr>
          <w:rFonts w:hint="eastAsia" w:ascii="仿宋_GB2312" w:eastAsia="仿宋_GB2312"/>
          <w:sz w:val="32"/>
          <w:szCs w:val="32"/>
          <w:lang w:eastAsia="zh-CN"/>
        </w:rPr>
        <w:t>死亡抚恤、伤残抚恤、</w:t>
      </w:r>
      <w:r>
        <w:rPr>
          <w:rFonts w:hint="eastAsia" w:ascii="仿宋_GB2312" w:eastAsia="仿宋_GB2312"/>
          <w:sz w:val="32"/>
          <w:szCs w:val="32"/>
          <w:lang w:val="en-US" w:eastAsia="zh-CN"/>
        </w:rPr>
        <w:t>60岁以上农村籍退役士兵</w:t>
      </w:r>
      <w:r>
        <w:rPr>
          <w:rFonts w:hint="eastAsia" w:ascii="仿宋_GB2312" w:eastAsia="仿宋_GB2312"/>
          <w:color w:val="auto"/>
          <w:sz w:val="32"/>
          <w:szCs w:val="32"/>
          <w:lang w:val="en-US" w:eastAsia="zh-CN"/>
        </w:rPr>
        <w:t>生活补助支出</w:t>
      </w:r>
      <w:r>
        <w:rPr>
          <w:rFonts w:hint="eastAsia" w:ascii="仿宋_GB2312" w:eastAsia="仿宋_GB2312"/>
          <w:sz w:val="32"/>
          <w:szCs w:val="32"/>
        </w:rPr>
        <w:t>等相关优抚对象工作。</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5.社会保障和就业支出（类）退役安置（款），202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2490.5</w:t>
      </w:r>
      <w:r>
        <w:rPr>
          <w:rFonts w:hint="eastAsia" w:ascii="仿宋_GB2312" w:eastAsia="仿宋_GB2312"/>
          <w:sz w:val="32"/>
          <w:szCs w:val="32"/>
        </w:rPr>
        <w:t>万元，主要用于：全面落实退役士兵安置政策</w:t>
      </w:r>
      <w:r>
        <w:rPr>
          <w:rFonts w:hint="eastAsia" w:ascii="仿宋_GB2312" w:eastAsia="仿宋_GB2312"/>
          <w:sz w:val="32"/>
          <w:szCs w:val="32"/>
          <w:lang w:eastAsia="zh-CN"/>
        </w:rPr>
        <w:t>和退役士兵管理教育等。</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社会保障和就业支出（类）退役军人管理事务（款）行政运行（项），202</w:t>
      </w:r>
      <w:r>
        <w:rPr>
          <w:rFonts w:hint="eastAsia" w:ascii="仿宋_GB2312" w:eastAsia="仿宋_GB2312"/>
          <w:sz w:val="32"/>
          <w:szCs w:val="32"/>
          <w:lang w:val="en-US" w:eastAsia="zh-CN"/>
        </w:rPr>
        <w:t>8</w:t>
      </w:r>
      <w:r>
        <w:rPr>
          <w:rFonts w:hint="eastAsia" w:ascii="仿宋_GB2312" w:eastAsia="仿宋_GB2312"/>
          <w:sz w:val="32"/>
          <w:szCs w:val="32"/>
        </w:rPr>
        <w:t>年预算数为</w:t>
      </w:r>
      <w:r>
        <w:rPr>
          <w:rFonts w:hint="eastAsia" w:ascii="仿宋_GB2312" w:eastAsia="仿宋_GB2312"/>
          <w:sz w:val="32"/>
          <w:szCs w:val="32"/>
          <w:lang w:val="en-US" w:eastAsia="zh-CN"/>
        </w:rPr>
        <w:t>100.78</w:t>
      </w:r>
      <w:r>
        <w:rPr>
          <w:rFonts w:hint="eastAsia" w:ascii="仿宋_GB2312" w:eastAsia="仿宋_GB2312"/>
          <w:sz w:val="32"/>
          <w:szCs w:val="32"/>
        </w:rPr>
        <w:t>万元，占</w:t>
      </w:r>
      <w:r>
        <w:rPr>
          <w:rFonts w:hint="eastAsia" w:ascii="仿宋_GB2312" w:eastAsia="仿宋_GB2312"/>
          <w:sz w:val="32"/>
          <w:szCs w:val="32"/>
          <w:lang w:val="en-US" w:eastAsia="zh-CN"/>
        </w:rPr>
        <w:t>1.27</w:t>
      </w:r>
      <w:r>
        <w:rPr>
          <w:rFonts w:hint="eastAsia" w:ascii="仿宋_GB2312" w:eastAsia="仿宋_GB2312"/>
          <w:sz w:val="32"/>
          <w:szCs w:val="32"/>
        </w:rPr>
        <w:t>%，主要用于：市退役军人局机关职工基本工资、津贴补贴等人员经费以及办公费、印刷费、电费、伙食补助费、工会费等日常公用经费支出。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.社会保障和就业支出（类）退役军人管理事务（款）一般行政管理事务（项），202</w:t>
      </w:r>
      <w:r>
        <w:rPr>
          <w:rFonts w:hint="eastAsia" w:ascii="仿宋_GB2312" w:eastAsia="仿宋_GB2312"/>
          <w:sz w:val="32"/>
          <w:szCs w:val="32"/>
          <w:lang w:val="en-US" w:eastAsia="zh-CN"/>
        </w:rPr>
        <w:t>1</w:t>
      </w:r>
      <w:r>
        <w:rPr>
          <w:rFonts w:hint="eastAsia" w:ascii="仿宋_GB2312" w:eastAsia="仿宋_GB2312"/>
          <w:sz w:val="32"/>
          <w:szCs w:val="32"/>
        </w:rPr>
        <w:t>年预算数为</w:t>
      </w:r>
      <w:r>
        <w:rPr>
          <w:rFonts w:hint="eastAsia" w:ascii="仿宋_GB2312" w:eastAsia="仿宋_GB2312"/>
          <w:sz w:val="32"/>
          <w:szCs w:val="32"/>
          <w:lang w:val="en-US" w:eastAsia="zh-CN"/>
        </w:rPr>
        <w:t>625</w:t>
      </w:r>
      <w:r>
        <w:rPr>
          <w:rFonts w:hint="eastAsia" w:ascii="仿宋_GB2312" w:eastAsia="仿宋_GB2312"/>
          <w:sz w:val="32"/>
          <w:szCs w:val="32"/>
        </w:rPr>
        <w:t>万元，占</w:t>
      </w:r>
      <w:r>
        <w:rPr>
          <w:rFonts w:hint="eastAsia" w:ascii="仿宋_GB2312" w:eastAsia="仿宋_GB2312"/>
          <w:sz w:val="32"/>
          <w:szCs w:val="32"/>
          <w:lang w:val="en-US" w:eastAsia="zh-CN"/>
        </w:rPr>
        <w:t>7.89</w:t>
      </w:r>
      <w:r>
        <w:rPr>
          <w:rFonts w:hint="eastAsia" w:ascii="仿宋_GB2312" w:eastAsia="仿宋_GB2312"/>
          <w:sz w:val="32"/>
          <w:szCs w:val="32"/>
        </w:rPr>
        <w:t>%，主要用于：一般行政管理事务、</w:t>
      </w:r>
      <w:r>
        <w:rPr>
          <w:rFonts w:hint="eastAsia" w:ascii="仿宋_GB2312" w:eastAsia="仿宋_GB2312"/>
          <w:sz w:val="32"/>
          <w:szCs w:val="32"/>
          <w:lang w:eastAsia="zh-CN"/>
        </w:rPr>
        <w:t>烈士陵园管理</w:t>
      </w:r>
      <w:r>
        <w:rPr>
          <w:rFonts w:hint="eastAsia" w:ascii="仿宋_GB2312" w:eastAsia="仿宋_GB2312"/>
          <w:sz w:val="32"/>
          <w:szCs w:val="32"/>
        </w:rPr>
        <w:t>经费支出。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.社会保障和就业支出（类）退役军人管理事务（款）拥军优属（项），202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10</w:t>
      </w:r>
      <w:r>
        <w:rPr>
          <w:rFonts w:hint="eastAsia" w:ascii="仿宋_GB2312" w:eastAsia="仿宋_GB2312"/>
          <w:sz w:val="32"/>
          <w:szCs w:val="32"/>
        </w:rPr>
        <w:t>万元，占</w:t>
      </w:r>
      <w:r>
        <w:rPr>
          <w:rFonts w:hint="eastAsia" w:ascii="仿宋_GB2312" w:eastAsia="仿宋_GB2312"/>
          <w:sz w:val="32"/>
          <w:szCs w:val="32"/>
          <w:lang w:val="en-US" w:eastAsia="zh-CN"/>
        </w:rPr>
        <w:t>0.13</w:t>
      </w:r>
      <w:r>
        <w:rPr>
          <w:rFonts w:hint="eastAsia" w:ascii="仿宋_GB2312" w:eastAsia="仿宋_GB2312"/>
          <w:sz w:val="32"/>
          <w:szCs w:val="32"/>
        </w:rPr>
        <w:t>%，主要用于：开展地方拥军优属军队拥政爱民宣传活动、双拥氛围营造及创建专项工作支出。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pPr>
      <w:r>
        <w:rPr>
          <w:rFonts w:hint="eastAsia" w:ascii="仿宋_GB2312" w:eastAsia="仿宋_GB2312"/>
          <w:sz w:val="32"/>
          <w:szCs w:val="32"/>
          <w:lang w:val="en-US" w:eastAsia="zh-CN"/>
        </w:rPr>
        <w:t>9</w:t>
      </w:r>
      <w:r>
        <w:rPr>
          <w:rFonts w:hint="eastAsia" w:ascii="仿宋_GB2312" w:eastAsia="仿宋_GB2312"/>
          <w:sz w:val="32"/>
          <w:szCs w:val="32"/>
        </w:rPr>
        <w:t>.社会保障和就业支出（类）退役军人管理事务（款）</w:t>
      </w:r>
      <w:r>
        <w:rPr>
          <w:rFonts w:hint="eastAsia" w:ascii="仿宋_GB2312" w:eastAsia="仿宋_GB2312"/>
          <w:sz w:val="32"/>
          <w:szCs w:val="32"/>
          <w:lang w:eastAsia="zh-CN"/>
        </w:rPr>
        <w:t>军事供应保障</w:t>
      </w:r>
      <w:r>
        <w:rPr>
          <w:rFonts w:hint="eastAsia" w:ascii="仿宋_GB2312" w:eastAsia="仿宋_GB2312"/>
          <w:sz w:val="32"/>
          <w:szCs w:val="32"/>
        </w:rPr>
        <w:t>（项），202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131.87</w:t>
      </w:r>
      <w:r>
        <w:rPr>
          <w:rFonts w:hint="eastAsia" w:ascii="仿宋_GB2312" w:eastAsia="仿宋_GB2312"/>
          <w:sz w:val="32"/>
          <w:szCs w:val="32"/>
        </w:rPr>
        <w:t>万元，占</w:t>
      </w:r>
      <w:r>
        <w:rPr>
          <w:rFonts w:hint="eastAsia" w:ascii="仿宋_GB2312" w:eastAsia="仿宋_GB2312"/>
          <w:sz w:val="32"/>
          <w:szCs w:val="32"/>
          <w:lang w:val="en-US" w:eastAsia="zh-CN"/>
        </w:rPr>
        <w:t>1.66</w:t>
      </w:r>
      <w:r>
        <w:rPr>
          <w:rFonts w:hint="eastAsia" w:ascii="仿宋_GB2312" w:eastAsia="仿宋_GB2312"/>
          <w:sz w:val="32"/>
          <w:szCs w:val="32"/>
        </w:rPr>
        <w:t>%，主要用于：</w:t>
      </w:r>
      <w:r>
        <w:rPr>
          <w:rFonts w:hint="eastAsia" w:ascii="仿宋_GB2312" w:eastAsia="仿宋_GB2312"/>
          <w:sz w:val="32"/>
          <w:szCs w:val="32"/>
          <w:lang w:eastAsia="zh-CN"/>
        </w:rPr>
        <w:t>军供站</w:t>
      </w:r>
      <w:r>
        <w:rPr>
          <w:rFonts w:hint="eastAsia" w:ascii="仿宋_GB2312" w:eastAsia="仿宋_GB2312"/>
          <w:sz w:val="32"/>
          <w:szCs w:val="32"/>
        </w:rPr>
        <w:t>职工基本工资、津贴补贴（或绩效工资）等人员经费以及办公费、印刷费等日常公用经费支出。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.社会保障和就业支出（类）退役军人管理事务（款）事业运行（项），202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46.55</w:t>
      </w:r>
      <w:r>
        <w:rPr>
          <w:rFonts w:hint="eastAsia" w:ascii="仿宋_GB2312" w:eastAsia="仿宋_GB2312"/>
          <w:sz w:val="32"/>
          <w:szCs w:val="32"/>
        </w:rPr>
        <w:t>万元，占</w:t>
      </w:r>
      <w:r>
        <w:rPr>
          <w:rFonts w:hint="eastAsia" w:ascii="仿宋_GB2312" w:eastAsia="仿宋_GB2312"/>
          <w:sz w:val="32"/>
          <w:szCs w:val="32"/>
          <w:lang w:val="en-US" w:eastAsia="zh-CN"/>
        </w:rPr>
        <w:t>0.59</w:t>
      </w:r>
      <w:r>
        <w:rPr>
          <w:rFonts w:hint="eastAsia" w:ascii="仿宋_GB2312" w:eastAsia="仿宋_GB2312"/>
          <w:sz w:val="32"/>
          <w:szCs w:val="32"/>
        </w:rPr>
        <w:t>%，主要用于：市退役军人服务中心职工基本工资、津贴补贴（或绩效工资）等人员经费以及办公费、印刷费等日常公用经费支出。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.社会保障和就业支出（类）其他社会保障和就业支出（款）其他社会保障和就业支出（项），202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1.31</w:t>
      </w:r>
      <w:r>
        <w:rPr>
          <w:rFonts w:hint="eastAsia" w:ascii="仿宋_GB2312" w:eastAsia="仿宋_GB2312"/>
          <w:sz w:val="32"/>
          <w:szCs w:val="32"/>
        </w:rPr>
        <w:t>万元，占0.0</w:t>
      </w:r>
      <w:r>
        <w:rPr>
          <w:rFonts w:hint="eastAsia" w:ascii="仿宋_GB2312" w:eastAsia="仿宋_GB2312"/>
          <w:sz w:val="32"/>
          <w:szCs w:val="32"/>
          <w:lang w:val="en-US" w:eastAsia="zh-CN"/>
        </w:rPr>
        <w:t>2</w:t>
      </w:r>
      <w:r>
        <w:rPr>
          <w:rFonts w:hint="eastAsia" w:ascii="仿宋_GB2312" w:eastAsia="仿宋_GB2312"/>
          <w:sz w:val="32"/>
          <w:szCs w:val="32"/>
        </w:rPr>
        <w:t>%，主要用于：工伤保险支出。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.卫生健康支出（类）行政事业单位医疗（款）行政单位医疗（项），202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4.1</w:t>
      </w:r>
      <w:r>
        <w:rPr>
          <w:rFonts w:hint="eastAsia" w:ascii="仿宋_GB2312" w:eastAsia="仿宋_GB2312"/>
          <w:sz w:val="32"/>
          <w:szCs w:val="32"/>
        </w:rPr>
        <w:t>万元，占</w:t>
      </w:r>
      <w:r>
        <w:rPr>
          <w:rFonts w:hint="eastAsia" w:ascii="仿宋_GB2312" w:eastAsia="仿宋_GB2312"/>
          <w:sz w:val="32"/>
          <w:szCs w:val="32"/>
          <w:lang w:val="en-US" w:eastAsia="zh-CN"/>
        </w:rPr>
        <w:t xml:space="preserve">0.05 </w:t>
      </w:r>
      <w:r>
        <w:rPr>
          <w:rFonts w:hint="eastAsia" w:ascii="仿宋_GB2312" w:eastAsia="仿宋_GB2312"/>
          <w:sz w:val="32"/>
          <w:szCs w:val="32"/>
        </w:rPr>
        <w:t>%，主要用于：行政单位职工医疗保险缴费支出。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.卫生健康支出（类）行政事业单位医疗（款）事业单位医疗（项），202</w:t>
      </w:r>
      <w:r>
        <w:rPr>
          <w:rFonts w:hint="eastAsia" w:ascii="仿宋_GB2312" w:eastAsia="仿宋_GB2312"/>
          <w:sz w:val="32"/>
          <w:szCs w:val="32"/>
          <w:lang w:val="en-US" w:eastAsia="zh-CN"/>
        </w:rPr>
        <w:t>1</w:t>
      </w:r>
      <w:r>
        <w:rPr>
          <w:rFonts w:hint="eastAsia" w:ascii="仿宋_GB2312" w:eastAsia="仿宋_GB2312"/>
          <w:sz w:val="32"/>
          <w:szCs w:val="32"/>
        </w:rPr>
        <w:t>年预算数为</w:t>
      </w:r>
      <w:r>
        <w:rPr>
          <w:rFonts w:hint="eastAsia" w:ascii="仿宋_GB2312" w:eastAsia="仿宋_GB2312"/>
          <w:sz w:val="32"/>
          <w:szCs w:val="32"/>
          <w:lang w:val="en-US" w:eastAsia="zh-CN"/>
        </w:rPr>
        <w:t>6.22</w:t>
      </w:r>
      <w:r>
        <w:rPr>
          <w:rFonts w:hint="eastAsia" w:ascii="仿宋_GB2312" w:eastAsia="仿宋_GB2312"/>
          <w:sz w:val="32"/>
          <w:szCs w:val="32"/>
        </w:rPr>
        <w:t>万元，占</w:t>
      </w:r>
      <w:r>
        <w:rPr>
          <w:rFonts w:hint="eastAsia" w:ascii="仿宋_GB2312" w:eastAsia="仿宋_GB2312"/>
          <w:sz w:val="32"/>
          <w:szCs w:val="32"/>
          <w:lang w:val="en-US" w:eastAsia="zh-CN"/>
        </w:rPr>
        <w:t>0.08</w:t>
      </w:r>
      <w:r>
        <w:rPr>
          <w:rFonts w:hint="eastAsia" w:ascii="仿宋_GB2312" w:eastAsia="仿宋_GB2312"/>
          <w:sz w:val="32"/>
          <w:szCs w:val="32"/>
        </w:rPr>
        <w:t>%，主要用于：事业单位职工医疗保险缴费支出。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.卫生健康支出（类）优抚对象医疗（款）其他优抚对象医疗支出（项），202</w:t>
      </w:r>
      <w:r>
        <w:rPr>
          <w:rFonts w:hint="eastAsia" w:ascii="仿宋_GB2312" w:eastAsia="仿宋_GB2312"/>
          <w:sz w:val="32"/>
          <w:szCs w:val="32"/>
          <w:lang w:val="en-US" w:eastAsia="zh-CN"/>
        </w:rPr>
        <w:t>2</w:t>
      </w:r>
      <w:r>
        <w:rPr>
          <w:rFonts w:hint="eastAsia" w:ascii="仿宋_GB2312" w:eastAsia="仿宋_GB2312"/>
          <w:sz w:val="32"/>
          <w:szCs w:val="32"/>
        </w:rPr>
        <w:t>年预算数为45万元，占</w:t>
      </w:r>
      <w:r>
        <w:rPr>
          <w:rFonts w:hint="eastAsia" w:ascii="仿宋_GB2312" w:eastAsia="仿宋_GB2312"/>
          <w:sz w:val="32"/>
          <w:szCs w:val="32"/>
          <w:lang w:val="en-US" w:eastAsia="zh-CN"/>
        </w:rPr>
        <w:t>0.57</w:t>
      </w:r>
      <w:r>
        <w:rPr>
          <w:rFonts w:hint="eastAsia" w:ascii="仿宋_GB2312" w:eastAsia="仿宋_GB2312"/>
          <w:sz w:val="32"/>
          <w:szCs w:val="32"/>
        </w:rPr>
        <w:t>%，主要用于：自主择业军转干部医疗保险缴费支出。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.住房保障支出（类）住房改革支出（款）住房公积金（项），202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34.17</w:t>
      </w:r>
      <w:r>
        <w:rPr>
          <w:rFonts w:hint="eastAsia" w:ascii="仿宋_GB2312" w:eastAsia="仿宋_GB2312"/>
          <w:sz w:val="32"/>
          <w:szCs w:val="32"/>
        </w:rPr>
        <w:t>万元，占</w:t>
      </w:r>
      <w:r>
        <w:rPr>
          <w:rFonts w:hint="eastAsia" w:ascii="仿宋_GB2312" w:eastAsia="仿宋_GB2312"/>
          <w:sz w:val="32"/>
          <w:szCs w:val="32"/>
          <w:lang w:val="en-US" w:eastAsia="zh-CN"/>
        </w:rPr>
        <w:t>0.43</w:t>
      </w:r>
      <w:r>
        <w:rPr>
          <w:rFonts w:hint="eastAsia" w:ascii="仿宋_GB2312" w:eastAsia="仿宋_GB2312"/>
          <w:sz w:val="32"/>
          <w:szCs w:val="32"/>
        </w:rPr>
        <w:t>%，主要用于：部门按人力资源和社会保障部、财政部规定的基本工资和津贴补贴以及规定比例为职工缴纳的住房公积金支出。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sz w:val="32"/>
          <w:szCs w:val="32"/>
        </w:rPr>
      </w:pPr>
      <w:r>
        <w:rPr>
          <w:rFonts w:hint="eastAsia" w:ascii="黑体" w:eastAsia="黑体"/>
          <w:sz w:val="32"/>
          <w:szCs w:val="32"/>
        </w:rPr>
        <w:t>六、一般公共预算基本支出情况说明</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峨眉山市退役军人事务局</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352.11</w:t>
      </w:r>
      <w:r>
        <w:rPr>
          <w:rFonts w:hint="eastAsia" w:ascii="仿宋_GB2312" w:eastAsia="仿宋_GB2312"/>
          <w:sz w:val="32"/>
          <w:szCs w:val="32"/>
        </w:rPr>
        <w:t>万元，其中：</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269.71</w:t>
      </w:r>
      <w:r>
        <w:rPr>
          <w:rFonts w:hint="eastAsia" w:ascii="仿宋_GB2312" w:eastAsia="仿宋_GB2312"/>
          <w:sz w:val="32"/>
          <w:szCs w:val="32"/>
        </w:rPr>
        <w:t>万元，主要包括：基本工资、津贴补贴、绩效工资、奖金、各类社会保险缴费、住房公积金、军队移交政府离退休干部管理经费、部队供应、其他优抚支出、其他社会保障和就业支出等。</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hint="eastAsia"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82.41</w:t>
      </w:r>
      <w:r>
        <w:rPr>
          <w:rFonts w:hint="eastAsia" w:ascii="仿宋_GB2312" w:eastAsia="仿宋_GB2312"/>
          <w:sz w:val="32"/>
          <w:szCs w:val="32"/>
        </w:rPr>
        <w:t>万元，主要包括：办公费、印刷费、手续费、水费、电费、邮电费、工会费、其他交通费等</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sz w:val="32"/>
          <w:szCs w:val="32"/>
        </w:rPr>
      </w:pPr>
      <w:r>
        <w:rPr>
          <w:rFonts w:hint="eastAsia" w:ascii="黑体" w:eastAsia="黑体"/>
          <w:sz w:val="32"/>
          <w:szCs w:val="32"/>
        </w:rPr>
        <w:t>七、政府性基金预算支出规模及变化情况说明</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峨眉山市退役军人事务局</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年无政府性基金预算。</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峨眉山市退役军人事务局</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rPr>
      </w:pPr>
      <w:r>
        <w:rPr>
          <w:rFonts w:hint="eastAsia" w:ascii="仿宋_GB2312" w:eastAsia="仿宋_GB2312"/>
          <w:sz w:val="32"/>
          <w:szCs w:val="32"/>
          <w:lang w:val="en-US" w:eastAsia="zh-CN"/>
        </w:rPr>
        <w:t>峨眉山市军队离退休干部干休所2022</w:t>
      </w:r>
      <w:r>
        <w:rPr>
          <w:rFonts w:hint="eastAsia" w:ascii="仿宋_GB2312" w:eastAsia="仿宋_GB2312"/>
          <w:sz w:val="32"/>
          <w:szCs w:val="32"/>
        </w:rPr>
        <w:t>年“三公”经费预算数</w:t>
      </w:r>
      <w:r>
        <w:rPr>
          <w:rFonts w:hint="eastAsia" w:ascii="仿宋_GB2312" w:eastAsia="仿宋_GB2312"/>
          <w:sz w:val="32"/>
          <w:szCs w:val="32"/>
          <w:lang w:val="en-US" w:eastAsia="zh-CN"/>
        </w:rPr>
        <w:t>1</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因公出国（境）经费，公务接待费</w:t>
      </w:r>
      <w:r>
        <w:rPr>
          <w:rFonts w:hint="eastAsia" w:ascii="仿宋_GB2312" w:eastAsia="仿宋_GB2312"/>
          <w:sz w:val="32"/>
          <w:szCs w:val="32"/>
          <w:lang w:val="en-US" w:eastAsia="zh-CN"/>
        </w:rPr>
        <w:t>0.2</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0.8</w:t>
      </w:r>
      <w:r>
        <w:rPr>
          <w:rFonts w:hint="eastAsia" w:ascii="仿宋_GB2312" w:eastAsia="仿宋_GB2312"/>
          <w:sz w:val="32"/>
          <w:szCs w:val="32"/>
        </w:rPr>
        <w:t>万元。</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峨眉山军供站2022</w:t>
      </w:r>
      <w:r>
        <w:rPr>
          <w:rFonts w:hint="eastAsia" w:ascii="仿宋_GB2312" w:eastAsia="仿宋_GB2312"/>
          <w:sz w:val="32"/>
          <w:szCs w:val="32"/>
        </w:rPr>
        <w:t>年“三公”经费预算数</w:t>
      </w:r>
      <w:r>
        <w:rPr>
          <w:rFonts w:hint="eastAsia" w:ascii="仿宋_GB2312" w:eastAsia="仿宋_GB2312"/>
          <w:sz w:val="32"/>
          <w:szCs w:val="32"/>
          <w:lang w:val="en-US" w:eastAsia="zh-CN"/>
        </w:rPr>
        <w:t>0.45</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0.45</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因公出国（境）经费，公务接待费</w:t>
      </w:r>
      <w:r>
        <w:rPr>
          <w:rFonts w:hint="eastAsia" w:ascii="仿宋_GB2312" w:eastAsia="仿宋_GB2312"/>
          <w:sz w:val="32"/>
          <w:szCs w:val="32"/>
          <w:lang w:val="en-US" w:eastAsia="zh-CN"/>
        </w:rPr>
        <w:t>0.15</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0.3</w:t>
      </w:r>
      <w:r>
        <w:rPr>
          <w:rFonts w:hint="eastAsia" w:ascii="仿宋_GB2312" w:eastAsia="仿宋_GB2312"/>
          <w:sz w:val="32"/>
          <w:szCs w:val="32"/>
        </w:rPr>
        <w:t>万元。</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（一）</w:t>
      </w:r>
      <w:r>
        <w:rPr>
          <w:rFonts w:hint="eastAsia" w:ascii="仿宋_GB2312" w:eastAsia="仿宋_GB2312"/>
          <w:sz w:val="32"/>
          <w:szCs w:val="32"/>
          <w:lang w:eastAsia="zh-CN"/>
        </w:rPr>
        <w:t>无</w:t>
      </w:r>
      <w:r>
        <w:rPr>
          <w:rFonts w:hint="eastAsia" w:ascii="仿宋_GB2312" w:eastAsia="仿宋_GB2312"/>
          <w:sz w:val="32"/>
          <w:szCs w:val="32"/>
        </w:rPr>
        <w:t>因公出国（境）</w:t>
      </w:r>
      <w:r>
        <w:rPr>
          <w:rFonts w:hint="eastAsia" w:ascii="仿宋_GB2312" w:eastAsia="仿宋_GB2312"/>
          <w:sz w:val="32"/>
          <w:szCs w:val="32"/>
          <w:lang w:eastAsia="zh-CN"/>
        </w:rPr>
        <w:t>预算，</w:t>
      </w:r>
      <w:r>
        <w:rPr>
          <w:rFonts w:hint="eastAsia" w:ascii="仿宋_GB2312" w:eastAsia="仿宋_GB2312"/>
          <w:sz w:val="32"/>
          <w:szCs w:val="32"/>
          <w:lang w:val="en-US" w:eastAsia="zh-CN"/>
        </w:rPr>
        <w:t>2022年因公临时出国（境）未安排人次。</w:t>
      </w:r>
    </w:p>
    <w:p>
      <w:pPr>
        <w:spacing w:line="600" w:lineRule="exact"/>
        <w:ind w:firstLine="640" w:firstLineChars="200"/>
        <w:outlineLvl w:val="1"/>
      </w:pPr>
      <w:r>
        <w:rPr>
          <w:rFonts w:hint="eastAsia" w:ascii="仿宋_GB2312" w:eastAsia="仿宋_GB2312"/>
          <w:sz w:val="32"/>
          <w:szCs w:val="32"/>
        </w:rPr>
        <w:t>（二）公务接待费较上年预算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0.05</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年公务接待费计划用</w:t>
      </w:r>
      <w:r>
        <w:rPr>
          <w:rFonts w:hint="eastAsia" w:ascii="仿宋_GB2312" w:eastAsia="仿宋_GB2312"/>
          <w:sz w:val="32"/>
          <w:szCs w:val="32"/>
          <w:lang w:eastAsia="zh-CN"/>
        </w:rPr>
        <w:t>于国内公务接待</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公务用车运行维护费较上年预算减少</w:t>
      </w:r>
      <w:r>
        <w:rPr>
          <w:rFonts w:hint="eastAsia" w:ascii="仿宋_GB2312" w:eastAsia="仿宋_GB2312"/>
          <w:sz w:val="32"/>
          <w:szCs w:val="32"/>
          <w:lang w:val="en-US" w:eastAsia="zh-CN"/>
        </w:rPr>
        <w:t>6.4</w:t>
      </w:r>
      <w:r>
        <w:rPr>
          <w:rFonts w:hint="eastAsia" w:ascii="仿宋_GB2312" w:eastAsia="仿宋_GB2312"/>
          <w:sz w:val="32"/>
          <w:szCs w:val="32"/>
        </w:rPr>
        <w:t>万元。</w:t>
      </w:r>
      <w:r>
        <w:rPr>
          <w:rFonts w:hint="eastAsia" w:ascii="仿宋_GB2312" w:eastAsia="仿宋_GB2312"/>
          <w:sz w:val="32"/>
          <w:szCs w:val="32"/>
          <w:lang w:eastAsia="zh-CN"/>
        </w:rPr>
        <w:t>下属</w:t>
      </w:r>
      <w:r>
        <w:rPr>
          <w:rFonts w:hint="eastAsia" w:ascii="仿宋_GB2312" w:eastAsia="仿宋_GB2312"/>
          <w:sz w:val="32"/>
          <w:szCs w:val="32"/>
        </w:rPr>
        <w:t>单位现有公务用车</w:t>
      </w:r>
      <w:r>
        <w:rPr>
          <w:rFonts w:hint="eastAsia" w:ascii="仿宋_GB2312" w:eastAsia="仿宋_GB2312"/>
          <w:sz w:val="32"/>
          <w:szCs w:val="32"/>
          <w:lang w:val="en-US" w:eastAsia="zh-CN"/>
        </w:rPr>
        <w:t>3</w:t>
      </w:r>
      <w:r>
        <w:rPr>
          <w:rFonts w:hint="eastAsia" w:ascii="仿宋_GB2312" w:eastAsia="仿宋_GB2312"/>
          <w:sz w:val="32"/>
          <w:szCs w:val="32"/>
        </w:rPr>
        <w:t>辆，其中：</w:t>
      </w:r>
      <w:r>
        <w:rPr>
          <w:rFonts w:hint="eastAsia" w:ascii="仿宋_GB2312" w:eastAsia="仿宋_GB2312"/>
          <w:sz w:val="32"/>
          <w:szCs w:val="32"/>
          <w:lang w:eastAsia="zh-CN"/>
        </w:rPr>
        <w:t>普通公务用车</w:t>
      </w:r>
      <w:r>
        <w:rPr>
          <w:rFonts w:hint="eastAsia" w:ascii="仿宋_GB2312" w:eastAsia="仿宋_GB2312"/>
          <w:sz w:val="32"/>
          <w:szCs w:val="32"/>
          <w:lang w:val="en-US" w:eastAsia="zh-CN"/>
        </w:rPr>
        <w:t>2辆、</w:t>
      </w:r>
      <w:r>
        <w:rPr>
          <w:rFonts w:hint="eastAsia" w:ascii="仿宋_GB2312" w:eastAsia="仿宋_GB2312"/>
          <w:sz w:val="32"/>
          <w:szCs w:val="32"/>
          <w:lang w:eastAsia="zh-CN"/>
        </w:rPr>
        <w:t>特种专业技术用车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皮卡</w:t>
      </w:r>
      <w:r>
        <w:rPr>
          <w:rFonts w:hint="eastAsia" w:ascii="仿宋_GB2312" w:eastAsia="仿宋_GB2312"/>
          <w:sz w:val="32"/>
          <w:szCs w:val="32"/>
        </w:rPr>
        <w:t>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1.1</w:t>
      </w:r>
      <w:r>
        <w:rPr>
          <w:rFonts w:hint="eastAsia" w:ascii="仿宋_GB2312" w:eastAsia="仿宋_GB2312"/>
          <w:sz w:val="32"/>
          <w:szCs w:val="32"/>
        </w:rPr>
        <w:t>万元，</w:t>
      </w:r>
      <w:r>
        <w:rPr>
          <w:rFonts w:hint="eastAsia" w:ascii="仿宋_GB2312" w:eastAsia="仿宋_GB2312"/>
          <w:sz w:val="32"/>
          <w:szCs w:val="32"/>
          <w:lang w:eastAsia="zh-CN"/>
        </w:rPr>
        <w:t>用于公务用车日常的运转（加油、维修、保险、洗车等）</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黑体" w:eastAsia="黑体"/>
          <w:sz w:val="32"/>
          <w:szCs w:val="32"/>
        </w:rPr>
      </w:pPr>
      <w:r>
        <w:rPr>
          <w:rFonts w:hint="eastAsia" w:ascii="黑体" w:eastAsia="黑体"/>
          <w:sz w:val="32"/>
          <w:szCs w:val="32"/>
        </w:rPr>
        <w:t>九、其他重要事项的情况说明</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楷体_GB2312" w:eastAsia="楷体_GB2312"/>
          <w:sz w:val="32"/>
          <w:szCs w:val="32"/>
        </w:rPr>
      </w:pPr>
      <w:r>
        <w:rPr>
          <w:rFonts w:hint="eastAsia" w:ascii="楷体_GB2312" w:eastAsia="楷体_GB2312"/>
          <w:sz w:val="32"/>
          <w:szCs w:val="32"/>
        </w:rPr>
        <w:t>（一）机关运行经费。</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年，峨眉山市退役军人事务局为保障单位运行，安排的包括办公及印刷费、邮电费、差旅费、会议费、福利费、日常维修费、一般设备购置费、办公用房电费</w:t>
      </w:r>
      <w:r>
        <w:rPr>
          <w:rFonts w:hint="eastAsia" w:ascii="仿宋_GB2312" w:eastAsia="仿宋_GB2312"/>
          <w:sz w:val="32"/>
          <w:szCs w:val="32"/>
          <w:lang w:eastAsia="zh-CN"/>
        </w:rPr>
        <w:t>以及</w:t>
      </w:r>
      <w:r>
        <w:rPr>
          <w:rFonts w:hint="eastAsia" w:ascii="仿宋_GB2312" w:eastAsia="仿宋_GB2312"/>
          <w:sz w:val="32"/>
          <w:szCs w:val="32"/>
        </w:rPr>
        <w:t>其他费用等机关运行经费预算为</w:t>
      </w:r>
      <w:r>
        <w:rPr>
          <w:rFonts w:hint="eastAsia" w:ascii="仿宋_GB2312" w:eastAsia="仿宋_GB2312"/>
          <w:sz w:val="32"/>
          <w:szCs w:val="32"/>
          <w:lang w:val="en-US" w:eastAsia="zh-CN"/>
        </w:rPr>
        <w:t>352.11</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楷体_GB2312" w:eastAsia="楷体_GB2312"/>
          <w:sz w:val="32"/>
          <w:szCs w:val="32"/>
        </w:rPr>
      </w:pPr>
      <w:r>
        <w:rPr>
          <w:rFonts w:hint="eastAsia" w:ascii="楷体_GB2312" w:eastAsia="楷体_GB2312"/>
          <w:sz w:val="32"/>
          <w:szCs w:val="32"/>
        </w:rPr>
        <w:t>（二）政府采购情况。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年，峨眉山市退役军人事务局</w:t>
      </w:r>
      <w:r>
        <w:rPr>
          <w:rFonts w:hint="eastAsia" w:ascii="仿宋_GB2312" w:eastAsia="仿宋_GB2312"/>
          <w:sz w:val="32"/>
          <w:szCs w:val="32"/>
          <w:lang w:eastAsia="zh-CN"/>
        </w:rPr>
        <w:t>未</w:t>
      </w:r>
      <w:r>
        <w:rPr>
          <w:rFonts w:hint="eastAsia" w:ascii="仿宋_GB2312" w:eastAsia="仿宋_GB2312"/>
          <w:sz w:val="32"/>
          <w:szCs w:val="32"/>
        </w:rPr>
        <w:t>安排政府采购预算。</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sz w:val="32"/>
          <w:szCs w:val="32"/>
        </w:rPr>
      </w:pPr>
      <w:r>
        <w:rPr>
          <w:rFonts w:hint="eastAsia" w:ascii="楷体_GB2312" w:eastAsia="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峨眉山市退役军人事务局</w:t>
      </w:r>
      <w:r>
        <w:rPr>
          <w:rFonts w:hint="eastAsia" w:ascii="仿宋_GB2312" w:eastAsia="仿宋_GB2312"/>
          <w:sz w:val="32"/>
          <w:szCs w:val="32"/>
          <w:lang w:eastAsia="zh-CN"/>
        </w:rPr>
        <w:t>实有</w:t>
      </w:r>
      <w:r>
        <w:rPr>
          <w:rFonts w:hint="eastAsia" w:ascii="仿宋_GB2312" w:eastAsia="仿宋_GB2312"/>
          <w:sz w:val="32"/>
          <w:szCs w:val="32"/>
        </w:rPr>
        <w:t>车辆</w:t>
      </w:r>
      <w:r>
        <w:rPr>
          <w:rFonts w:hint="eastAsia" w:ascii="仿宋_GB2312" w:eastAsia="仿宋_GB2312"/>
          <w:sz w:val="32"/>
          <w:szCs w:val="32"/>
          <w:lang w:val="en-US" w:eastAsia="zh-CN"/>
        </w:rPr>
        <w:t>1辆，无</w:t>
      </w:r>
      <w:r>
        <w:rPr>
          <w:rFonts w:hint="eastAsia" w:ascii="仿宋_GB2312" w:eastAsia="仿宋_GB2312"/>
          <w:sz w:val="32"/>
          <w:szCs w:val="32"/>
        </w:rPr>
        <w:t>价值200</w:t>
      </w:r>
      <w:r>
        <w:rPr>
          <w:rFonts w:hint="eastAsia" w:ascii="仿宋_GB2312" w:eastAsia="仿宋_GB2312"/>
          <w:sz w:val="32"/>
          <w:szCs w:val="32"/>
          <w:lang w:val="en-US" w:eastAsia="zh-CN"/>
        </w:rPr>
        <w:t>.00</w:t>
      </w:r>
      <w:r>
        <w:rPr>
          <w:rFonts w:hint="eastAsia" w:ascii="仿宋_GB2312" w:eastAsia="仿宋_GB2312"/>
          <w:sz w:val="32"/>
          <w:szCs w:val="32"/>
        </w:rPr>
        <w:t>万元以上大型设备。</w:t>
      </w:r>
      <w:r>
        <w:rPr>
          <w:rFonts w:hint="eastAsia" w:ascii="仿宋_GB2312" w:eastAsia="仿宋_GB2312"/>
          <w:color w:val="auto"/>
          <w:sz w:val="32"/>
          <w:szCs w:val="32"/>
        </w:rPr>
        <w:t>峨眉山市军队离退休干部干休所实际共有车辆</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sz w:val="32"/>
          <w:szCs w:val="32"/>
          <w:lang w:val="en-US" w:eastAsia="zh-CN"/>
        </w:rPr>
        <w:t>无</w:t>
      </w:r>
      <w:r>
        <w:rPr>
          <w:rFonts w:hint="eastAsia" w:ascii="仿宋_GB2312" w:eastAsia="仿宋_GB2312"/>
          <w:sz w:val="32"/>
          <w:szCs w:val="32"/>
        </w:rPr>
        <w:t>价值200</w:t>
      </w:r>
      <w:r>
        <w:rPr>
          <w:rFonts w:hint="eastAsia" w:ascii="仿宋_GB2312" w:eastAsia="仿宋_GB2312"/>
          <w:sz w:val="32"/>
          <w:szCs w:val="32"/>
          <w:lang w:val="en-US" w:eastAsia="zh-CN"/>
        </w:rPr>
        <w:t>.00</w:t>
      </w:r>
      <w:r>
        <w:rPr>
          <w:rFonts w:hint="eastAsia" w:ascii="仿宋_GB2312" w:eastAsia="仿宋_GB2312"/>
          <w:sz w:val="32"/>
          <w:szCs w:val="32"/>
        </w:rPr>
        <w:t>万元以上大型设备。</w:t>
      </w:r>
      <w:r>
        <w:rPr>
          <w:rFonts w:hint="eastAsia" w:ascii="仿宋_GB2312" w:eastAsia="仿宋_GB2312"/>
          <w:sz w:val="32"/>
          <w:szCs w:val="32"/>
          <w:lang w:eastAsia="zh-CN"/>
        </w:rPr>
        <w:t>峨眉山军供站</w:t>
      </w:r>
      <w:r>
        <w:rPr>
          <w:rFonts w:hint="eastAsia" w:ascii="仿宋_GB2312" w:eastAsia="仿宋_GB2312"/>
          <w:sz w:val="32"/>
          <w:szCs w:val="32"/>
        </w:rPr>
        <w:t>实际共有车辆</w:t>
      </w:r>
      <w:r>
        <w:rPr>
          <w:rFonts w:hint="eastAsia" w:ascii="仿宋_GB2312" w:eastAsia="仿宋_GB2312"/>
          <w:sz w:val="32"/>
          <w:szCs w:val="32"/>
          <w:lang w:val="en-US" w:eastAsia="zh-CN"/>
        </w:rPr>
        <w:t>2</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lang w:val="en-US" w:eastAsia="zh-CN"/>
        </w:rPr>
        <w:t>无</w:t>
      </w:r>
      <w:r>
        <w:rPr>
          <w:rFonts w:hint="eastAsia" w:ascii="仿宋_GB2312" w:eastAsia="仿宋_GB2312"/>
          <w:sz w:val="32"/>
          <w:szCs w:val="32"/>
        </w:rPr>
        <w:t>价值200</w:t>
      </w:r>
      <w:r>
        <w:rPr>
          <w:rFonts w:hint="eastAsia" w:ascii="仿宋_GB2312" w:eastAsia="仿宋_GB2312"/>
          <w:sz w:val="32"/>
          <w:szCs w:val="32"/>
          <w:lang w:val="en-US" w:eastAsia="zh-CN"/>
        </w:rPr>
        <w:t>.00</w:t>
      </w:r>
      <w:r>
        <w:rPr>
          <w:rFonts w:hint="eastAsia" w:ascii="仿宋_GB2312" w:eastAsia="仿宋_GB2312"/>
          <w:sz w:val="32"/>
          <w:szCs w:val="32"/>
        </w:rPr>
        <w:t>万元以上大型设备。。</w:t>
      </w:r>
      <w:r>
        <w:rPr>
          <w:rFonts w:hint="eastAsia"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年，部门预算安排购置车辆和大型设备无。</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楷体_GB2312" w:eastAsia="楷体_GB2312"/>
          <w:sz w:val="32"/>
          <w:szCs w:val="32"/>
        </w:rPr>
      </w:pPr>
      <w:r>
        <w:rPr>
          <w:rFonts w:hint="eastAsia" w:ascii="楷体_GB2312" w:eastAsia="楷体_GB2312"/>
          <w:sz w:val="32"/>
          <w:szCs w:val="32"/>
        </w:rPr>
        <w:t>（四）绩效目标设置情况。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hint="eastAsia" w:ascii="黑体" w:eastAsia="黑体"/>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年，峨眉山市退役军人事务局按要求实行绩效目标管理，部门整体</w:t>
      </w:r>
      <w:r>
        <w:rPr>
          <w:rFonts w:hint="eastAsia" w:ascii="仿宋_GB2312" w:eastAsia="仿宋_GB2312"/>
          <w:sz w:val="32"/>
          <w:szCs w:val="32"/>
          <w:lang w:eastAsia="zh-CN"/>
        </w:rPr>
        <w:t>综合</w:t>
      </w:r>
      <w:r>
        <w:rPr>
          <w:rFonts w:hint="eastAsia" w:ascii="仿宋_GB2312" w:eastAsia="仿宋_GB2312"/>
          <w:sz w:val="32"/>
          <w:szCs w:val="32"/>
        </w:rPr>
        <w:t>绩效目标涉及预算安排</w:t>
      </w:r>
      <w:r>
        <w:rPr>
          <w:rFonts w:hint="eastAsia" w:ascii="仿宋_GB2312" w:eastAsia="仿宋_GB2312"/>
          <w:sz w:val="32"/>
          <w:szCs w:val="32"/>
          <w:lang w:val="en-US" w:eastAsia="zh-CN"/>
        </w:rPr>
        <w:t>7920.81</w:t>
      </w:r>
      <w:r>
        <w:rPr>
          <w:rFonts w:hint="eastAsia" w:ascii="仿宋_GB2312" w:eastAsia="仿宋_GB2312"/>
          <w:sz w:val="32"/>
          <w:szCs w:val="32"/>
        </w:rPr>
        <w:t>万元，其中基本支出</w:t>
      </w:r>
      <w:r>
        <w:rPr>
          <w:rFonts w:hint="eastAsia" w:ascii="仿宋_GB2312" w:eastAsia="仿宋_GB2312"/>
          <w:sz w:val="32"/>
          <w:szCs w:val="32"/>
          <w:lang w:val="en-US" w:eastAsia="zh-CN"/>
        </w:rPr>
        <w:t>352.11</w:t>
      </w:r>
      <w:r>
        <w:rPr>
          <w:rFonts w:hint="eastAsia" w:ascii="仿宋_GB2312" w:eastAsia="仿宋_GB2312"/>
          <w:sz w:val="32"/>
          <w:szCs w:val="32"/>
        </w:rPr>
        <w:t>万元，项目支出</w:t>
      </w:r>
      <w:r>
        <w:rPr>
          <w:rFonts w:hint="eastAsia" w:ascii="仿宋_GB2312" w:eastAsia="仿宋_GB2312"/>
          <w:sz w:val="32"/>
          <w:szCs w:val="32"/>
          <w:lang w:val="en-US" w:eastAsia="zh-CN"/>
        </w:rPr>
        <w:t>7568.69</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7568.69</w:t>
      </w:r>
      <w:r>
        <w:rPr>
          <w:rFonts w:hint="eastAsia" w:ascii="仿宋_GB2312" w:eastAsia="仿宋_GB2312"/>
          <w:sz w:val="32"/>
          <w:szCs w:val="32"/>
        </w:rPr>
        <w:t>万元，主要为义务兵优待金、优抚配套经费、退役士兵安置、双拥工作经费、基层退役军人工作站人员培训、自主择业军转干部医疗费补助</w:t>
      </w:r>
      <w:r>
        <w:rPr>
          <w:rFonts w:hint="eastAsia" w:ascii="仿宋_GB2312" w:eastAsia="仿宋_GB2312"/>
          <w:sz w:val="32"/>
          <w:szCs w:val="32"/>
          <w:lang w:eastAsia="zh-CN"/>
        </w:rPr>
        <w:t>、军事供</w:t>
      </w:r>
      <w:bookmarkStart w:id="0" w:name="_GoBack"/>
      <w:bookmarkEnd w:id="0"/>
      <w:r>
        <w:rPr>
          <w:rFonts w:hint="eastAsia" w:ascii="仿宋_GB2312" w:eastAsia="仿宋_GB2312"/>
          <w:sz w:val="32"/>
          <w:szCs w:val="32"/>
          <w:lang w:eastAsia="zh-CN"/>
        </w:rPr>
        <w:t>应接待业务</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widowControl/>
        <w:shd w:val="clear" w:color="auto" w:fill="FFFFFF"/>
        <w:spacing w:line="580" w:lineRule="atLeast"/>
        <w:ind w:firstLine="640"/>
        <w:jc w:val="left"/>
        <w:rPr>
          <w:rFonts w:ascii="仿宋_GB2312" w:eastAsia="仿宋_GB2312"/>
          <w:sz w:val="32"/>
          <w:szCs w:val="32"/>
        </w:rPr>
      </w:pPr>
      <w:r>
        <w:rPr>
          <w:rFonts w:hint="eastAsia" w:ascii="仿宋_GB2312" w:eastAsia="仿宋_GB2312"/>
          <w:sz w:val="32"/>
          <w:szCs w:val="32"/>
        </w:rPr>
        <w:t>1.财政拨款收支情况：指一般公共预算、政府性基金预算、国有资产经营预算拨款收支情况。</w:t>
      </w:r>
    </w:p>
    <w:p>
      <w:pPr>
        <w:widowControl/>
        <w:shd w:val="clear" w:color="auto" w:fill="FFFFFF"/>
        <w:spacing w:line="580" w:lineRule="atLeast"/>
        <w:ind w:firstLine="640"/>
        <w:jc w:val="left"/>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widowControl/>
        <w:shd w:val="clear" w:color="auto" w:fill="FFFFFF"/>
        <w:spacing w:line="580" w:lineRule="atLeast"/>
        <w:ind w:firstLine="640"/>
        <w:jc w:val="left"/>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w:t>
      </w:r>
    </w:p>
    <w:p>
      <w:pPr>
        <w:widowControl/>
        <w:shd w:val="clear" w:color="auto" w:fill="FFFFFF"/>
        <w:spacing w:line="580" w:lineRule="atLeast"/>
        <w:ind w:firstLine="640"/>
        <w:jc w:val="left"/>
        <w:rPr>
          <w:rFonts w:ascii="仿宋_GB2312" w:eastAsia="仿宋_GB2312"/>
          <w:sz w:val="32"/>
          <w:szCs w:val="32"/>
        </w:rPr>
      </w:pPr>
      <w:r>
        <w:rPr>
          <w:rFonts w:hint="eastAsia" w:ascii="仿宋_GB2312" w:eastAsia="仿宋_GB2312"/>
          <w:sz w:val="32"/>
          <w:szCs w:val="32"/>
        </w:rPr>
        <w:t>4.社会保障和就业（类）行政事业单位养老支出（款）机关事业单位基本养老保障缴费支出（项），反映单位养老保险缴费支出。</w:t>
      </w:r>
    </w:p>
    <w:p>
      <w:pPr>
        <w:widowControl/>
        <w:shd w:val="clear" w:color="auto" w:fill="FFFFFF"/>
        <w:spacing w:line="580" w:lineRule="atLeast"/>
        <w:ind w:firstLine="640"/>
        <w:jc w:val="left"/>
        <w:rPr>
          <w:rFonts w:ascii="仿宋_GB2312" w:eastAsia="仿宋_GB2312"/>
          <w:sz w:val="32"/>
          <w:szCs w:val="32"/>
        </w:rPr>
      </w:pPr>
      <w:r>
        <w:rPr>
          <w:rFonts w:hint="eastAsia" w:ascii="仿宋_GB2312" w:eastAsia="仿宋_GB2312"/>
          <w:sz w:val="32"/>
          <w:szCs w:val="32"/>
        </w:rPr>
        <w:t>5.社会保障和就业支出（类）行政事业单位离退休（款）机关事业单位职业年金缴费支出（项），反映单位职业年金缴费支出。</w:t>
      </w:r>
    </w:p>
    <w:p>
      <w:pPr>
        <w:widowControl/>
        <w:shd w:val="clear" w:color="auto" w:fill="FFFFFF"/>
        <w:spacing w:line="580" w:lineRule="atLeast"/>
        <w:ind w:firstLine="640"/>
        <w:jc w:val="left"/>
        <w:rPr>
          <w:rFonts w:ascii="仿宋_GB2312" w:eastAsia="仿宋_GB2312"/>
          <w:sz w:val="32"/>
          <w:szCs w:val="32"/>
        </w:rPr>
      </w:pPr>
      <w:r>
        <w:rPr>
          <w:rFonts w:hint="eastAsia" w:ascii="仿宋_GB2312" w:eastAsia="仿宋_GB2312"/>
          <w:sz w:val="32"/>
          <w:szCs w:val="32"/>
        </w:rPr>
        <w:t>6.社会保障和就业支出（类）抚恤（款）义务兵优待（项），反映义务兵家属优待金和新入伍大学生奖励金支出。</w:t>
      </w:r>
      <w:r>
        <w:rPr>
          <w:rFonts w:ascii="仿宋_GB2312" w:eastAsia="仿宋_GB2312"/>
          <w:sz w:val="32"/>
          <w:szCs w:val="32"/>
        </w:rPr>
        <w:t xml:space="preserve"> </w:t>
      </w:r>
    </w:p>
    <w:p>
      <w:pPr>
        <w:ind w:firstLine="640" w:firstLineChars="200"/>
        <w:jc w:val="left"/>
        <w:rPr>
          <w:rFonts w:ascii="仿宋_GB2312" w:eastAsia="仿宋_GB2312"/>
          <w:sz w:val="32"/>
          <w:szCs w:val="32"/>
        </w:rPr>
      </w:pPr>
      <w:r>
        <w:rPr>
          <w:rFonts w:hint="eastAsia" w:ascii="仿宋_GB2312" w:eastAsia="仿宋_GB2312"/>
          <w:sz w:val="32"/>
          <w:szCs w:val="32"/>
        </w:rPr>
        <w:t>7.社会保障和就业支出（类）抚恤（款）其他优抚支出（项），反映保障开展在乡复退军人、无军籍职工、退役士兵技能培训等相关优抚对象工作方面的支出。</w:t>
      </w:r>
    </w:p>
    <w:p>
      <w:pPr>
        <w:ind w:firstLine="640" w:firstLineChars="200"/>
        <w:jc w:val="left"/>
        <w:rPr>
          <w:rFonts w:ascii="仿宋_GB2312" w:eastAsia="仿宋_GB2312"/>
          <w:sz w:val="32"/>
          <w:szCs w:val="32"/>
        </w:rPr>
      </w:pPr>
      <w:r>
        <w:rPr>
          <w:rFonts w:hint="eastAsia" w:ascii="仿宋_GB2312" w:eastAsia="仿宋_GB2312"/>
          <w:sz w:val="32"/>
          <w:szCs w:val="32"/>
        </w:rPr>
        <w:t>8.社会保障和就业支出（类）退役安置（款）退役士兵安置（项），反映退役军人一次性货币安置经费支出。</w:t>
      </w:r>
    </w:p>
    <w:p>
      <w:pPr>
        <w:ind w:firstLine="640" w:firstLineChars="200"/>
        <w:jc w:val="left"/>
        <w:rPr>
          <w:rFonts w:ascii="仿宋_GB2312" w:eastAsia="仿宋_GB2312"/>
          <w:sz w:val="32"/>
          <w:szCs w:val="32"/>
        </w:rPr>
      </w:pPr>
      <w:r>
        <w:rPr>
          <w:rFonts w:hint="eastAsia" w:ascii="仿宋_GB2312" w:eastAsia="仿宋_GB2312"/>
          <w:sz w:val="32"/>
          <w:szCs w:val="32"/>
        </w:rPr>
        <w:t>9.社会保障和就业支出（类）退役安置（款）军队移交政府离退休干部管理机构（项），反映军休干部“两个待遇”和服务管理工作方面支出。</w:t>
      </w:r>
    </w:p>
    <w:p>
      <w:pPr>
        <w:ind w:firstLine="640" w:firstLineChars="200"/>
        <w:jc w:val="left"/>
        <w:rPr>
          <w:rFonts w:ascii="仿宋_GB2312" w:eastAsia="仿宋_GB2312"/>
          <w:sz w:val="32"/>
          <w:szCs w:val="32"/>
        </w:rPr>
      </w:pPr>
      <w:r>
        <w:rPr>
          <w:rFonts w:hint="eastAsia" w:ascii="仿宋_GB2312" w:eastAsia="仿宋_GB2312"/>
          <w:sz w:val="32"/>
          <w:szCs w:val="32"/>
        </w:rPr>
        <w:t>10.社会保障和就业支出（类）退役安置（款）军队转业干部安置（项），反映补充医疗、门诊补助、丧葬补助、退休生活困难补助、未退休人员全年工资保险等方面支出。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11.社会保障和就业支出（类）退役军人管理事务（款）行政运行（项），反映市退役军人局机关职工基本工资、津贴补贴等人员经费以及办公费、印刷费、电费、伙食补助费、工会费等日常公用经费支出。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12.社会保障和就业支出（类）退役军人管理事务（款）一般行政管理事务（项），反映乡镇人文关怀经费、应急指挥视频综合应用平台建设经费支出。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13.社会保障和就业支出（类）退役军人管理事务（款）拥军优属（项），反映开展地方拥军优属军队拥政爱民宣传活动、双拥氛围营造及创建专项工作支出。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14.社会保障和就业支出（类）退役军人管理事务（款）部队供应（项），反映军事供应保障任务经费支出。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15.社会保障和就业支出（类）退役军人管理事务（款）事业运行（项），反映市退役军人服务中心职工基本工资、津贴补贴（或绩效工资）等人员经费以及办公费、印刷费、差旅费等日常公用经费支出。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16.社会保障和就业支出（类）退役军人管理事务（款）其他退役军人事务管理支出（项），反映优抚对象临时生活困难补助、烈士亲属异地扫墓经费支出。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17.社会保障和就业支出（类）其他社会保障和就业支出（款）其他社会保障和就业支出（项），反映单位职工工伤保险支出。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18.卫生健康支出（类）行政事业单位医疗（款）行政单位医疗（项），反映行政单位职工医疗保险缴费支出。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19.卫生健康支出（类）行政事业单位医疗（款）事业单位医疗（项），反映事业单位职工医疗保险缴费支出。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20.卫生健康支出（类）优抚对象医疗（款）其他优抚对象医疗支出（项），反映自主择业军转干部医疗保险缴费支出。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21.住房保障支出（类）住房改革支出（款）住房公积金（项），反映部门按人力资源和社会保障部、财政部规定的基本工资和津贴补贴以及规定比例为职工缴纳的住房公积金支出。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.社会保障和就业支出（类）退役安置（款）军队移交政府离退休干部管理机构（项）</w:t>
      </w:r>
      <w:r>
        <w:rPr>
          <w:rFonts w:hint="eastAsia" w:ascii="仿宋_GB2312" w:eastAsia="仿宋_GB2312"/>
          <w:sz w:val="32"/>
          <w:szCs w:val="32"/>
          <w:lang w:eastAsia="zh-CN"/>
        </w:rPr>
        <w:t>反映单位正常运行所需</w:t>
      </w:r>
      <w:r>
        <w:rPr>
          <w:rFonts w:hint="eastAsia" w:ascii="仿宋_GB2312" w:eastAsia="仿宋_GB2312"/>
          <w:sz w:val="32"/>
          <w:szCs w:val="32"/>
        </w:rPr>
        <w:t>职工基本工资、津贴补贴</w:t>
      </w:r>
      <w:r>
        <w:rPr>
          <w:rFonts w:hint="eastAsia" w:ascii="仿宋_GB2312" w:eastAsia="仿宋_GB2312"/>
          <w:sz w:val="32"/>
          <w:szCs w:val="32"/>
          <w:lang w:eastAsia="zh-CN"/>
        </w:rPr>
        <w:t>、绩效工资</w:t>
      </w:r>
      <w:r>
        <w:rPr>
          <w:rFonts w:hint="eastAsia" w:ascii="仿宋_GB2312" w:eastAsia="仿宋_GB2312"/>
          <w:sz w:val="32"/>
          <w:szCs w:val="32"/>
        </w:rPr>
        <w:t>等人员经费。</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.社会保障和就业支出（类）</w:t>
      </w:r>
      <w:r>
        <w:rPr>
          <w:rFonts w:hint="eastAsia" w:ascii="仿宋_GB2312" w:eastAsia="仿宋_GB2312"/>
          <w:sz w:val="32"/>
          <w:szCs w:val="32"/>
          <w:lang w:eastAsia="zh-CN"/>
        </w:rPr>
        <w:t>退役军人管理事务</w:t>
      </w:r>
      <w:r>
        <w:rPr>
          <w:rFonts w:hint="eastAsia" w:ascii="仿宋_GB2312" w:eastAsia="仿宋_GB2312"/>
          <w:sz w:val="32"/>
          <w:szCs w:val="32"/>
        </w:rPr>
        <w:t>（款）</w:t>
      </w:r>
      <w:r>
        <w:rPr>
          <w:rFonts w:hint="eastAsia" w:ascii="仿宋_GB2312" w:eastAsia="仿宋_GB2312"/>
          <w:sz w:val="32"/>
          <w:szCs w:val="32"/>
          <w:lang w:eastAsia="zh-CN"/>
        </w:rPr>
        <w:t>部队供应</w:t>
      </w:r>
      <w:r>
        <w:rPr>
          <w:rFonts w:hint="eastAsia" w:ascii="仿宋_GB2312" w:eastAsia="仿宋_GB2312"/>
          <w:sz w:val="32"/>
          <w:szCs w:val="32"/>
        </w:rPr>
        <w:t>（项）</w:t>
      </w:r>
      <w:r>
        <w:rPr>
          <w:rFonts w:hint="eastAsia" w:ascii="仿宋_GB2312" w:eastAsia="仿宋_GB2312"/>
          <w:sz w:val="32"/>
          <w:szCs w:val="32"/>
          <w:lang w:eastAsia="zh-CN"/>
        </w:rPr>
        <w:t>反映单位正常运行所需</w:t>
      </w:r>
      <w:r>
        <w:rPr>
          <w:rFonts w:hint="eastAsia" w:ascii="仿宋_GB2312" w:eastAsia="仿宋_GB2312"/>
          <w:sz w:val="32"/>
          <w:szCs w:val="32"/>
        </w:rPr>
        <w:t>职工基本工资、津贴补贴</w:t>
      </w:r>
      <w:r>
        <w:rPr>
          <w:rFonts w:hint="eastAsia" w:ascii="仿宋_GB2312" w:eastAsia="仿宋_GB2312"/>
          <w:sz w:val="32"/>
          <w:szCs w:val="32"/>
          <w:lang w:eastAsia="zh-CN"/>
        </w:rPr>
        <w:t>、绩效工资</w:t>
      </w:r>
      <w:r>
        <w:rPr>
          <w:rFonts w:hint="eastAsia" w:ascii="仿宋_GB2312" w:eastAsia="仿宋_GB2312"/>
          <w:sz w:val="32"/>
          <w:szCs w:val="32"/>
        </w:rPr>
        <w:t>等人员经费。</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.基本支出：指为保障机构正常运转、完成日常工作任务而发生的人员支出和公用支出。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.项目支出：指在基本支出之外为完成特定行政任务和事业发展目标所发生的支出。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hd w:val="clear" w:color="auto" w:fill="FFFFFF"/>
        <w:spacing w:line="580" w:lineRule="atLeast"/>
        <w:ind w:firstLine="640"/>
        <w:jc w:val="left"/>
        <w:rPr>
          <w:rFonts w:hint="eastAsia" w:ascii="仿宋_GB2312" w:eastAsia="仿宋_GB2312"/>
          <w:sz w:val="32"/>
          <w:szCs w:val="32"/>
        </w:rPr>
      </w:pPr>
    </w:p>
    <w:p>
      <w:pPr>
        <w:widowControl/>
        <w:shd w:val="clear" w:color="auto" w:fill="FFFFFF"/>
        <w:spacing w:line="580" w:lineRule="atLeast"/>
        <w:ind w:firstLine="640"/>
        <w:jc w:val="left"/>
        <w:rPr>
          <w:rFonts w:hint="eastAsia" w:ascii="仿宋_GB2312" w:eastAsia="仿宋_GB2312"/>
          <w:sz w:val="32"/>
          <w:szCs w:val="32"/>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6</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E6E22"/>
    <w:multiLevelType w:val="singleLevel"/>
    <w:tmpl w:val="953E6E22"/>
    <w:lvl w:ilvl="0" w:tentative="0">
      <w:start w:val="1"/>
      <w:numFmt w:val="chineseCounting"/>
      <w:suff w:val="nothing"/>
      <w:lvlText w:val="（%1）"/>
      <w:lvlJc w:val="left"/>
      <w:pPr>
        <w:ind w:left="-10"/>
      </w:pPr>
      <w:rPr>
        <w:rFonts w:hint="eastAsia" w:ascii="楷体_GB2312" w:hAnsi="楷体_GB2312" w:eastAsia="楷体_GB2312" w:cs="楷体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02E99"/>
    <w:rsid w:val="00033EB2"/>
    <w:rsid w:val="00050092"/>
    <w:rsid w:val="00055FEF"/>
    <w:rsid w:val="00091317"/>
    <w:rsid w:val="000A3892"/>
    <w:rsid w:val="000B14F2"/>
    <w:rsid w:val="000C54F8"/>
    <w:rsid w:val="000F0A83"/>
    <w:rsid w:val="000F755E"/>
    <w:rsid w:val="001134DD"/>
    <w:rsid w:val="001A0437"/>
    <w:rsid w:val="001A2108"/>
    <w:rsid w:val="002410E1"/>
    <w:rsid w:val="00241B60"/>
    <w:rsid w:val="00242596"/>
    <w:rsid w:val="002730CD"/>
    <w:rsid w:val="002922BC"/>
    <w:rsid w:val="002D0661"/>
    <w:rsid w:val="00355749"/>
    <w:rsid w:val="00386080"/>
    <w:rsid w:val="003915B0"/>
    <w:rsid w:val="0039599D"/>
    <w:rsid w:val="003A561B"/>
    <w:rsid w:val="00415DB6"/>
    <w:rsid w:val="00425810"/>
    <w:rsid w:val="00491B1B"/>
    <w:rsid w:val="004A1A00"/>
    <w:rsid w:val="004F5515"/>
    <w:rsid w:val="005026EE"/>
    <w:rsid w:val="00521703"/>
    <w:rsid w:val="0053624A"/>
    <w:rsid w:val="0053746F"/>
    <w:rsid w:val="00547AE3"/>
    <w:rsid w:val="00564603"/>
    <w:rsid w:val="00575D6A"/>
    <w:rsid w:val="005772C4"/>
    <w:rsid w:val="0058063F"/>
    <w:rsid w:val="00583136"/>
    <w:rsid w:val="005A7EEE"/>
    <w:rsid w:val="005E0E0B"/>
    <w:rsid w:val="005E688F"/>
    <w:rsid w:val="00601F82"/>
    <w:rsid w:val="006061FA"/>
    <w:rsid w:val="006E189A"/>
    <w:rsid w:val="0076607C"/>
    <w:rsid w:val="00777E08"/>
    <w:rsid w:val="007934F3"/>
    <w:rsid w:val="007B60D2"/>
    <w:rsid w:val="007D760D"/>
    <w:rsid w:val="0086082B"/>
    <w:rsid w:val="00861D72"/>
    <w:rsid w:val="00870034"/>
    <w:rsid w:val="0089793C"/>
    <w:rsid w:val="008C72F8"/>
    <w:rsid w:val="008F0705"/>
    <w:rsid w:val="0091328D"/>
    <w:rsid w:val="009340F3"/>
    <w:rsid w:val="009621CF"/>
    <w:rsid w:val="009E4496"/>
    <w:rsid w:val="00A41F5C"/>
    <w:rsid w:val="00A527E0"/>
    <w:rsid w:val="00A643EE"/>
    <w:rsid w:val="00A67E0A"/>
    <w:rsid w:val="00A7537A"/>
    <w:rsid w:val="00AB0D75"/>
    <w:rsid w:val="00AE4401"/>
    <w:rsid w:val="00AE45A1"/>
    <w:rsid w:val="00AE517A"/>
    <w:rsid w:val="00B3548B"/>
    <w:rsid w:val="00B56DE7"/>
    <w:rsid w:val="00BB666B"/>
    <w:rsid w:val="00BE2B47"/>
    <w:rsid w:val="00C044B7"/>
    <w:rsid w:val="00C41288"/>
    <w:rsid w:val="00C5515C"/>
    <w:rsid w:val="00C945EC"/>
    <w:rsid w:val="00CC5FF3"/>
    <w:rsid w:val="00CF06FD"/>
    <w:rsid w:val="00D05777"/>
    <w:rsid w:val="00D21244"/>
    <w:rsid w:val="00D232FE"/>
    <w:rsid w:val="00D26445"/>
    <w:rsid w:val="00D36FE8"/>
    <w:rsid w:val="00DC584C"/>
    <w:rsid w:val="00DE1A43"/>
    <w:rsid w:val="00DF77CF"/>
    <w:rsid w:val="00E378FB"/>
    <w:rsid w:val="00EA4BA8"/>
    <w:rsid w:val="00EA6295"/>
    <w:rsid w:val="00F371D0"/>
    <w:rsid w:val="00F429C0"/>
    <w:rsid w:val="00F55700"/>
    <w:rsid w:val="00FB45E1"/>
    <w:rsid w:val="015B6EF5"/>
    <w:rsid w:val="023E69F1"/>
    <w:rsid w:val="02860FA6"/>
    <w:rsid w:val="02FA22F8"/>
    <w:rsid w:val="0314229D"/>
    <w:rsid w:val="03971D38"/>
    <w:rsid w:val="04123CC2"/>
    <w:rsid w:val="041F550B"/>
    <w:rsid w:val="04705C95"/>
    <w:rsid w:val="05631B96"/>
    <w:rsid w:val="05E866AA"/>
    <w:rsid w:val="067B710C"/>
    <w:rsid w:val="06A07384"/>
    <w:rsid w:val="06D00D4F"/>
    <w:rsid w:val="08917459"/>
    <w:rsid w:val="0A831D29"/>
    <w:rsid w:val="0AB10F7E"/>
    <w:rsid w:val="0B4D75C1"/>
    <w:rsid w:val="0CA54C4B"/>
    <w:rsid w:val="0CB21F97"/>
    <w:rsid w:val="0CCA6344"/>
    <w:rsid w:val="0D4979ED"/>
    <w:rsid w:val="0D727454"/>
    <w:rsid w:val="0DA052AC"/>
    <w:rsid w:val="0E44004E"/>
    <w:rsid w:val="0E463C46"/>
    <w:rsid w:val="0E860787"/>
    <w:rsid w:val="0EBB7817"/>
    <w:rsid w:val="0F1306A2"/>
    <w:rsid w:val="0F3866C6"/>
    <w:rsid w:val="0F4B3284"/>
    <w:rsid w:val="0FA04F4C"/>
    <w:rsid w:val="100836C9"/>
    <w:rsid w:val="11216F23"/>
    <w:rsid w:val="113718CF"/>
    <w:rsid w:val="11591EC7"/>
    <w:rsid w:val="11EA5056"/>
    <w:rsid w:val="156F1659"/>
    <w:rsid w:val="15A75916"/>
    <w:rsid w:val="15D811D3"/>
    <w:rsid w:val="17371CC8"/>
    <w:rsid w:val="174F73EE"/>
    <w:rsid w:val="17511BE9"/>
    <w:rsid w:val="178918FA"/>
    <w:rsid w:val="17E27E51"/>
    <w:rsid w:val="185241AE"/>
    <w:rsid w:val="187138BE"/>
    <w:rsid w:val="18724CBB"/>
    <w:rsid w:val="18A15A72"/>
    <w:rsid w:val="18CF3166"/>
    <w:rsid w:val="1A12528C"/>
    <w:rsid w:val="1A913FE6"/>
    <w:rsid w:val="1B506C25"/>
    <w:rsid w:val="1CC14254"/>
    <w:rsid w:val="1CDA4C49"/>
    <w:rsid w:val="1CE914C0"/>
    <w:rsid w:val="1D432976"/>
    <w:rsid w:val="1D8736FA"/>
    <w:rsid w:val="1D8A06EF"/>
    <w:rsid w:val="1DA35BF9"/>
    <w:rsid w:val="1F156A09"/>
    <w:rsid w:val="1FA35A30"/>
    <w:rsid w:val="1FA629A1"/>
    <w:rsid w:val="212F4275"/>
    <w:rsid w:val="21316AF3"/>
    <w:rsid w:val="22916B2A"/>
    <w:rsid w:val="22D97A53"/>
    <w:rsid w:val="244160A4"/>
    <w:rsid w:val="24617FAE"/>
    <w:rsid w:val="24D73AFB"/>
    <w:rsid w:val="25466AE0"/>
    <w:rsid w:val="25DA49E2"/>
    <w:rsid w:val="267F4A5A"/>
    <w:rsid w:val="26EA02D5"/>
    <w:rsid w:val="274252E8"/>
    <w:rsid w:val="288E42C4"/>
    <w:rsid w:val="296F3606"/>
    <w:rsid w:val="29997F50"/>
    <w:rsid w:val="29E47902"/>
    <w:rsid w:val="2A5C6898"/>
    <w:rsid w:val="2A805712"/>
    <w:rsid w:val="2B3C4862"/>
    <w:rsid w:val="2C6552FB"/>
    <w:rsid w:val="2DBF4E1C"/>
    <w:rsid w:val="2DD93E38"/>
    <w:rsid w:val="2E8163CA"/>
    <w:rsid w:val="2ECD1756"/>
    <w:rsid w:val="2EEA5FC8"/>
    <w:rsid w:val="2EED3041"/>
    <w:rsid w:val="2F283EAA"/>
    <w:rsid w:val="30396EF3"/>
    <w:rsid w:val="30F2365A"/>
    <w:rsid w:val="31611113"/>
    <w:rsid w:val="31C43046"/>
    <w:rsid w:val="32547EB0"/>
    <w:rsid w:val="32964FB9"/>
    <w:rsid w:val="346E79EC"/>
    <w:rsid w:val="358D2CB9"/>
    <w:rsid w:val="359D6A91"/>
    <w:rsid w:val="3623491E"/>
    <w:rsid w:val="36422BAC"/>
    <w:rsid w:val="37B031E7"/>
    <w:rsid w:val="37FD1AC7"/>
    <w:rsid w:val="38635ACF"/>
    <w:rsid w:val="3890252A"/>
    <w:rsid w:val="39372345"/>
    <w:rsid w:val="3A331955"/>
    <w:rsid w:val="3B3F5346"/>
    <w:rsid w:val="3B7578FE"/>
    <w:rsid w:val="3C507452"/>
    <w:rsid w:val="3D18555E"/>
    <w:rsid w:val="3D633E60"/>
    <w:rsid w:val="3E1B5F37"/>
    <w:rsid w:val="3FD4125B"/>
    <w:rsid w:val="40F52F30"/>
    <w:rsid w:val="411E1599"/>
    <w:rsid w:val="41B8535E"/>
    <w:rsid w:val="41D02B08"/>
    <w:rsid w:val="41DF1251"/>
    <w:rsid w:val="41EF2194"/>
    <w:rsid w:val="42302E2F"/>
    <w:rsid w:val="424C71BD"/>
    <w:rsid w:val="42DC40AC"/>
    <w:rsid w:val="42ED6368"/>
    <w:rsid w:val="445C3BAF"/>
    <w:rsid w:val="446C7686"/>
    <w:rsid w:val="44794CB5"/>
    <w:rsid w:val="44A11F21"/>
    <w:rsid w:val="44FD5BD1"/>
    <w:rsid w:val="450D0DA5"/>
    <w:rsid w:val="45500BC7"/>
    <w:rsid w:val="46293880"/>
    <w:rsid w:val="46844C26"/>
    <w:rsid w:val="46E46CC9"/>
    <w:rsid w:val="49616C14"/>
    <w:rsid w:val="49FC6FF1"/>
    <w:rsid w:val="4BAC01A0"/>
    <w:rsid w:val="4BBF615C"/>
    <w:rsid w:val="4BF12321"/>
    <w:rsid w:val="4DAD3AA0"/>
    <w:rsid w:val="4EC55331"/>
    <w:rsid w:val="4EF2320E"/>
    <w:rsid w:val="4F1F0397"/>
    <w:rsid w:val="4F4D5BA9"/>
    <w:rsid w:val="4F4F2935"/>
    <w:rsid w:val="4F9949A4"/>
    <w:rsid w:val="4FED37EA"/>
    <w:rsid w:val="50161ED8"/>
    <w:rsid w:val="50513C7E"/>
    <w:rsid w:val="507302FE"/>
    <w:rsid w:val="50EF43D0"/>
    <w:rsid w:val="510B2687"/>
    <w:rsid w:val="51FC49A1"/>
    <w:rsid w:val="525D4FED"/>
    <w:rsid w:val="53E143AE"/>
    <w:rsid w:val="54044C58"/>
    <w:rsid w:val="56082C65"/>
    <w:rsid w:val="58B30A09"/>
    <w:rsid w:val="592561E8"/>
    <w:rsid w:val="59761ABD"/>
    <w:rsid w:val="59993190"/>
    <w:rsid w:val="599B6EA3"/>
    <w:rsid w:val="59C524D5"/>
    <w:rsid w:val="5A102FC9"/>
    <w:rsid w:val="5BBD4260"/>
    <w:rsid w:val="5CAC3AE0"/>
    <w:rsid w:val="5CB15258"/>
    <w:rsid w:val="5D1C7EC2"/>
    <w:rsid w:val="5D6A67A3"/>
    <w:rsid w:val="5D7C2FC4"/>
    <w:rsid w:val="5DB77E4C"/>
    <w:rsid w:val="5DF80E97"/>
    <w:rsid w:val="5E8B53B2"/>
    <w:rsid w:val="609A6C8B"/>
    <w:rsid w:val="61281730"/>
    <w:rsid w:val="612B4FB0"/>
    <w:rsid w:val="614321EE"/>
    <w:rsid w:val="61A46A8B"/>
    <w:rsid w:val="61C80A51"/>
    <w:rsid w:val="630260FE"/>
    <w:rsid w:val="633166CC"/>
    <w:rsid w:val="63F0278C"/>
    <w:rsid w:val="642B59B4"/>
    <w:rsid w:val="642C6DB1"/>
    <w:rsid w:val="6442085C"/>
    <w:rsid w:val="647B6A8F"/>
    <w:rsid w:val="6511353F"/>
    <w:rsid w:val="651F5701"/>
    <w:rsid w:val="65E47856"/>
    <w:rsid w:val="66063F5B"/>
    <w:rsid w:val="66E128D8"/>
    <w:rsid w:val="67E744EB"/>
    <w:rsid w:val="68623CCE"/>
    <w:rsid w:val="6AAD425D"/>
    <w:rsid w:val="6AD73013"/>
    <w:rsid w:val="6B615F18"/>
    <w:rsid w:val="6B8055A4"/>
    <w:rsid w:val="6BA548F1"/>
    <w:rsid w:val="6BA70016"/>
    <w:rsid w:val="6C7428A3"/>
    <w:rsid w:val="6D4028B1"/>
    <w:rsid w:val="6EE22C24"/>
    <w:rsid w:val="6FF069C2"/>
    <w:rsid w:val="705F156B"/>
    <w:rsid w:val="71004D3A"/>
    <w:rsid w:val="71520337"/>
    <w:rsid w:val="731D2F0C"/>
    <w:rsid w:val="73B5455B"/>
    <w:rsid w:val="74AD6FE3"/>
    <w:rsid w:val="76142D94"/>
    <w:rsid w:val="76EB5E26"/>
    <w:rsid w:val="77217B62"/>
    <w:rsid w:val="772616E6"/>
    <w:rsid w:val="77BE1971"/>
    <w:rsid w:val="785D3BAC"/>
    <w:rsid w:val="787C5C9A"/>
    <w:rsid w:val="78DB3308"/>
    <w:rsid w:val="796C0DB6"/>
    <w:rsid w:val="799137B9"/>
    <w:rsid w:val="7A315709"/>
    <w:rsid w:val="7B0A5547"/>
    <w:rsid w:val="7B5F718A"/>
    <w:rsid w:val="7CFA6357"/>
    <w:rsid w:val="7D251DF5"/>
    <w:rsid w:val="7D3309A6"/>
    <w:rsid w:val="7E28563A"/>
    <w:rsid w:val="7E357016"/>
    <w:rsid w:val="7EA36600"/>
    <w:rsid w:val="7EBC16C5"/>
    <w:rsid w:val="7EE91B7F"/>
    <w:rsid w:val="7F4B63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809</Words>
  <Characters>4612</Characters>
  <Lines>38</Lines>
  <Paragraphs>10</Paragraphs>
  <TotalTime>11</TotalTime>
  <ScaleCrop>false</ScaleCrop>
  <LinksUpToDate>false</LinksUpToDate>
  <CharactersWithSpaces>5411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2020-06-18T02:45:00Z</dcterms:created>
  <dc:creator>微软用户</dc:creator>
  <cp:lastModifiedBy>对影成双</cp:lastModifiedBy>
  <cp:lastPrinted>2021-01-26T02:00:00Z</cp:lastPrinted>
  <dcterms:modified xsi:type="dcterms:W3CDTF">2022-01-28T05:35:41Z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291C34F7C41542399709E9A5C7EFAB98</vt:lpwstr>
  </property>
</Properties>
</file>