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仿宋_GB2312" w:eastAsia="仿宋_GB2312" w:cs="方正仿宋简体"/>
          <w:bCs/>
          <w:sz w:val="32"/>
          <w:szCs w:val="32"/>
          <w:lang w:val="en-US" w:eastAsia="zh-CN"/>
        </w:rPr>
      </w:pPr>
      <w:r>
        <w:rPr>
          <w:rFonts w:hint="eastAsia" w:ascii="仿宋_GB2312" w:eastAsia="仿宋_GB2312" w:cs="方正仿宋简体"/>
          <w:bCs/>
          <w:sz w:val="32"/>
          <w:szCs w:val="32"/>
          <w:lang w:val="en-US" w:eastAsia="zh-CN"/>
        </w:rPr>
        <w:t>附件1</w:t>
      </w:r>
    </w:p>
    <w:p>
      <w:pPr>
        <w:spacing w:line="660" w:lineRule="exact"/>
        <w:jc w:val="center"/>
        <w:outlineLvl w:val="2"/>
        <w:rPr>
          <w:rFonts w:hint="eastAsia" w:eastAsia="方正小标宋简体" w:cs="方正小标宋简体"/>
          <w:b/>
          <w:bCs/>
          <w:sz w:val="44"/>
          <w:szCs w:val="44"/>
        </w:rPr>
      </w:pPr>
      <w:r>
        <w:rPr>
          <w:rFonts w:hint="eastAsia" w:eastAsia="方正小标宋简体" w:cs="方正小标宋简体"/>
          <w:b/>
          <w:bCs/>
          <w:sz w:val="44"/>
          <w:szCs w:val="44"/>
        </w:rPr>
        <w:t>峨眉山市2021年预算执行情况及</w:t>
      </w:r>
    </w:p>
    <w:p>
      <w:pPr>
        <w:spacing w:line="660" w:lineRule="exact"/>
        <w:jc w:val="center"/>
        <w:outlineLvl w:val="2"/>
        <w:rPr>
          <w:rFonts w:hint="eastAsia" w:eastAsia="方正小标宋简体" w:cs="方正小标宋简体"/>
          <w:b/>
          <w:bCs/>
          <w:sz w:val="44"/>
          <w:szCs w:val="44"/>
        </w:rPr>
      </w:pPr>
      <w:r>
        <w:rPr>
          <w:rFonts w:hint="eastAsia" w:eastAsia="方正小标宋简体" w:cs="方正小标宋简体"/>
          <w:b/>
          <w:bCs/>
          <w:sz w:val="44"/>
          <w:szCs w:val="44"/>
        </w:rPr>
        <w:t>2022年预算草案的报告</w:t>
      </w:r>
    </w:p>
    <w:p>
      <w:pPr>
        <w:spacing w:line="580" w:lineRule="exact"/>
        <w:ind w:firstLine="640" w:firstLineChars="200"/>
        <w:rPr>
          <w:rFonts w:hint="eastAsia" w:ascii="仿宋_GB2312" w:eastAsia="仿宋_GB2312" w:cs="仿宋_GB2312"/>
          <w:bCs/>
          <w:sz w:val="32"/>
          <w:szCs w:val="32"/>
        </w:rPr>
      </w:pPr>
    </w:p>
    <w:p>
      <w:pPr>
        <w:spacing w:line="580" w:lineRule="exact"/>
        <w:rPr>
          <w:rFonts w:hint="eastAsia" w:ascii="仿宋_GB2312" w:eastAsia="仿宋_GB2312" w:cs="方正仿宋简体"/>
          <w:bCs/>
          <w:sz w:val="32"/>
          <w:szCs w:val="32"/>
        </w:rPr>
      </w:pPr>
      <w:r>
        <w:rPr>
          <w:rFonts w:hint="eastAsia" w:ascii="仿宋_GB2312" w:eastAsia="仿宋_GB2312" w:cs="方正仿宋简体"/>
          <w:bCs/>
          <w:sz w:val="32"/>
          <w:szCs w:val="32"/>
        </w:rPr>
        <w:t>各位代表：</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我受市人民政府委托，现将峨眉山市2021年预算执行情况及2022年预算草案提请大会审查，并请市政协委员和其他列席会议的同志提出意见。</w:t>
      </w:r>
    </w:p>
    <w:p>
      <w:pPr>
        <w:pStyle w:val="2"/>
        <w:rPr>
          <w:rFonts w:hint="eastAsia"/>
        </w:rPr>
      </w:pPr>
    </w:p>
    <w:p>
      <w:pPr>
        <w:spacing w:before="120" w:beforeLines="50" w:after="120" w:afterLines="50"/>
        <w:jc w:val="center"/>
        <w:rPr>
          <w:rFonts w:hint="eastAsia" w:ascii="方正小标宋简体" w:eastAsia="方正小标宋简体" w:cs="方正黑体简体"/>
          <w:bCs/>
          <w:sz w:val="36"/>
          <w:szCs w:val="36"/>
        </w:rPr>
      </w:pPr>
      <w:r>
        <w:rPr>
          <w:rFonts w:hint="eastAsia" w:ascii="方正小标宋简体" w:eastAsia="方正小标宋简体" w:cs="方正黑体简体"/>
          <w:bCs/>
          <w:sz w:val="36"/>
          <w:szCs w:val="36"/>
        </w:rPr>
        <w:t>2021年预算执行情况</w:t>
      </w:r>
    </w:p>
    <w:p>
      <w:pPr>
        <w:ind w:firstLine="640" w:firstLineChars="200"/>
        <w:rPr>
          <w:rFonts w:hint="eastAsia" w:ascii="仿宋_GB2312" w:eastAsia="仿宋_GB2312" w:cs="方正仿宋简体"/>
          <w:bCs/>
          <w:sz w:val="32"/>
          <w:szCs w:val="32"/>
        </w:rPr>
      </w:pP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2021年是实施“十四五”规划、开启全面建设社会主义现代化国家新征程的开局之年。今年以来，全市财政工作坚持以习近平新时代中国特色社会主义思想为指导，认真贯彻落实市委决策部署和市十七届人大六次会议决议，全面贯彻新发展理念，大力实施积极的财政政策，统筹财政资源，全力保障经济社会发展和疫情防控，积极防范化解政府债务风险，着力提升财政管理精细化水平，全市财政预算执行总体良好。</w:t>
      </w:r>
    </w:p>
    <w:p>
      <w:pPr>
        <w:spacing w:line="580" w:lineRule="exact"/>
        <w:ind w:firstLine="640" w:firstLineChars="200"/>
        <w:rPr>
          <w:rFonts w:hint="eastAsia" w:ascii="黑体" w:hAnsi="黑体" w:eastAsia="黑体" w:cs="方正黑体简体"/>
          <w:bCs/>
          <w:sz w:val="32"/>
          <w:szCs w:val="32"/>
        </w:rPr>
      </w:pPr>
      <w:r>
        <w:rPr>
          <w:rFonts w:hint="eastAsia" w:ascii="黑体" w:hAnsi="黑体" w:eastAsia="黑体" w:cs="方正黑体简体"/>
          <w:bCs/>
          <w:sz w:val="32"/>
          <w:szCs w:val="32"/>
        </w:rPr>
        <w:t>一、全市预算执行情况</w:t>
      </w:r>
    </w:p>
    <w:p>
      <w:pPr>
        <w:spacing w:line="580" w:lineRule="exact"/>
        <w:ind w:firstLine="640" w:firstLineChars="200"/>
        <w:rPr>
          <w:rFonts w:hint="eastAsia" w:ascii="楷体_GB2312" w:eastAsia="楷体_GB2312" w:cs="方正楷体简体"/>
          <w:bCs/>
          <w:sz w:val="32"/>
          <w:szCs w:val="32"/>
        </w:rPr>
      </w:pPr>
      <w:r>
        <w:rPr>
          <w:rFonts w:hint="eastAsia" w:ascii="楷体_GB2312" w:eastAsia="楷体_GB2312" w:cs="方正楷体简体"/>
          <w:bCs/>
          <w:sz w:val="32"/>
          <w:szCs w:val="32"/>
        </w:rPr>
        <w:t>（一）一般公共预算执行情况</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财政收入稳步增长。2021年，我市地方一般公共预算收入完成209918万元，完成年初预算的102.4％，较上年同比增收6101万元，增长2.99％，其中：税收收入127899万元，同比下降6.62％；非税收入82019万元，同比</w:t>
      </w:r>
      <w:bookmarkStart w:id="0" w:name="_GoBack"/>
      <w:bookmarkEnd w:id="0"/>
      <w:r>
        <w:rPr>
          <w:rFonts w:hint="eastAsia" w:ascii="仿宋_GB2312" w:eastAsia="仿宋_GB2312" w:cs="方正仿宋简体"/>
          <w:bCs/>
          <w:sz w:val="32"/>
          <w:szCs w:val="32"/>
        </w:rPr>
        <w:t>增长22.68％。</w:t>
      </w:r>
    </w:p>
    <w:p>
      <w:pPr>
        <w:spacing w:line="580" w:lineRule="exact"/>
        <w:ind w:firstLine="640" w:firstLineChars="200"/>
        <w:rPr>
          <w:rFonts w:hint="eastAsia" w:ascii="仿宋_GB2312" w:eastAsia="仿宋_GB2312" w:cs="方正仿宋简体"/>
          <w:bCs/>
          <w:sz w:val="32"/>
          <w:szCs w:val="32"/>
          <w:lang w:val="zh-CN"/>
        </w:rPr>
      </w:pPr>
      <w:r>
        <w:rPr>
          <w:rFonts w:hint="eastAsia" w:ascii="仿宋_GB2312" w:eastAsia="仿宋_GB2312" w:cs="方正仿宋简体"/>
          <w:bCs/>
          <w:sz w:val="32"/>
          <w:szCs w:val="32"/>
        </w:rPr>
        <w:t>重点支出保障有力。全市一般公共预算支出318260万元，较上年同比增加17890万元，增长5.96％。</w:t>
      </w:r>
      <w:r>
        <w:rPr>
          <w:rFonts w:hint="eastAsia" w:ascii="仿宋_GB2312" w:eastAsia="仿宋_GB2312" w:cs="方正仿宋简体"/>
          <w:bCs/>
          <w:sz w:val="32"/>
          <w:szCs w:val="32"/>
          <w:lang w:val="zh-CN"/>
        </w:rPr>
        <w:t>主要包含：一般公共服务支出</w:t>
      </w:r>
      <w:r>
        <w:rPr>
          <w:rFonts w:hint="eastAsia" w:ascii="仿宋_GB2312" w:eastAsia="仿宋_GB2312" w:cs="方正仿宋简体"/>
          <w:bCs/>
          <w:sz w:val="32"/>
          <w:szCs w:val="32"/>
        </w:rPr>
        <w:t>31872</w:t>
      </w:r>
      <w:r>
        <w:rPr>
          <w:rFonts w:hint="eastAsia" w:ascii="仿宋_GB2312" w:eastAsia="仿宋_GB2312" w:cs="方正仿宋简体"/>
          <w:bCs/>
          <w:sz w:val="32"/>
          <w:szCs w:val="32"/>
          <w:lang w:val="zh-CN"/>
        </w:rPr>
        <w:t>万元，国防支出</w:t>
      </w:r>
      <w:r>
        <w:rPr>
          <w:rFonts w:hint="eastAsia" w:ascii="仿宋_GB2312" w:eastAsia="仿宋_GB2312" w:cs="方正仿宋简体"/>
          <w:bCs/>
          <w:sz w:val="32"/>
          <w:szCs w:val="32"/>
        </w:rPr>
        <w:t>1054</w:t>
      </w:r>
      <w:r>
        <w:rPr>
          <w:rFonts w:hint="eastAsia" w:ascii="仿宋_GB2312" w:eastAsia="仿宋_GB2312" w:cs="方正仿宋简体"/>
          <w:bCs/>
          <w:sz w:val="32"/>
          <w:szCs w:val="32"/>
          <w:lang w:val="zh-CN"/>
        </w:rPr>
        <w:t>万元，公共安全支出</w:t>
      </w:r>
      <w:r>
        <w:rPr>
          <w:rFonts w:hint="eastAsia" w:ascii="仿宋_GB2312" w:eastAsia="仿宋_GB2312" w:cs="方正仿宋简体"/>
          <w:bCs/>
          <w:sz w:val="32"/>
          <w:szCs w:val="32"/>
        </w:rPr>
        <w:t>17376万</w:t>
      </w:r>
      <w:r>
        <w:rPr>
          <w:rFonts w:hint="eastAsia" w:ascii="仿宋_GB2312" w:eastAsia="仿宋_GB2312" w:cs="方正仿宋简体"/>
          <w:bCs/>
          <w:sz w:val="32"/>
          <w:szCs w:val="32"/>
          <w:lang w:val="zh-CN"/>
        </w:rPr>
        <w:t>元，教育支出</w:t>
      </w:r>
      <w:r>
        <w:rPr>
          <w:rFonts w:hint="eastAsia" w:ascii="仿宋_GB2312" w:eastAsia="仿宋_GB2312" w:cs="方正仿宋简体"/>
          <w:bCs/>
          <w:sz w:val="32"/>
          <w:szCs w:val="32"/>
        </w:rPr>
        <w:t>44589万</w:t>
      </w:r>
      <w:r>
        <w:rPr>
          <w:rFonts w:hint="eastAsia" w:ascii="仿宋_GB2312" w:eastAsia="仿宋_GB2312" w:cs="方正仿宋简体"/>
          <w:bCs/>
          <w:sz w:val="32"/>
          <w:szCs w:val="32"/>
          <w:lang w:val="zh-CN"/>
        </w:rPr>
        <w:t>元，科学技术支出</w:t>
      </w:r>
      <w:r>
        <w:rPr>
          <w:rFonts w:hint="eastAsia" w:ascii="仿宋_GB2312" w:eastAsia="仿宋_GB2312" w:cs="方正仿宋简体"/>
          <w:bCs/>
          <w:sz w:val="32"/>
          <w:szCs w:val="32"/>
        </w:rPr>
        <w:t>138</w:t>
      </w:r>
      <w:r>
        <w:rPr>
          <w:rFonts w:hint="eastAsia" w:ascii="仿宋_GB2312" w:eastAsia="仿宋_GB2312" w:cs="方正仿宋简体"/>
          <w:bCs/>
          <w:sz w:val="32"/>
          <w:szCs w:val="32"/>
          <w:lang w:val="zh-CN"/>
        </w:rPr>
        <w:t>万元，文化旅游体育与传媒支出</w:t>
      </w:r>
      <w:r>
        <w:rPr>
          <w:rFonts w:hint="eastAsia" w:ascii="仿宋_GB2312" w:eastAsia="仿宋_GB2312" w:cs="方正仿宋简体"/>
          <w:bCs/>
          <w:sz w:val="32"/>
          <w:szCs w:val="32"/>
        </w:rPr>
        <w:t>2342</w:t>
      </w:r>
      <w:r>
        <w:rPr>
          <w:rFonts w:hint="eastAsia" w:ascii="仿宋_GB2312" w:eastAsia="仿宋_GB2312" w:cs="方正仿宋简体"/>
          <w:bCs/>
          <w:sz w:val="32"/>
          <w:szCs w:val="32"/>
          <w:lang w:val="zh-CN"/>
        </w:rPr>
        <w:t>万元，社会保障和就业支出</w:t>
      </w:r>
      <w:r>
        <w:rPr>
          <w:rFonts w:hint="eastAsia" w:ascii="仿宋_GB2312" w:eastAsia="仿宋_GB2312" w:cs="方正仿宋简体"/>
          <w:bCs/>
          <w:sz w:val="32"/>
          <w:szCs w:val="32"/>
        </w:rPr>
        <w:t>50307万</w:t>
      </w:r>
      <w:r>
        <w:rPr>
          <w:rFonts w:hint="eastAsia" w:ascii="仿宋_GB2312" w:eastAsia="仿宋_GB2312" w:cs="方正仿宋简体"/>
          <w:bCs/>
          <w:sz w:val="32"/>
          <w:szCs w:val="32"/>
          <w:lang w:val="zh-CN"/>
        </w:rPr>
        <w:t>元，卫生健康支出</w:t>
      </w:r>
      <w:r>
        <w:rPr>
          <w:rFonts w:hint="eastAsia" w:ascii="仿宋_GB2312" w:eastAsia="仿宋_GB2312" w:cs="方正仿宋简体"/>
          <w:bCs/>
          <w:sz w:val="32"/>
          <w:szCs w:val="32"/>
        </w:rPr>
        <w:t>18952</w:t>
      </w:r>
      <w:r>
        <w:rPr>
          <w:rFonts w:hint="eastAsia" w:ascii="仿宋_GB2312" w:eastAsia="仿宋_GB2312" w:cs="方正仿宋简体"/>
          <w:bCs/>
          <w:sz w:val="32"/>
          <w:szCs w:val="32"/>
          <w:lang w:val="zh-CN"/>
        </w:rPr>
        <w:t>万元，节能环保支出</w:t>
      </w:r>
      <w:r>
        <w:rPr>
          <w:rFonts w:hint="eastAsia" w:ascii="仿宋_GB2312" w:eastAsia="仿宋_GB2312" w:cs="方正仿宋简体"/>
          <w:bCs/>
          <w:sz w:val="32"/>
          <w:szCs w:val="32"/>
        </w:rPr>
        <w:t>1047</w:t>
      </w:r>
      <w:r>
        <w:rPr>
          <w:rFonts w:hint="eastAsia" w:ascii="仿宋_GB2312" w:eastAsia="仿宋_GB2312" w:cs="方正仿宋简体"/>
          <w:bCs/>
          <w:sz w:val="32"/>
          <w:szCs w:val="32"/>
          <w:lang w:val="zh-CN"/>
        </w:rPr>
        <w:t>万元，城乡社区支出</w:t>
      </w:r>
      <w:r>
        <w:rPr>
          <w:rFonts w:hint="eastAsia" w:ascii="仿宋_GB2312" w:eastAsia="仿宋_GB2312" w:cs="方正仿宋简体"/>
          <w:bCs/>
          <w:sz w:val="32"/>
          <w:szCs w:val="32"/>
        </w:rPr>
        <w:t>44312</w:t>
      </w:r>
      <w:r>
        <w:rPr>
          <w:rFonts w:hint="eastAsia" w:ascii="仿宋_GB2312" w:eastAsia="仿宋_GB2312" w:cs="方正仿宋简体"/>
          <w:bCs/>
          <w:sz w:val="32"/>
          <w:szCs w:val="32"/>
          <w:lang w:val="zh-CN"/>
        </w:rPr>
        <w:t>万元，农林水支出</w:t>
      </w:r>
      <w:r>
        <w:rPr>
          <w:rFonts w:hint="eastAsia" w:ascii="仿宋_GB2312" w:eastAsia="仿宋_GB2312" w:cs="方正仿宋简体"/>
          <w:bCs/>
          <w:sz w:val="32"/>
          <w:szCs w:val="32"/>
        </w:rPr>
        <w:t>40439</w:t>
      </w:r>
      <w:r>
        <w:rPr>
          <w:rFonts w:hint="eastAsia" w:ascii="仿宋_GB2312" w:eastAsia="仿宋_GB2312" w:cs="方正仿宋简体"/>
          <w:bCs/>
          <w:sz w:val="32"/>
          <w:szCs w:val="32"/>
          <w:lang w:val="zh-CN"/>
        </w:rPr>
        <w:t>万元，交通运输支出</w:t>
      </w:r>
      <w:r>
        <w:rPr>
          <w:rFonts w:hint="eastAsia" w:ascii="仿宋_GB2312" w:eastAsia="仿宋_GB2312" w:cs="方正仿宋简体"/>
          <w:bCs/>
          <w:sz w:val="32"/>
          <w:szCs w:val="32"/>
        </w:rPr>
        <w:t>10679</w:t>
      </w:r>
      <w:r>
        <w:rPr>
          <w:rFonts w:hint="eastAsia" w:ascii="仿宋_GB2312" w:eastAsia="仿宋_GB2312" w:cs="方正仿宋简体"/>
          <w:bCs/>
          <w:sz w:val="32"/>
          <w:szCs w:val="32"/>
          <w:lang w:val="zh-CN"/>
        </w:rPr>
        <w:t>万元，资源勘探工业信息等支出</w:t>
      </w:r>
      <w:r>
        <w:rPr>
          <w:rFonts w:hint="eastAsia" w:ascii="仿宋_GB2312" w:eastAsia="仿宋_GB2312" w:cs="方正仿宋简体"/>
          <w:bCs/>
          <w:sz w:val="32"/>
          <w:szCs w:val="32"/>
        </w:rPr>
        <w:t>2628</w:t>
      </w:r>
      <w:r>
        <w:rPr>
          <w:rFonts w:hint="eastAsia" w:ascii="仿宋_GB2312" w:eastAsia="仿宋_GB2312" w:cs="方正仿宋简体"/>
          <w:bCs/>
          <w:sz w:val="32"/>
          <w:szCs w:val="32"/>
          <w:lang w:val="zh-CN"/>
        </w:rPr>
        <w:t>万元，商业服务业等支出</w:t>
      </w:r>
      <w:r>
        <w:rPr>
          <w:rFonts w:hint="eastAsia" w:ascii="仿宋_GB2312" w:eastAsia="仿宋_GB2312" w:cs="方正仿宋简体"/>
          <w:bCs/>
          <w:sz w:val="32"/>
          <w:szCs w:val="32"/>
        </w:rPr>
        <w:t>567</w:t>
      </w:r>
      <w:r>
        <w:rPr>
          <w:rFonts w:hint="eastAsia" w:ascii="仿宋_GB2312" w:eastAsia="仿宋_GB2312" w:cs="方正仿宋简体"/>
          <w:bCs/>
          <w:sz w:val="32"/>
          <w:szCs w:val="32"/>
          <w:lang w:val="zh-CN"/>
        </w:rPr>
        <w:t>万元，金融支出</w:t>
      </w:r>
      <w:r>
        <w:rPr>
          <w:rFonts w:hint="eastAsia" w:ascii="仿宋_GB2312" w:eastAsia="仿宋_GB2312" w:cs="方正仿宋简体"/>
          <w:bCs/>
          <w:sz w:val="32"/>
          <w:szCs w:val="32"/>
        </w:rPr>
        <w:t>1183</w:t>
      </w:r>
      <w:r>
        <w:rPr>
          <w:rFonts w:hint="eastAsia" w:ascii="仿宋_GB2312" w:eastAsia="仿宋_GB2312" w:cs="方正仿宋简体"/>
          <w:bCs/>
          <w:sz w:val="32"/>
          <w:szCs w:val="32"/>
          <w:lang w:val="zh-CN"/>
        </w:rPr>
        <w:t>万元，自然资源海洋气象等支出</w:t>
      </w:r>
      <w:r>
        <w:rPr>
          <w:rFonts w:hint="eastAsia" w:ascii="仿宋_GB2312" w:eastAsia="仿宋_GB2312" w:cs="方正仿宋简体"/>
          <w:bCs/>
          <w:sz w:val="32"/>
          <w:szCs w:val="32"/>
        </w:rPr>
        <w:t>1660</w:t>
      </w:r>
      <w:r>
        <w:rPr>
          <w:rFonts w:hint="eastAsia" w:ascii="仿宋_GB2312" w:eastAsia="仿宋_GB2312" w:cs="方正仿宋简体"/>
          <w:bCs/>
          <w:sz w:val="32"/>
          <w:szCs w:val="32"/>
          <w:lang w:val="zh-CN"/>
        </w:rPr>
        <w:t>万元，住房保障支出</w:t>
      </w:r>
      <w:r>
        <w:rPr>
          <w:rFonts w:hint="eastAsia" w:ascii="仿宋_GB2312" w:eastAsia="仿宋_GB2312" w:cs="方正仿宋简体"/>
          <w:bCs/>
          <w:sz w:val="32"/>
          <w:szCs w:val="32"/>
        </w:rPr>
        <w:t>17573</w:t>
      </w:r>
      <w:r>
        <w:rPr>
          <w:rFonts w:hint="eastAsia" w:ascii="仿宋_GB2312" w:eastAsia="仿宋_GB2312" w:cs="方正仿宋简体"/>
          <w:bCs/>
          <w:sz w:val="32"/>
          <w:szCs w:val="32"/>
          <w:lang w:val="zh-CN"/>
        </w:rPr>
        <w:t>万元，粮油物资储备支出</w:t>
      </w:r>
      <w:r>
        <w:rPr>
          <w:rFonts w:hint="eastAsia" w:ascii="仿宋_GB2312" w:eastAsia="仿宋_GB2312" w:cs="方正仿宋简体"/>
          <w:bCs/>
          <w:sz w:val="32"/>
          <w:szCs w:val="32"/>
        </w:rPr>
        <w:t>307</w:t>
      </w:r>
      <w:r>
        <w:rPr>
          <w:rFonts w:hint="eastAsia" w:ascii="仿宋_GB2312" w:eastAsia="仿宋_GB2312" w:cs="方正仿宋简体"/>
          <w:bCs/>
          <w:sz w:val="32"/>
          <w:szCs w:val="32"/>
          <w:lang w:val="zh-CN"/>
        </w:rPr>
        <w:t>万元，灾害防治及应急管理支出</w:t>
      </w:r>
      <w:r>
        <w:rPr>
          <w:rFonts w:hint="eastAsia" w:ascii="仿宋_GB2312" w:eastAsia="仿宋_GB2312" w:cs="方正仿宋简体"/>
          <w:bCs/>
          <w:sz w:val="32"/>
          <w:szCs w:val="32"/>
        </w:rPr>
        <w:t>3527</w:t>
      </w:r>
      <w:r>
        <w:rPr>
          <w:rFonts w:hint="eastAsia" w:ascii="仿宋_GB2312" w:eastAsia="仿宋_GB2312" w:cs="方正仿宋简体"/>
          <w:bCs/>
          <w:sz w:val="32"/>
          <w:szCs w:val="32"/>
          <w:lang w:val="zh-CN"/>
        </w:rPr>
        <w:t>万元，其他支出</w:t>
      </w:r>
      <w:r>
        <w:rPr>
          <w:rFonts w:hint="eastAsia" w:ascii="仿宋_GB2312" w:eastAsia="仿宋_GB2312" w:cs="方正仿宋简体"/>
          <w:bCs/>
          <w:sz w:val="32"/>
          <w:szCs w:val="32"/>
        </w:rPr>
        <w:t>13225</w:t>
      </w:r>
      <w:r>
        <w:rPr>
          <w:rFonts w:hint="eastAsia" w:ascii="仿宋_GB2312" w:eastAsia="仿宋_GB2312" w:cs="方正仿宋简体"/>
          <w:bCs/>
          <w:sz w:val="32"/>
          <w:szCs w:val="32"/>
          <w:lang w:val="zh-CN"/>
        </w:rPr>
        <w:t>万元，债务付息支出</w:t>
      </w:r>
      <w:r>
        <w:rPr>
          <w:rFonts w:hint="eastAsia" w:ascii="仿宋_GB2312" w:eastAsia="仿宋_GB2312" w:cs="方正仿宋简体"/>
          <w:bCs/>
          <w:sz w:val="32"/>
          <w:szCs w:val="32"/>
        </w:rPr>
        <w:t>14433万</w:t>
      </w:r>
      <w:r>
        <w:rPr>
          <w:rFonts w:hint="eastAsia" w:ascii="仿宋_GB2312" w:eastAsia="仿宋_GB2312" w:cs="方正仿宋简体"/>
          <w:bCs/>
          <w:sz w:val="32"/>
          <w:szCs w:val="32"/>
          <w:lang w:val="zh-CN"/>
        </w:rPr>
        <w:t>元，债务发行费用支出</w:t>
      </w:r>
      <w:r>
        <w:rPr>
          <w:rFonts w:hint="eastAsia" w:ascii="仿宋_GB2312" w:eastAsia="仿宋_GB2312" w:cs="方正仿宋简体"/>
          <w:bCs/>
          <w:sz w:val="32"/>
          <w:szCs w:val="32"/>
        </w:rPr>
        <w:t>50</w:t>
      </w:r>
      <w:r>
        <w:rPr>
          <w:rFonts w:hint="eastAsia" w:ascii="仿宋_GB2312" w:eastAsia="仿宋_GB2312" w:cs="方正仿宋简体"/>
          <w:bCs/>
          <w:sz w:val="32"/>
          <w:szCs w:val="32"/>
          <w:lang w:val="zh-CN"/>
        </w:rPr>
        <w:t>万元。</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收支预算实现平衡。全市地方一般公共预算收入209918万元，加上上级补助收入100607万元、地方债券转贷收入（再融资债券）58062万元、地方债券转贷收入（新增债券）3000万元、上年结转结余收入919万元、动用预算稳定调节基金10000万元、调入资金31500万元后，收入总量为414006万元。收入总量减去一般公共预算支出318260万元、上解支出23325万元、地方政府债券还本支出（再融资债券安排）58062万元、地方政府债券还本支出（债券资金之外安排）7616万元、列入预算稳定调节基金5998万元后，年终结余745万元（全部为按政策结转到2022年继续安排使用的结转项目资金）。</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需要特别报告的事项：一是2021年一般公共预算年初安排预备费4000万元（预算执行中动用了1171万元用于征地人员参加2022年居民基本医疗保险财政代缴；剩余2829万元按《中华人民共和国预算法》规定全部收回，作为结余资金补充预算稳定调节基金）。二是2021年财政预算实现平衡。三是2021年预算稳定调节基金余额8153万元。</w:t>
      </w:r>
    </w:p>
    <w:p>
      <w:pPr>
        <w:spacing w:line="580" w:lineRule="exact"/>
        <w:ind w:firstLine="640" w:firstLineChars="200"/>
        <w:rPr>
          <w:rFonts w:hint="eastAsia" w:ascii="楷体_GB2312" w:eastAsia="楷体_GB2312" w:cs="方正楷体简体"/>
          <w:bCs/>
          <w:sz w:val="32"/>
          <w:szCs w:val="32"/>
        </w:rPr>
      </w:pPr>
      <w:r>
        <w:rPr>
          <w:rFonts w:hint="eastAsia" w:ascii="楷体_GB2312" w:eastAsia="楷体_GB2312" w:cs="方正楷体简体"/>
          <w:bCs/>
          <w:sz w:val="32"/>
          <w:szCs w:val="32"/>
        </w:rPr>
        <w:t>（二）政府性基金预算执行情况</w:t>
      </w:r>
    </w:p>
    <w:p>
      <w:pPr>
        <w:spacing w:line="580" w:lineRule="exact"/>
        <w:ind w:firstLine="640" w:firstLineChars="200"/>
        <w:rPr>
          <w:rFonts w:hint="eastAsia" w:ascii="仿宋_GB2312" w:eastAsia="仿宋_GB2312" w:cs="方正仿宋简体"/>
          <w:bCs/>
          <w:sz w:val="32"/>
          <w:szCs w:val="32"/>
          <w:lang w:val="zh-CN"/>
        </w:rPr>
      </w:pPr>
      <w:r>
        <w:rPr>
          <w:rFonts w:hint="eastAsia" w:ascii="仿宋_GB2312" w:eastAsia="仿宋_GB2312" w:cs="方正仿宋简体"/>
          <w:bCs/>
          <w:sz w:val="32"/>
          <w:szCs w:val="32"/>
          <w:lang w:val="zh-CN"/>
        </w:rPr>
        <w:t>20</w:t>
      </w:r>
      <w:r>
        <w:rPr>
          <w:rFonts w:hint="eastAsia" w:ascii="仿宋_GB2312" w:eastAsia="仿宋_GB2312" w:cs="方正仿宋简体"/>
          <w:bCs/>
          <w:sz w:val="32"/>
          <w:szCs w:val="32"/>
        </w:rPr>
        <w:t>21</w:t>
      </w:r>
      <w:r>
        <w:rPr>
          <w:rFonts w:hint="eastAsia" w:ascii="仿宋_GB2312" w:eastAsia="仿宋_GB2312" w:cs="方正仿宋简体"/>
          <w:bCs/>
          <w:sz w:val="32"/>
          <w:szCs w:val="32"/>
          <w:lang w:val="zh-CN"/>
        </w:rPr>
        <w:t>年，我市政府性基金预算收入</w:t>
      </w:r>
      <w:r>
        <w:rPr>
          <w:rFonts w:hint="eastAsia" w:ascii="仿宋_GB2312" w:eastAsia="仿宋_GB2312" w:cs="方正仿宋简体"/>
          <w:bCs/>
          <w:sz w:val="32"/>
          <w:szCs w:val="32"/>
        </w:rPr>
        <w:t>257176</w:t>
      </w:r>
      <w:r>
        <w:rPr>
          <w:rFonts w:hint="eastAsia" w:ascii="仿宋_GB2312" w:eastAsia="仿宋_GB2312" w:cs="方正仿宋简体"/>
          <w:bCs/>
          <w:sz w:val="32"/>
          <w:szCs w:val="32"/>
          <w:lang w:val="zh-CN"/>
        </w:rPr>
        <w:t>万元，较上年同比增收</w:t>
      </w:r>
      <w:r>
        <w:rPr>
          <w:rFonts w:hint="eastAsia" w:ascii="仿宋_GB2312" w:eastAsia="仿宋_GB2312" w:cs="方正仿宋简体"/>
          <w:bCs/>
          <w:sz w:val="32"/>
          <w:szCs w:val="32"/>
        </w:rPr>
        <w:t>2523万元，</w:t>
      </w:r>
      <w:r>
        <w:rPr>
          <w:rFonts w:hint="eastAsia" w:ascii="仿宋_GB2312" w:eastAsia="仿宋_GB2312" w:cs="方正仿宋简体"/>
          <w:bCs/>
          <w:sz w:val="32"/>
          <w:szCs w:val="32"/>
          <w:lang w:val="zh-CN"/>
        </w:rPr>
        <w:t>增长</w:t>
      </w:r>
      <w:r>
        <w:rPr>
          <w:rFonts w:hint="eastAsia" w:ascii="仿宋_GB2312" w:eastAsia="仿宋_GB2312" w:cs="方正仿宋简体"/>
          <w:bCs/>
          <w:sz w:val="32"/>
          <w:szCs w:val="32"/>
        </w:rPr>
        <w:t>0.99</w:t>
      </w:r>
      <w:r>
        <w:rPr>
          <w:rFonts w:hint="eastAsia" w:ascii="仿宋_GB2312" w:eastAsia="仿宋_GB2312" w:cs="方正仿宋简体"/>
          <w:bCs/>
          <w:sz w:val="32"/>
          <w:szCs w:val="32"/>
          <w:lang w:val="zh-CN"/>
        </w:rPr>
        <w:t>％，其中国有土地使用权出让收入</w:t>
      </w:r>
      <w:r>
        <w:rPr>
          <w:rFonts w:hint="eastAsia" w:ascii="仿宋_GB2312" w:eastAsia="仿宋_GB2312" w:cs="方正仿宋简体"/>
          <w:bCs/>
          <w:sz w:val="32"/>
          <w:szCs w:val="32"/>
        </w:rPr>
        <w:t>250080万</w:t>
      </w:r>
      <w:r>
        <w:rPr>
          <w:rFonts w:hint="eastAsia" w:ascii="仿宋_GB2312" w:eastAsia="仿宋_GB2312" w:cs="方正仿宋简体"/>
          <w:bCs/>
          <w:sz w:val="32"/>
          <w:szCs w:val="32"/>
          <w:lang w:val="zh-CN"/>
        </w:rPr>
        <w:t>元。政府性基金预算支出</w:t>
      </w:r>
      <w:r>
        <w:rPr>
          <w:rFonts w:hint="eastAsia" w:ascii="仿宋_GB2312" w:eastAsia="仿宋_GB2312" w:cs="方正仿宋简体"/>
          <w:bCs/>
          <w:sz w:val="32"/>
          <w:szCs w:val="32"/>
        </w:rPr>
        <w:t>287620</w:t>
      </w:r>
      <w:r>
        <w:rPr>
          <w:rFonts w:hint="eastAsia" w:ascii="仿宋_GB2312" w:eastAsia="仿宋_GB2312" w:cs="方正仿宋简体"/>
          <w:bCs/>
          <w:sz w:val="32"/>
          <w:szCs w:val="32"/>
          <w:lang w:val="zh-CN"/>
        </w:rPr>
        <w:t>万元，较上年同比减少</w:t>
      </w:r>
      <w:r>
        <w:rPr>
          <w:rFonts w:hint="eastAsia" w:ascii="仿宋_GB2312" w:eastAsia="仿宋_GB2312" w:cs="方正仿宋简体"/>
          <w:bCs/>
          <w:sz w:val="32"/>
          <w:szCs w:val="32"/>
        </w:rPr>
        <w:t>27835万元，下降8.82</w:t>
      </w:r>
      <w:r>
        <w:rPr>
          <w:rFonts w:hint="eastAsia" w:ascii="仿宋_GB2312" w:eastAsia="仿宋_GB2312" w:cs="方正仿宋简体"/>
          <w:bCs/>
          <w:sz w:val="32"/>
          <w:szCs w:val="32"/>
          <w:lang w:val="zh-CN"/>
        </w:rPr>
        <w:t>％。当年政府性基金收入</w:t>
      </w:r>
      <w:r>
        <w:rPr>
          <w:rFonts w:hint="eastAsia" w:ascii="仿宋_GB2312" w:eastAsia="仿宋_GB2312" w:cs="方正仿宋简体"/>
          <w:bCs/>
          <w:sz w:val="32"/>
          <w:szCs w:val="32"/>
        </w:rPr>
        <w:t>，</w:t>
      </w:r>
      <w:r>
        <w:rPr>
          <w:rFonts w:hint="eastAsia" w:ascii="仿宋_GB2312" w:eastAsia="仿宋_GB2312" w:cs="方正仿宋简体"/>
          <w:bCs/>
          <w:sz w:val="32"/>
          <w:szCs w:val="32"/>
          <w:lang w:val="zh-CN"/>
        </w:rPr>
        <w:t>加上上级补助</w:t>
      </w:r>
      <w:r>
        <w:rPr>
          <w:rFonts w:hint="eastAsia" w:ascii="仿宋_GB2312" w:eastAsia="仿宋_GB2312" w:cs="方正仿宋简体"/>
          <w:bCs/>
          <w:sz w:val="32"/>
          <w:szCs w:val="32"/>
        </w:rPr>
        <w:t>2467</w:t>
      </w:r>
      <w:r>
        <w:rPr>
          <w:rFonts w:hint="eastAsia" w:ascii="仿宋_GB2312" w:eastAsia="仿宋_GB2312" w:cs="方正仿宋简体"/>
          <w:bCs/>
          <w:sz w:val="32"/>
          <w:szCs w:val="32"/>
          <w:lang w:val="zh-CN"/>
        </w:rPr>
        <w:t>万元、转贷地方政府债券收入（再融资债券）</w:t>
      </w:r>
      <w:r>
        <w:rPr>
          <w:rFonts w:hint="eastAsia" w:ascii="仿宋_GB2312" w:eastAsia="仿宋_GB2312" w:cs="方正仿宋简体"/>
          <w:bCs/>
          <w:sz w:val="32"/>
          <w:szCs w:val="32"/>
        </w:rPr>
        <w:t>27190万</w:t>
      </w:r>
      <w:r>
        <w:rPr>
          <w:rFonts w:hint="eastAsia" w:ascii="仿宋_GB2312" w:eastAsia="仿宋_GB2312" w:cs="方正仿宋简体"/>
          <w:bCs/>
          <w:sz w:val="32"/>
          <w:szCs w:val="32"/>
          <w:lang w:val="zh-CN"/>
        </w:rPr>
        <w:t>元、地方政府债券转贷收入（新增专项债券）</w:t>
      </w:r>
      <w:r>
        <w:rPr>
          <w:rFonts w:hint="eastAsia" w:ascii="仿宋_GB2312" w:eastAsia="仿宋_GB2312" w:cs="方正仿宋简体"/>
          <w:bCs/>
          <w:sz w:val="32"/>
          <w:szCs w:val="32"/>
        </w:rPr>
        <w:t>61400万元、</w:t>
      </w:r>
      <w:r>
        <w:rPr>
          <w:rFonts w:hint="eastAsia" w:ascii="仿宋_GB2312" w:eastAsia="仿宋_GB2312" w:cs="方正仿宋简体"/>
          <w:bCs/>
          <w:sz w:val="32"/>
          <w:szCs w:val="32"/>
          <w:lang w:val="zh-CN"/>
        </w:rPr>
        <w:t>上年结余</w:t>
      </w:r>
      <w:r>
        <w:rPr>
          <w:rFonts w:hint="eastAsia" w:ascii="仿宋_GB2312" w:eastAsia="仿宋_GB2312" w:cs="方正仿宋简体"/>
          <w:bCs/>
          <w:sz w:val="32"/>
          <w:szCs w:val="32"/>
        </w:rPr>
        <w:t>1370</w:t>
      </w:r>
      <w:r>
        <w:rPr>
          <w:rFonts w:hint="eastAsia" w:ascii="仿宋_GB2312" w:eastAsia="仿宋_GB2312" w:cs="方正仿宋简体"/>
          <w:bCs/>
          <w:sz w:val="32"/>
          <w:szCs w:val="32"/>
          <w:lang w:val="zh-CN"/>
        </w:rPr>
        <w:t>万元后，收入总量为</w:t>
      </w:r>
      <w:r>
        <w:rPr>
          <w:rFonts w:hint="eastAsia" w:ascii="仿宋_GB2312" w:eastAsia="仿宋_GB2312" w:cs="方正仿宋简体"/>
          <w:bCs/>
          <w:sz w:val="32"/>
          <w:szCs w:val="32"/>
        </w:rPr>
        <w:t>349603</w:t>
      </w:r>
      <w:r>
        <w:rPr>
          <w:rFonts w:hint="eastAsia" w:ascii="仿宋_GB2312" w:eastAsia="仿宋_GB2312" w:cs="方正仿宋简体"/>
          <w:bCs/>
          <w:sz w:val="32"/>
          <w:szCs w:val="32"/>
          <w:lang w:val="zh-CN"/>
        </w:rPr>
        <w:t>万元。收入总量减去政府性基金支出</w:t>
      </w:r>
      <w:r>
        <w:rPr>
          <w:rFonts w:hint="eastAsia" w:ascii="仿宋_GB2312" w:eastAsia="仿宋_GB2312" w:cs="方正仿宋简体"/>
          <w:bCs/>
          <w:sz w:val="32"/>
          <w:szCs w:val="32"/>
        </w:rPr>
        <w:t>287620</w:t>
      </w:r>
      <w:r>
        <w:rPr>
          <w:rFonts w:hint="eastAsia" w:ascii="仿宋_GB2312" w:eastAsia="仿宋_GB2312" w:cs="方正仿宋简体"/>
          <w:bCs/>
          <w:sz w:val="32"/>
          <w:szCs w:val="32"/>
          <w:lang w:val="zh-CN"/>
        </w:rPr>
        <w:t>万元、调出资金</w:t>
      </w:r>
      <w:r>
        <w:rPr>
          <w:rFonts w:hint="eastAsia" w:ascii="仿宋_GB2312" w:eastAsia="仿宋_GB2312" w:cs="方正仿宋简体"/>
          <w:bCs/>
          <w:sz w:val="32"/>
          <w:szCs w:val="32"/>
        </w:rPr>
        <w:t>30000万元、</w:t>
      </w:r>
      <w:r>
        <w:rPr>
          <w:rFonts w:hint="eastAsia" w:ascii="仿宋_GB2312" w:eastAsia="仿宋_GB2312" w:cs="方正仿宋简体"/>
          <w:bCs/>
          <w:sz w:val="32"/>
          <w:szCs w:val="32"/>
          <w:lang w:val="zh-CN"/>
        </w:rPr>
        <w:t>地方政府债券还本支出（再融资债券安排）</w:t>
      </w:r>
      <w:r>
        <w:rPr>
          <w:rFonts w:hint="eastAsia" w:ascii="仿宋_GB2312" w:eastAsia="仿宋_GB2312" w:cs="方正仿宋简体"/>
          <w:bCs/>
          <w:sz w:val="32"/>
          <w:szCs w:val="32"/>
        </w:rPr>
        <w:t>27190万元、</w:t>
      </w:r>
      <w:r>
        <w:rPr>
          <w:rFonts w:hint="eastAsia" w:ascii="仿宋_GB2312" w:eastAsia="仿宋_GB2312" w:cs="方正仿宋简体"/>
          <w:bCs/>
          <w:sz w:val="32"/>
          <w:szCs w:val="32"/>
          <w:lang w:val="zh-CN"/>
        </w:rPr>
        <w:t>地方政府债券还本支出（本级财力安排）</w:t>
      </w:r>
      <w:r>
        <w:rPr>
          <w:rFonts w:hint="eastAsia" w:ascii="仿宋_GB2312" w:eastAsia="仿宋_GB2312" w:cs="方正仿宋简体"/>
          <w:bCs/>
          <w:sz w:val="32"/>
          <w:szCs w:val="32"/>
        </w:rPr>
        <w:t>3200</w:t>
      </w:r>
      <w:r>
        <w:rPr>
          <w:rFonts w:hint="eastAsia" w:ascii="仿宋_GB2312" w:eastAsia="仿宋_GB2312" w:cs="方正仿宋简体"/>
          <w:bCs/>
          <w:sz w:val="32"/>
          <w:szCs w:val="32"/>
          <w:lang w:val="zh-CN"/>
        </w:rPr>
        <w:t>万元后，结转下年继续使用基金为</w:t>
      </w:r>
      <w:r>
        <w:rPr>
          <w:rFonts w:hint="eastAsia" w:ascii="仿宋_GB2312" w:eastAsia="仿宋_GB2312" w:cs="方正仿宋简体"/>
          <w:bCs/>
          <w:sz w:val="32"/>
          <w:szCs w:val="32"/>
        </w:rPr>
        <w:t>1593</w:t>
      </w:r>
      <w:r>
        <w:rPr>
          <w:rFonts w:hint="eastAsia" w:ascii="仿宋_GB2312" w:eastAsia="仿宋_GB2312" w:cs="方正仿宋简体"/>
          <w:bCs/>
          <w:sz w:val="32"/>
          <w:szCs w:val="32"/>
          <w:lang w:val="zh-CN"/>
        </w:rPr>
        <w:t>万元。</w:t>
      </w:r>
    </w:p>
    <w:p>
      <w:pPr>
        <w:spacing w:line="580" w:lineRule="exact"/>
        <w:ind w:firstLine="640" w:firstLineChars="200"/>
        <w:rPr>
          <w:rFonts w:hint="eastAsia" w:ascii="楷体_GB2312" w:eastAsia="楷体_GB2312" w:cs="方正楷体简体"/>
          <w:bCs/>
          <w:sz w:val="32"/>
          <w:szCs w:val="32"/>
        </w:rPr>
      </w:pPr>
      <w:r>
        <w:rPr>
          <w:rFonts w:hint="eastAsia" w:ascii="楷体_GB2312" w:eastAsia="楷体_GB2312" w:cs="方正楷体简体"/>
          <w:bCs/>
          <w:sz w:val="32"/>
          <w:szCs w:val="32"/>
        </w:rPr>
        <w:t>（三）国有资本经营预算执行情况</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lang w:val="zh-CN"/>
        </w:rPr>
        <w:t>20</w:t>
      </w:r>
      <w:r>
        <w:rPr>
          <w:rFonts w:hint="eastAsia" w:ascii="仿宋_GB2312" w:eastAsia="仿宋_GB2312" w:cs="方正仿宋简体"/>
          <w:bCs/>
          <w:sz w:val="32"/>
          <w:szCs w:val="32"/>
        </w:rPr>
        <w:t>21</w:t>
      </w:r>
      <w:r>
        <w:rPr>
          <w:rFonts w:hint="eastAsia" w:ascii="仿宋_GB2312" w:eastAsia="仿宋_GB2312" w:cs="方正仿宋简体"/>
          <w:bCs/>
          <w:sz w:val="32"/>
          <w:szCs w:val="32"/>
          <w:lang w:val="zh-CN"/>
        </w:rPr>
        <w:t>年，我市国有资本经营预算收入</w:t>
      </w:r>
      <w:r>
        <w:rPr>
          <w:rFonts w:hint="eastAsia" w:ascii="仿宋_GB2312" w:eastAsia="仿宋_GB2312" w:cs="方正仿宋简体"/>
          <w:bCs/>
          <w:sz w:val="32"/>
          <w:szCs w:val="32"/>
        </w:rPr>
        <w:t>5000</w:t>
      </w:r>
      <w:r>
        <w:rPr>
          <w:rFonts w:hint="eastAsia" w:ascii="仿宋_GB2312" w:eastAsia="仿宋_GB2312" w:cs="方正仿宋简体"/>
          <w:bCs/>
          <w:sz w:val="32"/>
          <w:szCs w:val="32"/>
          <w:lang w:val="zh-CN"/>
        </w:rPr>
        <w:t>万元，加上上年结转</w:t>
      </w:r>
      <w:r>
        <w:rPr>
          <w:rFonts w:hint="eastAsia" w:ascii="仿宋_GB2312" w:eastAsia="仿宋_GB2312" w:cs="方正仿宋简体"/>
          <w:bCs/>
          <w:sz w:val="32"/>
          <w:szCs w:val="32"/>
        </w:rPr>
        <w:t>723</w:t>
      </w:r>
      <w:r>
        <w:rPr>
          <w:rFonts w:hint="eastAsia" w:ascii="仿宋_GB2312" w:eastAsia="仿宋_GB2312" w:cs="方正仿宋简体"/>
          <w:bCs/>
          <w:sz w:val="32"/>
          <w:szCs w:val="32"/>
          <w:lang w:val="zh-CN"/>
        </w:rPr>
        <w:t>万元、上级补助收入</w:t>
      </w:r>
      <w:r>
        <w:rPr>
          <w:rFonts w:hint="eastAsia" w:ascii="仿宋_GB2312" w:eastAsia="仿宋_GB2312" w:cs="方正仿宋简体"/>
          <w:bCs/>
          <w:sz w:val="32"/>
          <w:szCs w:val="32"/>
        </w:rPr>
        <w:t>456万元，</w:t>
      </w:r>
      <w:r>
        <w:rPr>
          <w:rFonts w:hint="eastAsia" w:ascii="仿宋_GB2312" w:eastAsia="仿宋_GB2312" w:cs="方正仿宋简体"/>
          <w:bCs/>
          <w:sz w:val="32"/>
          <w:szCs w:val="32"/>
          <w:lang w:val="zh-CN"/>
        </w:rPr>
        <w:t>本年可供安排支出合计</w:t>
      </w:r>
      <w:r>
        <w:rPr>
          <w:rFonts w:hint="eastAsia" w:ascii="仿宋_GB2312" w:eastAsia="仿宋_GB2312" w:cs="方正仿宋简体"/>
          <w:bCs/>
          <w:sz w:val="32"/>
          <w:szCs w:val="32"/>
        </w:rPr>
        <w:t>6179</w:t>
      </w:r>
      <w:r>
        <w:rPr>
          <w:rFonts w:hint="eastAsia" w:ascii="仿宋_GB2312" w:eastAsia="仿宋_GB2312" w:cs="方正仿宋简体"/>
          <w:bCs/>
          <w:sz w:val="32"/>
          <w:szCs w:val="32"/>
          <w:lang w:val="zh-CN"/>
        </w:rPr>
        <w:t>万元。其中安排支出</w:t>
      </w:r>
      <w:r>
        <w:rPr>
          <w:rFonts w:hint="eastAsia" w:ascii="仿宋_GB2312" w:eastAsia="仿宋_GB2312" w:cs="方正仿宋简体"/>
          <w:bCs/>
          <w:sz w:val="32"/>
          <w:szCs w:val="32"/>
        </w:rPr>
        <w:t>3511</w:t>
      </w:r>
      <w:r>
        <w:rPr>
          <w:rFonts w:hint="eastAsia" w:ascii="仿宋_GB2312" w:eastAsia="仿宋_GB2312" w:cs="方正仿宋简体"/>
          <w:bCs/>
          <w:sz w:val="32"/>
          <w:szCs w:val="32"/>
          <w:lang w:val="zh-CN"/>
        </w:rPr>
        <w:t>万元，调出</w:t>
      </w:r>
      <w:r>
        <w:rPr>
          <w:rFonts w:hint="eastAsia" w:ascii="仿宋_GB2312" w:eastAsia="仿宋_GB2312" w:cs="方正仿宋简体"/>
          <w:bCs/>
          <w:sz w:val="32"/>
          <w:szCs w:val="32"/>
        </w:rPr>
        <w:t>1500万</w:t>
      </w:r>
      <w:r>
        <w:rPr>
          <w:rFonts w:hint="eastAsia" w:ascii="仿宋_GB2312" w:eastAsia="仿宋_GB2312" w:cs="方正仿宋简体"/>
          <w:bCs/>
          <w:sz w:val="32"/>
          <w:szCs w:val="32"/>
          <w:lang w:val="zh-CN"/>
        </w:rPr>
        <w:t>元到</w:t>
      </w:r>
      <w:r>
        <w:rPr>
          <w:rFonts w:hint="eastAsia" w:ascii="仿宋_GB2312" w:eastAsia="仿宋_GB2312" w:cs="方正仿宋简体"/>
          <w:bCs/>
          <w:sz w:val="32"/>
          <w:szCs w:val="32"/>
        </w:rPr>
        <w:t>一般公共预算统筹安排支出，</w:t>
      </w:r>
      <w:r>
        <w:rPr>
          <w:rFonts w:hint="eastAsia" w:ascii="仿宋_GB2312" w:eastAsia="仿宋_GB2312" w:cs="方正仿宋简体"/>
          <w:bCs/>
          <w:sz w:val="32"/>
          <w:szCs w:val="32"/>
          <w:lang w:val="zh-CN"/>
        </w:rPr>
        <w:t>国有资本经营结转下年继续使用</w:t>
      </w:r>
      <w:r>
        <w:rPr>
          <w:rFonts w:hint="eastAsia" w:ascii="仿宋_GB2312" w:eastAsia="仿宋_GB2312" w:cs="方正仿宋简体"/>
          <w:bCs/>
          <w:sz w:val="32"/>
          <w:szCs w:val="32"/>
        </w:rPr>
        <w:t>1168万元。</w:t>
      </w:r>
    </w:p>
    <w:p>
      <w:pPr>
        <w:spacing w:line="580" w:lineRule="exact"/>
        <w:ind w:firstLine="640" w:firstLineChars="200"/>
        <w:rPr>
          <w:rFonts w:hint="eastAsia" w:ascii="楷体_GB2312" w:eastAsia="楷体_GB2312" w:cs="方正楷体简体"/>
          <w:bCs/>
          <w:sz w:val="32"/>
          <w:szCs w:val="32"/>
          <w:lang w:val="zh-CN"/>
        </w:rPr>
      </w:pPr>
      <w:r>
        <w:rPr>
          <w:rFonts w:hint="eastAsia" w:ascii="楷体_GB2312" w:eastAsia="楷体_GB2312" w:cs="方正楷体简体"/>
          <w:bCs/>
          <w:sz w:val="32"/>
          <w:szCs w:val="32"/>
        </w:rPr>
        <w:t>（四）</w:t>
      </w:r>
      <w:r>
        <w:rPr>
          <w:rFonts w:hint="eastAsia" w:ascii="楷体_GB2312" w:eastAsia="楷体_GB2312" w:cs="方正楷体简体"/>
          <w:bCs/>
          <w:sz w:val="32"/>
          <w:szCs w:val="32"/>
          <w:lang w:val="zh-CN"/>
        </w:rPr>
        <w:t>社会保险基金预算执行情况</w:t>
      </w:r>
    </w:p>
    <w:p>
      <w:pPr>
        <w:spacing w:line="580" w:lineRule="exact"/>
        <w:ind w:firstLine="640" w:firstLineChars="200"/>
        <w:rPr>
          <w:rFonts w:hint="eastAsia" w:ascii="仿宋_GB2312" w:eastAsia="仿宋_GB2312" w:cs="方正仿宋简体"/>
          <w:bCs/>
          <w:sz w:val="32"/>
          <w:szCs w:val="32"/>
          <w:lang w:val="zh-CN"/>
        </w:rPr>
      </w:pPr>
      <w:r>
        <w:rPr>
          <w:rFonts w:hint="eastAsia" w:ascii="仿宋_GB2312" w:eastAsia="仿宋_GB2312" w:cs="方正仿宋简体"/>
          <w:bCs/>
          <w:sz w:val="32"/>
          <w:szCs w:val="32"/>
        </w:rPr>
        <w:t>2021年，我市社保基金预算收入10167万元，其中个人缴费收入3187万元、政府补贴收入5380万元、利息收入201万元、委托投资收益1332万元、转移收入53万元、其他收入14万元。社保基金预算支出6039万元，其中基础养老金支出5035万元、个人账户养老金支出1003万元、转移支出1万元、本年收支结余4128万元、年末滚存结余25836万元。</w:t>
      </w:r>
    </w:p>
    <w:p>
      <w:pPr>
        <w:spacing w:line="580" w:lineRule="exact"/>
        <w:ind w:firstLine="640" w:firstLineChars="200"/>
        <w:rPr>
          <w:rFonts w:hint="eastAsia" w:ascii="楷体_GB2312" w:eastAsia="楷体_GB2312" w:cs="方正楷体简体"/>
          <w:bCs/>
          <w:sz w:val="32"/>
          <w:szCs w:val="32"/>
          <w:lang w:val="zh-CN"/>
        </w:rPr>
      </w:pPr>
      <w:r>
        <w:rPr>
          <w:rFonts w:hint="eastAsia" w:ascii="楷体_GB2312" w:eastAsia="楷体_GB2312" w:cs="方正楷体简体"/>
          <w:bCs/>
          <w:sz w:val="32"/>
          <w:szCs w:val="32"/>
        </w:rPr>
        <w:t>（五）</w:t>
      </w:r>
      <w:r>
        <w:rPr>
          <w:rFonts w:hint="eastAsia" w:ascii="楷体_GB2312" w:eastAsia="楷体_GB2312" w:cs="方正楷体简体"/>
          <w:bCs/>
          <w:sz w:val="32"/>
          <w:szCs w:val="32"/>
          <w:lang w:val="zh-CN"/>
        </w:rPr>
        <w:t>地方政府债务情况</w:t>
      </w:r>
    </w:p>
    <w:p>
      <w:pPr>
        <w:spacing w:line="580" w:lineRule="exact"/>
        <w:ind w:firstLine="640" w:firstLineChars="200"/>
        <w:rPr>
          <w:rFonts w:hint="eastAsia" w:ascii="仿宋_GB2312" w:eastAsia="仿宋_GB2312" w:cs="方正仿宋简体"/>
          <w:bCs/>
          <w:sz w:val="32"/>
          <w:szCs w:val="32"/>
          <w:lang w:val="zh-CN"/>
        </w:rPr>
      </w:pPr>
      <w:r>
        <w:rPr>
          <w:rFonts w:hint="eastAsia" w:ascii="仿宋_GB2312" w:eastAsia="仿宋_GB2312" w:cs="方正仿宋简体"/>
          <w:bCs/>
          <w:sz w:val="32"/>
          <w:szCs w:val="32"/>
          <w:lang w:val="zh-CN"/>
        </w:rPr>
        <w:t>202</w:t>
      </w:r>
      <w:r>
        <w:rPr>
          <w:rFonts w:hint="eastAsia" w:ascii="仿宋_GB2312" w:eastAsia="仿宋_GB2312" w:cs="方正仿宋简体"/>
          <w:bCs/>
          <w:sz w:val="32"/>
          <w:szCs w:val="32"/>
        </w:rPr>
        <w:t>1</w:t>
      </w:r>
      <w:r>
        <w:rPr>
          <w:rFonts w:hint="eastAsia" w:ascii="仿宋_GB2312" w:eastAsia="仿宋_GB2312" w:cs="方正仿宋简体"/>
          <w:bCs/>
          <w:sz w:val="32"/>
          <w:szCs w:val="32"/>
          <w:lang w:val="zh-CN"/>
        </w:rPr>
        <w:t>年</w:t>
      </w:r>
      <w:r>
        <w:rPr>
          <w:rFonts w:hint="eastAsia" w:ascii="仿宋_GB2312" w:eastAsia="仿宋_GB2312" w:cs="方正仿宋简体"/>
          <w:bCs/>
          <w:sz w:val="32"/>
          <w:szCs w:val="32"/>
        </w:rPr>
        <w:t>，</w:t>
      </w:r>
      <w:r>
        <w:rPr>
          <w:rFonts w:hint="eastAsia" w:ascii="仿宋_GB2312" w:eastAsia="仿宋_GB2312" w:cs="方正仿宋简体"/>
          <w:bCs/>
          <w:sz w:val="32"/>
          <w:szCs w:val="32"/>
          <w:lang w:val="zh-CN"/>
        </w:rPr>
        <w:t>我市归还政府债务本金</w:t>
      </w:r>
      <w:r>
        <w:rPr>
          <w:rFonts w:hint="eastAsia" w:ascii="仿宋_GB2312" w:eastAsia="仿宋_GB2312" w:cs="方正仿宋简体"/>
          <w:bCs/>
          <w:sz w:val="32"/>
          <w:szCs w:val="32"/>
        </w:rPr>
        <w:t>10816</w:t>
      </w:r>
      <w:r>
        <w:rPr>
          <w:rFonts w:hint="eastAsia" w:ascii="仿宋_GB2312" w:eastAsia="仿宋_GB2312" w:cs="方正仿宋简体"/>
          <w:bCs/>
          <w:sz w:val="32"/>
          <w:szCs w:val="32"/>
          <w:lang w:val="zh-CN"/>
        </w:rPr>
        <w:t>万元，新增专项债券</w:t>
      </w:r>
      <w:r>
        <w:rPr>
          <w:rFonts w:hint="eastAsia" w:ascii="仿宋_GB2312" w:eastAsia="仿宋_GB2312" w:cs="方正仿宋简体"/>
          <w:bCs/>
          <w:sz w:val="32"/>
          <w:szCs w:val="32"/>
        </w:rPr>
        <w:t>61400</w:t>
      </w:r>
      <w:r>
        <w:rPr>
          <w:rFonts w:hint="eastAsia" w:ascii="仿宋_GB2312" w:eastAsia="仿宋_GB2312" w:cs="方正仿宋简体"/>
          <w:bCs/>
          <w:sz w:val="32"/>
          <w:szCs w:val="32"/>
          <w:lang w:val="zh-CN"/>
        </w:rPr>
        <w:t>万元，新增一般债券3000万元，地方政府债务余额增加</w:t>
      </w:r>
      <w:r>
        <w:rPr>
          <w:rFonts w:hint="eastAsia" w:ascii="仿宋_GB2312" w:eastAsia="仿宋_GB2312" w:cs="方正仿宋简体"/>
          <w:bCs/>
          <w:sz w:val="32"/>
          <w:szCs w:val="32"/>
        </w:rPr>
        <w:t>53584</w:t>
      </w:r>
      <w:r>
        <w:rPr>
          <w:rFonts w:hint="eastAsia" w:ascii="仿宋_GB2312" w:eastAsia="仿宋_GB2312" w:cs="方正仿宋简体"/>
          <w:bCs/>
          <w:sz w:val="32"/>
          <w:szCs w:val="32"/>
          <w:lang w:val="zh-CN"/>
        </w:rPr>
        <w:t>万元。截至202</w:t>
      </w:r>
      <w:r>
        <w:rPr>
          <w:rFonts w:hint="eastAsia" w:ascii="仿宋_GB2312" w:eastAsia="仿宋_GB2312" w:cs="方正仿宋简体"/>
          <w:bCs/>
          <w:sz w:val="32"/>
          <w:szCs w:val="32"/>
        </w:rPr>
        <w:t>1</w:t>
      </w:r>
      <w:r>
        <w:rPr>
          <w:rFonts w:hint="eastAsia" w:ascii="仿宋_GB2312" w:eastAsia="仿宋_GB2312" w:cs="方正仿宋简体"/>
          <w:bCs/>
          <w:sz w:val="32"/>
          <w:szCs w:val="32"/>
          <w:lang w:val="zh-CN"/>
        </w:rPr>
        <w:t>年底，全市地方政府债务余额789527万元（其中一般债务余额406127万元、专项债务余额383400万元），全市债务余额控制在省政府核定的债务限额以内。</w:t>
      </w:r>
    </w:p>
    <w:p>
      <w:pPr>
        <w:spacing w:line="580" w:lineRule="exact"/>
        <w:ind w:firstLine="640" w:firstLineChars="200"/>
        <w:rPr>
          <w:rFonts w:hint="eastAsia" w:ascii="楷体_GB2312" w:eastAsia="楷体_GB2312" w:cs="方正楷体简体"/>
          <w:bCs/>
          <w:sz w:val="32"/>
          <w:szCs w:val="32"/>
        </w:rPr>
      </w:pPr>
      <w:r>
        <w:rPr>
          <w:rFonts w:hint="eastAsia" w:ascii="楷体_GB2312" w:eastAsia="楷体_GB2312" w:cs="方正楷体简体"/>
          <w:bCs/>
          <w:sz w:val="32"/>
          <w:szCs w:val="32"/>
        </w:rPr>
        <w:t>（六）部门预算执行及绩效管理情况</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2021年，提交市第十七届人民代表大会第六次会议审议的部门预算执行情况良好。基本支出按正常进度执行，项目支出按收入完成及项目执行进度拨付，财政支出较好地保证了单位的需要。</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按照《中共四川省委、四川省人民政府关于全面实施预算绩效管理的实施意见》（川委发〔2019〕8号）精神，着力推进落实全方位、全过程、全覆盖预算绩效管理工作。一是严格绩效目标管理。对新入库项目严格审核，凡绩效目标设置不符合经济社会发展、不符合市委市政府工作部署的项目一律不予审批。二是全覆盖事中绩效监控。对项目绩效目标实现情况和预算执行进度实行“双监控”，发现问题及时纠正。三是全面开展事后绩效评价。2021年，在市级各部门全面自评的基础上，选取6个部门整体类、5个政策类和32个项目类开展重点绩效评价，评价内容涵盖产业发展、民生保障、基础设施、行政运行四大板块，涉及资金5.3亿元。四是强化预算绩效评价结果应用。将预算绩效评价结果与预算安排、资金分配挂钩，提升财政资金配置效率。五是建立绩效信息公开制度。在政府网站上公开绩效考核结果，并组织各单位公开绩效目标和绩效自评，接受社会监督。</w:t>
      </w:r>
    </w:p>
    <w:p>
      <w:pPr>
        <w:spacing w:line="580" w:lineRule="exact"/>
        <w:ind w:firstLine="640" w:firstLineChars="200"/>
        <w:rPr>
          <w:rFonts w:hint="eastAsia" w:ascii="黑体" w:hAnsi="黑体" w:eastAsia="黑体" w:cs="方正黑体简体"/>
          <w:bCs/>
          <w:sz w:val="32"/>
          <w:szCs w:val="32"/>
        </w:rPr>
      </w:pPr>
      <w:r>
        <w:rPr>
          <w:rFonts w:hint="eastAsia" w:ascii="黑体" w:hAnsi="黑体" w:eastAsia="黑体" w:cs="方正黑体简体"/>
          <w:bCs/>
          <w:sz w:val="32"/>
          <w:szCs w:val="32"/>
        </w:rPr>
        <w:t>二、2021年预算执行重点工作</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2021年，我市始终坚持以习近平新时代中国特色社会主义思想为指导，坚持稳中求进工作总基调，立足新发展阶段，贯彻新发展理念，构建新发展格局，认真贯彻落实“积极的财政政策要提质增效、更可持续”要求，合理安排债务、支出规模，以更大力度调整优化支出结构，强化地方政府债务管理，促进财政可持续发展，确保“十四五”开好局、起好步。</w:t>
      </w:r>
    </w:p>
    <w:p>
      <w:pPr>
        <w:spacing w:line="580" w:lineRule="exact"/>
        <w:ind w:firstLine="640" w:firstLineChars="200"/>
        <w:rPr>
          <w:rFonts w:hint="eastAsia" w:ascii="仿宋_GB2312" w:eastAsia="仿宋_GB2312" w:cs="方正仿宋简体"/>
          <w:bCs/>
          <w:sz w:val="32"/>
          <w:szCs w:val="32"/>
        </w:rPr>
      </w:pPr>
      <w:r>
        <w:rPr>
          <w:rFonts w:hint="eastAsia" w:ascii="楷体_GB2312" w:eastAsia="楷体_GB2312" w:cs="方正楷体简体"/>
          <w:bCs/>
          <w:sz w:val="32"/>
          <w:szCs w:val="32"/>
        </w:rPr>
        <w:t>（一）做大财政“蛋糕”。</w:t>
      </w:r>
      <w:r>
        <w:rPr>
          <w:rFonts w:hint="eastAsia" w:ascii="仿宋_GB2312" w:eastAsia="仿宋_GB2312" w:cs="方正仿宋简体"/>
          <w:bCs/>
          <w:sz w:val="32"/>
          <w:szCs w:val="32"/>
        </w:rPr>
        <w:t>一是推进财源建设。把招商引资作为财源建设的主阵地，紧紧围绕产业发展、创新驱动等重点领域，加强招商引资和产业项目建设。不折不扣落实减税降费政策，全力协助企业争取上级资金支持，充分发挥财政资金的引导撬动作用，吸引金融和社会资本加大对重点领域的投入，培植壮大后续财源，支撑财税收入持续增长。二是强化财税征管。建立收入分析监控机制，进一步加大财税收入考核调度，认真分析收入增减变动因素，及时制定可行措施，确保重点企业、重点行业、重大项目财税收入应减尽减、应收尽收，力争全面完成全年地方财政收入比上年增长1％的预期目标。三是大力盘活国有资源资产。一方面成立工作专班，全面清理闲置和低效运转资产，强化对闲置资产处置工作的协调、指导和督促，加快推进勘查、测绘、调规、确权、补证、过户、处置等相关工作。另一方面大力推进土地收储出让，尽可能地将土地资源转换为可用财力。</w:t>
      </w:r>
    </w:p>
    <w:p>
      <w:pPr>
        <w:spacing w:line="580" w:lineRule="exact"/>
        <w:ind w:firstLine="640" w:firstLineChars="200"/>
        <w:rPr>
          <w:rFonts w:hint="eastAsia" w:ascii="仿宋_GB2312" w:eastAsia="仿宋_GB2312" w:cs="方正仿宋简体"/>
          <w:bCs/>
          <w:sz w:val="32"/>
          <w:szCs w:val="32"/>
        </w:rPr>
      </w:pPr>
      <w:r>
        <w:rPr>
          <w:rFonts w:hint="eastAsia" w:ascii="楷体_GB2312" w:eastAsia="楷体_GB2312" w:cs="方正楷体简体"/>
          <w:bCs/>
          <w:sz w:val="32"/>
          <w:szCs w:val="32"/>
        </w:rPr>
        <w:t>（二）兜牢“三保”底线。</w:t>
      </w:r>
      <w:r>
        <w:rPr>
          <w:rFonts w:hint="eastAsia" w:ascii="仿宋_GB2312" w:eastAsia="仿宋_GB2312" w:cs="方正仿宋简体"/>
          <w:bCs/>
          <w:sz w:val="32"/>
          <w:szCs w:val="32"/>
        </w:rPr>
        <w:t>面对严峻的财政形势，把“保基本民生、保工资、保运转”作为财政支出保障重点。一是强化一般公共预算、政府性基金预算的统筹衔接，整合新增资金与存量资金、年度预算与结转资金、本级资金和上级资金，形成资金合力。认真落实上级财政对重点关注地区预算编制事前审核要求，切实提高“三保”预算编制质量，确保“三保”需求不留预算缺口。二是优化支出结构。牢固树立过“紧日子”思想，把严把紧预算支出关口，严格审核新增财政支出，大力削减或取消低效无效支出，深入挖掘节支潜力。大幅压减非急需非刚性支出，进一步压减一般性支出，将节约的资金用于改善基本民生等。2021年，预算“三公”经费在2020年基础上压减了3％。三是出台开源节流二十三条措施，强化收入征管，深挖“三保”自给潜力，硬化预算刚性约束。四是合理调度国库资金，优先保障“三保”类支出，按时足额发放人员工资和落实到人到户的各项惠民补贴。</w:t>
      </w:r>
    </w:p>
    <w:p>
      <w:pPr>
        <w:spacing w:line="580" w:lineRule="exact"/>
        <w:ind w:firstLine="640" w:firstLineChars="200"/>
        <w:rPr>
          <w:rFonts w:hint="eastAsia" w:ascii="仿宋_GB2312" w:eastAsia="仿宋_GB2312" w:cs="方正仿宋简体"/>
          <w:bCs/>
          <w:sz w:val="32"/>
          <w:szCs w:val="32"/>
        </w:rPr>
      </w:pPr>
      <w:r>
        <w:rPr>
          <w:rFonts w:hint="eastAsia" w:ascii="楷体_GB2312" w:eastAsia="楷体_GB2312" w:cs="方正楷体简体"/>
          <w:bCs/>
          <w:sz w:val="32"/>
          <w:szCs w:val="32"/>
        </w:rPr>
        <w:t>（三）防范和化解债务风险。</w:t>
      </w:r>
      <w:r>
        <w:rPr>
          <w:rFonts w:hint="eastAsia" w:ascii="仿宋_GB2312" w:eastAsia="仿宋_GB2312" w:cs="方正仿宋简体"/>
          <w:bCs/>
          <w:sz w:val="32"/>
          <w:szCs w:val="32"/>
        </w:rPr>
        <w:t>加强全口径债务监控，为政府领导当好参谋，落实化债主体责任，细化政府债务风险管控措施。一是做好科学预判。健全地方政府债务风险预警和应急处置机制，妥善处理存量债务，对可能出现的局部风险做好应对，通过控制项目规模、压缩公用经费等方式，多渠道筹集资金消化存量债务，逐步降低债务风险。二是按要求足额预算偿债资金。在编制年初预算时，将地方政府债务系统中当年需偿还政府债务本息纳入预算，足额保障当年偿债资金。三是加大资金统筹力度。进一步优化支出结构，安排财政预算时，统筹可用财力支持化解政府承担直接偿还责任的公益性债务，超收收入和盘活存量资金优先用于偿还债务，切实降低债务风险。四是严堵新增隐性债务“后门”。树立全市“一盘棋”理念，严禁违法违规融资担保行为，严禁以政府投资基金、政府和社会资本合作（PPP）、政府购买服务等名义变相举债。</w:t>
      </w:r>
    </w:p>
    <w:p>
      <w:pPr>
        <w:spacing w:line="580" w:lineRule="exact"/>
        <w:ind w:firstLine="640" w:firstLineChars="200"/>
        <w:rPr>
          <w:rFonts w:hint="eastAsia" w:ascii="仿宋_GB2312" w:eastAsia="仿宋_GB2312" w:cs="方正仿宋简体"/>
          <w:bCs/>
          <w:sz w:val="32"/>
          <w:szCs w:val="32"/>
        </w:rPr>
      </w:pPr>
      <w:r>
        <w:rPr>
          <w:rFonts w:hint="eastAsia" w:ascii="楷体_GB2312" w:eastAsia="楷体_GB2312" w:cs="方正楷体简体"/>
          <w:bCs/>
          <w:sz w:val="32"/>
          <w:szCs w:val="32"/>
        </w:rPr>
        <w:t>（四）改善民生福祉。</w:t>
      </w:r>
      <w:r>
        <w:rPr>
          <w:rFonts w:hint="eastAsia" w:ascii="仿宋_GB2312" w:eastAsia="仿宋_GB2312" w:cs="方正仿宋简体"/>
          <w:bCs/>
          <w:sz w:val="32"/>
          <w:szCs w:val="32"/>
        </w:rPr>
        <w:t>2021年，民生领域支出22亿元，占财政支出69.7％。全面落实学前教育、义务教育、高中和中职各阶段生均公用经费保障机制（含免学费）以及对困难家庭学生资助等政策；统筹资金支持峨眉二中扩建、峨眉一幼改建、城北幼儿园新建等民生项目。完善社会保障，残疾人两项补贴分别提高到100元/月，城乡居民基本养老保险补助标准提高到105元/月，持续提高退休人员基本养老金待遇约5％，全面做实退休人员职业年金。支持提升基层医疗服务能力，基本公共卫生服务财政补助3416万元。完善医疗保障，城乡居民基本医疗保险财政补助提高到580元/人。开展免费产前和农村妇女“两癌”筛查等健康服务，统筹资金保障新冠肺炎疫情防控和疫苗接种。支持完善交通基础设施建设，全年安排12000万元用于省道308西环线、青杨路、符双路、川桃路（地质灾害处置和生态修复）等。聚焦乡村振兴，统筹资金40439万元支持农田水利、高标准农田、病险水库除险加固、农业保险、美丽乡村、生态公益林补偿、耕地地力保护、农村道路、病虫害防控、农村环境整治、河道保洁、村级组织运转等。</w:t>
      </w:r>
    </w:p>
    <w:p>
      <w:pPr>
        <w:spacing w:line="580" w:lineRule="exact"/>
        <w:ind w:firstLine="640" w:firstLineChars="200"/>
        <w:rPr>
          <w:rFonts w:hint="eastAsia" w:ascii="仿宋_GB2312" w:eastAsia="仿宋_GB2312" w:cs="方正仿宋简体"/>
          <w:bCs/>
          <w:sz w:val="32"/>
          <w:szCs w:val="32"/>
        </w:rPr>
      </w:pPr>
      <w:r>
        <w:rPr>
          <w:rFonts w:hint="eastAsia" w:ascii="楷体_GB2312" w:eastAsia="楷体_GB2312" w:cs="方正楷体简体"/>
          <w:bCs/>
          <w:sz w:val="32"/>
          <w:szCs w:val="32"/>
        </w:rPr>
        <w:t>（五）推进财税体制改革。</w:t>
      </w:r>
      <w:r>
        <w:rPr>
          <w:rFonts w:hint="eastAsia" w:ascii="仿宋_GB2312" w:eastAsia="仿宋_GB2312" w:cs="方正仿宋简体"/>
          <w:bCs/>
          <w:sz w:val="32"/>
          <w:szCs w:val="32"/>
        </w:rPr>
        <w:t>一是全力推进预算管理一体化建设，构建现代信息技术条件下“制度+技术”的管理机制，对预算编制和执行、决算和报告、资产和债务等管理环节嵌入统一的管理要素、管理流程和管理规则，实现上下级业务协同和数据共享，夯实深化预算制度改革基础。二是加强中央直达资金监管，加快保基本民生、保工资等重点支出预算执行进度。三是制定落实开源节流二十三条措施。为贯彻落实中央厉行节约、过“紧日子”、坚决打好防范化解重大风险攻坚战的要求，进一步增收节支，确保财政平稳运行，我市从加强税务征缴监管、推进税费征收改革、大力培植税源、积极向上争取、盘活镇村公有资产、加强国有资产清理、建立宗地核算制度等11个方面强化开源；从严控一般性支出、规范公用经费管理、严格经费追加、开展项目经济合理性审查、做好征拆经费管理和加强预算绩效管理等12个方面切实加强节流，明确责任单位工作任务，进一步达到增收节支目的。四是强化采购人主体责任，构建权责对等的政府采购管理机制。全年政府采购预算总金额2.73亿元，实际采购金额2.48亿元，资金节约率9％。五是提升财政投资评审质量和效率，全年评审政府投资项目预算237个，核减金额0.58亿元，核减率9.7％；评审政府投资项目结算476个，核减金额0.44亿元，核减率9.17％。</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2021年工作虽然取得了一定的成绩，但财政面临困难和挑战依然较多，主要表现在：一是传统财源增量有限，新兴财源成长较慢，税收基础不牢，财政增收难；二是教育、社会保障和医疗卫生等民生政策提标扩面，刚性支出持续攀升，财政“三保”压力不断加大；三是政府债务虽然控制在限额范围内，但防范化解债务风险压力仍然较大。</w:t>
      </w:r>
    </w:p>
    <w:p>
      <w:pPr>
        <w:pStyle w:val="2"/>
        <w:spacing w:line="580" w:lineRule="exact"/>
        <w:rPr>
          <w:rFonts w:hint="eastAsia" w:ascii="仿宋_GB2312" w:eastAsia="仿宋_GB2312"/>
          <w:sz w:val="32"/>
          <w:szCs w:val="32"/>
        </w:rPr>
      </w:pPr>
    </w:p>
    <w:p>
      <w:pPr>
        <w:spacing w:before="120" w:beforeLines="50" w:after="120" w:afterLines="50" w:line="580" w:lineRule="exact"/>
        <w:jc w:val="center"/>
        <w:rPr>
          <w:rFonts w:hint="eastAsia" w:ascii="方正小标宋简体" w:eastAsia="方正小标宋简体" w:cs="方正黑体简体"/>
          <w:bCs/>
          <w:sz w:val="36"/>
          <w:szCs w:val="36"/>
        </w:rPr>
      </w:pPr>
      <w:r>
        <w:rPr>
          <w:rFonts w:hint="eastAsia" w:ascii="方正小标宋简体" w:eastAsia="方正小标宋简体" w:cs="方正黑体简体"/>
          <w:bCs/>
          <w:sz w:val="36"/>
          <w:szCs w:val="36"/>
        </w:rPr>
        <w:t>2022年预算草案</w:t>
      </w:r>
    </w:p>
    <w:p>
      <w:pPr>
        <w:pStyle w:val="2"/>
        <w:spacing w:line="580" w:lineRule="exact"/>
        <w:rPr>
          <w:rFonts w:hint="eastAsia" w:ascii="仿宋_GB2312" w:eastAsia="仿宋_GB2312"/>
          <w:sz w:val="32"/>
          <w:szCs w:val="32"/>
        </w:rPr>
      </w:pP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财政工作的指导思想是：坚持以习近平新时代中国特色社会主义思想为指导，全面贯彻党的十九大和十九届二中、三中、四中、五中、六中全会精神，深入学习贯彻落实习近平总书记对四川工作的重要讲话和指示精神，围绕市委“1238”总体思路，坚持稳中求进工作总基调，以推动高质量发展为主题，以满足人民日益增长的美好生活需要为根本目的，综合运用财政政策工具，加强预算管理，保障重点支出，深化财政改革，强化管理监督，防范财政风险，推进依法理财，为全市经济社会高质量发展提供坚实的财力保障。</w:t>
      </w:r>
    </w:p>
    <w:p>
      <w:pPr>
        <w:spacing w:line="580" w:lineRule="exact"/>
        <w:ind w:firstLine="640" w:firstLineChars="200"/>
        <w:rPr>
          <w:rFonts w:hint="eastAsia" w:ascii="黑体" w:hAnsi="黑体" w:eastAsia="黑体" w:cs="方正黑体简体"/>
          <w:bCs/>
          <w:sz w:val="32"/>
          <w:szCs w:val="32"/>
        </w:rPr>
      </w:pPr>
      <w:r>
        <w:rPr>
          <w:rFonts w:hint="eastAsia" w:ascii="黑体" w:hAnsi="黑体" w:eastAsia="黑体" w:cs="方正黑体简体"/>
          <w:bCs/>
          <w:sz w:val="32"/>
          <w:szCs w:val="32"/>
        </w:rPr>
        <w:t>一、2022年预算收支情况</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按《中华人民共和国预算法》及《中华人民共和国预算法实施条例》（国务院令第729号）要求，2022年预算包括一般公共预算、政府性基金预算、国有资本经营预算、社会保险基金预算，“四本预算”保持完整、独立，分别核算平衡。</w:t>
      </w:r>
    </w:p>
    <w:p>
      <w:pPr>
        <w:spacing w:line="580" w:lineRule="exact"/>
        <w:ind w:firstLine="640" w:firstLineChars="200"/>
        <w:rPr>
          <w:rFonts w:hint="eastAsia" w:ascii="楷体_GB2312" w:eastAsia="楷体_GB2312" w:cs="方正楷体简体"/>
          <w:bCs/>
          <w:sz w:val="32"/>
          <w:szCs w:val="32"/>
        </w:rPr>
      </w:pPr>
      <w:r>
        <w:rPr>
          <w:rFonts w:hint="eastAsia" w:ascii="楷体_GB2312" w:eastAsia="楷体_GB2312" w:cs="方正楷体简体"/>
          <w:bCs/>
          <w:sz w:val="32"/>
          <w:szCs w:val="32"/>
        </w:rPr>
        <w:t>（一）一般公共预算</w:t>
      </w:r>
    </w:p>
    <w:p>
      <w:pPr>
        <w:spacing w:line="580" w:lineRule="exact"/>
        <w:ind w:firstLine="643" w:firstLineChars="200"/>
        <w:rPr>
          <w:rFonts w:hint="eastAsia" w:ascii="仿宋_GB2312" w:eastAsia="仿宋_GB2312" w:cs="方正仿宋简体"/>
          <w:b/>
          <w:bCs/>
          <w:sz w:val="32"/>
          <w:szCs w:val="32"/>
        </w:rPr>
      </w:pPr>
      <w:r>
        <w:rPr>
          <w:rFonts w:hint="eastAsia" w:ascii="仿宋_GB2312" w:eastAsia="仿宋_GB2312" w:cs="方正仿宋简体"/>
          <w:b/>
          <w:bCs/>
          <w:sz w:val="32"/>
          <w:szCs w:val="32"/>
        </w:rPr>
        <w:t>1．一般公共预算收入情况</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地方一般公共预算收入拟安排220500万元，其中税收收入143000万元，非税收入77500万元，较上年增长5％。加上税收返还补助4054万元、一般性转移支付补助17000万元、共同事权转移支付预计44300万元、政府性基金预算调入30000万元、国有资本经营预算调入1500万元，上年结转745万元，扣除上解上级财政20000万元，当年可供本级安排的收入总量为298099万元。</w:t>
      </w:r>
    </w:p>
    <w:p>
      <w:pPr>
        <w:spacing w:line="580" w:lineRule="exact"/>
        <w:ind w:firstLine="643" w:firstLineChars="200"/>
        <w:rPr>
          <w:rFonts w:hint="eastAsia" w:ascii="仿宋_GB2312" w:eastAsia="仿宋_GB2312" w:cs="方正仿宋简体"/>
          <w:b/>
          <w:bCs/>
          <w:sz w:val="32"/>
          <w:szCs w:val="32"/>
        </w:rPr>
      </w:pPr>
      <w:r>
        <w:rPr>
          <w:rFonts w:hint="eastAsia" w:ascii="仿宋_GB2312" w:eastAsia="仿宋_GB2312" w:cs="方正仿宋简体"/>
          <w:b/>
          <w:bCs/>
          <w:sz w:val="32"/>
          <w:szCs w:val="32"/>
        </w:rPr>
        <w:t>2．一般公共预算支出情况</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一是人员支出。人员支出以2021年12月为基准期，按照人力资源社会保障部门核定的工资和津补贴标准测算汇总支出114684万元。</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二是公用支出。公用支出汇总11383万元。</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三是项目支出。项目支出汇总金额172032万元，其中本级安排126987万元，上年结转安排745万元，预计上级补助44300万元。</w:t>
      </w:r>
    </w:p>
    <w:p>
      <w:pPr>
        <w:spacing w:line="580" w:lineRule="exact"/>
        <w:ind w:firstLine="643" w:firstLineChars="200"/>
        <w:rPr>
          <w:rFonts w:hint="eastAsia" w:ascii="仿宋_GB2312" w:eastAsia="仿宋_GB2312" w:cs="方正仿宋简体"/>
          <w:b/>
          <w:bCs/>
          <w:sz w:val="32"/>
          <w:szCs w:val="32"/>
        </w:rPr>
      </w:pPr>
      <w:r>
        <w:rPr>
          <w:rFonts w:hint="eastAsia" w:ascii="仿宋_GB2312" w:eastAsia="仿宋_GB2312" w:cs="方正仿宋简体"/>
          <w:b/>
          <w:bCs/>
          <w:sz w:val="32"/>
          <w:szCs w:val="32"/>
        </w:rPr>
        <w:t>3．一般公共预算平衡情况</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2022年可供安排的一般公共预算收入总量为298099万元，支出总量为298099万元，实现平衡。</w:t>
      </w:r>
    </w:p>
    <w:p>
      <w:pPr>
        <w:spacing w:line="580" w:lineRule="exact"/>
        <w:ind w:firstLine="643" w:firstLineChars="200"/>
        <w:rPr>
          <w:rFonts w:hint="eastAsia" w:ascii="仿宋_GB2312" w:eastAsia="仿宋_GB2312" w:cs="方正仿宋简体"/>
          <w:b/>
          <w:bCs/>
          <w:sz w:val="32"/>
          <w:szCs w:val="32"/>
        </w:rPr>
      </w:pPr>
      <w:r>
        <w:rPr>
          <w:rFonts w:hint="eastAsia" w:ascii="仿宋_GB2312" w:eastAsia="仿宋_GB2312" w:cs="方正仿宋简体"/>
          <w:b/>
          <w:bCs/>
          <w:sz w:val="32"/>
          <w:szCs w:val="32"/>
        </w:rPr>
        <w:t>4．“三保”预算安排情况</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预计“三保”可用财力298099万元，“三保”支出标准算账需求为143452万元，其中：保工资需求66356万元，预算安排72636万元；保运转需求4120万元，预算安排5654万元；保基本民生需求72976万元，预算安排80805万元。</w:t>
      </w:r>
    </w:p>
    <w:p>
      <w:pPr>
        <w:spacing w:line="580" w:lineRule="exact"/>
        <w:ind w:firstLine="640" w:firstLineChars="200"/>
        <w:rPr>
          <w:rFonts w:hint="eastAsia" w:ascii="楷体_GB2312" w:eastAsia="楷体_GB2312" w:cs="方正楷体简体"/>
          <w:bCs/>
          <w:sz w:val="32"/>
          <w:szCs w:val="32"/>
        </w:rPr>
      </w:pPr>
      <w:r>
        <w:rPr>
          <w:rFonts w:hint="eastAsia" w:ascii="楷体_GB2312" w:eastAsia="楷体_GB2312" w:cs="方正楷体简体"/>
          <w:bCs/>
          <w:sz w:val="32"/>
          <w:szCs w:val="32"/>
        </w:rPr>
        <w:t>（二）政府性基金预算</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本级基金收入预算安排250000万元，其中：土地出让收入242000万元，城市基础设施配套费6000万元，污水处理费2000万元。上年结转1593万元，调入一般公共预算30000万元，当年可供安排的政府性基金收入为221593万元。按照收支平衡的原则，相应安排政府性基金预算支出221593万元。主要安排为全市工程款及征地拆迁款等经费43684万元、拆迁本金及过渡费30000万元、社保还款29600万元、社保预存款16000万元、专项债券本金5400万元、利息15097万元、交通建设工程经费11300万元、文旅发展资金（文旅兴市）5500万元、购买耕地占补平衡指标资金5000万元、煤矿关闭以奖代补资金4900万元、城乡建设用地增减挂钩试点项目资金3781万元、全市应急管理经费（含防灾、防疫、防火经费）3000万元、购房补贴3500万元、海天水务污水处理费2400万元、生活垃圾处理费2300万元、生态文明资金（生态立市）2000万元、产业发展资金（工业强市）2000万元等。</w:t>
      </w:r>
    </w:p>
    <w:p>
      <w:pPr>
        <w:spacing w:line="580" w:lineRule="exact"/>
        <w:ind w:firstLine="640" w:firstLineChars="200"/>
        <w:rPr>
          <w:rFonts w:hint="eastAsia" w:ascii="楷体_GB2312" w:eastAsia="楷体_GB2312" w:cs="方正楷体简体"/>
          <w:bCs/>
          <w:sz w:val="32"/>
          <w:szCs w:val="32"/>
        </w:rPr>
      </w:pPr>
      <w:r>
        <w:rPr>
          <w:rFonts w:hint="eastAsia" w:ascii="楷体_GB2312" w:eastAsia="楷体_GB2312" w:cs="方正楷体简体"/>
          <w:bCs/>
          <w:sz w:val="32"/>
          <w:szCs w:val="32"/>
        </w:rPr>
        <w:t>（三）国有资本经营预算</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2022年，我市国有资本经营收入预算为5000万元，与上年持平，加上上年结转1168万元，当年可安排的收入总量为6168万元。</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2022年国有资本经营预算安排支出6168万元，其中上年结转的1168万元对应安排解决历史遗留问题及改革成本支出，国有企业资本金注入3500万元，另1500万元拟调入一般公共预算统筹安排使用。</w:t>
      </w:r>
    </w:p>
    <w:p>
      <w:pPr>
        <w:spacing w:line="580" w:lineRule="exact"/>
        <w:ind w:firstLine="640" w:firstLineChars="200"/>
        <w:rPr>
          <w:rFonts w:hint="eastAsia" w:ascii="楷体_GB2312" w:eastAsia="楷体_GB2312" w:cs="方正楷体简体"/>
          <w:bCs/>
          <w:sz w:val="32"/>
          <w:szCs w:val="32"/>
        </w:rPr>
      </w:pPr>
      <w:r>
        <w:rPr>
          <w:rFonts w:hint="eastAsia" w:ascii="楷体_GB2312" w:eastAsia="楷体_GB2312" w:cs="方正楷体简体"/>
          <w:bCs/>
          <w:sz w:val="32"/>
          <w:szCs w:val="32"/>
        </w:rPr>
        <w:t>（四）社会保险基金预算</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2022年社保基金预算当年收入9869万元。其中：个人缴费收入3075万元，政府补贴收入5480万元，利息收入111万元，委托投资收益1193万元，转移收入10万元。加上上年结余25836万元，当年可安排的收入总量为35705万元。</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2022年社保基金预算安排支出6216万元，本年收支结余3653万元，年末滚存结余29489万元。</w:t>
      </w:r>
    </w:p>
    <w:p>
      <w:pPr>
        <w:spacing w:line="580" w:lineRule="exact"/>
        <w:ind w:firstLine="640" w:firstLineChars="200"/>
        <w:rPr>
          <w:rFonts w:hint="eastAsia" w:ascii="楷体_GB2312" w:eastAsia="楷体_GB2312" w:cs="方正楷体简体"/>
          <w:bCs/>
          <w:sz w:val="32"/>
          <w:szCs w:val="32"/>
        </w:rPr>
      </w:pPr>
      <w:r>
        <w:rPr>
          <w:rFonts w:hint="eastAsia" w:ascii="楷体_GB2312" w:eastAsia="楷体_GB2312" w:cs="方正楷体简体"/>
          <w:bCs/>
          <w:sz w:val="32"/>
          <w:szCs w:val="32"/>
        </w:rPr>
        <w:t>（五）2022年政府债务还本付息计划</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初政府债务余额789527万元，其中一般债务406127万元、专项债务383400万元。2022年政府债务还本付息支出162869万元，其中本金133050万元、利息29819万元。偿还资金来源为一般公共财政预算安排一般债务利息支出14722万元，政府性基金预算安排专项债务利息15097万元；一般债务本金71550万元、专项债务本金48150万元通过再融资债券方式偿还，一般公共财政预算安排一般债券本金支出7950万元，政府性基金预算安排专项债券本金支出5400万元。</w:t>
      </w:r>
    </w:p>
    <w:p>
      <w:pPr>
        <w:spacing w:line="580" w:lineRule="exact"/>
        <w:ind w:firstLine="640" w:firstLineChars="200"/>
        <w:rPr>
          <w:rFonts w:hint="eastAsia" w:ascii="黑体" w:hAnsi="黑体" w:eastAsia="黑体" w:cs="方正黑体简体"/>
          <w:bCs/>
          <w:sz w:val="32"/>
          <w:szCs w:val="32"/>
        </w:rPr>
      </w:pPr>
      <w:r>
        <w:rPr>
          <w:rFonts w:hint="eastAsia" w:ascii="黑体" w:hAnsi="黑体" w:eastAsia="黑体" w:cs="方正黑体简体"/>
          <w:bCs/>
          <w:sz w:val="32"/>
          <w:szCs w:val="32"/>
        </w:rPr>
        <w:t>二、2022年财政重点工作</w:t>
      </w:r>
    </w:p>
    <w:p>
      <w:pPr>
        <w:spacing w:line="580" w:lineRule="exact"/>
        <w:ind w:firstLine="640" w:firstLineChars="200"/>
        <w:rPr>
          <w:rFonts w:hint="eastAsia" w:ascii="仿宋_GB2312" w:eastAsia="仿宋_GB2312" w:cs="方正仿宋简体"/>
          <w:bCs/>
          <w:sz w:val="32"/>
          <w:szCs w:val="32"/>
        </w:rPr>
      </w:pPr>
      <w:r>
        <w:rPr>
          <w:rFonts w:hint="eastAsia" w:ascii="楷体_GB2312" w:eastAsia="楷体_GB2312" w:cs="方正楷体简体"/>
          <w:bCs/>
          <w:sz w:val="32"/>
          <w:szCs w:val="32"/>
        </w:rPr>
        <w:t>（一）加强财源培植，夯实财政增收基础。</w:t>
      </w:r>
      <w:r>
        <w:rPr>
          <w:rFonts w:hint="eastAsia" w:ascii="仿宋_GB2312" w:eastAsia="仿宋_GB2312" w:cs="方正仿宋简体"/>
          <w:bCs/>
          <w:sz w:val="32"/>
          <w:szCs w:val="32"/>
        </w:rPr>
        <w:t>把财源建设作为促进财政可持续发展的重要基础，加大扶持力度，做大财政“蛋糕”一是加强税源建设。充分发挥财政政策和资金导向作用，加大工业园区、重点企业和重点项目支持力度，提升财政经济发展动力，着力培植财源，推动县域经济发展。二是加大争资力度。加强各相关单位工作协调，做好各类项目的对接和申报工作，力争上级资金达20亿元以上，支持地方经济发展。三是做实基金收入。整合土地资源，加大土地出让力度，确保实现既定土地出让收入。四是狠抓非税收入。研究出台与收入相适应的激励约束机制，对非税收入执行部门依法征收工作奖勤罚懒。</w:t>
      </w:r>
    </w:p>
    <w:p>
      <w:pPr>
        <w:spacing w:line="580" w:lineRule="exact"/>
        <w:ind w:firstLine="640" w:firstLineChars="200"/>
        <w:rPr>
          <w:rFonts w:hint="eastAsia" w:ascii="仿宋_GB2312" w:eastAsia="仿宋_GB2312" w:cs="方正仿宋简体"/>
          <w:bCs/>
          <w:sz w:val="32"/>
          <w:szCs w:val="32"/>
        </w:rPr>
      </w:pPr>
      <w:r>
        <w:rPr>
          <w:rFonts w:hint="eastAsia" w:ascii="楷体_GB2312" w:eastAsia="楷体_GB2312" w:cs="方正楷体简体"/>
          <w:bCs/>
          <w:sz w:val="32"/>
          <w:szCs w:val="32"/>
        </w:rPr>
        <w:t>（二）严控支出关口，兜住“三保”底线。</w:t>
      </w:r>
      <w:r>
        <w:rPr>
          <w:rFonts w:hint="eastAsia" w:ascii="仿宋_GB2312" w:eastAsia="仿宋_GB2312" w:cs="方正仿宋简体"/>
          <w:bCs/>
          <w:sz w:val="32"/>
          <w:szCs w:val="32"/>
        </w:rPr>
        <w:t>严格落实过“紧日子”要求，大力压减一般性支出，从严控制“三公”经费，厉行节约办一切事业。牢牢将“三保”支出控制在预算盘子内，按中央、省保障标准将“三保”支出足额列入财政预算，兜实兜牢“三保”支出底线。一是压减日常开支。认真贯彻中央、国务院规定，牢固树立过“紧日子”思想，厉行节约反对浪费，“三公”经费只减不增，一般性支出和非急需、非刚性支出进一步压减。二是严控预算安排。继续坚持“先有预算后有支出”，无预算、超预算原则上不得安排支出，督促整改预算执行中的绩效低下的项目，一律削减或取消把关不严、低效无效的资金。三是严格财务管理。健全完善内部财务管理制度，定期或不定期开展检查审计，提高财务管理水平，堵塞制度漏洞，确保收支平衡，严防管理风险。</w:t>
      </w:r>
    </w:p>
    <w:p>
      <w:pPr>
        <w:spacing w:line="580" w:lineRule="exact"/>
        <w:ind w:firstLine="640" w:firstLineChars="200"/>
        <w:rPr>
          <w:rFonts w:hint="eastAsia" w:ascii="仿宋_GB2312" w:eastAsia="仿宋_GB2312" w:cs="方正仿宋简体"/>
          <w:bCs/>
          <w:sz w:val="32"/>
          <w:szCs w:val="32"/>
        </w:rPr>
      </w:pPr>
      <w:r>
        <w:rPr>
          <w:rFonts w:hint="eastAsia" w:ascii="楷体_GB2312" w:eastAsia="楷体_GB2312" w:cs="方正楷体简体"/>
          <w:bCs/>
          <w:sz w:val="32"/>
          <w:szCs w:val="32"/>
        </w:rPr>
        <w:t>（三）深化财政改革，完善财政运行机制。</w:t>
      </w:r>
      <w:r>
        <w:rPr>
          <w:rFonts w:hint="eastAsia" w:ascii="仿宋_GB2312" w:eastAsia="仿宋_GB2312" w:cs="方正仿宋简体"/>
          <w:bCs/>
          <w:sz w:val="32"/>
          <w:szCs w:val="32"/>
        </w:rPr>
        <w:t>落实《峨眉山市2022年预算编制工作方案》，严格部门项目预算编制，全面剥离项目中的运转类经费，集中财力保障市委、市政府重点项目支出；加快推进乡镇（街道）财政管理体制改革，建立公用经费激励制度。全面推进预算管理一体化建设，加强部门预算管理，强化预决算信息公开，提高预算管理规范化、科学化、标准化水平。细化政府采购预算编制，确保与年度预算相衔接。优化国库集中收付管理，实行全流程电子支付，提升财政资金支付效率。严控债务增量，化解存量债务，严格落实政府债务限额管理，牢牢守住不发生区域性、系统性债务风险底线。严格落实《开源节流二十三条措施》，进一步增收节支，确保财政平稳运行，不发生系统性风险，保障我市经济社会稳步发展。</w:t>
      </w:r>
    </w:p>
    <w:p>
      <w:pPr>
        <w:spacing w:line="580" w:lineRule="exact"/>
        <w:ind w:firstLine="640" w:firstLineChars="200"/>
        <w:rPr>
          <w:rFonts w:hint="eastAsia" w:ascii="仿宋_GB2312" w:eastAsia="仿宋_GB2312" w:cs="方正仿宋简体"/>
          <w:bCs/>
          <w:sz w:val="32"/>
          <w:szCs w:val="32"/>
        </w:rPr>
      </w:pPr>
      <w:r>
        <w:rPr>
          <w:rFonts w:hint="eastAsia" w:ascii="楷体_GB2312" w:eastAsia="楷体_GB2312" w:cs="方正楷体简体"/>
          <w:bCs/>
          <w:sz w:val="32"/>
          <w:szCs w:val="32"/>
        </w:rPr>
        <w:t>（四）加强监督检查，促进财政规范运行。</w:t>
      </w:r>
      <w:r>
        <w:rPr>
          <w:rFonts w:hint="eastAsia" w:ascii="仿宋_GB2312" w:eastAsia="仿宋_GB2312" w:cs="方正仿宋简体"/>
          <w:bCs/>
          <w:sz w:val="32"/>
          <w:szCs w:val="32"/>
        </w:rPr>
        <w:t>推动预算绩效管理提质增效，将绩效管理实质性嵌入预算管理全过程，建立健全绩效目标管理、监控、评价、结果运用等制度，将绩效评价结果与完善政策、调整预算安排有机衔接，坚决削减低效、无效支出。强化直达资金从资金源头到使用末端的全过程、全链条、全方位监管，提高资金使用的有效性和精准性。强化预算执行刚性约束，定期清理盘活财政存量资金，提高财政资金使用效益。严格公务卡、预算单位银行账户监管，加强会计信息质量、政府采购、国有资产等监督检查，强化财务人员教育培训，进一步严肃财经纪律，规范财政运行秩序。</w:t>
      </w:r>
    </w:p>
    <w:p>
      <w:pPr>
        <w:spacing w:line="580" w:lineRule="exact"/>
        <w:ind w:firstLine="640" w:firstLineChars="200"/>
        <w:rPr>
          <w:rFonts w:hint="eastAsia" w:ascii="仿宋_GB2312" w:eastAsia="仿宋_GB2312" w:cs="方正仿宋简体"/>
          <w:bCs/>
          <w:sz w:val="32"/>
          <w:szCs w:val="32"/>
        </w:rPr>
      </w:pPr>
      <w:r>
        <w:rPr>
          <w:rFonts w:hint="eastAsia" w:ascii="楷体_GB2312" w:eastAsia="楷体_GB2312" w:cs="方正楷体简体"/>
          <w:bCs/>
          <w:sz w:val="32"/>
          <w:szCs w:val="32"/>
        </w:rPr>
        <w:t>（五）主动接受监督，推进财政法治建设常态化。</w:t>
      </w:r>
      <w:r>
        <w:rPr>
          <w:rFonts w:hint="eastAsia" w:ascii="仿宋_GB2312" w:eastAsia="仿宋_GB2312" w:cs="方正仿宋简体"/>
          <w:bCs/>
          <w:sz w:val="32"/>
          <w:szCs w:val="32"/>
        </w:rPr>
        <w:t>认真落实《预算法》《预算法实施条例》，加快推进法治财政建设。广泛听取、积极采纳各方意见建议，依法报告决算、预算调整情况，贯彻落实各级巡视巡查及审计监督相关要求，深入推进预决算、政府债务等信息公开，督导各部门切实落实主体责任，主动接受社会监督。</w:t>
      </w:r>
    </w:p>
    <w:p>
      <w:pPr>
        <w:spacing w:line="580" w:lineRule="exact"/>
        <w:ind w:firstLine="640" w:firstLineChars="200"/>
        <w:rPr>
          <w:rFonts w:hint="eastAsia" w:ascii="仿宋_GB2312" w:eastAsia="仿宋_GB2312" w:cs="方正仿宋简体"/>
          <w:bCs/>
          <w:sz w:val="32"/>
          <w:szCs w:val="32"/>
        </w:rPr>
      </w:pPr>
      <w:r>
        <w:rPr>
          <w:rFonts w:hint="eastAsia" w:ascii="仿宋_GB2312" w:eastAsia="仿宋_GB2312" w:cs="方正仿宋简体"/>
          <w:bCs/>
          <w:sz w:val="32"/>
          <w:szCs w:val="32"/>
        </w:rPr>
        <w:t>2022年，我们将在党的十九大和十九届历次全会精神指引下，认真贯彻落实市委的各项决策部署，以更开阔的思路、更昂扬的精神、更得力的措施，改革创新、真抓实干，确保2022年财政收支预算任务的全面完成，为全市经济和社会事业的科学发展做出新的贡献。</w:t>
      </w:r>
    </w:p>
    <w:p>
      <w:pPr>
        <w:spacing w:line="580" w:lineRule="exact"/>
        <w:ind w:firstLine="640" w:firstLineChars="200"/>
        <w:rPr>
          <w:rFonts w:hint="eastAsia" w:ascii="仿宋_GB2312" w:eastAsia="仿宋_GB2312" w:cs="方正仿宋简体"/>
          <w:bCs/>
          <w:sz w:val="32"/>
          <w:szCs w:val="32"/>
        </w:rPr>
      </w:pPr>
    </w:p>
    <w:p>
      <w:pPr>
        <w:pStyle w:val="4"/>
        <w:spacing w:after="0" w:line="580" w:lineRule="exact"/>
        <w:rPr>
          <w:rFonts w:ascii="仿宋_GB2312" w:hAnsi="仿宋_GB2312" w:eastAsia="仿宋_GB2312" w:cs="仿宋_GB2312"/>
          <w:bCs/>
          <w:sz w:val="32"/>
          <w:szCs w:val="32"/>
        </w:rPr>
      </w:pPr>
    </w:p>
    <w:p>
      <w:pPr>
        <w:pStyle w:val="4"/>
        <w:spacing w:after="0" w:line="580" w:lineRule="exact"/>
        <w:rPr>
          <w:rFonts w:ascii="仿宋_GB2312" w:hAnsi="仿宋_GB2312" w:eastAsia="仿宋_GB2312" w:cs="仿宋_GB2312"/>
          <w:bCs/>
          <w:sz w:val="32"/>
          <w:szCs w:val="32"/>
        </w:rPr>
      </w:pPr>
    </w:p>
    <w:p>
      <w:pPr>
        <w:pStyle w:val="4"/>
        <w:spacing w:after="0" w:line="580" w:lineRule="exact"/>
        <w:rPr>
          <w:rFonts w:ascii="仿宋_GB2312" w:hAnsi="仿宋_GB2312" w:eastAsia="仿宋_GB2312" w:cs="仿宋_GB2312"/>
          <w:bCs/>
          <w:sz w:val="32"/>
          <w:szCs w:val="32"/>
        </w:rPr>
      </w:pPr>
    </w:p>
    <w:p>
      <w:pPr>
        <w:pStyle w:val="4"/>
        <w:spacing w:after="0" w:line="580" w:lineRule="exact"/>
        <w:rPr>
          <w:rFonts w:ascii="仿宋_GB2312" w:hAnsi="仿宋_GB2312" w:eastAsia="仿宋_GB2312" w:cs="仿宋_GB2312"/>
          <w:bCs/>
          <w:sz w:val="32"/>
          <w:szCs w:val="32"/>
        </w:rPr>
      </w:pPr>
    </w:p>
    <w:p>
      <w:pPr>
        <w:pStyle w:val="4"/>
        <w:spacing w:after="0" w:line="580" w:lineRule="exact"/>
        <w:rPr>
          <w:rFonts w:ascii="仿宋_GB2312" w:hAnsi="仿宋_GB2312" w:eastAsia="仿宋_GB2312" w:cs="仿宋_GB2312"/>
          <w:bCs/>
          <w:sz w:val="32"/>
          <w:szCs w:val="32"/>
        </w:rPr>
      </w:pPr>
    </w:p>
    <w:p>
      <w:pPr>
        <w:pStyle w:val="4"/>
        <w:spacing w:after="0" w:line="580" w:lineRule="exact"/>
        <w:rPr>
          <w:rFonts w:ascii="仿宋_GB2312" w:hAnsi="仿宋_GB2312" w:eastAsia="仿宋_GB2312" w:cs="仿宋_GB2312"/>
          <w:bCs/>
          <w:sz w:val="32"/>
          <w:szCs w:val="32"/>
        </w:rPr>
      </w:pPr>
    </w:p>
    <w:p>
      <w:pPr>
        <w:pStyle w:val="4"/>
        <w:spacing w:after="0" w:line="580" w:lineRule="exact"/>
        <w:rPr>
          <w:rFonts w:ascii="仿宋_GB2312" w:hAnsi="仿宋_GB2312" w:eastAsia="仿宋_GB2312" w:cs="仿宋_GB2312"/>
          <w:bCs/>
          <w:sz w:val="32"/>
          <w:szCs w:val="32"/>
        </w:rPr>
      </w:pPr>
    </w:p>
    <w:p>
      <w:pPr>
        <w:pStyle w:val="4"/>
        <w:spacing w:after="0" w:line="580" w:lineRule="exact"/>
        <w:rPr>
          <w:rFonts w:ascii="仿宋_GB2312" w:hAnsi="仿宋_GB2312" w:eastAsia="仿宋_GB2312" w:cs="仿宋_GB2312"/>
          <w:bCs/>
          <w:sz w:val="32"/>
          <w:szCs w:val="32"/>
        </w:rPr>
      </w:pPr>
    </w:p>
    <w:p>
      <w:pPr>
        <w:pStyle w:val="4"/>
        <w:spacing w:after="0" w:line="580" w:lineRule="exact"/>
        <w:rPr>
          <w:rFonts w:ascii="仿宋_GB2312" w:hAnsi="仿宋_GB2312" w:eastAsia="仿宋_GB2312" w:cs="仿宋_GB2312"/>
          <w:bCs/>
          <w:sz w:val="32"/>
          <w:szCs w:val="32"/>
        </w:rPr>
      </w:pPr>
    </w:p>
    <w:p>
      <w:pPr>
        <w:pStyle w:val="4"/>
        <w:spacing w:after="0" w:line="580" w:lineRule="exact"/>
        <w:rPr>
          <w:rFonts w:ascii="仿宋_GB2312" w:hAnsi="仿宋_GB2312" w:eastAsia="仿宋_GB2312" w:cs="仿宋_GB2312"/>
          <w:bCs/>
          <w:sz w:val="32"/>
          <w:szCs w:val="32"/>
        </w:rPr>
      </w:pPr>
    </w:p>
    <w:p>
      <w:pPr>
        <w:pStyle w:val="4"/>
        <w:spacing w:after="0" w:line="580" w:lineRule="exact"/>
        <w:rPr>
          <w:rFonts w:ascii="仿宋_GB2312" w:hAnsi="仿宋_GB2312" w:eastAsia="仿宋_GB2312" w:cs="仿宋_GB2312"/>
          <w:bCs/>
          <w:sz w:val="32"/>
          <w:szCs w:val="32"/>
        </w:rPr>
      </w:pPr>
    </w:p>
    <w:p>
      <w:pPr>
        <w:pStyle w:val="4"/>
        <w:spacing w:before="240" w:after="0" w:line="580" w:lineRule="exact"/>
        <w:rPr>
          <w:rFonts w:ascii="仿宋_GB2312" w:hAnsi="仿宋_GB2312" w:eastAsia="仿宋_GB2312" w:cs="仿宋_GB2312"/>
          <w:bCs/>
          <w:sz w:val="32"/>
          <w:szCs w:val="32"/>
        </w:rPr>
      </w:pPr>
    </w:p>
    <w:p>
      <w:pPr>
        <w:pStyle w:val="3"/>
        <w:spacing w:before="120"/>
        <w:rPr>
          <w:rFonts w:hint="eastAsia"/>
        </w:rPr>
      </w:pPr>
    </w:p>
    <w:p>
      <w:pPr>
        <w:pStyle w:val="3"/>
        <w:spacing w:before="240"/>
      </w:pPr>
    </w:p>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115</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20" w:firstLineChars="15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116</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EA"/>
    <w:rsid w:val="00002CC3"/>
    <w:rsid w:val="00023895"/>
    <w:rsid w:val="00080C22"/>
    <w:rsid w:val="001175EA"/>
    <w:rsid w:val="001713C7"/>
    <w:rsid w:val="003076FE"/>
    <w:rsid w:val="00416EF2"/>
    <w:rsid w:val="00496EFB"/>
    <w:rsid w:val="00672FC3"/>
    <w:rsid w:val="00680ACD"/>
    <w:rsid w:val="00700D85"/>
    <w:rsid w:val="00740BD4"/>
    <w:rsid w:val="00744256"/>
    <w:rsid w:val="007A374D"/>
    <w:rsid w:val="007C09D8"/>
    <w:rsid w:val="007C3821"/>
    <w:rsid w:val="00812829"/>
    <w:rsid w:val="00843C7E"/>
    <w:rsid w:val="008F6C59"/>
    <w:rsid w:val="0092358C"/>
    <w:rsid w:val="00973687"/>
    <w:rsid w:val="009B4F4A"/>
    <w:rsid w:val="00A40506"/>
    <w:rsid w:val="00A81AF0"/>
    <w:rsid w:val="00B71F95"/>
    <w:rsid w:val="00BF3459"/>
    <w:rsid w:val="00C2786B"/>
    <w:rsid w:val="00CA080D"/>
    <w:rsid w:val="00CB016B"/>
    <w:rsid w:val="00CC34B9"/>
    <w:rsid w:val="00E31803"/>
    <w:rsid w:val="00E85290"/>
    <w:rsid w:val="00F261D8"/>
    <w:rsid w:val="00FA5B72"/>
    <w:rsid w:val="01370E28"/>
    <w:rsid w:val="018804F1"/>
    <w:rsid w:val="01CA1AC4"/>
    <w:rsid w:val="01E90BDA"/>
    <w:rsid w:val="01FD1EF0"/>
    <w:rsid w:val="036B0543"/>
    <w:rsid w:val="05631D4F"/>
    <w:rsid w:val="0596107F"/>
    <w:rsid w:val="05E252D4"/>
    <w:rsid w:val="06220082"/>
    <w:rsid w:val="08AB641D"/>
    <w:rsid w:val="08EE303E"/>
    <w:rsid w:val="0B47748B"/>
    <w:rsid w:val="0B5A1145"/>
    <w:rsid w:val="0D9B6A26"/>
    <w:rsid w:val="0DA52BF9"/>
    <w:rsid w:val="0F0324FD"/>
    <w:rsid w:val="0F2E7772"/>
    <w:rsid w:val="11A732B3"/>
    <w:rsid w:val="123E6927"/>
    <w:rsid w:val="13A57862"/>
    <w:rsid w:val="153D0DF0"/>
    <w:rsid w:val="17BD42A3"/>
    <w:rsid w:val="187B2BB4"/>
    <w:rsid w:val="1BA3204D"/>
    <w:rsid w:val="1C3934CA"/>
    <w:rsid w:val="1C683027"/>
    <w:rsid w:val="1CB16AB5"/>
    <w:rsid w:val="1D5709AB"/>
    <w:rsid w:val="1D66772A"/>
    <w:rsid w:val="1DF9205B"/>
    <w:rsid w:val="1EEC2943"/>
    <w:rsid w:val="1F4A57B7"/>
    <w:rsid w:val="1FCE1D33"/>
    <w:rsid w:val="208E1368"/>
    <w:rsid w:val="214A73AA"/>
    <w:rsid w:val="23A35115"/>
    <w:rsid w:val="24481E64"/>
    <w:rsid w:val="247E0D96"/>
    <w:rsid w:val="24D62ADD"/>
    <w:rsid w:val="2520275F"/>
    <w:rsid w:val="2818597F"/>
    <w:rsid w:val="285C37C0"/>
    <w:rsid w:val="295E1688"/>
    <w:rsid w:val="2A9A3086"/>
    <w:rsid w:val="2ADC5C79"/>
    <w:rsid w:val="2DC57FF1"/>
    <w:rsid w:val="2E9D0380"/>
    <w:rsid w:val="2ED0634D"/>
    <w:rsid w:val="306C09CE"/>
    <w:rsid w:val="32361A7A"/>
    <w:rsid w:val="346E6EF3"/>
    <w:rsid w:val="356212A8"/>
    <w:rsid w:val="37626ABE"/>
    <w:rsid w:val="37A8502F"/>
    <w:rsid w:val="38F47181"/>
    <w:rsid w:val="3921789A"/>
    <w:rsid w:val="39DA73C6"/>
    <w:rsid w:val="3ADE7819"/>
    <w:rsid w:val="3C593A91"/>
    <w:rsid w:val="3F5D2110"/>
    <w:rsid w:val="435B09FD"/>
    <w:rsid w:val="478E7FCE"/>
    <w:rsid w:val="481D33EC"/>
    <w:rsid w:val="48252D38"/>
    <w:rsid w:val="488F0913"/>
    <w:rsid w:val="497741A8"/>
    <w:rsid w:val="4A106200"/>
    <w:rsid w:val="4B4D0320"/>
    <w:rsid w:val="4E8312E6"/>
    <w:rsid w:val="511A2D93"/>
    <w:rsid w:val="51E46E73"/>
    <w:rsid w:val="546F7EF3"/>
    <w:rsid w:val="552D2B52"/>
    <w:rsid w:val="56934E0E"/>
    <w:rsid w:val="57C33C46"/>
    <w:rsid w:val="57FB6BF9"/>
    <w:rsid w:val="58256A02"/>
    <w:rsid w:val="58817228"/>
    <w:rsid w:val="59070C34"/>
    <w:rsid w:val="592F0A33"/>
    <w:rsid w:val="5C0E6657"/>
    <w:rsid w:val="5C24677C"/>
    <w:rsid w:val="5D0A5AA8"/>
    <w:rsid w:val="5DCE3613"/>
    <w:rsid w:val="5E59618C"/>
    <w:rsid w:val="5E890D07"/>
    <w:rsid w:val="5F511467"/>
    <w:rsid w:val="60F5011A"/>
    <w:rsid w:val="62407F30"/>
    <w:rsid w:val="62FB3699"/>
    <w:rsid w:val="632C14DB"/>
    <w:rsid w:val="63800B33"/>
    <w:rsid w:val="6570077A"/>
    <w:rsid w:val="66DF1648"/>
    <w:rsid w:val="6708532D"/>
    <w:rsid w:val="6765164A"/>
    <w:rsid w:val="68B9371A"/>
    <w:rsid w:val="69A9596F"/>
    <w:rsid w:val="6A7D6B31"/>
    <w:rsid w:val="6A837893"/>
    <w:rsid w:val="6BE2747D"/>
    <w:rsid w:val="6D8052FB"/>
    <w:rsid w:val="6DC41CA2"/>
    <w:rsid w:val="6E823BF8"/>
    <w:rsid w:val="70591C11"/>
    <w:rsid w:val="70851DF7"/>
    <w:rsid w:val="712C185B"/>
    <w:rsid w:val="728E0F20"/>
    <w:rsid w:val="74AB1530"/>
    <w:rsid w:val="7810657A"/>
    <w:rsid w:val="78C97D9E"/>
    <w:rsid w:val="78CA6590"/>
    <w:rsid w:val="798F166F"/>
    <w:rsid w:val="7A377E74"/>
    <w:rsid w:val="7ABB7049"/>
    <w:rsid w:val="7B255769"/>
    <w:rsid w:val="7C485B2F"/>
    <w:rsid w:val="7C893E2E"/>
    <w:rsid w:val="7D413CF9"/>
    <w:rsid w:val="7E72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jc w:val="center"/>
    </w:pPr>
    <w:rPr>
      <w:rFonts w:eastAsia="黑体"/>
      <w:sz w:val="30"/>
    </w:rPr>
  </w:style>
  <w:style w:type="paragraph" w:styleId="3">
    <w:name w:val="Normal Indent"/>
    <w:basedOn w:val="1"/>
    <w:unhideWhenUsed/>
    <w:qFormat/>
    <w:uiPriority w:val="0"/>
    <w:pPr>
      <w:suppressAutoHyphens/>
      <w:ind w:firstLine="420" w:firstLineChars="200"/>
    </w:pPr>
    <w:rPr>
      <w:rFonts w:ascii="Calibri" w:hAnsi="Calibri"/>
      <w:szCs w:val="22"/>
    </w:rPr>
  </w:style>
  <w:style w:type="paragraph" w:styleId="4">
    <w:name w:val="Body Text"/>
    <w:basedOn w:val="1"/>
    <w:unhideWhenUsed/>
    <w:qFormat/>
    <w:uiPriority w:val="99"/>
    <w:pPr>
      <w:spacing w:beforeLines="0" w:after="120" w:afterLines="0"/>
    </w:pPr>
    <w:rPr>
      <w:rFonts w:hint="eastAsia"/>
      <w:sz w:val="21"/>
    </w:r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脚 Char"/>
    <w:basedOn w:val="10"/>
    <w:link w:val="6"/>
    <w:qFormat/>
    <w:uiPriority w:val="99"/>
    <w:rPr>
      <w:sz w:val="18"/>
      <w:szCs w:val="18"/>
    </w:rPr>
  </w:style>
  <w:style w:type="character" w:customStyle="1" w:styleId="12">
    <w:name w:val="页眉 Char"/>
    <w:basedOn w:val="10"/>
    <w:link w:val="7"/>
    <w:qFormat/>
    <w:uiPriority w:val="99"/>
    <w:rPr>
      <w:sz w:val="18"/>
      <w:szCs w:val="18"/>
    </w:rPr>
  </w:style>
  <w:style w:type="paragraph" w:styleId="13">
    <w:name w:val="No Spacing"/>
    <w:link w:val="14"/>
    <w:qFormat/>
    <w:uiPriority w:val="99"/>
    <w:rPr>
      <w:rFonts w:ascii="Calibri" w:hAnsi="Calibri" w:eastAsia="宋体" w:cs="Times New Roman"/>
      <w:sz w:val="22"/>
      <w:szCs w:val="22"/>
      <w:lang w:val="en-US" w:eastAsia="zh-CN" w:bidi="ar-SA"/>
    </w:rPr>
  </w:style>
  <w:style w:type="character" w:customStyle="1" w:styleId="14">
    <w:name w:val="无间隔 Char"/>
    <w:basedOn w:val="10"/>
    <w:link w:val="13"/>
    <w:qFormat/>
    <w:locked/>
    <w:uiPriority w:val="99"/>
    <w:rPr>
      <w:rFonts w:ascii="Calibri" w:hAnsi="Calibri" w:eastAsia="宋体" w:cs="Times New Roman"/>
      <w:sz w:val="22"/>
      <w:szCs w:val="22"/>
    </w:rPr>
  </w:style>
  <w:style w:type="character" w:customStyle="1" w:styleId="15">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116</Pages>
  <Words>15534</Words>
  <Characters>88544</Characters>
  <Lines>737</Lines>
  <Paragraphs>207</Paragraphs>
  <TotalTime>3</TotalTime>
  <ScaleCrop>false</ScaleCrop>
  <LinksUpToDate>false</LinksUpToDate>
  <CharactersWithSpaces>103871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2021-01-03T08:58:00Z</dcterms:created>
  <dc:creator>微软用户</dc:creator>
  <cp:lastModifiedBy> 救世主 ！</cp:lastModifiedBy>
  <cp:lastPrinted>2020-12-30T09:40:00Z</cp:lastPrinted>
  <dcterms:modified xsi:type="dcterms:W3CDTF">2022-04-13T09:12:23Z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