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000000"/>
          <w:sz w:val="30"/>
          <w:szCs w:val="30"/>
        </w:rPr>
      </w:pPr>
      <w:bookmarkStart w:id="0" w:name="_Toc15306267"/>
      <w:r>
        <w:rPr>
          <w:rFonts w:hint="eastAsia" w:ascii="方正小标宋简体" w:hAnsi="宋体" w:eastAsia="方正小标宋简体"/>
          <w:color w:val="000000"/>
          <w:sz w:val="30"/>
          <w:szCs w:val="30"/>
        </w:rPr>
        <w:t>附件</w:t>
      </w:r>
      <w:r>
        <w:rPr>
          <w:rFonts w:ascii="方正小标宋简体" w:hAnsi="宋体" w:eastAsia="方正小标宋简体"/>
          <w:color w:val="000000"/>
          <w:sz w:val="30"/>
          <w:szCs w:val="30"/>
        </w:rPr>
        <w:t>3</w:t>
      </w: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8441"/>
      <w:bookmarkStart w:id="3" w:name="_Toc15377193"/>
      <w:bookmarkStart w:id="4" w:name="_Toc15377425"/>
      <w:bookmarkStart w:id="5" w:name="_Toc15396475"/>
      <w:r>
        <w:rPr>
          <w:rFonts w:ascii="黑体" w:hAnsi="黑体" w:eastAsia="黑体"/>
          <w:color w:val="000000"/>
          <w:sz w:val="72"/>
          <w:szCs w:val="72"/>
        </w:rPr>
        <w:t>2020</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77194"/>
      <w:bookmarkStart w:id="7" w:name="_Toc15377426"/>
      <w:bookmarkStart w:id="8" w:name="_Toc15396476"/>
      <w:bookmarkStart w:id="9" w:name="_Toc15378442"/>
      <w:bookmarkStart w:id="10" w:name="_Toc15396598"/>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乐山市峨眉山市军队离退休干部干休所</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p>
    <w:p>
      <w:pPr>
        <w:pStyle w:val="11"/>
      </w:pPr>
      <w:r>
        <w:rPr>
          <w:rFonts w:hint="eastAsia"/>
        </w:rPr>
        <w:t>公开时间：</w:t>
      </w:r>
      <w:r>
        <w:t>2021</w:t>
      </w:r>
      <w:r>
        <w:rPr>
          <w:rFonts w:hint="eastAsia"/>
        </w:rPr>
        <w:t xml:space="preserve">年 </w:t>
      </w:r>
      <w:r>
        <w:rPr>
          <w:rFonts w:hint="eastAsia"/>
          <w:lang w:val="en-US" w:eastAsia="zh-CN"/>
        </w:rPr>
        <w:t>10</w:t>
      </w:r>
      <w:r>
        <w:rPr>
          <w:rFonts w:hint="eastAsia"/>
        </w:rPr>
        <w:t>月</w:t>
      </w:r>
      <w:r>
        <w:rPr>
          <w:rFonts w:hint="eastAsia"/>
          <w:lang w:val="en-US" w:eastAsia="zh-CN"/>
        </w:rPr>
        <w:t>22</w:t>
      </w:r>
      <w:r>
        <w:rPr>
          <w:rFonts w:hint="eastAsia"/>
        </w:rPr>
        <w:t xml:space="preserve"> 日</w:t>
      </w:r>
    </w:p>
    <w:p/>
    <w:p>
      <w:pPr>
        <w:pStyle w:val="11"/>
        <w:adjustRightInd w:val="0"/>
        <w:snapToGrid w:val="0"/>
        <w:spacing w:before="0" w:line="440" w:lineRule="exact"/>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第一部分 部门概况</w:t>
      </w:r>
    </w:p>
    <w:p>
      <w:pPr>
        <w:pStyle w:val="12"/>
        <w:adjustRightInd w:val="0"/>
        <w:snapToGrid w:val="0"/>
        <w:spacing w:line="440" w:lineRule="exact"/>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一、基本职能及主要工作</w:t>
      </w:r>
    </w:p>
    <w:p>
      <w:pPr>
        <w:pStyle w:val="12"/>
        <w:adjustRightInd w:val="0"/>
        <w:snapToGrid w:val="0"/>
        <w:spacing w:line="440" w:lineRule="exact"/>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二、机构设置</w:t>
      </w:r>
    </w:p>
    <w:p>
      <w:pPr>
        <w:pStyle w:val="11"/>
        <w:adjustRightInd w:val="0"/>
        <w:snapToGrid w:val="0"/>
        <w:spacing w:before="0" w:line="440" w:lineRule="exact"/>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第二部分度部门决算情况说明</w:t>
      </w:r>
    </w:p>
    <w:p>
      <w:pPr>
        <w:pStyle w:val="12"/>
        <w:adjustRightInd w:val="0"/>
        <w:snapToGrid w:val="0"/>
        <w:spacing w:line="440" w:lineRule="exact"/>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一、收入支出决算总体情况说明</w:t>
      </w:r>
    </w:p>
    <w:p>
      <w:pPr>
        <w:pStyle w:val="12"/>
        <w:adjustRightInd w:val="0"/>
        <w:snapToGrid w:val="0"/>
        <w:spacing w:line="440" w:lineRule="exact"/>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二、收入决算情况说明</w:t>
      </w:r>
    </w:p>
    <w:p>
      <w:pPr>
        <w:pStyle w:val="12"/>
        <w:adjustRightInd w:val="0"/>
        <w:snapToGrid w:val="0"/>
        <w:spacing w:line="440" w:lineRule="exact"/>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三、支出决算情况说明</w:t>
      </w:r>
    </w:p>
    <w:p>
      <w:pPr>
        <w:pStyle w:val="12"/>
        <w:adjustRightInd w:val="0"/>
        <w:snapToGrid w:val="0"/>
        <w:spacing w:line="440" w:lineRule="exact"/>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四、财政拨款收入支出决算总体情况说明</w:t>
      </w:r>
    </w:p>
    <w:p>
      <w:pPr>
        <w:pStyle w:val="12"/>
        <w:adjustRightInd w:val="0"/>
        <w:snapToGrid w:val="0"/>
        <w:spacing w:line="440" w:lineRule="exact"/>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五、一般公共预算财政拨款支出决算情况说明</w:t>
      </w:r>
    </w:p>
    <w:p>
      <w:pPr>
        <w:pStyle w:val="12"/>
        <w:adjustRightInd w:val="0"/>
        <w:snapToGrid w:val="0"/>
        <w:spacing w:line="440" w:lineRule="exact"/>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六、一般公共预算财政拨款基本支出决算情况说明</w:t>
      </w:r>
    </w:p>
    <w:p>
      <w:pPr>
        <w:pStyle w:val="12"/>
        <w:adjustRightInd w:val="0"/>
        <w:snapToGrid w:val="0"/>
        <w:spacing w:line="440" w:lineRule="exact"/>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七、“三公”经费财政拨款支出决算情况说明</w:t>
      </w:r>
    </w:p>
    <w:p>
      <w:pPr>
        <w:pStyle w:val="12"/>
        <w:adjustRightInd w:val="0"/>
        <w:snapToGrid w:val="0"/>
        <w:spacing w:line="440" w:lineRule="exact"/>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八、政府性基金预算支出决算情况说明</w:t>
      </w:r>
    </w:p>
    <w:p>
      <w:pPr>
        <w:pStyle w:val="12"/>
        <w:adjustRightInd w:val="0"/>
        <w:snapToGrid w:val="0"/>
        <w:spacing w:line="440" w:lineRule="exact"/>
        <w:ind w:leftChars="0"/>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九、 国有资本经营预算支出决算情况说明</w:t>
      </w:r>
    </w:p>
    <w:p>
      <w:pPr>
        <w:adjustRightInd w:val="0"/>
        <w:snapToGrid w:val="0"/>
        <w:spacing w:line="440" w:lineRule="exact"/>
        <w:ind w:firstLine="480" w:firstLineChars="200"/>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十、其他重要事项的情况说明</w:t>
      </w:r>
      <w:r>
        <w:rPr>
          <w:rFonts w:hint="eastAsia" w:ascii="Times New Roman" w:hAnsi="Times New Roman" w:eastAsia="宋体" w:cs="Times New Roman"/>
          <w:kern w:val="2"/>
          <w:sz w:val="24"/>
          <w:szCs w:val="24"/>
          <w:lang w:val="en-US" w:eastAsia="zh-CN" w:bidi="ar-SA"/>
        </w:rPr>
        <w:tab/>
      </w:r>
    </w:p>
    <w:p>
      <w:pPr>
        <w:pStyle w:val="11"/>
        <w:adjustRightInd w:val="0"/>
        <w:snapToGrid w:val="0"/>
        <w:spacing w:before="0" w:line="440" w:lineRule="exact"/>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第三部分 名词解释</w:t>
      </w:r>
    </w:p>
    <w:p>
      <w:pPr>
        <w:pStyle w:val="11"/>
        <w:adjustRightInd w:val="0"/>
        <w:snapToGrid w:val="0"/>
        <w:spacing w:before="0" w:line="440" w:lineRule="exact"/>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第四部分 附表</w:t>
      </w:r>
    </w:p>
    <w:p>
      <w:pPr>
        <w:pStyle w:val="12"/>
        <w:adjustRightInd w:val="0"/>
        <w:snapToGrid w:val="0"/>
        <w:spacing w:line="440" w:lineRule="exact"/>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一、收入支出决算总表</w:t>
      </w:r>
    </w:p>
    <w:p>
      <w:pPr>
        <w:pStyle w:val="12"/>
        <w:adjustRightInd w:val="0"/>
        <w:snapToGrid w:val="0"/>
        <w:spacing w:line="440" w:lineRule="exact"/>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二、收入决算表</w:t>
      </w:r>
    </w:p>
    <w:p>
      <w:pPr>
        <w:pStyle w:val="12"/>
        <w:adjustRightInd w:val="0"/>
        <w:snapToGrid w:val="0"/>
        <w:spacing w:line="440" w:lineRule="exact"/>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三、支出决算表</w:t>
      </w:r>
    </w:p>
    <w:p>
      <w:pPr>
        <w:pStyle w:val="12"/>
        <w:adjustRightInd w:val="0"/>
        <w:snapToGrid w:val="0"/>
        <w:spacing w:line="440" w:lineRule="exact"/>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四、财政拨款收入支出决算总表</w:t>
      </w:r>
    </w:p>
    <w:p>
      <w:pPr>
        <w:pStyle w:val="12"/>
        <w:adjustRightInd w:val="0"/>
        <w:snapToGrid w:val="0"/>
        <w:spacing w:line="440" w:lineRule="exact"/>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五、财政拨款支出决算明细表</w:t>
      </w:r>
    </w:p>
    <w:p>
      <w:pPr>
        <w:pStyle w:val="12"/>
        <w:adjustRightInd w:val="0"/>
        <w:snapToGrid w:val="0"/>
        <w:spacing w:line="440" w:lineRule="exact"/>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六、一般公共预算财政拨款支出决算表</w:t>
      </w:r>
    </w:p>
    <w:p>
      <w:pPr>
        <w:pStyle w:val="12"/>
        <w:adjustRightInd w:val="0"/>
        <w:snapToGrid w:val="0"/>
        <w:spacing w:line="440" w:lineRule="exact"/>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七、一般公共预算财政拨款支出决算明细表</w:t>
      </w:r>
    </w:p>
    <w:p>
      <w:pPr>
        <w:pStyle w:val="12"/>
        <w:adjustRightInd w:val="0"/>
        <w:snapToGrid w:val="0"/>
        <w:spacing w:line="440" w:lineRule="exact"/>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八、一般公共预算财政拨款基本支出决算表</w:t>
      </w:r>
    </w:p>
    <w:p>
      <w:pPr>
        <w:pStyle w:val="12"/>
        <w:adjustRightInd w:val="0"/>
        <w:snapToGrid w:val="0"/>
        <w:spacing w:line="440" w:lineRule="exact"/>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九、一般公共预算财政拨款项目支出决算表</w:t>
      </w:r>
    </w:p>
    <w:p>
      <w:pPr>
        <w:pStyle w:val="12"/>
        <w:adjustRightInd w:val="0"/>
        <w:snapToGrid w:val="0"/>
        <w:spacing w:line="440" w:lineRule="exact"/>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十、一般公共预算财政拨款“三公”经费支出决算表</w:t>
      </w:r>
    </w:p>
    <w:p>
      <w:pPr>
        <w:pStyle w:val="12"/>
        <w:adjustRightInd w:val="0"/>
        <w:snapToGrid w:val="0"/>
        <w:spacing w:line="440" w:lineRule="exact"/>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十一、政府性基金预算财政拨款收入支出决算表</w:t>
      </w:r>
    </w:p>
    <w:p>
      <w:pPr>
        <w:pStyle w:val="12"/>
        <w:adjustRightInd w:val="0"/>
        <w:snapToGrid w:val="0"/>
        <w:spacing w:line="440" w:lineRule="exact"/>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十二、政府性基金预算财政拨款“三公”经费支出决算表</w:t>
      </w:r>
    </w:p>
    <w:p>
      <w:pPr>
        <w:pStyle w:val="12"/>
        <w:adjustRightInd w:val="0"/>
        <w:snapToGrid w:val="0"/>
        <w:spacing w:line="440" w:lineRule="exact"/>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十三、国有资本经营预算财政拨款收入支出决算表</w:t>
      </w:r>
    </w:p>
    <w:p>
      <w:pPr>
        <w:pStyle w:val="12"/>
        <w:adjustRightInd w:val="0"/>
        <w:snapToGrid w:val="0"/>
        <w:spacing w:line="440" w:lineRule="exact"/>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十四、国有资本经营预算财政拨款支出决算表</w:t>
      </w:r>
    </w:p>
    <w:p>
      <w:pPr>
        <w:widowControl/>
        <w:adjustRightInd w:val="0"/>
        <w:snapToGrid w:val="0"/>
        <w:spacing w:line="440" w:lineRule="exact"/>
        <w:ind w:firstLine="1320" w:firstLineChars="550"/>
        <w:jc w:val="left"/>
        <w:rPr>
          <w:rFonts w:hint="eastAsia" w:ascii="Times New Roman" w:hAnsi="Times New Roman" w:eastAsia="宋体" w:cs="Times New Roman"/>
          <w:kern w:val="2"/>
          <w:sz w:val="24"/>
          <w:szCs w:val="24"/>
          <w:lang w:val="en-US" w:eastAsia="zh-CN" w:bidi="ar-SA"/>
        </w:rPr>
      </w:pP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30"/>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30"/>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4"/>
        <w:rPr>
          <w:rStyle w:val="28"/>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8"/>
          <w:rFonts w:hint="eastAsia" w:ascii="黑体" w:hAnsi="黑体" w:eastAsia="黑体"/>
          <w:b w:val="0"/>
          <w:bCs w:val="0"/>
        </w:rPr>
        <w:t>本职能及主要工作</w:t>
      </w:r>
      <w:bookmarkEnd w:id="14"/>
      <w:bookmarkEnd w:id="15"/>
    </w:p>
    <w:p>
      <w:pPr>
        <w:snapToGrid w:val="0"/>
        <w:spacing w:line="520" w:lineRule="exact"/>
        <w:ind w:firstLine="640" w:firstLineChars="200"/>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p>
    <w:p>
      <w:pPr>
        <w:snapToGrid w:val="0"/>
        <w:spacing w:line="520" w:lineRule="exact"/>
        <w:ind w:firstLine="640" w:firstLineChars="200"/>
        <w:rPr>
          <w:rFonts w:hint="eastAsia" w:ascii="宋体" w:hAnsi="宋体" w:eastAsia="宋体" w:cs="宋体"/>
          <w:sz w:val="32"/>
          <w:szCs w:val="32"/>
        </w:rPr>
      </w:pPr>
      <w:r>
        <w:rPr>
          <w:rFonts w:hint="eastAsia" w:ascii="仿宋_GB2312" w:hAnsi="仿宋" w:eastAsia="仿宋_GB2312"/>
          <w:color w:val="000000"/>
          <w:sz w:val="32"/>
          <w:szCs w:val="32"/>
        </w:rPr>
        <w:t>峨眉山</w:t>
      </w:r>
      <w:r>
        <w:rPr>
          <w:rFonts w:hint="eastAsia" w:ascii="仿宋_GB2312" w:hAnsi="仿宋" w:eastAsia="仿宋_GB2312"/>
          <w:color w:val="000000"/>
          <w:sz w:val="32"/>
          <w:szCs w:val="32"/>
          <w:lang w:eastAsia="zh-CN"/>
        </w:rPr>
        <w:t>市军队离退休干部干休所</w:t>
      </w:r>
      <w:r>
        <w:rPr>
          <w:rFonts w:hint="eastAsia" w:ascii="仿宋_GB2312" w:hAnsi="仿宋" w:eastAsia="仿宋_GB2312"/>
          <w:color w:val="000000"/>
          <w:sz w:val="32"/>
          <w:szCs w:val="32"/>
        </w:rPr>
        <w:t>是隶属于峨眉山市</w:t>
      </w:r>
      <w:r>
        <w:rPr>
          <w:rFonts w:hint="eastAsia" w:ascii="仿宋_GB2312" w:hAnsi="仿宋" w:eastAsia="仿宋_GB2312"/>
          <w:color w:val="000000"/>
          <w:sz w:val="32"/>
          <w:szCs w:val="32"/>
          <w:lang w:eastAsia="zh-CN"/>
        </w:rPr>
        <w:t>退役军人事务</w:t>
      </w:r>
      <w:r>
        <w:rPr>
          <w:rFonts w:hint="eastAsia" w:ascii="仿宋_GB2312" w:hAnsi="仿宋" w:eastAsia="仿宋_GB2312"/>
          <w:color w:val="000000"/>
          <w:sz w:val="32"/>
          <w:szCs w:val="32"/>
        </w:rPr>
        <w:t>局管理的为</w:t>
      </w:r>
      <w:r>
        <w:rPr>
          <w:rFonts w:hint="eastAsia" w:ascii="仿宋_GB2312" w:hAnsi="仿宋" w:eastAsia="仿宋_GB2312"/>
          <w:color w:val="000000"/>
          <w:sz w:val="32"/>
          <w:szCs w:val="32"/>
          <w:lang w:eastAsia="zh-CN"/>
        </w:rPr>
        <w:t>军队移交政府安置的离退休人员</w:t>
      </w:r>
      <w:r>
        <w:rPr>
          <w:rFonts w:hint="eastAsia" w:ascii="仿宋_GB2312" w:hAnsi="仿宋" w:eastAsia="仿宋_GB2312"/>
          <w:color w:val="000000"/>
          <w:sz w:val="32"/>
          <w:szCs w:val="32"/>
        </w:rPr>
        <w:t>提供休养住所与相关服务财政补助事业单位。</w:t>
      </w:r>
    </w:p>
    <w:bookmarkEnd w:id="16"/>
    <w:bookmarkEnd w:id="17"/>
    <w:p>
      <w:pPr>
        <w:snapToGrid w:val="0"/>
        <w:spacing w:line="520" w:lineRule="exact"/>
        <w:ind w:firstLine="640" w:firstLineChars="200"/>
        <w:rPr>
          <w:rFonts w:hint="eastAsia"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bookmarkEnd w:id="18"/>
      <w:bookmarkEnd w:id="19"/>
    </w:p>
    <w:p>
      <w:pPr>
        <w:numPr>
          <w:ilvl w:val="0"/>
          <w:numId w:val="0"/>
        </w:numPr>
        <w:snapToGrid w:val="0"/>
        <w:spacing w:line="52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1.圆满完成全年军休人员“两个待遇”保障落实工作。</w:t>
      </w:r>
    </w:p>
    <w:p>
      <w:pPr>
        <w:pStyle w:val="2"/>
        <w:ind w:firstLine="640" w:firstLineChars="200"/>
        <w:rPr>
          <w:rFonts w:hint="eastAsia" w:hAnsi="仿宋"/>
          <w:color w:val="000000"/>
          <w:sz w:val="32"/>
          <w:szCs w:val="32"/>
          <w:lang w:val="en-US" w:eastAsia="zh-CN"/>
        </w:rPr>
      </w:pPr>
      <w:r>
        <w:rPr>
          <w:rFonts w:hint="eastAsia" w:ascii="仿宋_GB2312" w:hAnsi="仿宋" w:eastAsia="仿宋_GB2312"/>
          <w:color w:val="000000"/>
          <w:sz w:val="32"/>
          <w:szCs w:val="32"/>
          <w:lang w:val="en-US" w:eastAsia="zh-CN"/>
        </w:rPr>
        <w:t>2.</w:t>
      </w:r>
      <w:r>
        <w:rPr>
          <w:rFonts w:hint="eastAsia" w:hAnsi="仿宋"/>
          <w:color w:val="000000"/>
          <w:sz w:val="32"/>
          <w:szCs w:val="32"/>
          <w:lang w:val="en-US" w:eastAsia="zh-CN"/>
        </w:rPr>
        <w:t>一、二楼维修改造工作完成验收。</w:t>
      </w:r>
    </w:p>
    <w:p>
      <w:pPr>
        <w:pStyle w:val="2"/>
        <w:ind w:firstLine="640" w:firstLineChars="200"/>
        <w:rPr>
          <w:rFonts w:hint="eastAsia"/>
          <w:lang w:val="en-US" w:eastAsia="zh-CN"/>
        </w:rPr>
      </w:pPr>
      <w:r>
        <w:rPr>
          <w:rFonts w:hint="eastAsia" w:hAnsi="仿宋"/>
          <w:color w:val="000000"/>
          <w:sz w:val="32"/>
          <w:szCs w:val="32"/>
          <w:lang w:val="en-US" w:eastAsia="zh-CN"/>
        </w:rPr>
        <w:t>3.圆满完成疫情防控工作。</w:t>
      </w:r>
    </w:p>
    <w:p>
      <w:pPr>
        <w:snapToGrid w:val="0"/>
        <w:spacing w:line="52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4.按时完成了“双创工作”。</w:t>
      </w:r>
    </w:p>
    <w:p>
      <w:pPr>
        <w:snapToGrid w:val="0"/>
        <w:spacing w:line="520" w:lineRule="exact"/>
        <w:ind w:firstLine="640" w:firstLineChars="200"/>
        <w:rPr>
          <w:rFonts w:hint="eastAsia" w:ascii="宋体" w:hAnsi="宋体" w:eastAsia="宋体" w:cs="宋体"/>
          <w:b w:val="0"/>
          <w:bCs/>
          <w:sz w:val="32"/>
          <w:szCs w:val="32"/>
          <w:lang w:val="en-US" w:eastAsia="zh-CN"/>
        </w:rPr>
      </w:pPr>
      <w:r>
        <w:rPr>
          <w:rFonts w:hint="eastAsia" w:ascii="仿宋_GB2312" w:hAnsi="仿宋" w:eastAsia="仿宋_GB2312"/>
          <w:color w:val="000000"/>
          <w:sz w:val="32"/>
          <w:szCs w:val="32"/>
          <w:lang w:val="en-US" w:eastAsia="zh-CN"/>
        </w:rPr>
        <w:t>5.保质保量完成“大走访 大服务”走进群众、精准扶贫工作。</w:t>
      </w:r>
    </w:p>
    <w:p>
      <w:pPr>
        <w:pStyle w:val="4"/>
        <w:rPr>
          <w:rStyle w:val="28"/>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8"/>
          <w:rFonts w:hint="eastAsia" w:ascii="黑体" w:hAnsi="黑体" w:eastAsia="黑体"/>
          <w:b w:val="0"/>
          <w:bCs w:val="0"/>
        </w:rPr>
        <w:t>构设置</w:t>
      </w:r>
      <w:bookmarkEnd w:id="20"/>
      <w:bookmarkEnd w:id="21"/>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eastAsia="zh-CN"/>
        </w:rPr>
        <w:t>峨眉山市军队离退休干部干休所无</w:t>
      </w:r>
      <w:r>
        <w:rPr>
          <w:rFonts w:hint="eastAsia" w:ascii="仿宋_GB2312" w:hAnsi="仿宋" w:eastAsia="仿宋_GB2312"/>
          <w:color w:val="000000"/>
          <w:sz w:val="32"/>
          <w:szCs w:val="32"/>
        </w:rPr>
        <w:t>下属二级单位，为</w:t>
      </w:r>
      <w:r>
        <w:rPr>
          <w:rFonts w:hint="eastAsia" w:ascii="仿宋_GB2312" w:hAnsi="仿宋" w:eastAsia="仿宋_GB2312"/>
          <w:color w:val="000000"/>
          <w:sz w:val="32"/>
          <w:szCs w:val="32"/>
          <w:lang w:eastAsia="zh-CN"/>
        </w:rPr>
        <w:t>峨眉山市退役军人事务局下</w:t>
      </w:r>
      <w:r>
        <w:rPr>
          <w:rFonts w:hint="eastAsia" w:ascii="仿宋_GB2312" w:hAnsi="仿宋" w:eastAsia="仿宋_GB2312"/>
          <w:color w:val="000000"/>
          <w:sz w:val="32"/>
          <w:szCs w:val="32"/>
        </w:rPr>
        <w:t>属</w:t>
      </w:r>
      <w:r>
        <w:rPr>
          <w:rFonts w:hint="eastAsia" w:ascii="仿宋_GB2312" w:hAnsi="仿宋" w:eastAsia="仿宋_GB2312"/>
          <w:color w:val="000000"/>
          <w:sz w:val="32"/>
          <w:szCs w:val="32"/>
          <w:lang w:eastAsia="zh-CN"/>
        </w:rPr>
        <w:t>一级预算</w:t>
      </w:r>
      <w:r>
        <w:rPr>
          <w:rFonts w:hint="eastAsia" w:ascii="仿宋_GB2312" w:hAnsi="仿宋" w:eastAsia="仿宋_GB2312"/>
          <w:color w:val="000000"/>
          <w:sz w:val="32"/>
          <w:szCs w:val="32"/>
        </w:rPr>
        <w:t>单位，单位性质为</w:t>
      </w:r>
      <w:r>
        <w:rPr>
          <w:rFonts w:hint="eastAsia" w:ascii="仿宋_GB2312" w:hAnsi="仿宋" w:eastAsia="仿宋_GB2312"/>
          <w:color w:val="000000"/>
          <w:sz w:val="32"/>
          <w:szCs w:val="32"/>
          <w:lang w:eastAsia="zh-CN"/>
        </w:rPr>
        <w:t>财政补助事业单位</w:t>
      </w:r>
      <w:r>
        <w:rPr>
          <w:rFonts w:hint="eastAsia" w:ascii="仿宋_GB2312" w:hAnsi="仿宋" w:eastAsia="仿宋_GB2312"/>
          <w:color w:val="000000"/>
          <w:sz w:val="32"/>
          <w:szCs w:val="32"/>
        </w:rPr>
        <w:t>。</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3"/>
        <w:ind w:right="440"/>
        <w:jc w:val="right"/>
        <w:rPr>
          <w:rStyle w:val="30"/>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ascii="黑体" w:hAnsi="黑体" w:eastAsia="黑体"/>
          <w:color w:val="000000"/>
        </w:rPr>
        <w:t xml:space="preserve"> </w:t>
      </w:r>
      <w:r>
        <w:rPr>
          <w:rStyle w:val="30"/>
          <w:rFonts w:ascii="黑体" w:hAnsi="黑体" w:eastAsia="黑体"/>
          <w:b w:val="0"/>
          <w:bCs w:val="0"/>
        </w:rPr>
        <w:t>2020</w:t>
      </w:r>
      <w:r>
        <w:rPr>
          <w:rStyle w:val="30"/>
          <w:rFonts w:hint="eastAsia" w:ascii="黑体" w:hAnsi="黑体" w:eastAsia="黑体"/>
          <w:b w:val="0"/>
          <w:bCs w:val="0"/>
        </w:rPr>
        <w:t>年度部门决算情况说明</w:t>
      </w:r>
      <w:bookmarkEnd w:id="22"/>
      <w:bookmarkEnd w:id="23"/>
    </w:p>
    <w:p/>
    <w:p>
      <w:pPr>
        <w:pStyle w:val="18"/>
        <w:numPr>
          <w:ilvl w:val="0"/>
          <w:numId w:val="1"/>
        </w:numPr>
        <w:spacing w:line="600" w:lineRule="exact"/>
        <w:ind w:firstLineChars="0"/>
        <w:outlineLvl w:val="1"/>
        <w:rPr>
          <w:rStyle w:val="28"/>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289.82</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,其中：收入183.92万元，支出105.90万元</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年相比，收、支总计</w:t>
      </w:r>
      <w:r>
        <w:rPr>
          <w:rFonts w:hint="eastAsia" w:ascii="仿宋" w:hAnsi="仿宋" w:eastAsia="仿宋"/>
          <w:color w:val="000000"/>
          <w:sz w:val="32"/>
          <w:szCs w:val="32"/>
          <w:lang w:eastAsia="zh-CN"/>
        </w:rPr>
        <w:t>收入减少</w:t>
      </w:r>
      <w:r>
        <w:rPr>
          <w:rFonts w:hint="eastAsia" w:ascii="仿宋" w:hAnsi="仿宋" w:eastAsia="仿宋"/>
          <w:color w:val="000000"/>
          <w:sz w:val="32"/>
          <w:szCs w:val="32"/>
          <w:lang w:val="en-US" w:eastAsia="zh-CN"/>
        </w:rPr>
        <w:t>478.84万元，下降62.30%；支出减少278.43万元，下降72.45%。</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是</w:t>
      </w:r>
      <w:r>
        <w:rPr>
          <w:rFonts w:hint="eastAsia" w:ascii="仿宋" w:hAnsi="仿宋" w:eastAsia="仿宋"/>
          <w:color w:val="000000"/>
          <w:sz w:val="32"/>
          <w:szCs w:val="32"/>
          <w:lang w:val="en-US" w:eastAsia="zh-CN"/>
        </w:rPr>
        <w:t>2019年部分军休人员离退休费纳入管理机构经费核算以及2019年支付一、二楼改建工程进度款120.10万元。</w:t>
      </w:r>
    </w:p>
    <w:p>
      <w:pPr>
        <w:pStyle w:val="2"/>
        <w:jc w:val="center"/>
        <w:rPr>
          <w:rFonts w:hint="eastAsia" w:ascii="仿宋" w:hAnsi="仿宋" w:eastAsia="仿宋"/>
          <w:color w:val="000000"/>
          <w:sz w:val="32"/>
          <w:szCs w:val="32"/>
          <w:lang w:eastAsia="zh-CN"/>
        </w:rPr>
      </w:pPr>
      <w:r>
        <w:drawing>
          <wp:inline distT="0" distB="0" distL="114300" distR="114300">
            <wp:extent cx="3581400" cy="20955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840" w:firstLineChars="400"/>
        <w:jc w:val="center"/>
        <w:rPr>
          <w:rFonts w:ascii="仿宋_GB2312" w:eastAsia="仿宋_GB2312"/>
          <w:color w:val="000000"/>
          <w:sz w:val="32"/>
          <w:szCs w:val="32"/>
        </w:rPr>
      </w:pPr>
      <w:r>
        <w:rPr>
          <w:rFonts w:hint="eastAsia" w:ascii="仿宋" w:hAnsi="仿宋" w:eastAsia="仿宋"/>
          <w:color w:val="000000"/>
          <w:sz w:val="21"/>
          <w:szCs w:val="21"/>
        </w:rPr>
        <w:t>图</w:t>
      </w:r>
      <w:r>
        <w:rPr>
          <w:rFonts w:ascii="仿宋" w:hAnsi="仿宋" w:eastAsia="仿宋"/>
          <w:color w:val="000000"/>
          <w:sz w:val="21"/>
          <w:szCs w:val="21"/>
        </w:rPr>
        <w:t>1</w:t>
      </w:r>
      <w:r>
        <w:rPr>
          <w:rFonts w:hint="eastAsia" w:ascii="仿宋" w:hAnsi="仿宋" w:eastAsia="仿宋"/>
          <w:color w:val="000000"/>
          <w:sz w:val="21"/>
          <w:szCs w:val="21"/>
        </w:rPr>
        <w:t>：收、支决算总计变动情况图</w:t>
      </w:r>
    </w:p>
    <w:p>
      <w:pPr>
        <w:pStyle w:val="18"/>
        <w:numPr>
          <w:ilvl w:val="0"/>
          <w:numId w:val="1"/>
        </w:numPr>
        <w:spacing w:line="600" w:lineRule="exact"/>
        <w:ind w:firstLineChars="0"/>
        <w:outlineLvl w:val="1"/>
        <w:rPr>
          <w:rStyle w:val="28"/>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8"/>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w:t>
      </w:r>
      <w:r>
        <w:rPr>
          <w:rFonts w:hint="eastAsia" w:ascii="仿宋" w:hAnsi="仿宋" w:eastAsia="仿宋"/>
          <w:color w:val="000000"/>
          <w:sz w:val="32"/>
          <w:szCs w:val="32"/>
          <w:lang w:val="en-US" w:eastAsia="zh-CN"/>
        </w:rPr>
        <w:t>183.92</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183.42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99.73</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0.27</w:t>
      </w:r>
      <w:r>
        <w:rPr>
          <w:rFonts w:ascii="仿宋" w:hAnsi="仿宋" w:eastAsia="仿宋"/>
          <w:color w:val="000000"/>
          <w:sz w:val="32"/>
          <w:szCs w:val="32"/>
        </w:rPr>
        <w:t>%</w:t>
      </w:r>
      <w:r>
        <w:rPr>
          <w:rFonts w:hint="eastAsia" w:ascii="仿宋" w:hAnsi="仿宋" w:eastAsia="仿宋"/>
          <w:color w:val="000000"/>
          <w:sz w:val="32"/>
          <w:szCs w:val="32"/>
        </w:rPr>
        <w:t>。</w:t>
      </w:r>
    </w:p>
    <w:p>
      <w:pPr>
        <w:spacing w:line="240" w:lineRule="auto"/>
        <w:ind w:firstLine="420" w:firstLineChars="200"/>
        <w:jc w:val="both"/>
        <w:rPr>
          <w:rFonts w:hint="eastAsia" w:ascii="仿宋" w:hAnsi="仿宋" w:eastAsia="仿宋"/>
          <w:color w:val="000000"/>
          <w:sz w:val="32"/>
          <w:szCs w:val="32"/>
          <w:lang w:eastAsia="zh-CN"/>
        </w:rPr>
      </w:pPr>
      <w:r>
        <w:drawing>
          <wp:inline distT="0" distB="0" distL="114300" distR="114300">
            <wp:extent cx="4572000" cy="2743200"/>
            <wp:effectExtent l="4445" t="4445" r="14605" b="14605"/>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jc w:val="center"/>
        <w:rPr>
          <w:rFonts w:ascii="仿宋_GB2312" w:eastAsia="仿宋_GB2312"/>
          <w:color w:val="FF0000"/>
          <w:sz w:val="32"/>
          <w:szCs w:val="32"/>
        </w:rPr>
      </w:pPr>
      <w:r>
        <w:rPr>
          <w:rFonts w:hint="eastAsia" w:ascii="仿宋" w:hAnsi="仿宋" w:eastAsia="仿宋"/>
          <w:color w:val="000000"/>
          <w:sz w:val="21"/>
          <w:szCs w:val="21"/>
        </w:rPr>
        <w:t>图</w:t>
      </w:r>
      <w:r>
        <w:rPr>
          <w:rFonts w:ascii="仿宋" w:hAnsi="仿宋" w:eastAsia="仿宋"/>
          <w:color w:val="000000"/>
          <w:sz w:val="21"/>
          <w:szCs w:val="21"/>
        </w:rPr>
        <w:t>2</w:t>
      </w:r>
      <w:r>
        <w:rPr>
          <w:rFonts w:hint="eastAsia" w:ascii="仿宋" w:hAnsi="仿宋" w:eastAsia="仿宋"/>
          <w:color w:val="000000"/>
          <w:sz w:val="21"/>
          <w:szCs w:val="21"/>
        </w:rPr>
        <w:t>：收入决算结构图</w:t>
      </w:r>
    </w:p>
    <w:p>
      <w:pPr>
        <w:pStyle w:val="18"/>
        <w:numPr>
          <w:ilvl w:val="0"/>
          <w:numId w:val="1"/>
        </w:numPr>
        <w:spacing w:line="600" w:lineRule="exact"/>
        <w:ind w:firstLineChars="0"/>
        <w:outlineLvl w:val="1"/>
        <w:rPr>
          <w:rStyle w:val="28"/>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8"/>
          <w:rFonts w:hint="eastAsia" w:ascii="黑体" w:hAnsi="黑体" w:eastAsia="黑体"/>
          <w:b w:val="0"/>
        </w:rPr>
        <w:t>出决算情况说明</w:t>
      </w:r>
      <w:bookmarkEnd w:id="28"/>
      <w:bookmarkEnd w:id="29"/>
    </w:p>
    <w:p>
      <w:pPr>
        <w:spacing w:line="600" w:lineRule="exact"/>
        <w:ind w:firstLine="640" w:firstLineChars="200"/>
        <w:outlineLvl w:val="1"/>
      </w:pPr>
      <w:r>
        <w:rPr>
          <w:rFonts w:ascii="仿宋" w:hAnsi="仿宋" w:eastAsia="仿宋"/>
          <w:color w:val="000000"/>
          <w:sz w:val="32"/>
          <w:szCs w:val="32"/>
        </w:rPr>
        <w:t>2020</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105.9</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54.75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51.70</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51.15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48.3</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240" w:lineRule="auto"/>
        <w:ind w:firstLine="420" w:firstLineChars="200"/>
        <w:jc w:val="center"/>
        <w:outlineLvl w:val="1"/>
        <w:rPr>
          <w:rFonts w:hint="eastAsia" w:ascii="仿宋" w:hAnsi="仿宋" w:eastAsia="仿宋"/>
          <w:b/>
          <w:color w:val="FF0000"/>
          <w:sz w:val="32"/>
          <w:szCs w:val="32"/>
          <w:lang w:eastAsia="zh-CN"/>
        </w:rPr>
      </w:pPr>
      <w:r>
        <w:drawing>
          <wp:inline distT="0" distB="0" distL="114300" distR="114300">
            <wp:extent cx="4572000" cy="2743200"/>
            <wp:effectExtent l="4445" t="4445" r="1460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jc w:val="center"/>
        <w:rPr>
          <w:rFonts w:ascii="仿宋" w:hAnsi="仿宋" w:eastAsia="仿宋"/>
          <w:color w:val="000000"/>
          <w:sz w:val="21"/>
          <w:szCs w:val="21"/>
        </w:rPr>
      </w:pPr>
      <w:r>
        <w:rPr>
          <w:rFonts w:hint="eastAsia" w:ascii="仿宋" w:hAnsi="仿宋" w:eastAsia="仿宋"/>
          <w:color w:val="000000"/>
          <w:sz w:val="21"/>
          <w:szCs w:val="21"/>
        </w:rPr>
        <w:t>图</w:t>
      </w:r>
      <w:r>
        <w:rPr>
          <w:rFonts w:ascii="仿宋" w:hAnsi="仿宋" w:eastAsia="仿宋"/>
          <w:color w:val="000000"/>
          <w:sz w:val="21"/>
          <w:szCs w:val="21"/>
        </w:rPr>
        <w:t>3</w:t>
      </w:r>
      <w:r>
        <w:rPr>
          <w:rFonts w:hint="eastAsia" w:ascii="仿宋" w:hAnsi="仿宋" w:eastAsia="仿宋"/>
          <w:color w:val="000000"/>
          <w:sz w:val="21"/>
          <w:szCs w:val="21"/>
        </w:rPr>
        <w:t>：支出决算结构图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8"/>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30"/>
      <w:bookmarkEnd w:id="31"/>
    </w:p>
    <w:p>
      <w:pPr>
        <w:spacing w:line="600" w:lineRule="exact"/>
        <w:ind w:firstLine="640" w:firstLineChars="200"/>
        <w:rPr>
          <w:rFonts w:hint="default" w:ascii="仿宋" w:hAnsi="仿宋" w:eastAsia="仿宋"/>
          <w:color w:val="000000"/>
          <w:sz w:val="32"/>
          <w:szCs w:val="32"/>
          <w:lang w:val="en-US"/>
        </w:rPr>
      </w:pPr>
      <w:r>
        <w:rPr>
          <w:rFonts w:ascii="仿宋" w:hAnsi="仿宋" w:eastAsia="仿宋"/>
          <w:color w:val="000000"/>
          <w:sz w:val="32"/>
          <w:szCs w:val="32"/>
        </w:rPr>
        <w:t>2020</w:t>
      </w:r>
      <w:r>
        <w:rPr>
          <w:rFonts w:hint="eastAsia" w:ascii="仿宋" w:hAnsi="仿宋" w:eastAsia="仿宋"/>
          <w:color w:val="000000"/>
          <w:sz w:val="32"/>
          <w:szCs w:val="32"/>
        </w:rPr>
        <w:t>年财政拨款收、支总</w:t>
      </w:r>
      <w:r>
        <w:rPr>
          <w:rFonts w:hint="eastAsia" w:ascii="仿宋" w:hAnsi="仿宋" w:eastAsia="仿宋"/>
          <w:color w:val="000000"/>
          <w:sz w:val="32"/>
          <w:szCs w:val="32"/>
          <w:lang w:eastAsia="zh-CN"/>
        </w:rPr>
        <w:t>计</w:t>
      </w:r>
      <w:r>
        <w:rPr>
          <w:rFonts w:hint="eastAsia" w:ascii="仿宋" w:hAnsi="仿宋" w:eastAsia="仿宋"/>
          <w:color w:val="000000"/>
          <w:sz w:val="32"/>
          <w:szCs w:val="32"/>
          <w:lang w:val="en-US" w:eastAsia="zh-CN"/>
        </w:rPr>
        <w:t>272.48</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年相比，财政拨款收</w:t>
      </w:r>
      <w:r>
        <w:rPr>
          <w:rFonts w:hint="eastAsia" w:ascii="仿宋" w:hAnsi="仿宋" w:eastAsia="仿宋"/>
          <w:color w:val="000000"/>
          <w:sz w:val="32"/>
          <w:szCs w:val="32"/>
          <w:lang w:eastAsia="zh-CN"/>
        </w:rPr>
        <w:t>入减少</w:t>
      </w:r>
      <w:r>
        <w:rPr>
          <w:rFonts w:hint="eastAsia" w:ascii="仿宋" w:hAnsi="仿宋" w:eastAsia="仿宋"/>
          <w:color w:val="000000"/>
          <w:sz w:val="32"/>
          <w:szCs w:val="32"/>
          <w:lang w:val="en-US" w:eastAsia="zh-CN"/>
        </w:rPr>
        <w:t>200.70万元，下降52.25%，</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出增加</w:t>
      </w:r>
      <w:r>
        <w:rPr>
          <w:rFonts w:hint="eastAsia" w:ascii="仿宋" w:hAnsi="仿宋" w:eastAsia="仿宋"/>
          <w:color w:val="000000"/>
          <w:sz w:val="32"/>
          <w:szCs w:val="32"/>
          <w:lang w:val="en-US" w:eastAsia="zh-CN"/>
        </w:rPr>
        <w:t>7.41万元，上升9.08%</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：收入减少</w:t>
      </w:r>
      <w:r>
        <w:rPr>
          <w:rFonts w:hint="eastAsia" w:ascii="仿宋" w:hAnsi="仿宋" w:eastAsia="仿宋"/>
          <w:color w:val="000000"/>
          <w:sz w:val="32"/>
          <w:szCs w:val="32"/>
          <w:lang w:val="en-US" w:eastAsia="zh-CN"/>
        </w:rPr>
        <w:t>2019年部分军休人员离退休费纳入管理机构经费核算以及2019年支付一、二楼改建工程进度款120.10万元；支出增加2020年支付围墙垮塌修复工程款9.64万元。</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w:t>
      </w:r>
    </w:p>
    <w:p>
      <w:pPr>
        <w:spacing w:line="240" w:lineRule="auto"/>
        <w:jc w:val="center"/>
        <w:rPr>
          <w:rFonts w:hint="eastAsia" w:ascii="仿宋" w:hAnsi="仿宋" w:eastAsia="仿宋"/>
          <w:color w:val="000000"/>
          <w:sz w:val="32"/>
          <w:szCs w:val="32"/>
          <w:lang w:eastAsia="zh-CN"/>
        </w:rPr>
      </w:pPr>
      <w:r>
        <w:drawing>
          <wp:inline distT="0" distB="0" distL="114300" distR="114300">
            <wp:extent cx="4572000" cy="2743200"/>
            <wp:effectExtent l="4445" t="4445" r="1460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420" w:firstLineChars="200"/>
        <w:jc w:val="center"/>
        <w:rPr>
          <w:rFonts w:ascii="仿宋" w:hAnsi="仿宋" w:eastAsia="仿宋"/>
          <w:b/>
          <w:color w:val="00B050"/>
          <w:sz w:val="32"/>
          <w:szCs w:val="32"/>
        </w:rPr>
      </w:pPr>
      <w:r>
        <w:rPr>
          <w:rFonts w:hint="eastAsia" w:ascii="仿宋" w:hAnsi="仿宋" w:eastAsia="仿宋"/>
          <w:color w:val="000000"/>
          <w:sz w:val="21"/>
          <w:szCs w:val="21"/>
        </w:rPr>
        <w:t>图</w:t>
      </w:r>
      <w:r>
        <w:rPr>
          <w:rFonts w:ascii="仿宋" w:hAnsi="仿宋" w:eastAsia="仿宋"/>
          <w:color w:val="000000"/>
          <w:sz w:val="21"/>
          <w:szCs w:val="21"/>
        </w:rPr>
        <w:t>4</w:t>
      </w:r>
      <w:r>
        <w:rPr>
          <w:rFonts w:hint="eastAsia" w:ascii="仿宋" w:hAnsi="仿宋" w:eastAsia="仿宋"/>
          <w:color w:val="000000"/>
          <w:sz w:val="21"/>
          <w:szCs w:val="21"/>
        </w:rPr>
        <w:t>：财政拨款收、支决算总计变动情况</w:t>
      </w:r>
    </w:p>
    <w:p>
      <w:pPr>
        <w:spacing w:line="600" w:lineRule="exact"/>
        <w:ind w:firstLine="640" w:firstLineChars="200"/>
        <w:outlineLvl w:val="1"/>
        <w:rPr>
          <w:rStyle w:val="28"/>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89.06</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84.10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eastAsia="zh-CN"/>
        </w:rPr>
        <w:t>支出增加</w:t>
      </w:r>
      <w:r>
        <w:rPr>
          <w:rFonts w:hint="eastAsia" w:ascii="仿宋" w:hAnsi="仿宋" w:eastAsia="仿宋"/>
          <w:color w:val="000000"/>
          <w:sz w:val="32"/>
          <w:szCs w:val="32"/>
          <w:lang w:val="en-US" w:eastAsia="zh-CN"/>
        </w:rPr>
        <w:t>7.41</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上升9.07%，</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是</w:t>
      </w:r>
      <w:r>
        <w:rPr>
          <w:rFonts w:hint="eastAsia" w:ascii="仿宋" w:hAnsi="仿宋" w:eastAsia="仿宋"/>
          <w:color w:val="000000"/>
          <w:sz w:val="32"/>
          <w:szCs w:val="32"/>
          <w:lang w:val="en-US" w:eastAsia="zh-CN"/>
        </w:rPr>
        <w:t>2020年支付围墙垮塌修复工程款9.64万元。</w:t>
      </w:r>
    </w:p>
    <w:p>
      <w:pPr>
        <w:spacing w:line="240" w:lineRule="auto"/>
        <w:ind w:firstLine="420" w:firstLineChars="200"/>
        <w:jc w:val="center"/>
        <w:rPr>
          <w:rFonts w:hint="eastAsia" w:ascii="仿宋" w:hAnsi="仿宋" w:eastAsia="仿宋"/>
          <w:color w:val="000000"/>
          <w:sz w:val="32"/>
          <w:szCs w:val="32"/>
          <w:lang w:eastAsia="zh-CN"/>
        </w:rPr>
      </w:pPr>
      <w:r>
        <w:drawing>
          <wp:inline distT="0" distB="0" distL="114300" distR="114300">
            <wp:extent cx="4572000" cy="2743200"/>
            <wp:effectExtent l="4445" t="4445" r="1460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center"/>
        <w:rPr>
          <w:rFonts w:ascii="仿宋" w:hAnsi="仿宋" w:eastAsia="仿宋"/>
          <w:color w:val="000000"/>
          <w:sz w:val="32"/>
          <w:szCs w:val="32"/>
        </w:rPr>
      </w:pPr>
      <w:r>
        <w:rPr>
          <w:rFonts w:hint="eastAsia" w:ascii="仿宋" w:hAnsi="仿宋" w:eastAsia="仿宋"/>
          <w:color w:val="000000"/>
          <w:sz w:val="21"/>
          <w:szCs w:val="21"/>
        </w:rPr>
        <w:t>图</w:t>
      </w:r>
      <w:r>
        <w:rPr>
          <w:rFonts w:ascii="仿宋" w:hAnsi="仿宋" w:eastAsia="仿宋"/>
          <w:color w:val="000000"/>
          <w:sz w:val="21"/>
          <w:szCs w:val="21"/>
        </w:rPr>
        <w:t>5</w:t>
      </w:r>
      <w:r>
        <w:rPr>
          <w:rFonts w:hint="eastAsia" w:ascii="仿宋" w:hAnsi="仿宋" w:eastAsia="仿宋"/>
          <w:color w:val="000000"/>
          <w:sz w:val="21"/>
          <w:szCs w:val="21"/>
        </w:rPr>
        <w:t>：一般公共预算财政拨款支出决算变动情况</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240" w:lineRule="auto"/>
        <w:ind w:firstLine="640"/>
        <w:jc w:val="center"/>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89.06</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教育支出（类）</w:t>
      </w:r>
      <w:r>
        <w:rPr>
          <w:rFonts w:hint="eastAsia" w:ascii="仿宋" w:hAnsi="仿宋" w:eastAsia="仿宋"/>
          <w:b/>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科学技术（类）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文化旅游体育与传媒（类）支出</w:t>
      </w:r>
      <w:r>
        <w:rPr>
          <w:rFonts w:hint="eastAsia" w:ascii="仿宋" w:hAnsi="仿宋" w:eastAsia="仿宋"/>
          <w:b/>
          <w:bCs/>
          <w:color w:val="000000"/>
          <w:sz w:val="32"/>
          <w:szCs w:val="32"/>
          <w:lang w:val="en-US" w:eastAsia="zh-CN"/>
        </w:rPr>
        <w:t>0</w:t>
      </w:r>
      <w:r>
        <w:rPr>
          <w:rFonts w:hint="eastAsia" w:ascii="仿宋" w:hAnsi="仿宋" w:eastAsia="仿宋"/>
          <w:b/>
          <w:bCs/>
          <w:color w:val="000000"/>
          <w:sz w:val="32"/>
          <w:szCs w:val="32"/>
        </w:rPr>
        <w:t>万元，占</w:t>
      </w:r>
      <w:r>
        <w:rPr>
          <w:rFonts w:hint="eastAsia" w:ascii="仿宋" w:hAnsi="仿宋" w:eastAsia="仿宋"/>
          <w:b/>
          <w:bCs/>
          <w:color w:val="000000"/>
          <w:sz w:val="32"/>
          <w:szCs w:val="32"/>
          <w:lang w:val="en-US" w:eastAsia="zh-CN"/>
        </w:rPr>
        <w:t>0</w:t>
      </w:r>
      <w:r>
        <w:rPr>
          <w:rFonts w:ascii="仿宋" w:hAnsi="仿宋" w:eastAsia="仿宋"/>
          <w:b/>
          <w:bCs/>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80.71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90.62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b/>
          <w:bCs/>
          <w:color w:val="000000"/>
          <w:sz w:val="32"/>
          <w:szCs w:val="32"/>
          <w:lang w:val="en-US" w:eastAsia="zh-CN"/>
        </w:rPr>
        <w:t>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2.25</w:t>
      </w:r>
      <w:r>
        <w:rPr>
          <w:rFonts w:ascii="仿宋" w:hAnsi="仿宋" w:eastAsia="仿宋"/>
          <w:color w:val="000000"/>
          <w:sz w:val="32"/>
          <w:szCs w:val="32"/>
        </w:rPr>
        <w:t>%</w:t>
      </w:r>
      <w:r>
        <w:rPr>
          <w:rFonts w:hint="eastAsia" w:ascii="仿宋" w:hAnsi="仿宋" w:eastAsia="仿宋"/>
          <w:color w:val="000000"/>
          <w:sz w:val="32"/>
          <w:szCs w:val="32"/>
        </w:rPr>
        <w:t>；住房保障支出</w:t>
      </w:r>
      <w:r>
        <w:rPr>
          <w:rFonts w:hint="eastAsia" w:ascii="仿宋" w:hAnsi="仿宋" w:eastAsia="仿宋"/>
          <w:color w:val="000000"/>
          <w:sz w:val="32"/>
          <w:szCs w:val="32"/>
          <w:lang w:val="en-US" w:eastAsia="zh-CN"/>
        </w:rPr>
        <w:t>6.35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7.13</w:t>
      </w:r>
      <w:r>
        <w:rPr>
          <w:rFonts w:ascii="仿宋" w:hAnsi="仿宋" w:eastAsia="仿宋"/>
          <w:color w:val="000000"/>
          <w:sz w:val="32"/>
          <w:szCs w:val="32"/>
        </w:rPr>
        <w:t>%</w:t>
      </w:r>
      <w:r>
        <w:rPr>
          <w:rFonts w:hint="eastAsia" w:ascii="仿宋" w:hAnsi="仿宋" w:eastAsia="仿宋"/>
          <w:color w:val="000000"/>
          <w:sz w:val="32"/>
          <w:szCs w:val="32"/>
          <w:lang w:eastAsia="zh-CN"/>
        </w:rPr>
        <w:t>。</w:t>
      </w:r>
      <w:r>
        <w:drawing>
          <wp:inline distT="0" distB="0" distL="114300" distR="114300">
            <wp:extent cx="3670935" cy="1806575"/>
            <wp:effectExtent l="4445" t="4445" r="20320" b="17780"/>
            <wp:docPr id="6" name="图片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420" w:firstLineChars="200"/>
        <w:jc w:val="center"/>
        <w:rPr>
          <w:rFonts w:ascii="仿宋" w:hAnsi="仿宋" w:eastAsia="仿宋"/>
          <w:color w:val="000000"/>
          <w:sz w:val="21"/>
          <w:szCs w:val="21"/>
        </w:rPr>
      </w:pPr>
      <w:r>
        <w:rPr>
          <w:rFonts w:hint="eastAsia" w:ascii="仿宋" w:hAnsi="仿宋" w:eastAsia="仿宋"/>
          <w:color w:val="000000"/>
          <w:sz w:val="21"/>
          <w:szCs w:val="21"/>
        </w:rPr>
        <w:t>图</w:t>
      </w:r>
      <w:r>
        <w:rPr>
          <w:rFonts w:ascii="仿宋" w:hAnsi="仿宋" w:eastAsia="仿宋"/>
          <w:color w:val="000000"/>
          <w:sz w:val="21"/>
          <w:szCs w:val="21"/>
        </w:rPr>
        <w:t>6</w:t>
      </w:r>
      <w:r>
        <w:rPr>
          <w:rFonts w:hint="eastAsia" w:ascii="仿宋" w:hAnsi="仿宋" w:eastAsia="仿宋"/>
          <w:color w:val="000000"/>
          <w:sz w:val="21"/>
          <w:szCs w:val="21"/>
        </w:rPr>
        <w:t>：一般公共预算财政拨款支出决算结构</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8460"/>
      <w:bookmarkStart w:id="38" w:name="_Toc15377444"/>
      <w:bookmarkStart w:id="39" w:name="_Toc15377213"/>
      <w:r>
        <w:rPr>
          <w:rFonts w:ascii="仿宋" w:hAnsi="仿宋" w:eastAsia="仿宋"/>
          <w:b/>
          <w:color w:val="000000"/>
          <w:sz w:val="32"/>
          <w:szCs w:val="32"/>
        </w:rPr>
        <w:t>2020</w:t>
      </w:r>
      <w:r>
        <w:rPr>
          <w:rFonts w:hint="eastAsia" w:ascii="仿宋" w:hAnsi="仿宋" w:eastAsia="仿宋"/>
          <w:b/>
          <w:color w:val="000000"/>
          <w:sz w:val="32"/>
          <w:szCs w:val="32"/>
        </w:rPr>
        <w:t>年一般公共预算支出决算数为</w:t>
      </w:r>
      <w:r>
        <w:rPr>
          <w:rFonts w:hint="eastAsia" w:ascii="仿宋" w:hAnsi="仿宋" w:eastAsia="仿宋"/>
          <w:color w:val="000000"/>
          <w:sz w:val="32"/>
          <w:szCs w:val="32"/>
          <w:lang w:val="en-US" w:eastAsia="zh-CN"/>
        </w:rPr>
        <w:t>89.06</w:t>
      </w:r>
      <w:r>
        <w:rPr>
          <w:rFonts w:hint="eastAsia" w:ascii="仿宋" w:hAnsi="仿宋" w:eastAsia="仿宋"/>
          <w:b/>
          <w:color w:val="000000"/>
          <w:sz w:val="32"/>
          <w:szCs w:val="32"/>
          <w:lang w:val="en-US" w:eastAsia="zh-CN"/>
        </w:rPr>
        <w:t>万元</w:t>
      </w:r>
      <w:r>
        <w:rPr>
          <w:rFonts w:hint="eastAsia" w:ascii="仿宋" w:hAnsi="仿宋" w:eastAsia="仿宋"/>
          <w:color w:val="000000"/>
          <w:sz w:val="32"/>
          <w:szCs w:val="32"/>
        </w:rPr>
        <w:t>，</w:t>
      </w:r>
      <w:r>
        <w:rPr>
          <w:rStyle w:val="15"/>
          <w:rFonts w:hint="eastAsia" w:ascii="仿宋" w:hAnsi="仿宋" w:eastAsia="仿宋"/>
          <w:bCs/>
          <w:color w:val="000000"/>
          <w:sz w:val="32"/>
          <w:szCs w:val="32"/>
        </w:rPr>
        <w:t>完成预算</w:t>
      </w:r>
      <w:r>
        <w:rPr>
          <w:rStyle w:val="15"/>
          <w:rFonts w:hint="eastAsia" w:ascii="仿宋" w:hAnsi="仿宋" w:eastAsia="仿宋"/>
          <w:bCs/>
          <w:color w:val="000000"/>
          <w:sz w:val="32"/>
          <w:szCs w:val="32"/>
          <w:lang w:val="en-US" w:eastAsia="zh-CN"/>
        </w:rPr>
        <w:t>100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7"/>
      <w:bookmarkEnd w:id="38"/>
      <w:bookmarkEnd w:id="39"/>
    </w:p>
    <w:p>
      <w:pPr>
        <w:spacing w:line="600" w:lineRule="exact"/>
        <w:ind w:firstLine="643" w:firstLineChars="200"/>
        <w:rPr>
          <w:rStyle w:val="15"/>
          <w:rFonts w:hint="eastAsia" w:ascii="仿宋" w:hAnsi="仿宋" w:eastAsia="仿宋"/>
          <w:b w:val="0"/>
          <w:bCs/>
          <w:color w:val="000000"/>
          <w:sz w:val="32"/>
          <w:szCs w:val="32"/>
          <w:lang w:eastAsia="zh-CN"/>
        </w:rPr>
      </w:pPr>
      <w:r>
        <w:rPr>
          <w:rStyle w:val="15"/>
          <w:rFonts w:hint="eastAsia" w:ascii="仿宋" w:hAnsi="仿宋" w:eastAsia="仿宋"/>
          <w:bCs/>
          <w:color w:val="000000"/>
          <w:sz w:val="32"/>
          <w:szCs w:val="32"/>
          <w:lang w:val="en-US" w:eastAsia="zh-CN"/>
        </w:rPr>
        <w:t>1</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Fonts w:hint="eastAsia" w:ascii="仿宋" w:hAnsi="仿宋" w:eastAsia="仿宋"/>
          <w:color w:val="000000"/>
          <w:sz w:val="32"/>
          <w:szCs w:val="32"/>
          <w:lang w:val="en-US" w:eastAsia="zh-CN"/>
        </w:rPr>
        <w:t>80.71</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r>
        <w:rPr>
          <w:rStyle w:val="15"/>
          <w:rFonts w:hint="eastAsia" w:ascii="仿宋" w:hAnsi="仿宋" w:eastAsia="仿宋"/>
          <w:b w:val="0"/>
          <w:bCs/>
          <w:color w:val="000000"/>
          <w:sz w:val="32"/>
          <w:szCs w:val="32"/>
          <w:lang w:eastAsia="zh-CN"/>
        </w:rPr>
        <w:t>。其中：</w:t>
      </w:r>
    </w:p>
    <w:p>
      <w:pPr>
        <w:spacing w:line="600" w:lineRule="exact"/>
        <w:ind w:firstLine="640" w:firstLineChars="200"/>
        <w:rPr>
          <w:rStyle w:val="15"/>
          <w:rFonts w:hint="eastAsia" w:ascii="仿宋" w:hAnsi="仿宋" w:eastAsia="仿宋"/>
          <w:b w:val="0"/>
          <w:bCs/>
          <w:color w:val="000000"/>
          <w:sz w:val="32"/>
          <w:szCs w:val="32"/>
          <w:lang w:val="en-US" w:eastAsia="zh-CN"/>
        </w:rPr>
      </w:pPr>
      <w:r>
        <w:rPr>
          <w:rStyle w:val="15"/>
          <w:rFonts w:hint="eastAsia" w:ascii="仿宋" w:hAnsi="仿宋" w:eastAsia="仿宋"/>
          <w:b w:val="0"/>
          <w:bCs/>
          <w:color w:val="000000"/>
          <w:sz w:val="32"/>
          <w:szCs w:val="32"/>
          <w:lang w:val="en-US" w:eastAsia="zh-CN"/>
        </w:rPr>
        <w:t>2080505（机关事业单位基本养老保险缴费支出）决算数为5.25万元；</w:t>
      </w:r>
    </w:p>
    <w:p>
      <w:pPr>
        <w:spacing w:line="600" w:lineRule="exact"/>
        <w:ind w:firstLine="640" w:firstLineChars="200"/>
        <w:rPr>
          <w:rStyle w:val="15"/>
          <w:rFonts w:hint="eastAsia" w:ascii="仿宋" w:hAnsi="仿宋" w:eastAsia="仿宋"/>
          <w:b w:val="0"/>
          <w:bCs/>
          <w:color w:val="000000"/>
          <w:sz w:val="32"/>
          <w:szCs w:val="32"/>
          <w:lang w:val="en-US" w:eastAsia="zh-CN"/>
        </w:rPr>
      </w:pPr>
      <w:r>
        <w:rPr>
          <w:rStyle w:val="15"/>
          <w:rFonts w:hint="eastAsia" w:ascii="仿宋" w:hAnsi="仿宋" w:eastAsia="仿宋"/>
          <w:b w:val="0"/>
          <w:bCs/>
          <w:color w:val="000000"/>
          <w:sz w:val="32"/>
          <w:szCs w:val="32"/>
          <w:lang w:val="en-US" w:eastAsia="zh-CN"/>
        </w:rPr>
        <w:t>2080506（机关事业单位职业年金缴费支出）决算数为2.63万元；</w:t>
      </w:r>
    </w:p>
    <w:p>
      <w:pPr>
        <w:spacing w:line="600" w:lineRule="exact"/>
        <w:ind w:firstLine="640" w:firstLineChars="200"/>
        <w:rPr>
          <w:rStyle w:val="15"/>
          <w:rFonts w:hint="eastAsia" w:ascii="仿宋" w:hAnsi="仿宋" w:eastAsia="仿宋"/>
          <w:b w:val="0"/>
          <w:bCs/>
          <w:color w:val="000000"/>
          <w:sz w:val="32"/>
          <w:szCs w:val="32"/>
          <w:lang w:val="en-US" w:eastAsia="zh-CN"/>
        </w:rPr>
      </w:pPr>
      <w:r>
        <w:rPr>
          <w:rStyle w:val="15"/>
          <w:rFonts w:hint="eastAsia" w:ascii="仿宋" w:hAnsi="仿宋" w:eastAsia="仿宋"/>
          <w:b w:val="0"/>
          <w:bCs/>
          <w:color w:val="000000"/>
          <w:sz w:val="32"/>
          <w:szCs w:val="32"/>
          <w:lang w:val="en-US" w:eastAsia="zh-CN"/>
        </w:rPr>
        <w:t>2080903（军队移交政府离退休干部管理机构）决算数为72.57万元；</w:t>
      </w:r>
    </w:p>
    <w:p>
      <w:pPr>
        <w:spacing w:line="600" w:lineRule="exact"/>
        <w:ind w:firstLine="640" w:firstLineChars="200"/>
        <w:rPr>
          <w:rFonts w:hint="default"/>
          <w:lang w:val="en-US" w:eastAsia="zh-CN"/>
        </w:rPr>
      </w:pPr>
      <w:r>
        <w:rPr>
          <w:rStyle w:val="15"/>
          <w:rFonts w:hint="eastAsia" w:ascii="仿宋" w:hAnsi="仿宋" w:eastAsia="仿宋"/>
          <w:b w:val="0"/>
          <w:bCs/>
          <w:color w:val="000000"/>
          <w:sz w:val="32"/>
          <w:szCs w:val="32"/>
          <w:lang w:val="en-US" w:eastAsia="zh-CN"/>
        </w:rPr>
        <w:t>2089901（其他社会保障和就业支出）决算数为0.26万元；</w:t>
      </w:r>
    </w:p>
    <w:p>
      <w:pPr>
        <w:numPr>
          <w:ilvl w:val="0"/>
          <w:numId w:val="0"/>
        </w:numPr>
        <w:spacing w:line="600" w:lineRule="exact"/>
        <w:ind w:firstLine="643" w:firstLineChars="200"/>
        <w:rPr>
          <w:rStyle w:val="15"/>
          <w:rFonts w:hint="eastAsia" w:ascii="仿宋" w:hAnsi="仿宋" w:eastAsia="仿宋"/>
          <w:b w:val="0"/>
          <w:bCs/>
          <w:color w:val="000000"/>
          <w:sz w:val="32"/>
          <w:szCs w:val="32"/>
          <w:lang w:eastAsia="zh-CN"/>
        </w:rPr>
      </w:pPr>
      <w:r>
        <w:rPr>
          <w:rFonts w:hint="eastAsia" w:ascii="仿宋" w:hAnsi="仿宋" w:eastAsia="仿宋"/>
          <w:b/>
          <w:bCs/>
          <w:color w:val="000000"/>
          <w:sz w:val="32"/>
          <w:szCs w:val="32"/>
          <w:lang w:val="en-US" w:eastAsia="zh-CN"/>
        </w:rPr>
        <w:t>2.</w:t>
      </w:r>
      <w:r>
        <w:rPr>
          <w:rFonts w:hint="eastAsia" w:ascii="仿宋" w:hAnsi="仿宋" w:eastAsia="仿宋"/>
          <w:b/>
          <w:bCs/>
          <w:color w:val="000000"/>
          <w:sz w:val="32"/>
          <w:szCs w:val="32"/>
        </w:rPr>
        <w:t>卫生健康</w:t>
      </w:r>
      <w:r>
        <w:rPr>
          <w:rStyle w:val="15"/>
          <w:rFonts w:hint="eastAsia" w:ascii="仿宋" w:hAnsi="仿宋" w:eastAsia="仿宋"/>
          <w:b/>
          <w:bCs/>
          <w:color w:val="000000"/>
          <w:sz w:val="32"/>
          <w:szCs w:val="32"/>
        </w:rPr>
        <w:t>（类）</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r>
        <w:rPr>
          <w:rStyle w:val="15"/>
          <w:rFonts w:hint="eastAsia" w:ascii="仿宋" w:hAnsi="仿宋" w:eastAsia="仿宋"/>
          <w:b w:val="0"/>
          <w:bCs/>
          <w:color w:val="000000"/>
          <w:sz w:val="32"/>
          <w:szCs w:val="32"/>
          <w:lang w:eastAsia="zh-CN"/>
        </w:rPr>
        <w:t>其中：</w:t>
      </w:r>
    </w:p>
    <w:p>
      <w:pPr>
        <w:numPr>
          <w:ilvl w:val="0"/>
          <w:numId w:val="0"/>
        </w:numPr>
        <w:spacing w:line="600" w:lineRule="exact"/>
        <w:ind w:firstLine="640"/>
        <w:rPr>
          <w:rStyle w:val="15"/>
          <w:rFonts w:hint="eastAsia" w:ascii="仿宋" w:hAnsi="仿宋" w:eastAsia="仿宋"/>
          <w:b w:val="0"/>
          <w:bCs/>
          <w:color w:val="000000"/>
          <w:sz w:val="32"/>
          <w:szCs w:val="32"/>
          <w:lang w:val="en-US" w:eastAsia="zh-CN"/>
        </w:rPr>
      </w:pPr>
      <w:r>
        <w:rPr>
          <w:rStyle w:val="15"/>
          <w:rFonts w:hint="eastAsia" w:ascii="仿宋" w:hAnsi="仿宋" w:eastAsia="仿宋"/>
          <w:b w:val="0"/>
          <w:bCs/>
          <w:color w:val="000000"/>
          <w:sz w:val="32"/>
          <w:szCs w:val="32"/>
          <w:lang w:val="en-US" w:eastAsia="zh-CN"/>
        </w:rPr>
        <w:t>2101102（事业单位医疗）决算数为2万元。</w:t>
      </w:r>
    </w:p>
    <w:p>
      <w:pPr>
        <w:numPr>
          <w:ilvl w:val="0"/>
          <w:numId w:val="0"/>
        </w:numPr>
        <w:spacing w:line="600" w:lineRule="exact"/>
        <w:ind w:firstLine="643" w:firstLineChars="200"/>
        <w:rPr>
          <w:rStyle w:val="15"/>
          <w:rFonts w:hint="eastAsia" w:ascii="仿宋" w:hAnsi="仿宋" w:eastAsia="仿宋"/>
          <w:b w:val="0"/>
          <w:bCs/>
          <w:color w:val="000000"/>
          <w:sz w:val="32"/>
          <w:szCs w:val="32"/>
          <w:lang w:val="en-US" w:eastAsia="zh-CN"/>
        </w:rPr>
      </w:pPr>
      <w:r>
        <w:rPr>
          <w:rStyle w:val="15"/>
          <w:rFonts w:hint="eastAsia" w:ascii="仿宋" w:hAnsi="仿宋" w:eastAsia="仿宋"/>
          <w:b/>
          <w:bCs w:val="0"/>
          <w:color w:val="000000"/>
          <w:sz w:val="32"/>
          <w:szCs w:val="32"/>
          <w:lang w:val="en-US" w:eastAsia="zh-CN"/>
        </w:rPr>
        <w:t>3.住房保障（类)</w:t>
      </w:r>
      <w:r>
        <w:rPr>
          <w:rStyle w:val="15"/>
          <w:rFonts w:hint="eastAsia" w:ascii="仿宋" w:hAnsi="仿宋" w:eastAsia="仿宋"/>
          <w:b w:val="0"/>
          <w:bCs/>
          <w:color w:val="000000"/>
          <w:sz w:val="32"/>
          <w:szCs w:val="32"/>
          <w:lang w:val="en-US" w:eastAsia="zh-CN"/>
        </w:rPr>
        <w:t>支出决算为6.35万元，完成预算100%，决算数等于预算数。其中：</w:t>
      </w:r>
    </w:p>
    <w:p>
      <w:pPr>
        <w:numPr>
          <w:ilvl w:val="0"/>
          <w:numId w:val="0"/>
        </w:numPr>
        <w:spacing w:line="600" w:lineRule="exact"/>
        <w:rPr>
          <w:rStyle w:val="15"/>
          <w:rFonts w:hint="eastAsia" w:ascii="仿宋" w:hAnsi="仿宋" w:eastAsia="仿宋"/>
          <w:b w:val="0"/>
          <w:bCs/>
          <w:color w:val="000000"/>
          <w:sz w:val="32"/>
          <w:szCs w:val="32"/>
          <w:lang w:val="en-US" w:eastAsia="zh-CN"/>
        </w:rPr>
      </w:pPr>
      <w:r>
        <w:rPr>
          <w:rStyle w:val="15"/>
          <w:rFonts w:hint="eastAsia" w:ascii="仿宋" w:hAnsi="仿宋" w:eastAsia="仿宋"/>
          <w:b w:val="0"/>
          <w:bCs/>
          <w:color w:val="000000"/>
          <w:sz w:val="32"/>
          <w:szCs w:val="32"/>
          <w:lang w:val="en-US" w:eastAsia="zh-CN"/>
        </w:rPr>
        <w:t xml:space="preserve">    2210201（住房公积金）决算数为6.35万元。</w:t>
      </w:r>
    </w:p>
    <w:p>
      <w:pPr>
        <w:tabs>
          <w:tab w:val="right" w:pos="8306"/>
        </w:tabs>
        <w:spacing w:line="600" w:lineRule="exact"/>
        <w:ind w:firstLine="640" w:firstLineChars="200"/>
        <w:outlineLvl w:val="1"/>
        <w:rPr>
          <w:rStyle w:val="28"/>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40"/>
      <w:bookmarkEnd w:id="41"/>
      <w:r>
        <w:rPr>
          <w:rStyle w:val="28"/>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89.06</w:t>
      </w:r>
      <w:r>
        <w:rPr>
          <w:rFonts w:hint="eastAsia" w:ascii="仿宋" w:hAnsi="仿宋" w:eastAsia="仿宋"/>
          <w:color w:val="000000"/>
          <w:sz w:val="32"/>
          <w:szCs w:val="32"/>
        </w:rPr>
        <w:t>万元，其中：</w:t>
      </w:r>
    </w:p>
    <w:p>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54.75</w:t>
      </w:r>
      <w:r>
        <w:rPr>
          <w:rFonts w:hint="eastAsia" w:ascii="仿宋" w:hAnsi="仿宋" w:eastAsia="仿宋"/>
          <w:color w:val="000000"/>
          <w:sz w:val="32"/>
          <w:szCs w:val="32"/>
        </w:rPr>
        <w:t>万元，主要包括：基本工资</w:t>
      </w:r>
      <w:r>
        <w:rPr>
          <w:rFonts w:hint="eastAsia" w:ascii="仿宋" w:hAnsi="仿宋" w:eastAsia="仿宋"/>
          <w:color w:val="000000"/>
          <w:sz w:val="32"/>
          <w:szCs w:val="32"/>
          <w:lang w:val="en-US" w:eastAsia="zh-CN"/>
        </w:rPr>
        <w:t>18.41万元</w:t>
      </w:r>
      <w:r>
        <w:rPr>
          <w:rFonts w:hint="eastAsia" w:ascii="仿宋" w:hAnsi="仿宋" w:eastAsia="仿宋"/>
          <w:color w:val="000000"/>
          <w:sz w:val="32"/>
          <w:szCs w:val="32"/>
        </w:rPr>
        <w:t>、津贴补贴</w:t>
      </w:r>
      <w:r>
        <w:rPr>
          <w:rFonts w:hint="eastAsia" w:ascii="仿宋" w:hAnsi="仿宋" w:eastAsia="仿宋"/>
          <w:color w:val="000000"/>
          <w:sz w:val="32"/>
          <w:szCs w:val="32"/>
          <w:lang w:val="en-US" w:eastAsia="zh-CN"/>
        </w:rPr>
        <w:t>0.75万元</w:t>
      </w:r>
      <w:r>
        <w:rPr>
          <w:rFonts w:hint="eastAsia" w:ascii="仿宋" w:hAnsi="仿宋" w:eastAsia="仿宋"/>
          <w:color w:val="000000"/>
          <w:sz w:val="32"/>
          <w:szCs w:val="32"/>
        </w:rPr>
        <w:t>、绩效工资</w:t>
      </w:r>
      <w:r>
        <w:rPr>
          <w:rFonts w:hint="eastAsia" w:ascii="仿宋" w:hAnsi="仿宋" w:eastAsia="仿宋"/>
          <w:color w:val="000000"/>
          <w:sz w:val="32"/>
          <w:szCs w:val="32"/>
          <w:lang w:val="en-US" w:eastAsia="zh-CN"/>
        </w:rPr>
        <w:t>10.77万元</w:t>
      </w:r>
      <w:r>
        <w:rPr>
          <w:rFonts w:hint="eastAsia" w:ascii="仿宋" w:hAnsi="仿宋" w:eastAsia="仿宋"/>
          <w:color w:val="000000"/>
          <w:sz w:val="32"/>
          <w:szCs w:val="32"/>
        </w:rPr>
        <w:t>、机关事业单位基本养老保险缴费</w:t>
      </w:r>
      <w:r>
        <w:rPr>
          <w:rFonts w:hint="eastAsia" w:ascii="仿宋" w:hAnsi="仿宋" w:eastAsia="仿宋"/>
          <w:color w:val="000000"/>
          <w:sz w:val="32"/>
          <w:szCs w:val="32"/>
          <w:lang w:val="en-US" w:eastAsia="zh-CN"/>
        </w:rPr>
        <w:t>5.25万元</w:t>
      </w:r>
      <w:r>
        <w:rPr>
          <w:rFonts w:hint="eastAsia" w:ascii="仿宋" w:hAnsi="仿宋" w:eastAsia="仿宋"/>
          <w:color w:val="000000"/>
          <w:sz w:val="32"/>
          <w:szCs w:val="32"/>
        </w:rPr>
        <w:t>、职业年金缴费</w:t>
      </w:r>
      <w:r>
        <w:rPr>
          <w:rFonts w:hint="eastAsia" w:ascii="仿宋" w:hAnsi="仿宋" w:eastAsia="仿宋"/>
          <w:color w:val="000000"/>
          <w:sz w:val="32"/>
          <w:szCs w:val="32"/>
          <w:lang w:val="en-US" w:eastAsia="zh-CN"/>
        </w:rPr>
        <w:t>2.63万元</w:t>
      </w:r>
      <w:r>
        <w:rPr>
          <w:rFonts w:hint="eastAsia" w:ascii="仿宋" w:hAnsi="仿宋" w:eastAsia="仿宋"/>
          <w:color w:val="000000"/>
          <w:sz w:val="32"/>
          <w:szCs w:val="32"/>
        </w:rPr>
        <w:t>、其他社会保障缴费</w:t>
      </w:r>
      <w:r>
        <w:rPr>
          <w:rFonts w:hint="eastAsia" w:ascii="仿宋" w:hAnsi="仿宋" w:eastAsia="仿宋"/>
          <w:color w:val="000000"/>
          <w:sz w:val="32"/>
          <w:szCs w:val="32"/>
          <w:lang w:val="en-US" w:eastAsia="zh-CN"/>
        </w:rPr>
        <w:t>0.26万元</w:t>
      </w:r>
      <w:r>
        <w:rPr>
          <w:rFonts w:hint="eastAsia" w:ascii="仿宋" w:hAnsi="仿宋" w:eastAsia="仿宋"/>
          <w:color w:val="000000"/>
          <w:sz w:val="32"/>
          <w:szCs w:val="32"/>
        </w:rPr>
        <w:t>、其他工资福利支出</w:t>
      </w:r>
      <w:r>
        <w:rPr>
          <w:rFonts w:hint="eastAsia" w:ascii="仿宋" w:hAnsi="仿宋" w:eastAsia="仿宋"/>
          <w:color w:val="000000"/>
          <w:sz w:val="32"/>
          <w:szCs w:val="32"/>
          <w:lang w:val="en-US" w:eastAsia="zh-CN"/>
        </w:rPr>
        <w:t>8.32万元</w:t>
      </w:r>
      <w:r>
        <w:rPr>
          <w:rFonts w:hint="eastAsia" w:ascii="仿宋" w:hAnsi="仿宋" w:eastAsia="仿宋"/>
          <w:color w:val="000000"/>
          <w:sz w:val="32"/>
          <w:szCs w:val="32"/>
        </w:rPr>
        <w:t>、住房公积金</w:t>
      </w:r>
      <w:r>
        <w:rPr>
          <w:rFonts w:hint="eastAsia" w:ascii="仿宋" w:hAnsi="仿宋" w:eastAsia="仿宋"/>
          <w:color w:val="000000"/>
          <w:sz w:val="32"/>
          <w:szCs w:val="32"/>
          <w:lang w:val="en-US" w:eastAsia="zh-CN"/>
        </w:rPr>
        <w:t>6.35万元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职工基本医疗保险缴费</w:t>
      </w:r>
      <w:r>
        <w:rPr>
          <w:rFonts w:hint="eastAsia" w:ascii="仿宋" w:hAnsi="仿宋" w:eastAsia="仿宋"/>
          <w:color w:val="000000"/>
          <w:sz w:val="32"/>
          <w:szCs w:val="32"/>
          <w:lang w:val="en-US" w:eastAsia="zh-CN"/>
        </w:rPr>
        <w:t>2万元</w:t>
      </w:r>
      <w:r>
        <w:rPr>
          <w:rFonts w:hint="eastAsia" w:ascii="仿宋" w:hAnsi="仿宋" w:eastAsia="仿宋"/>
          <w:color w:val="000000"/>
          <w:sz w:val="32"/>
          <w:szCs w:val="32"/>
        </w:rPr>
        <w:t>。</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w:t>
      </w:r>
    </w:p>
    <w:p>
      <w:pPr>
        <w:spacing w:line="600" w:lineRule="exact"/>
        <w:outlineLvl w:val="1"/>
        <w:rPr>
          <w:rFonts w:hint="eastAsia" w:ascii="黑体" w:eastAsia="黑体"/>
          <w:color w:val="000000"/>
          <w:sz w:val="32"/>
          <w:szCs w:val="32"/>
        </w:rPr>
      </w:pPr>
      <w:bookmarkStart w:id="42" w:name="_Toc15377215"/>
      <w:bookmarkStart w:id="43" w:name="_Toc15396609"/>
    </w:p>
    <w:p>
      <w:pPr>
        <w:spacing w:line="600" w:lineRule="exact"/>
        <w:ind w:firstLine="640"/>
        <w:outlineLvl w:val="1"/>
        <w:rPr>
          <w:rStyle w:val="28"/>
          <w:rFonts w:ascii="黑体" w:hAnsi="黑体" w:eastAsia="黑体"/>
          <w:b w:val="0"/>
        </w:rPr>
      </w:pPr>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2.89</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2.78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96.19</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0.11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13.81</w:t>
      </w:r>
      <w:r>
        <w:rPr>
          <w:rFonts w:ascii="仿宋" w:hAnsi="仿宋" w:eastAsia="仿宋"/>
          <w:color w:val="000000"/>
          <w:sz w:val="32"/>
          <w:szCs w:val="32"/>
        </w:rPr>
        <w:t>%</w:t>
      </w:r>
      <w:r>
        <w:rPr>
          <w:rFonts w:hint="eastAsia" w:ascii="仿宋" w:hAnsi="仿宋" w:eastAsia="仿宋"/>
          <w:color w:val="000000"/>
          <w:sz w:val="32"/>
          <w:szCs w:val="32"/>
        </w:rPr>
        <w:t>。具体情况如下：</w:t>
      </w:r>
    </w:p>
    <w:p>
      <w:pPr>
        <w:pStyle w:val="2"/>
        <w:jc w:val="center"/>
        <w:rPr>
          <w:rFonts w:hint="eastAsia" w:ascii="仿宋" w:hAnsi="仿宋" w:eastAsia="仿宋"/>
          <w:color w:val="000000"/>
          <w:sz w:val="32"/>
          <w:szCs w:val="32"/>
          <w:lang w:eastAsia="zh-CN"/>
        </w:rPr>
      </w:pPr>
      <w:r>
        <w:drawing>
          <wp:inline distT="0" distB="0" distL="114300" distR="114300">
            <wp:extent cx="3813175" cy="1915160"/>
            <wp:effectExtent l="4445" t="4445" r="11430" b="2349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jc w:val="center"/>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w:t>
      </w:r>
    </w:p>
    <w:p>
      <w:pPr>
        <w:spacing w:line="600" w:lineRule="exact"/>
        <w:ind w:firstLine="640"/>
        <w:rPr>
          <w:rFonts w:hint="eastAsia" w:ascii="宋体" w:hAnsi="宋体" w:eastAsia="宋体" w:cs="宋体"/>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val="en-US" w:eastAsia="zh-CN"/>
        </w:rPr>
        <w:t>0</w:t>
      </w:r>
      <w:r>
        <w:rPr>
          <w:rFonts w:hint="eastAsia" w:ascii="宋体" w:hAnsi="宋体" w:eastAsia="宋体" w:cs="宋体"/>
          <w:color w:val="000000"/>
          <w:sz w:val="32"/>
          <w:szCs w:val="32"/>
        </w:rPr>
        <w:t>万元，</w:t>
      </w:r>
      <w:r>
        <w:rPr>
          <w:rStyle w:val="15"/>
          <w:rFonts w:hint="eastAsia" w:ascii="宋体" w:hAnsi="宋体" w:eastAsia="宋体" w:cs="宋体"/>
          <w:b w:val="0"/>
          <w:bCs/>
          <w:color w:val="000000"/>
          <w:sz w:val="32"/>
          <w:szCs w:val="32"/>
        </w:rPr>
        <w:t>完成预算</w:t>
      </w:r>
      <w:r>
        <w:rPr>
          <w:rStyle w:val="15"/>
          <w:rFonts w:hint="eastAsia" w:ascii="宋体" w:hAnsi="宋体" w:eastAsia="宋体" w:cs="宋体"/>
          <w:b w:val="0"/>
          <w:bCs/>
          <w:color w:val="000000"/>
          <w:sz w:val="32"/>
          <w:szCs w:val="32"/>
          <w:lang w:val="en-US" w:eastAsia="zh-CN"/>
        </w:rPr>
        <w:t>0</w:t>
      </w:r>
      <w:r>
        <w:rPr>
          <w:rStyle w:val="15"/>
          <w:rFonts w:hint="eastAsia" w:ascii="宋体" w:hAnsi="宋体" w:eastAsia="宋体" w:cs="宋体"/>
          <w:b w:val="0"/>
          <w:bCs/>
          <w:color w:val="000000"/>
          <w:sz w:val="32"/>
          <w:szCs w:val="32"/>
        </w:rPr>
        <w:t>%。</w:t>
      </w:r>
      <w:r>
        <w:rPr>
          <w:rFonts w:hint="eastAsia" w:ascii="宋体" w:hAnsi="宋体" w:eastAsia="宋体" w:cs="宋体"/>
          <w:color w:val="000000"/>
          <w:sz w:val="32"/>
          <w:szCs w:val="32"/>
        </w:rPr>
        <w:t>全年安排因公出国（境）团组</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次，出国（境）</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人。因公出国（境）支出决算</w:t>
      </w:r>
      <w:r>
        <w:rPr>
          <w:rFonts w:hint="eastAsia" w:ascii="宋体" w:hAnsi="宋体" w:eastAsia="宋体" w:cs="宋体"/>
          <w:color w:val="000000"/>
          <w:sz w:val="32"/>
          <w:szCs w:val="32"/>
          <w:lang w:eastAsia="zh-CN"/>
        </w:rPr>
        <w:t>与</w:t>
      </w:r>
      <w:r>
        <w:rPr>
          <w:rFonts w:hint="eastAsia" w:ascii="宋体" w:hAnsi="宋体" w:eastAsia="宋体" w:cs="宋体"/>
          <w:color w:val="000000"/>
          <w:sz w:val="32"/>
          <w:szCs w:val="32"/>
        </w:rPr>
        <w:t>201</w:t>
      </w:r>
      <w:r>
        <w:rPr>
          <w:rFonts w:hint="eastAsia" w:ascii="宋体" w:hAnsi="宋体" w:eastAsia="宋体" w:cs="宋体"/>
          <w:color w:val="000000"/>
          <w:sz w:val="32"/>
          <w:szCs w:val="32"/>
          <w:lang w:val="en-US" w:eastAsia="zh-CN"/>
        </w:rPr>
        <w:t>9</w:t>
      </w:r>
      <w:r>
        <w:rPr>
          <w:rFonts w:hint="eastAsia" w:ascii="宋体" w:hAnsi="宋体" w:eastAsia="宋体" w:cs="宋体"/>
          <w:color w:val="000000"/>
          <w:sz w:val="32"/>
          <w:szCs w:val="32"/>
        </w:rPr>
        <w:t>年</w:t>
      </w:r>
      <w:r>
        <w:rPr>
          <w:rFonts w:hint="eastAsia" w:ascii="宋体" w:hAnsi="宋体" w:eastAsia="宋体" w:cs="宋体"/>
          <w:color w:val="000000"/>
          <w:sz w:val="32"/>
          <w:szCs w:val="32"/>
          <w:lang w:eastAsia="zh-CN"/>
        </w:rPr>
        <w:t>无变化</w:t>
      </w:r>
      <w:r>
        <w:rPr>
          <w:rFonts w:hint="eastAsia" w:ascii="宋体" w:hAnsi="宋体" w:eastAsia="宋体" w:cs="宋体"/>
          <w:color w:val="000000"/>
          <w:sz w:val="32"/>
          <w:szCs w:val="32"/>
        </w:rPr>
        <w:t>。</w:t>
      </w:r>
      <w:r>
        <w:rPr>
          <w:rFonts w:hint="eastAsia" w:ascii="宋体" w:hAnsi="宋体" w:eastAsia="宋体" w:cs="宋体"/>
          <w:color w:val="000000"/>
          <w:sz w:val="32"/>
          <w:szCs w:val="32"/>
          <w:lang w:eastAsia="zh-CN"/>
        </w:rPr>
        <w:t>主要原因是单位未安排因公出国（境）。</w:t>
      </w:r>
    </w:p>
    <w:p>
      <w:pPr>
        <w:spacing w:line="600" w:lineRule="exact"/>
        <w:ind w:firstLine="640"/>
        <w:rPr>
          <w:rFonts w:hint="eastAsia" w:ascii="宋体" w:hAnsi="宋体" w:eastAsia="宋体" w:cs="宋体"/>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 w:hAnsi="仿宋" w:eastAsia="仿宋"/>
          <w:color w:val="000000"/>
          <w:sz w:val="32"/>
          <w:szCs w:val="32"/>
          <w:lang w:val="en-US" w:eastAsia="zh-CN"/>
        </w:rPr>
        <w:t>2.78</w:t>
      </w:r>
      <w:r>
        <w:rPr>
          <w:rFonts w:hint="eastAsia" w:ascii="宋体" w:hAnsi="宋体" w:eastAsia="宋体" w:cs="宋体"/>
          <w:color w:val="000000"/>
          <w:sz w:val="32"/>
          <w:szCs w:val="32"/>
        </w:rPr>
        <w:t>万元,</w:t>
      </w:r>
      <w:r>
        <w:rPr>
          <w:rStyle w:val="15"/>
          <w:rFonts w:hint="eastAsia" w:ascii="宋体" w:hAnsi="宋体" w:eastAsia="宋体" w:cs="宋体"/>
          <w:b w:val="0"/>
          <w:bCs/>
          <w:color w:val="000000"/>
          <w:sz w:val="32"/>
          <w:szCs w:val="32"/>
        </w:rPr>
        <w:t>完成预算</w:t>
      </w:r>
      <w:r>
        <w:rPr>
          <w:rStyle w:val="15"/>
          <w:rFonts w:hint="eastAsia" w:ascii="宋体" w:hAnsi="宋体" w:eastAsia="宋体" w:cs="宋体"/>
          <w:b w:val="0"/>
          <w:bCs/>
          <w:color w:val="000000"/>
          <w:sz w:val="32"/>
          <w:szCs w:val="32"/>
          <w:lang w:val="en-US" w:eastAsia="zh-CN"/>
        </w:rPr>
        <w:t>100</w:t>
      </w:r>
      <w:r>
        <w:rPr>
          <w:rStyle w:val="15"/>
          <w:rFonts w:hint="eastAsia" w:ascii="宋体" w:hAnsi="宋体" w:eastAsia="宋体" w:cs="宋体"/>
          <w:b w:val="0"/>
          <w:bCs/>
          <w:color w:val="000000"/>
          <w:sz w:val="32"/>
          <w:szCs w:val="32"/>
        </w:rPr>
        <w:t>%</w:t>
      </w:r>
      <w:r>
        <w:rPr>
          <w:rFonts w:hint="eastAsia" w:ascii="宋体" w:hAnsi="宋体" w:eastAsia="宋体" w:cs="宋体"/>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w:t>
      </w:r>
      <w:r>
        <w:rPr>
          <w:rFonts w:hint="eastAsia" w:ascii="仿宋_GB2312" w:eastAsia="仿宋_GB2312"/>
          <w:color w:val="000000"/>
          <w:sz w:val="32"/>
          <w:szCs w:val="32"/>
          <w:lang w:eastAsia="zh-CN"/>
        </w:rPr>
        <w:t>军休干部用车</w:t>
      </w:r>
      <w:r>
        <w:rPr>
          <w:rFonts w:hint="eastAsia" w:ascii="仿宋_GB2312" w:eastAsia="仿宋_GB2312"/>
          <w:color w:val="000000"/>
          <w:sz w:val="32"/>
          <w:szCs w:val="32"/>
          <w:lang w:val="en-US" w:eastAsia="zh-CN"/>
        </w:rPr>
        <w:t>2辆</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 w:hAnsi="仿宋" w:eastAsia="仿宋"/>
          <w:color w:val="000000"/>
          <w:sz w:val="32"/>
          <w:szCs w:val="32"/>
          <w:lang w:val="en-US" w:eastAsia="zh-CN"/>
        </w:rPr>
        <w:t>2.78</w:t>
      </w:r>
      <w:r>
        <w:rPr>
          <w:rFonts w:hint="eastAsia" w:ascii="仿宋_GB2312" w:eastAsia="仿宋_GB2312"/>
          <w:color w:val="000000"/>
          <w:sz w:val="32"/>
          <w:szCs w:val="32"/>
        </w:rPr>
        <w:t>万元。主要</w:t>
      </w:r>
      <w:r>
        <w:rPr>
          <w:rFonts w:hint="eastAsia" w:ascii="仿宋_GB2312" w:eastAsia="仿宋_GB2312"/>
          <w:color w:val="000000"/>
          <w:sz w:val="32"/>
          <w:szCs w:val="32"/>
          <w:lang w:eastAsia="zh-CN"/>
        </w:rPr>
        <w:t>用于年老体弱军休干部参加集体活动接送、军休干部日常活动接送、走访慰问军休干部、保障单位正常运转勤务</w:t>
      </w:r>
      <w:r>
        <w:rPr>
          <w:rFonts w:hint="eastAsia" w:ascii="仿宋_GB2312" w:eastAsia="仿宋_GB2312"/>
          <w:color w:val="000000"/>
          <w:sz w:val="32"/>
          <w:szCs w:val="32"/>
        </w:rPr>
        <w:t>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b/>
          <w:color w:val="000000"/>
          <w:sz w:val="32"/>
          <w:szCs w:val="32"/>
          <w:lang w:val="en-US" w:eastAsia="zh-CN"/>
        </w:rPr>
        <w:t>0.11</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0.045</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69.23</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接待次数超过</w:t>
      </w:r>
      <w:r>
        <w:rPr>
          <w:rFonts w:hint="eastAsia" w:ascii="仿宋_GB2312" w:eastAsia="仿宋_GB2312"/>
          <w:color w:val="000000"/>
          <w:sz w:val="32"/>
          <w:szCs w:val="32"/>
          <w:lang w:val="en-US" w:eastAsia="zh-CN"/>
        </w:rPr>
        <w:t>2019年</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b/>
          <w:color w:val="000000"/>
          <w:sz w:val="32"/>
          <w:szCs w:val="32"/>
          <w:lang w:val="en-US" w:eastAsia="zh-CN"/>
        </w:rPr>
        <w:t>0.11</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迎接上级检查、迎接参观学习的</w:t>
      </w:r>
      <w:r>
        <w:rPr>
          <w:rFonts w:hint="eastAsia" w:ascii="仿宋_GB2312" w:eastAsia="仿宋_GB2312"/>
          <w:color w:val="000000"/>
          <w:sz w:val="32"/>
          <w:szCs w:val="32"/>
        </w:rPr>
        <w:t>用餐费等。国内公务接待</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0.11</w:t>
      </w:r>
      <w:r>
        <w:rPr>
          <w:rFonts w:hint="eastAsia" w:ascii="仿宋_GB2312" w:eastAsia="仿宋_GB2312"/>
          <w:color w:val="000000"/>
          <w:sz w:val="32"/>
          <w:szCs w:val="32"/>
        </w:rPr>
        <w:t>万元，具体内容</w:t>
      </w:r>
      <w:r>
        <w:rPr>
          <w:rFonts w:hint="eastAsia" w:ascii="仿宋_GB2312" w:eastAsia="仿宋_GB2312"/>
          <w:color w:val="000000"/>
          <w:sz w:val="32"/>
          <w:szCs w:val="32"/>
          <w:lang w:eastAsia="zh-CN"/>
        </w:rPr>
        <w:t>是</w:t>
      </w:r>
      <w:r>
        <w:rPr>
          <w:rFonts w:hint="eastAsia" w:ascii="仿宋_GB2312" w:eastAsia="仿宋_GB2312"/>
          <w:color w:val="000000"/>
          <w:sz w:val="32"/>
          <w:szCs w:val="32"/>
        </w:rPr>
        <w:t>：</w:t>
      </w:r>
      <w:r>
        <w:rPr>
          <w:rFonts w:hint="eastAsia" w:ascii="仿宋_GB2312" w:eastAsia="仿宋_GB2312"/>
          <w:color w:val="000000"/>
          <w:sz w:val="32"/>
          <w:szCs w:val="32"/>
          <w:lang w:eastAsia="zh-CN"/>
        </w:rPr>
        <w:t>省内军休系统单位赴峨考察学习、省退役军人事务厅赴峨调研双拥工作。</w:t>
      </w:r>
    </w:p>
    <w:p>
      <w:pPr>
        <w:spacing w:line="600" w:lineRule="exact"/>
        <w:ind w:firstLine="640"/>
        <w:outlineLvl w:val="1"/>
        <w:rPr>
          <w:rFonts w:hint="eastAsia" w:ascii="仿宋_GB2312" w:eastAsia="仿宋_GB2312"/>
          <w:color w:val="000000"/>
          <w:sz w:val="32"/>
          <w:szCs w:val="32"/>
          <w:lang w:eastAsia="zh-CN"/>
        </w:rPr>
      </w:pPr>
      <w:r>
        <w:rPr>
          <w:rFonts w:hint="eastAsia" w:ascii="仿宋" w:hAnsi="仿宋" w:eastAsia="仿宋"/>
          <w:b/>
          <w:color w:val="000000"/>
          <w:sz w:val="32"/>
          <w:szCs w:val="32"/>
        </w:rPr>
        <w:t>外事接待支出</w:t>
      </w:r>
      <w:r>
        <w:rPr>
          <w:rFonts w:hint="eastAsia" w:ascii="仿宋" w:hAnsi="仿宋" w:eastAsia="仿宋"/>
          <w:b/>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bookmarkStart w:id="46" w:name="_Toc15396610"/>
      <w:bookmarkStart w:id="47" w:name="_Toc15377218"/>
      <w:bookmarkStart w:id="72" w:name="_GoBack"/>
      <w:bookmarkEnd w:id="72"/>
    </w:p>
    <w:p>
      <w:pPr>
        <w:spacing w:line="600" w:lineRule="exact"/>
        <w:ind w:firstLine="640"/>
        <w:outlineLvl w:val="1"/>
        <w:rPr>
          <w:rStyle w:val="28"/>
          <w:rFonts w:ascii="黑体" w:hAnsi="黑体" w:eastAsia="黑体"/>
        </w:rPr>
      </w:pPr>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8"/>
          <w:rFonts w:ascii="黑体" w:hAnsi="黑体" w:eastAsia="黑体"/>
          <w:b w:val="0"/>
        </w:rPr>
      </w:pPr>
      <w:bookmarkStart w:id="48" w:name="_Toc15377219"/>
      <w:bookmarkStart w:id="49" w:name="_Toc15396611"/>
      <w:r>
        <w:rPr>
          <w:rStyle w:val="28"/>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8"/>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 w:hAnsi="仿宋" w:eastAsia="仿宋"/>
          <w:b/>
          <w:color w:val="FF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峨眉山市军队离退休干部干休所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与</w:t>
      </w:r>
      <w:r>
        <w:rPr>
          <w:rFonts w:ascii="仿宋_GB2312" w:eastAsia="仿宋_GB2312"/>
          <w:color w:val="000000"/>
          <w:sz w:val="32"/>
          <w:szCs w:val="32"/>
        </w:rPr>
        <w:t>2019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无变化。主要原因是峨眉山市军队离退休干部干休所是全额拨款事业单位不是行政单位，所以无机关运行经费。</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 w:hAnsi="仿宋" w:eastAsia="仿宋"/>
          <w:b/>
          <w:color w:val="FF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峨眉山市军队离退休干部干休所</w:t>
      </w:r>
      <w:r>
        <w:rPr>
          <w:rFonts w:hint="eastAsia" w:ascii="仿宋_GB2312" w:eastAsia="仿宋_GB2312"/>
          <w:color w:val="000000"/>
          <w:sz w:val="32"/>
          <w:szCs w:val="32"/>
        </w:rPr>
        <w:t>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峨眉山市军队离退休干部干休所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其他用车主要</w:t>
      </w:r>
      <w:r>
        <w:rPr>
          <w:rFonts w:hint="eastAsia" w:ascii="仿宋_GB2312" w:eastAsia="仿宋_GB2312"/>
          <w:color w:val="000000"/>
          <w:sz w:val="32"/>
          <w:szCs w:val="32"/>
          <w:lang w:eastAsia="zh-CN"/>
        </w:rPr>
        <w:t>年老体弱军休干部参加集体活动接送、军休干部日常活动接送、走访慰问军休干部、保障单位正常运转勤务</w:t>
      </w:r>
      <w:r>
        <w:rPr>
          <w:rFonts w:hint="eastAsia" w:ascii="仿宋_GB2312" w:eastAsia="仿宋_GB2312"/>
          <w:color w:val="000000"/>
          <w:sz w:val="32"/>
          <w:szCs w:val="32"/>
        </w:rPr>
        <w:t>等</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30"/>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30"/>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19"/>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19"/>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19"/>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19"/>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19"/>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19"/>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19"/>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19"/>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1" w:firstLineChars="0"/>
        <w:jc w:val="left"/>
        <w:textAlignment w:val="auto"/>
        <w:outlineLvl w:val="9"/>
        <w:rPr>
          <w:rFonts w:hint="eastAsia" w:ascii="仿宋_GB2312" w:hAnsi="仿宋_GB2312" w:eastAsia="仿宋_GB2312" w:cs="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社会保障和就业</w:t>
      </w:r>
      <w:r>
        <w:rPr>
          <w:rFonts w:hint="eastAsia" w:ascii="仿宋_GB2312" w:eastAsia="仿宋_GB2312"/>
          <w:color w:val="000000"/>
          <w:sz w:val="32"/>
          <w:szCs w:val="32"/>
          <w:lang w:eastAsia="zh-CN"/>
        </w:rPr>
        <w:t>：</w:t>
      </w:r>
      <w:r>
        <w:rPr>
          <w:rFonts w:hint="eastAsia" w:ascii="仿宋_GB2312" w:hAnsi="仿宋_GB2312" w:eastAsia="仿宋_GB2312" w:cs="仿宋_GB2312"/>
          <w:sz w:val="32"/>
          <w:szCs w:val="32"/>
        </w:rPr>
        <w:t>2080505机关事业单位基本养老保险缴费支出反映机关事业单位实施养老保险制度由单位缴纳的基本养老保险费支出；2080506机关事业单位职业年金缴费支出反映机关事业单位实施养老保险制度由单位实际缴纳的职业年金支出；</w:t>
      </w:r>
      <w:r>
        <w:rPr>
          <w:rFonts w:hint="eastAsia" w:ascii="仿宋_GB2312" w:hAnsi="仿宋_GB2312" w:eastAsia="仿宋_GB2312" w:cs="仿宋_GB2312"/>
          <w:sz w:val="32"/>
          <w:szCs w:val="32"/>
          <w:lang w:val="en-US" w:eastAsia="zh-CN"/>
        </w:rPr>
        <w:t>2080903</w:t>
      </w:r>
      <w:r>
        <w:rPr>
          <w:rStyle w:val="15"/>
          <w:rFonts w:hint="eastAsia" w:ascii="仿宋" w:hAnsi="仿宋" w:eastAsia="仿宋"/>
          <w:b w:val="0"/>
          <w:bCs/>
          <w:color w:val="000000"/>
          <w:sz w:val="32"/>
          <w:szCs w:val="32"/>
          <w:lang w:val="en-US" w:eastAsia="zh-CN"/>
        </w:rPr>
        <w:t>军队移交政府离退休干部管理机构</w:t>
      </w:r>
      <w:r>
        <w:rPr>
          <w:rFonts w:hint="eastAsia" w:ascii="仿宋_GB2312" w:hAnsi="仿宋_GB2312" w:eastAsia="仿宋_GB2312" w:cs="仿宋_GB2312"/>
          <w:sz w:val="32"/>
          <w:szCs w:val="32"/>
          <w:lang w:val="en-US" w:eastAsia="zh-CN"/>
        </w:rPr>
        <w:t>反映军休服务管理机构基本、项目经费支出；2089901指其他社会保障和就业支出</w:t>
      </w:r>
      <w:r>
        <w:rPr>
          <w:rFonts w:hint="eastAsia" w:ascii="仿宋_GB2312" w:hAnsi="仿宋_GB2312" w:eastAsia="仿宋_GB2312" w:cs="仿宋_GB2312"/>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医疗卫生与计划生育</w:t>
      </w:r>
      <w:r>
        <w:rPr>
          <w:rFonts w:hint="eastAsia" w:ascii="仿宋_GB2312" w:eastAsia="仿宋_GB2312"/>
          <w:color w:val="000000"/>
          <w:sz w:val="32"/>
          <w:szCs w:val="32"/>
          <w:lang w:val="en-US" w:eastAsia="zh-CN"/>
        </w:rPr>
        <w:t>:</w:t>
      </w:r>
      <w:r>
        <w:rPr>
          <w:rFonts w:hint="eastAsia" w:ascii="仿宋_GB2312" w:hAnsi="Times New Roman" w:eastAsia="仿宋_GB2312"/>
          <w:sz w:val="32"/>
          <w:szCs w:val="32"/>
          <w:lang w:val="en-US" w:eastAsia="zh-CN"/>
        </w:rPr>
        <w:t>2101102指事业单位医疗支出</w:t>
      </w:r>
      <w:r>
        <w:rPr>
          <w:rFonts w:hint="eastAsia" w:ascii="仿宋_GB2312" w:eastAsia="仿宋_GB2312"/>
          <w:sz w:val="32"/>
          <w:szCs w:val="32"/>
          <w:lang w:val="en-US" w:eastAsia="zh-CN"/>
        </w:rPr>
        <w:t>。</w:t>
      </w:r>
    </w:p>
    <w:p>
      <w:pPr>
        <w:pStyle w:val="19"/>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Times New Roman" w:eastAsia="仿宋_GB2312"/>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住房保障</w:t>
      </w:r>
      <w:r>
        <w:rPr>
          <w:rFonts w:hint="eastAsia" w:ascii="仿宋_GB2312" w:eastAsia="仿宋_GB2312"/>
          <w:color w:val="000000"/>
          <w:sz w:val="32"/>
          <w:szCs w:val="32"/>
          <w:lang w:eastAsia="zh-CN"/>
        </w:rPr>
        <w:t>：</w:t>
      </w:r>
      <w:r>
        <w:rPr>
          <w:rFonts w:hint="eastAsia" w:ascii="仿宋_GB2312" w:hAnsi="Times New Roman" w:eastAsia="仿宋_GB2312"/>
          <w:sz w:val="32"/>
          <w:szCs w:val="32"/>
          <w:lang w:val="en-US" w:eastAsia="zh-CN"/>
        </w:rPr>
        <w:t>2210201</w:t>
      </w:r>
      <w:r>
        <w:rPr>
          <w:rFonts w:hint="eastAsia" w:ascii="仿宋_GB2312" w:hAnsi="Times New Roman" w:eastAsia="仿宋_GB2312"/>
          <w:sz w:val="32"/>
          <w:szCs w:val="32"/>
          <w:lang w:eastAsia="zh-CN"/>
        </w:rPr>
        <w:t>指住房公积金支出</w:t>
      </w:r>
      <w:r>
        <w:rPr>
          <w:rFonts w:hint="eastAsia" w:ascii="仿宋_GB2312" w:hAnsi="Times New Roman" w:eastAsia="仿宋_GB2312"/>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19"/>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9"/>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both"/>
        <w:outlineLvl w:val="0"/>
        <w:rPr>
          <w:rFonts w:hint="eastAsia" w:ascii="黑体" w:hAnsi="黑体" w:eastAsia="黑体"/>
          <w:color w:val="000000"/>
          <w:sz w:val="44"/>
          <w:szCs w:val="44"/>
        </w:rPr>
      </w:pPr>
      <w:bookmarkStart w:id="57" w:name="_Toc15377226"/>
      <w:bookmarkStart w:id="58" w:name="_Toc15396618"/>
    </w:p>
    <w:p>
      <w:pPr>
        <w:spacing w:line="600" w:lineRule="exact"/>
        <w:jc w:val="center"/>
        <w:outlineLvl w:val="0"/>
        <w:rPr>
          <w:rStyle w:val="30"/>
          <w:rFonts w:ascii="黑体" w:hAnsi="黑体" w:eastAsia="黑体"/>
          <w:b w:val="0"/>
        </w:rPr>
      </w:pPr>
      <w:r>
        <w:rPr>
          <w:rFonts w:hint="eastAsia" w:ascii="黑体" w:hAnsi="黑体" w:eastAsia="黑体"/>
          <w:color w:val="000000"/>
          <w:sz w:val="44"/>
          <w:szCs w:val="44"/>
        </w:rPr>
        <w:t>第</w:t>
      </w:r>
      <w:r>
        <w:rPr>
          <w:rFonts w:hint="eastAsia" w:ascii="黑体" w:hAnsi="黑体" w:eastAsia="黑体"/>
          <w:color w:val="000000"/>
          <w:sz w:val="44"/>
          <w:szCs w:val="44"/>
          <w:lang w:eastAsia="zh-CN"/>
        </w:rPr>
        <w:t>四</w:t>
      </w:r>
      <w:r>
        <w:rPr>
          <w:rStyle w:val="30"/>
          <w:rFonts w:hint="eastAsia" w:ascii="黑体" w:hAnsi="黑体" w:eastAsia="黑体"/>
          <w:b w:val="0"/>
        </w:rPr>
        <w:t>部分</w:t>
      </w:r>
      <w:r>
        <w:rPr>
          <w:rStyle w:val="30"/>
          <w:rFonts w:ascii="黑体" w:hAnsi="黑体" w:eastAsia="黑体"/>
          <w:b w:val="0"/>
        </w:rPr>
        <w:t xml:space="preserve"> </w:t>
      </w:r>
      <w:r>
        <w:rPr>
          <w:rStyle w:val="30"/>
          <w:rFonts w:hint="eastAsia" w:ascii="黑体" w:hAnsi="黑体" w:eastAsia="黑体"/>
          <w:b w:val="0"/>
        </w:rPr>
        <w:t>附表</w:t>
      </w:r>
      <w:bookmarkEnd w:id="57"/>
      <w:bookmarkEnd w:id="58"/>
    </w:p>
    <w:p>
      <w:pPr>
        <w:spacing w:line="600" w:lineRule="exact"/>
        <w:jc w:val="center"/>
        <w:outlineLvl w:val="0"/>
        <w:rPr>
          <w:rFonts w:ascii="仿宋" w:hAnsi="仿宋" w:eastAsia="仿宋"/>
          <w:b/>
          <w:color w:val="000000"/>
          <w:sz w:val="44"/>
          <w:szCs w:val="44"/>
        </w:rPr>
      </w:pPr>
    </w:p>
    <w:p>
      <w:pPr>
        <w:pStyle w:val="4"/>
        <w:pageBreakBefore w:val="0"/>
        <w:widowControl w:val="0"/>
        <w:kinsoku/>
        <w:wordWrap/>
        <w:overflowPunct/>
        <w:topLinePunct w:val="0"/>
        <w:autoSpaceDE/>
        <w:autoSpaceDN/>
        <w:bidi w:val="0"/>
        <w:adjustRightInd/>
        <w:snapToGrid/>
        <w:spacing w:before="0" w:after="0" w:line="760" w:lineRule="exact"/>
        <w:ind w:left="0" w:leftChars="0" w:right="0" w:rightChars="0" w:firstLine="0" w:firstLineChars="0"/>
        <w:jc w:val="both"/>
        <w:textAlignment w:val="auto"/>
        <w:rPr>
          <w:rFonts w:ascii="仿宋" w:hAnsi="仿宋" w:eastAsia="仿宋"/>
          <w:color w:val="000000"/>
          <w:sz w:val="30"/>
          <w:szCs w:val="30"/>
        </w:rPr>
      </w:pPr>
      <w:bookmarkStart w:id="59" w:name="_Toc15396619"/>
      <w:r>
        <w:rPr>
          <w:rFonts w:hint="eastAsia" w:ascii="仿宋" w:hAnsi="仿宋" w:eastAsia="仿宋"/>
          <w:b w:val="0"/>
          <w:color w:val="000000"/>
          <w:sz w:val="30"/>
          <w:szCs w:val="30"/>
        </w:rPr>
        <w:t>一、收</w:t>
      </w:r>
      <w:r>
        <w:rPr>
          <w:rStyle w:val="28"/>
          <w:rFonts w:hint="eastAsia" w:ascii="仿宋" w:hAnsi="仿宋" w:eastAsia="仿宋"/>
          <w:b w:val="0"/>
          <w:bCs w:val="0"/>
          <w:sz w:val="30"/>
          <w:szCs w:val="30"/>
        </w:rPr>
        <w:t>入支出决算总表</w:t>
      </w:r>
      <w:bookmarkEnd w:id="59"/>
    </w:p>
    <w:p>
      <w:pPr>
        <w:pStyle w:val="4"/>
        <w:pageBreakBefore w:val="0"/>
        <w:widowControl w:val="0"/>
        <w:kinsoku/>
        <w:wordWrap/>
        <w:overflowPunct/>
        <w:topLinePunct w:val="0"/>
        <w:autoSpaceDE/>
        <w:autoSpaceDN/>
        <w:bidi w:val="0"/>
        <w:adjustRightInd/>
        <w:snapToGrid/>
        <w:spacing w:before="0" w:after="0" w:line="760" w:lineRule="exact"/>
        <w:ind w:left="0" w:leftChars="0" w:right="0" w:rightChars="0" w:firstLine="0" w:firstLineChars="0"/>
        <w:jc w:val="both"/>
        <w:textAlignment w:val="auto"/>
        <w:rPr>
          <w:rFonts w:ascii="仿宋" w:hAnsi="仿宋" w:eastAsia="仿宋"/>
          <w:color w:val="000000"/>
          <w:sz w:val="30"/>
          <w:szCs w:val="30"/>
        </w:rPr>
      </w:pPr>
      <w:bookmarkStart w:id="60" w:name="_Toc15396620"/>
      <w:r>
        <w:rPr>
          <w:rFonts w:hint="eastAsia" w:ascii="仿宋" w:hAnsi="仿宋" w:eastAsia="仿宋"/>
          <w:b w:val="0"/>
          <w:color w:val="000000"/>
          <w:sz w:val="30"/>
          <w:szCs w:val="30"/>
        </w:rPr>
        <w:t>二、收</w:t>
      </w:r>
      <w:r>
        <w:rPr>
          <w:rStyle w:val="28"/>
          <w:rFonts w:hint="eastAsia" w:ascii="仿宋" w:hAnsi="仿宋" w:eastAsia="仿宋"/>
          <w:b w:val="0"/>
          <w:bCs w:val="0"/>
          <w:sz w:val="30"/>
          <w:szCs w:val="30"/>
        </w:rPr>
        <w:t>入决算表</w:t>
      </w:r>
      <w:bookmarkEnd w:id="60"/>
    </w:p>
    <w:p>
      <w:pPr>
        <w:pStyle w:val="4"/>
        <w:pageBreakBefore w:val="0"/>
        <w:widowControl w:val="0"/>
        <w:kinsoku/>
        <w:wordWrap/>
        <w:overflowPunct/>
        <w:topLinePunct w:val="0"/>
        <w:autoSpaceDE/>
        <w:autoSpaceDN/>
        <w:bidi w:val="0"/>
        <w:adjustRightInd/>
        <w:snapToGrid/>
        <w:spacing w:before="0" w:after="0" w:line="760" w:lineRule="exact"/>
        <w:ind w:left="0" w:leftChars="0" w:right="0" w:rightChars="0" w:firstLine="0" w:firstLineChars="0"/>
        <w:jc w:val="both"/>
        <w:textAlignment w:val="auto"/>
        <w:rPr>
          <w:rFonts w:ascii="仿宋" w:hAnsi="仿宋" w:eastAsia="仿宋"/>
          <w:color w:val="000000"/>
          <w:sz w:val="30"/>
          <w:szCs w:val="30"/>
        </w:rPr>
      </w:pPr>
      <w:bookmarkStart w:id="61" w:name="_Toc15396621"/>
      <w:r>
        <w:rPr>
          <w:rStyle w:val="28"/>
          <w:rFonts w:hint="eastAsia" w:ascii="仿宋" w:hAnsi="仿宋" w:eastAsia="仿宋"/>
          <w:b w:val="0"/>
          <w:bCs w:val="0"/>
          <w:sz w:val="30"/>
          <w:szCs w:val="30"/>
        </w:rPr>
        <w:t>三、</w:t>
      </w:r>
      <w:r>
        <w:rPr>
          <w:rFonts w:hint="eastAsia" w:ascii="仿宋" w:hAnsi="仿宋" w:eastAsia="仿宋"/>
          <w:b w:val="0"/>
          <w:color w:val="000000"/>
          <w:sz w:val="30"/>
          <w:szCs w:val="30"/>
        </w:rPr>
        <w:t>支</w:t>
      </w:r>
      <w:r>
        <w:rPr>
          <w:rStyle w:val="28"/>
          <w:rFonts w:hint="eastAsia" w:ascii="仿宋" w:hAnsi="仿宋" w:eastAsia="仿宋"/>
          <w:b w:val="0"/>
          <w:bCs w:val="0"/>
          <w:sz w:val="30"/>
          <w:szCs w:val="30"/>
        </w:rPr>
        <w:t>出决算表</w:t>
      </w:r>
      <w:bookmarkEnd w:id="61"/>
    </w:p>
    <w:p>
      <w:pPr>
        <w:pStyle w:val="4"/>
        <w:pageBreakBefore w:val="0"/>
        <w:widowControl w:val="0"/>
        <w:kinsoku/>
        <w:wordWrap/>
        <w:overflowPunct/>
        <w:topLinePunct w:val="0"/>
        <w:autoSpaceDE/>
        <w:autoSpaceDN/>
        <w:bidi w:val="0"/>
        <w:adjustRightInd/>
        <w:snapToGrid/>
        <w:spacing w:before="0" w:after="0" w:line="760" w:lineRule="exact"/>
        <w:ind w:left="0" w:leftChars="0" w:right="0" w:rightChars="0" w:firstLine="0" w:firstLineChars="0"/>
        <w:jc w:val="both"/>
        <w:textAlignment w:val="auto"/>
        <w:rPr>
          <w:rFonts w:ascii="仿宋" w:hAnsi="仿宋" w:eastAsia="仿宋"/>
          <w:b w:val="0"/>
          <w:color w:val="000000"/>
          <w:sz w:val="30"/>
          <w:szCs w:val="30"/>
        </w:rPr>
      </w:pPr>
      <w:bookmarkStart w:id="62" w:name="_Toc15396622"/>
      <w:r>
        <w:rPr>
          <w:rStyle w:val="28"/>
          <w:rFonts w:hint="eastAsia" w:ascii="仿宋" w:hAnsi="仿宋" w:eastAsia="仿宋"/>
          <w:b w:val="0"/>
          <w:bCs w:val="0"/>
          <w:sz w:val="30"/>
          <w:szCs w:val="30"/>
        </w:rPr>
        <w:t>四、</w:t>
      </w:r>
      <w:r>
        <w:rPr>
          <w:rFonts w:hint="eastAsia" w:ascii="仿宋" w:hAnsi="仿宋" w:eastAsia="仿宋"/>
          <w:b w:val="0"/>
          <w:color w:val="000000"/>
          <w:sz w:val="30"/>
          <w:szCs w:val="30"/>
        </w:rPr>
        <w:t>财</w:t>
      </w:r>
      <w:r>
        <w:rPr>
          <w:rStyle w:val="28"/>
          <w:rFonts w:hint="eastAsia" w:ascii="仿宋" w:hAnsi="仿宋" w:eastAsia="仿宋"/>
          <w:b w:val="0"/>
          <w:bCs w:val="0"/>
          <w:sz w:val="30"/>
          <w:szCs w:val="30"/>
        </w:rPr>
        <w:t>政拨款收入支出决算总表</w:t>
      </w:r>
      <w:bookmarkEnd w:id="62"/>
    </w:p>
    <w:p>
      <w:pPr>
        <w:pStyle w:val="4"/>
        <w:pageBreakBefore w:val="0"/>
        <w:widowControl w:val="0"/>
        <w:kinsoku/>
        <w:wordWrap/>
        <w:overflowPunct/>
        <w:topLinePunct w:val="0"/>
        <w:autoSpaceDE/>
        <w:autoSpaceDN/>
        <w:bidi w:val="0"/>
        <w:adjustRightInd/>
        <w:snapToGrid/>
        <w:spacing w:before="0" w:after="0" w:line="760" w:lineRule="exact"/>
        <w:ind w:left="0" w:leftChars="0" w:right="0" w:rightChars="0" w:firstLine="0" w:firstLineChars="0"/>
        <w:jc w:val="both"/>
        <w:textAlignment w:val="auto"/>
        <w:rPr>
          <w:rStyle w:val="28"/>
          <w:rFonts w:ascii="仿宋" w:hAnsi="仿宋" w:eastAsia="仿宋"/>
          <w:b w:val="0"/>
          <w:bCs w:val="0"/>
          <w:sz w:val="30"/>
          <w:szCs w:val="30"/>
        </w:rPr>
      </w:pPr>
      <w:bookmarkStart w:id="63" w:name="_Toc15396623"/>
      <w:r>
        <w:rPr>
          <w:rStyle w:val="28"/>
          <w:rFonts w:hint="eastAsia" w:ascii="仿宋" w:hAnsi="仿宋" w:eastAsia="仿宋"/>
          <w:b w:val="0"/>
          <w:bCs w:val="0"/>
          <w:sz w:val="30"/>
          <w:szCs w:val="30"/>
        </w:rPr>
        <w:t>五、</w:t>
      </w:r>
      <w:r>
        <w:rPr>
          <w:rFonts w:hint="eastAsia" w:ascii="仿宋" w:hAnsi="仿宋" w:eastAsia="仿宋"/>
          <w:b w:val="0"/>
          <w:color w:val="000000"/>
          <w:sz w:val="30"/>
          <w:szCs w:val="30"/>
        </w:rPr>
        <w:t>财</w:t>
      </w:r>
      <w:r>
        <w:rPr>
          <w:rStyle w:val="28"/>
          <w:rFonts w:hint="eastAsia" w:ascii="仿宋" w:hAnsi="仿宋" w:eastAsia="仿宋"/>
          <w:b w:val="0"/>
          <w:bCs w:val="0"/>
          <w:sz w:val="30"/>
          <w:szCs w:val="30"/>
        </w:rPr>
        <w:t>政拨款支出决算明细表</w:t>
      </w:r>
      <w:bookmarkEnd w:id="63"/>
      <w:bookmarkStart w:id="64" w:name="_Toc15396624"/>
    </w:p>
    <w:p>
      <w:pPr>
        <w:pStyle w:val="4"/>
        <w:pageBreakBefore w:val="0"/>
        <w:widowControl w:val="0"/>
        <w:kinsoku/>
        <w:wordWrap/>
        <w:overflowPunct/>
        <w:topLinePunct w:val="0"/>
        <w:autoSpaceDE/>
        <w:autoSpaceDN/>
        <w:bidi w:val="0"/>
        <w:adjustRightInd/>
        <w:snapToGrid/>
        <w:spacing w:before="0" w:after="0" w:line="760" w:lineRule="exact"/>
        <w:ind w:left="0" w:leftChars="0" w:right="0" w:rightChars="0" w:firstLine="0" w:firstLineChars="0"/>
        <w:jc w:val="both"/>
        <w:textAlignment w:val="auto"/>
        <w:rPr>
          <w:rFonts w:ascii="仿宋" w:hAnsi="仿宋" w:eastAsia="仿宋"/>
          <w:color w:val="000000"/>
          <w:sz w:val="30"/>
          <w:szCs w:val="30"/>
        </w:rPr>
      </w:pPr>
      <w:r>
        <w:rPr>
          <w:rStyle w:val="28"/>
          <w:rFonts w:hint="eastAsia" w:ascii="仿宋" w:hAnsi="仿宋" w:eastAsia="仿宋"/>
          <w:b w:val="0"/>
          <w:bCs w:val="0"/>
          <w:sz w:val="30"/>
          <w:szCs w:val="30"/>
        </w:rPr>
        <w:t>六、</w:t>
      </w:r>
      <w:r>
        <w:rPr>
          <w:rFonts w:hint="eastAsia" w:ascii="仿宋" w:hAnsi="仿宋" w:eastAsia="仿宋"/>
          <w:b w:val="0"/>
          <w:color w:val="000000"/>
          <w:sz w:val="30"/>
          <w:szCs w:val="30"/>
        </w:rPr>
        <w:t>一</w:t>
      </w:r>
      <w:r>
        <w:rPr>
          <w:rStyle w:val="28"/>
          <w:rFonts w:hint="eastAsia" w:ascii="仿宋" w:hAnsi="仿宋" w:eastAsia="仿宋"/>
          <w:b w:val="0"/>
          <w:bCs w:val="0"/>
          <w:sz w:val="30"/>
          <w:szCs w:val="30"/>
        </w:rPr>
        <w:t>般公共预算财政拨款支出决算表</w:t>
      </w:r>
      <w:bookmarkEnd w:id="64"/>
    </w:p>
    <w:p>
      <w:pPr>
        <w:pStyle w:val="4"/>
        <w:pageBreakBefore w:val="0"/>
        <w:widowControl w:val="0"/>
        <w:kinsoku/>
        <w:wordWrap/>
        <w:overflowPunct/>
        <w:topLinePunct w:val="0"/>
        <w:autoSpaceDE/>
        <w:autoSpaceDN/>
        <w:bidi w:val="0"/>
        <w:adjustRightInd/>
        <w:snapToGrid/>
        <w:spacing w:before="0" w:after="0" w:line="760" w:lineRule="exact"/>
        <w:ind w:left="0" w:leftChars="0" w:right="0" w:rightChars="0" w:firstLine="0" w:firstLineChars="0"/>
        <w:jc w:val="both"/>
        <w:textAlignment w:val="auto"/>
        <w:rPr>
          <w:rFonts w:ascii="仿宋" w:hAnsi="仿宋" w:eastAsia="仿宋"/>
          <w:color w:val="000000"/>
          <w:sz w:val="30"/>
          <w:szCs w:val="30"/>
        </w:rPr>
      </w:pPr>
      <w:bookmarkStart w:id="65" w:name="_Toc15396625"/>
      <w:r>
        <w:rPr>
          <w:rStyle w:val="28"/>
          <w:rFonts w:hint="eastAsia" w:ascii="仿宋" w:hAnsi="仿宋" w:eastAsia="仿宋"/>
          <w:b w:val="0"/>
          <w:bCs w:val="0"/>
          <w:sz w:val="30"/>
          <w:szCs w:val="30"/>
        </w:rPr>
        <w:t>七、</w:t>
      </w:r>
      <w:r>
        <w:rPr>
          <w:rFonts w:hint="eastAsia" w:ascii="仿宋" w:hAnsi="仿宋" w:eastAsia="仿宋"/>
          <w:b w:val="0"/>
          <w:color w:val="000000"/>
          <w:sz w:val="30"/>
          <w:szCs w:val="30"/>
        </w:rPr>
        <w:t>一</w:t>
      </w:r>
      <w:r>
        <w:rPr>
          <w:rStyle w:val="28"/>
          <w:rFonts w:hint="eastAsia" w:ascii="仿宋" w:hAnsi="仿宋" w:eastAsia="仿宋"/>
          <w:b w:val="0"/>
          <w:bCs w:val="0"/>
          <w:sz w:val="30"/>
          <w:szCs w:val="30"/>
        </w:rPr>
        <w:t>般公共预算财政拨款支出决算明细表</w:t>
      </w:r>
      <w:bookmarkEnd w:id="65"/>
    </w:p>
    <w:p>
      <w:pPr>
        <w:pStyle w:val="4"/>
        <w:pageBreakBefore w:val="0"/>
        <w:widowControl w:val="0"/>
        <w:kinsoku/>
        <w:wordWrap/>
        <w:overflowPunct/>
        <w:topLinePunct w:val="0"/>
        <w:autoSpaceDE/>
        <w:autoSpaceDN/>
        <w:bidi w:val="0"/>
        <w:adjustRightInd/>
        <w:snapToGrid/>
        <w:spacing w:before="0" w:after="0" w:line="760" w:lineRule="exact"/>
        <w:ind w:left="0" w:leftChars="0" w:right="0" w:rightChars="0" w:firstLine="0" w:firstLineChars="0"/>
        <w:jc w:val="both"/>
        <w:textAlignment w:val="auto"/>
        <w:rPr>
          <w:rFonts w:ascii="仿宋" w:hAnsi="仿宋" w:eastAsia="仿宋"/>
          <w:color w:val="000000"/>
          <w:sz w:val="30"/>
          <w:szCs w:val="30"/>
        </w:rPr>
      </w:pPr>
      <w:bookmarkStart w:id="66" w:name="_Toc15396626"/>
      <w:r>
        <w:rPr>
          <w:rStyle w:val="28"/>
          <w:rFonts w:hint="eastAsia" w:ascii="仿宋" w:hAnsi="仿宋" w:eastAsia="仿宋"/>
          <w:b w:val="0"/>
          <w:bCs w:val="0"/>
          <w:sz w:val="30"/>
          <w:szCs w:val="30"/>
        </w:rPr>
        <w:t>八、</w:t>
      </w:r>
      <w:r>
        <w:rPr>
          <w:rFonts w:hint="eastAsia" w:ascii="仿宋" w:hAnsi="仿宋" w:eastAsia="仿宋"/>
          <w:b w:val="0"/>
          <w:color w:val="000000"/>
          <w:sz w:val="30"/>
          <w:szCs w:val="30"/>
        </w:rPr>
        <w:t>一</w:t>
      </w:r>
      <w:r>
        <w:rPr>
          <w:rStyle w:val="28"/>
          <w:rFonts w:hint="eastAsia" w:ascii="仿宋" w:hAnsi="仿宋" w:eastAsia="仿宋"/>
          <w:b w:val="0"/>
          <w:bCs w:val="0"/>
          <w:sz w:val="30"/>
          <w:szCs w:val="30"/>
        </w:rPr>
        <w:t>般公共预算财政拨款基本支出决算表</w:t>
      </w:r>
      <w:bookmarkEnd w:id="66"/>
    </w:p>
    <w:p>
      <w:pPr>
        <w:pStyle w:val="4"/>
        <w:pageBreakBefore w:val="0"/>
        <w:widowControl w:val="0"/>
        <w:kinsoku/>
        <w:wordWrap/>
        <w:overflowPunct/>
        <w:topLinePunct w:val="0"/>
        <w:autoSpaceDE/>
        <w:autoSpaceDN/>
        <w:bidi w:val="0"/>
        <w:adjustRightInd/>
        <w:snapToGrid/>
        <w:spacing w:before="0" w:after="0" w:line="760" w:lineRule="exact"/>
        <w:ind w:left="0" w:leftChars="0" w:right="0" w:rightChars="0" w:firstLine="0" w:firstLineChars="0"/>
        <w:jc w:val="both"/>
        <w:textAlignment w:val="auto"/>
        <w:rPr>
          <w:rFonts w:ascii="仿宋" w:hAnsi="仿宋" w:eastAsia="仿宋"/>
          <w:color w:val="000000"/>
          <w:sz w:val="30"/>
          <w:szCs w:val="30"/>
        </w:rPr>
      </w:pPr>
      <w:bookmarkStart w:id="67" w:name="_Toc15396627"/>
      <w:r>
        <w:rPr>
          <w:rStyle w:val="28"/>
          <w:rFonts w:hint="eastAsia" w:ascii="仿宋" w:hAnsi="仿宋" w:eastAsia="仿宋"/>
          <w:b w:val="0"/>
          <w:bCs w:val="0"/>
          <w:sz w:val="30"/>
          <w:szCs w:val="30"/>
        </w:rPr>
        <w:t>九、</w:t>
      </w:r>
      <w:r>
        <w:rPr>
          <w:rFonts w:hint="eastAsia" w:ascii="仿宋" w:hAnsi="仿宋" w:eastAsia="仿宋"/>
          <w:b w:val="0"/>
          <w:color w:val="000000"/>
          <w:sz w:val="30"/>
          <w:szCs w:val="30"/>
        </w:rPr>
        <w:t>一</w:t>
      </w:r>
      <w:r>
        <w:rPr>
          <w:rStyle w:val="28"/>
          <w:rFonts w:hint="eastAsia" w:ascii="仿宋" w:hAnsi="仿宋" w:eastAsia="仿宋"/>
          <w:b w:val="0"/>
          <w:bCs w:val="0"/>
          <w:sz w:val="30"/>
          <w:szCs w:val="30"/>
        </w:rPr>
        <w:t>般公共预算财政拨款项目支出决算表</w:t>
      </w:r>
      <w:bookmarkEnd w:id="67"/>
    </w:p>
    <w:p>
      <w:pPr>
        <w:pStyle w:val="4"/>
        <w:pageBreakBefore w:val="0"/>
        <w:widowControl w:val="0"/>
        <w:kinsoku/>
        <w:wordWrap/>
        <w:overflowPunct/>
        <w:topLinePunct w:val="0"/>
        <w:autoSpaceDE/>
        <w:autoSpaceDN/>
        <w:bidi w:val="0"/>
        <w:adjustRightInd/>
        <w:snapToGrid/>
        <w:spacing w:before="0" w:after="0" w:line="760" w:lineRule="exact"/>
        <w:ind w:left="0" w:leftChars="0" w:right="0" w:rightChars="0" w:firstLine="0" w:firstLineChars="0"/>
        <w:jc w:val="both"/>
        <w:textAlignment w:val="auto"/>
        <w:rPr>
          <w:rFonts w:ascii="仿宋" w:hAnsi="仿宋" w:eastAsia="仿宋"/>
          <w:color w:val="000000"/>
          <w:sz w:val="30"/>
          <w:szCs w:val="30"/>
        </w:rPr>
      </w:pPr>
      <w:bookmarkStart w:id="68" w:name="_Toc15396628"/>
      <w:r>
        <w:rPr>
          <w:rStyle w:val="28"/>
          <w:rFonts w:hint="eastAsia" w:ascii="仿宋" w:hAnsi="仿宋" w:eastAsia="仿宋"/>
          <w:b w:val="0"/>
          <w:bCs w:val="0"/>
          <w:sz w:val="30"/>
          <w:szCs w:val="30"/>
        </w:rPr>
        <w:t>十、</w:t>
      </w:r>
      <w:r>
        <w:rPr>
          <w:rFonts w:hint="eastAsia" w:ascii="仿宋" w:hAnsi="仿宋" w:eastAsia="仿宋"/>
          <w:b w:val="0"/>
          <w:color w:val="000000"/>
          <w:sz w:val="30"/>
          <w:szCs w:val="30"/>
        </w:rPr>
        <w:t>一</w:t>
      </w:r>
      <w:r>
        <w:rPr>
          <w:rStyle w:val="28"/>
          <w:rFonts w:hint="eastAsia" w:ascii="仿宋" w:hAnsi="仿宋" w:eastAsia="仿宋"/>
          <w:b w:val="0"/>
          <w:bCs w:val="0"/>
          <w:sz w:val="30"/>
          <w:szCs w:val="30"/>
        </w:rPr>
        <w:t>般公共预算财政拨款“三公”经费支出决算表</w:t>
      </w:r>
      <w:bookmarkEnd w:id="68"/>
    </w:p>
    <w:p>
      <w:pPr>
        <w:pStyle w:val="4"/>
        <w:pageBreakBefore w:val="0"/>
        <w:widowControl w:val="0"/>
        <w:kinsoku/>
        <w:wordWrap/>
        <w:overflowPunct/>
        <w:topLinePunct w:val="0"/>
        <w:autoSpaceDE/>
        <w:autoSpaceDN/>
        <w:bidi w:val="0"/>
        <w:adjustRightInd/>
        <w:snapToGrid/>
        <w:spacing w:before="0" w:after="0" w:line="760" w:lineRule="exact"/>
        <w:ind w:left="0" w:leftChars="0" w:right="0" w:rightChars="0" w:firstLine="0" w:firstLineChars="0"/>
        <w:jc w:val="both"/>
        <w:textAlignment w:val="auto"/>
        <w:rPr>
          <w:rFonts w:ascii="仿宋" w:hAnsi="仿宋" w:eastAsia="仿宋"/>
          <w:color w:val="000000"/>
          <w:sz w:val="30"/>
          <w:szCs w:val="30"/>
        </w:rPr>
      </w:pPr>
      <w:bookmarkStart w:id="69" w:name="_Toc15396629"/>
      <w:r>
        <w:rPr>
          <w:rStyle w:val="28"/>
          <w:rFonts w:hint="eastAsia" w:ascii="仿宋" w:hAnsi="仿宋" w:eastAsia="仿宋"/>
          <w:b w:val="0"/>
          <w:bCs w:val="0"/>
          <w:sz w:val="30"/>
          <w:szCs w:val="30"/>
        </w:rPr>
        <w:t>十一、</w:t>
      </w:r>
      <w:r>
        <w:rPr>
          <w:rFonts w:hint="eastAsia" w:ascii="仿宋" w:hAnsi="仿宋" w:eastAsia="仿宋"/>
          <w:b w:val="0"/>
          <w:color w:val="000000"/>
          <w:sz w:val="30"/>
          <w:szCs w:val="30"/>
        </w:rPr>
        <w:t>政</w:t>
      </w:r>
      <w:r>
        <w:rPr>
          <w:rStyle w:val="28"/>
          <w:rFonts w:hint="eastAsia" w:ascii="仿宋" w:hAnsi="仿宋" w:eastAsia="仿宋"/>
          <w:b w:val="0"/>
          <w:bCs w:val="0"/>
          <w:sz w:val="30"/>
          <w:szCs w:val="30"/>
        </w:rPr>
        <w:t>府性基金预算财政拨款收入支出决算表</w:t>
      </w:r>
      <w:bookmarkEnd w:id="69"/>
    </w:p>
    <w:p>
      <w:pPr>
        <w:pStyle w:val="4"/>
        <w:pageBreakBefore w:val="0"/>
        <w:widowControl w:val="0"/>
        <w:kinsoku/>
        <w:wordWrap/>
        <w:overflowPunct/>
        <w:topLinePunct w:val="0"/>
        <w:autoSpaceDE/>
        <w:autoSpaceDN/>
        <w:bidi w:val="0"/>
        <w:adjustRightInd/>
        <w:snapToGrid/>
        <w:spacing w:before="0" w:after="0" w:line="760" w:lineRule="exact"/>
        <w:ind w:left="0" w:leftChars="0" w:right="0" w:rightChars="0" w:firstLine="0" w:firstLineChars="0"/>
        <w:jc w:val="both"/>
        <w:textAlignment w:val="auto"/>
        <w:rPr>
          <w:rFonts w:ascii="仿宋" w:hAnsi="仿宋" w:eastAsia="仿宋"/>
          <w:color w:val="000000"/>
          <w:sz w:val="30"/>
          <w:szCs w:val="30"/>
        </w:rPr>
      </w:pPr>
      <w:bookmarkStart w:id="70" w:name="_Toc15396630"/>
      <w:r>
        <w:rPr>
          <w:rStyle w:val="28"/>
          <w:rFonts w:hint="eastAsia" w:ascii="仿宋" w:hAnsi="仿宋" w:eastAsia="仿宋"/>
          <w:b w:val="0"/>
          <w:bCs w:val="0"/>
          <w:sz w:val="30"/>
          <w:szCs w:val="30"/>
        </w:rPr>
        <w:t>十二、</w:t>
      </w:r>
      <w:r>
        <w:rPr>
          <w:rFonts w:hint="eastAsia" w:ascii="仿宋" w:hAnsi="仿宋" w:eastAsia="仿宋"/>
          <w:b w:val="0"/>
          <w:color w:val="000000"/>
          <w:sz w:val="30"/>
          <w:szCs w:val="30"/>
        </w:rPr>
        <w:t>政</w:t>
      </w:r>
      <w:r>
        <w:rPr>
          <w:rStyle w:val="28"/>
          <w:rFonts w:hint="eastAsia" w:ascii="仿宋" w:hAnsi="仿宋" w:eastAsia="仿宋"/>
          <w:b w:val="0"/>
          <w:bCs w:val="0"/>
          <w:sz w:val="30"/>
          <w:szCs w:val="30"/>
        </w:rPr>
        <w:t>府性基金预算财政拨款“三公”经费支出决算表</w:t>
      </w:r>
      <w:bookmarkEnd w:id="70"/>
    </w:p>
    <w:p>
      <w:pPr>
        <w:pStyle w:val="4"/>
        <w:pageBreakBefore w:val="0"/>
        <w:widowControl w:val="0"/>
        <w:kinsoku/>
        <w:wordWrap/>
        <w:overflowPunct/>
        <w:topLinePunct w:val="0"/>
        <w:autoSpaceDE/>
        <w:autoSpaceDN/>
        <w:bidi w:val="0"/>
        <w:adjustRightInd/>
        <w:snapToGrid/>
        <w:spacing w:before="0" w:after="0" w:line="760" w:lineRule="exact"/>
        <w:ind w:left="0" w:leftChars="0" w:right="0" w:rightChars="0" w:firstLine="0" w:firstLineChars="0"/>
        <w:jc w:val="both"/>
        <w:textAlignment w:val="auto"/>
        <w:rPr>
          <w:rStyle w:val="28"/>
          <w:rFonts w:hint="eastAsia" w:ascii="仿宋" w:hAnsi="仿宋" w:eastAsia="仿宋"/>
          <w:b w:val="0"/>
          <w:bCs w:val="0"/>
          <w:sz w:val="30"/>
          <w:szCs w:val="30"/>
        </w:rPr>
      </w:pPr>
      <w:bookmarkStart w:id="71" w:name="_Toc15396631"/>
      <w:r>
        <w:rPr>
          <w:rStyle w:val="28"/>
          <w:rFonts w:hint="eastAsia" w:ascii="仿宋" w:hAnsi="仿宋" w:eastAsia="仿宋"/>
          <w:b w:val="0"/>
          <w:bCs w:val="0"/>
          <w:sz w:val="30"/>
          <w:szCs w:val="30"/>
        </w:rPr>
        <w:t>十三、</w:t>
      </w:r>
      <w:r>
        <w:rPr>
          <w:rFonts w:hint="eastAsia" w:ascii="仿宋" w:hAnsi="仿宋" w:eastAsia="仿宋"/>
          <w:b w:val="0"/>
          <w:color w:val="000000"/>
          <w:sz w:val="30"/>
          <w:szCs w:val="30"/>
        </w:rPr>
        <w:t>国</w:t>
      </w:r>
      <w:r>
        <w:rPr>
          <w:rStyle w:val="28"/>
          <w:rFonts w:hint="eastAsia" w:ascii="仿宋" w:hAnsi="仿宋" w:eastAsia="仿宋"/>
          <w:b w:val="0"/>
          <w:bCs w:val="0"/>
          <w:sz w:val="30"/>
          <w:szCs w:val="30"/>
        </w:rPr>
        <w:t>有资本经营预算财政拨款支出决算表</w:t>
      </w:r>
      <w:bookmarkEnd w:id="71"/>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both"/>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十四、国有资本经营预算财政拨款支出决算表</w:t>
      </w:r>
    </w:p>
    <w:p>
      <w:pPr>
        <w:pageBreakBefore w:val="0"/>
        <w:widowControl w:val="0"/>
        <w:kinsoku/>
        <w:wordWrap/>
        <w:overflowPunct/>
        <w:topLinePunct w:val="0"/>
        <w:autoSpaceDE/>
        <w:autoSpaceDN/>
        <w:bidi w:val="0"/>
        <w:adjustRightInd/>
        <w:snapToGrid/>
        <w:spacing w:line="760" w:lineRule="exact"/>
        <w:ind w:left="0" w:leftChars="0" w:right="0" w:rightChars="0" w:firstLine="0" w:firstLineChars="0"/>
        <w:jc w:val="both"/>
        <w:textAlignment w:val="auto"/>
      </w:pPr>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3</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221D"/>
    <w:rsid w:val="00505A47"/>
    <w:rsid w:val="00512FDA"/>
    <w:rsid w:val="00520DA0"/>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25D1"/>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447000"/>
    <w:rsid w:val="02404B76"/>
    <w:rsid w:val="031D1B6E"/>
    <w:rsid w:val="03FE3A47"/>
    <w:rsid w:val="04282DE6"/>
    <w:rsid w:val="050266B3"/>
    <w:rsid w:val="09A54F03"/>
    <w:rsid w:val="0A2032A3"/>
    <w:rsid w:val="0B620795"/>
    <w:rsid w:val="0E697151"/>
    <w:rsid w:val="0EC06197"/>
    <w:rsid w:val="0F9048ED"/>
    <w:rsid w:val="10C055FF"/>
    <w:rsid w:val="118107EC"/>
    <w:rsid w:val="12341A4A"/>
    <w:rsid w:val="1311292A"/>
    <w:rsid w:val="13685733"/>
    <w:rsid w:val="16BB723D"/>
    <w:rsid w:val="17EF2987"/>
    <w:rsid w:val="18536B33"/>
    <w:rsid w:val="1D155CEE"/>
    <w:rsid w:val="1EBB640F"/>
    <w:rsid w:val="20CE4E19"/>
    <w:rsid w:val="21B40235"/>
    <w:rsid w:val="240371BF"/>
    <w:rsid w:val="250344DA"/>
    <w:rsid w:val="290A5CE2"/>
    <w:rsid w:val="29FD04D3"/>
    <w:rsid w:val="2BA85305"/>
    <w:rsid w:val="2BDC19F1"/>
    <w:rsid w:val="2BF106B2"/>
    <w:rsid w:val="2CB17E7B"/>
    <w:rsid w:val="2DFE7E4A"/>
    <w:rsid w:val="2F4724CF"/>
    <w:rsid w:val="2F8C3DFF"/>
    <w:rsid w:val="316C32F3"/>
    <w:rsid w:val="319F7F4E"/>
    <w:rsid w:val="32146C43"/>
    <w:rsid w:val="321D58F0"/>
    <w:rsid w:val="326572C5"/>
    <w:rsid w:val="38BD0750"/>
    <w:rsid w:val="39E877EA"/>
    <w:rsid w:val="3A051927"/>
    <w:rsid w:val="3B58165C"/>
    <w:rsid w:val="3B9201FE"/>
    <w:rsid w:val="3E0B6368"/>
    <w:rsid w:val="3F143462"/>
    <w:rsid w:val="3F5A3548"/>
    <w:rsid w:val="408D4CA4"/>
    <w:rsid w:val="40976A4F"/>
    <w:rsid w:val="41792F63"/>
    <w:rsid w:val="42714A26"/>
    <w:rsid w:val="434E02F4"/>
    <w:rsid w:val="46E306FE"/>
    <w:rsid w:val="4AA824D8"/>
    <w:rsid w:val="4AC12FC9"/>
    <w:rsid w:val="4CAC4A2B"/>
    <w:rsid w:val="4ECE2238"/>
    <w:rsid w:val="54D24F41"/>
    <w:rsid w:val="58EE0B70"/>
    <w:rsid w:val="59B52826"/>
    <w:rsid w:val="5A707EFB"/>
    <w:rsid w:val="5B082BEA"/>
    <w:rsid w:val="5C194069"/>
    <w:rsid w:val="61CD2093"/>
    <w:rsid w:val="620F53F5"/>
    <w:rsid w:val="62620E88"/>
    <w:rsid w:val="62F71E44"/>
    <w:rsid w:val="64A73E49"/>
    <w:rsid w:val="67165D08"/>
    <w:rsid w:val="678C5D49"/>
    <w:rsid w:val="684B5123"/>
    <w:rsid w:val="698F2609"/>
    <w:rsid w:val="6A6640BE"/>
    <w:rsid w:val="6A8836BF"/>
    <w:rsid w:val="6ABB3F59"/>
    <w:rsid w:val="6B7B5CEC"/>
    <w:rsid w:val="6C4A05C8"/>
    <w:rsid w:val="6CB9633B"/>
    <w:rsid w:val="6E32311D"/>
    <w:rsid w:val="6FE21CBA"/>
    <w:rsid w:val="72734D90"/>
    <w:rsid w:val="76B9295F"/>
    <w:rsid w:val="777E60B6"/>
    <w:rsid w:val="784E0D20"/>
    <w:rsid w:val="7E6F53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6"/>
    <w:qFormat/>
    <w:uiPriority w:val="9"/>
    <w:pPr>
      <w:keepNext/>
      <w:keepLines/>
      <w:spacing w:before="260" w:after="260" w:line="416" w:lineRule="auto"/>
      <w:outlineLvl w:val="2"/>
    </w:pPr>
    <w:rPr>
      <w:b/>
      <w:bCs/>
      <w:sz w:val="32"/>
      <w:szCs w:val="32"/>
    </w:rPr>
  </w:style>
  <w:style w:type="character" w:default="1" w:styleId="14">
    <w:name w:val="Default Paragraph Font"/>
    <w:unhideWhenUsed/>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27"/>
    <w:qFormat/>
    <w:uiPriority w:val="99"/>
    <w:pPr>
      <w:spacing w:beforeLines="30"/>
    </w:pPr>
    <w:rPr>
      <w:rFonts w:ascii="仿宋_GB2312" w:eastAsia="仿宋_GB2312"/>
      <w:kern w:val="0"/>
      <w:sz w:val="24"/>
      <w:szCs w:val="20"/>
    </w:rPr>
  </w:style>
  <w:style w:type="paragraph" w:styleId="6">
    <w:name w:val="toc 3"/>
    <w:basedOn w:val="1"/>
    <w:next w:val="1"/>
    <w:unhideWhenUsed/>
    <w:qFormat/>
    <w:uiPriority w:val="39"/>
    <w:pPr>
      <w:tabs>
        <w:tab w:val="right" w:leader="dot" w:pos="8296"/>
      </w:tabs>
      <w:ind w:left="840" w:leftChars="400"/>
    </w:pPr>
  </w:style>
  <w:style w:type="paragraph" w:styleId="7">
    <w:name w:val="Plain Text"/>
    <w:basedOn w:val="1"/>
    <w:next w:val="1"/>
    <w:unhideWhenUsed/>
    <w:qFormat/>
    <w:uiPriority w:val="99"/>
    <w:rPr>
      <w:rFonts w:ascii="宋体" w:hAnsi="Courier New"/>
      <w:szCs w:val="20"/>
    </w:rPr>
  </w:style>
  <w:style w:type="paragraph" w:styleId="8">
    <w:name w:val="Balloon Text"/>
    <w:basedOn w:val="1"/>
    <w:link w:val="21"/>
    <w:unhideWhenUsed/>
    <w:qFormat/>
    <w:uiPriority w:val="99"/>
    <w:rPr>
      <w:sz w:val="18"/>
      <w:szCs w:val="18"/>
    </w:rPr>
  </w:style>
  <w:style w:type="paragraph" w:styleId="9">
    <w:name w:val="footer"/>
    <w:basedOn w:val="1"/>
    <w:link w:val="29"/>
    <w:qFormat/>
    <w:uiPriority w:val="99"/>
    <w:pPr>
      <w:tabs>
        <w:tab w:val="center" w:pos="4153"/>
        <w:tab w:val="right" w:pos="8306"/>
      </w:tabs>
      <w:snapToGrid w:val="0"/>
      <w:jc w:val="left"/>
    </w:pPr>
    <w:rPr>
      <w:rFonts w:ascii="Calibri" w:hAnsi="Calibri"/>
      <w:kern w:val="0"/>
      <w:sz w:val="18"/>
      <w:szCs w:val="20"/>
    </w:rPr>
  </w:style>
  <w:style w:type="paragraph" w:styleId="10">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qFormat/>
    <w:uiPriority w:val="99"/>
    <w:rPr>
      <w:rFonts w:cs="Times New Roman"/>
      <w:b/>
    </w:rPr>
  </w:style>
  <w:style w:type="character" w:styleId="16">
    <w:name w:val="Hyperlink"/>
    <w:unhideWhenUsed/>
    <w:qFormat/>
    <w:uiPriority w:val="99"/>
    <w:rPr>
      <w:rFonts w:cs="Times New Roman"/>
      <w:color w:val="0000FF"/>
      <w:u w:val="single"/>
    </w:rPr>
  </w:style>
  <w:style w:type="paragraph" w:customStyle="1" w:styleId="17">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
    <w:name w:val="List Paragraph"/>
    <w:basedOn w:val="1"/>
    <w:qFormat/>
    <w:uiPriority w:val="34"/>
    <w:pPr>
      <w:ind w:firstLine="420" w:firstLineChars="200"/>
    </w:pPr>
  </w:style>
  <w:style w:type="paragraph" w:customStyle="1" w:styleId="19">
    <w:name w:val="Default"/>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0">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21">
    <w:name w:val="批注框文本 字符"/>
    <w:link w:val="8"/>
    <w:semiHidden/>
    <w:qFormat/>
    <w:locked/>
    <w:uiPriority w:val="99"/>
    <w:rPr>
      <w:rFonts w:ascii="Times New Roman" w:hAnsi="Times New Roman" w:cs="Times New Roman"/>
      <w:kern w:val="2"/>
      <w:sz w:val="18"/>
      <w:szCs w:val="18"/>
    </w:rPr>
  </w:style>
  <w:style w:type="character" w:customStyle="1" w:styleId="22">
    <w:name w:val="Body Text Char"/>
    <w:link w:val="2"/>
    <w:semiHidden/>
    <w:qFormat/>
    <w:uiPriority w:val="99"/>
    <w:rPr>
      <w:rFonts w:ascii="Times New Roman" w:hAnsi="Times New Roman" w:cs="Times New Roman"/>
      <w:sz w:val="24"/>
      <w:szCs w:val="24"/>
    </w:rPr>
  </w:style>
  <w:style w:type="character" w:customStyle="1" w:styleId="23">
    <w:name w:val="Header Char"/>
    <w:link w:val="10"/>
    <w:semiHidden/>
    <w:qFormat/>
    <w:uiPriority w:val="99"/>
    <w:rPr>
      <w:rFonts w:ascii="Times New Roman" w:hAnsi="Times New Roman" w:cs="Times New Roman"/>
      <w:sz w:val="18"/>
      <w:szCs w:val="18"/>
    </w:rPr>
  </w:style>
  <w:style w:type="character" w:customStyle="1" w:styleId="24">
    <w:name w:val="Footer Char"/>
    <w:link w:val="9"/>
    <w:semiHidden/>
    <w:qFormat/>
    <w:uiPriority w:val="99"/>
    <w:rPr>
      <w:rFonts w:ascii="Times New Roman" w:hAnsi="Times New Roman" w:cs="Times New Roman"/>
      <w:sz w:val="18"/>
      <w:szCs w:val="18"/>
    </w:rPr>
  </w:style>
  <w:style w:type="character" w:customStyle="1" w:styleId="25">
    <w:name w:val="页眉 字符"/>
    <w:link w:val="10"/>
    <w:semiHidden/>
    <w:qFormat/>
    <w:locked/>
    <w:uiPriority w:val="99"/>
    <w:rPr>
      <w:sz w:val="18"/>
    </w:rPr>
  </w:style>
  <w:style w:type="character" w:customStyle="1" w:styleId="26">
    <w:name w:val="标题 3 字符"/>
    <w:link w:val="5"/>
    <w:qFormat/>
    <w:locked/>
    <w:uiPriority w:val="9"/>
    <w:rPr>
      <w:rFonts w:ascii="Times New Roman" w:hAnsi="Times New Roman" w:cs="Times New Roman"/>
      <w:b/>
      <w:bCs/>
      <w:kern w:val="2"/>
      <w:sz w:val="32"/>
      <w:szCs w:val="32"/>
    </w:rPr>
  </w:style>
  <w:style w:type="character" w:customStyle="1" w:styleId="27">
    <w:name w:val="正文文本 字符"/>
    <w:link w:val="2"/>
    <w:qFormat/>
    <w:locked/>
    <w:uiPriority w:val="99"/>
    <w:rPr>
      <w:rFonts w:ascii="仿宋_GB2312" w:hAnsi="Times New Roman" w:eastAsia="仿宋_GB2312"/>
      <w:sz w:val="24"/>
    </w:rPr>
  </w:style>
  <w:style w:type="character" w:customStyle="1" w:styleId="28">
    <w:name w:val="标题 2 字符"/>
    <w:link w:val="4"/>
    <w:qFormat/>
    <w:locked/>
    <w:uiPriority w:val="9"/>
    <w:rPr>
      <w:rFonts w:ascii="Cambria" w:hAnsi="Cambria" w:eastAsia="宋体" w:cs="Times New Roman"/>
      <w:b/>
      <w:bCs/>
      <w:kern w:val="2"/>
      <w:sz w:val="32"/>
      <w:szCs w:val="32"/>
    </w:rPr>
  </w:style>
  <w:style w:type="character" w:customStyle="1" w:styleId="29">
    <w:name w:val="页脚 字符"/>
    <w:link w:val="9"/>
    <w:qFormat/>
    <w:locked/>
    <w:uiPriority w:val="99"/>
    <w:rPr>
      <w:sz w:val="18"/>
    </w:rPr>
  </w:style>
  <w:style w:type="character" w:customStyle="1" w:styleId="30">
    <w:name w:val="标题 1 字符"/>
    <w:link w:val="3"/>
    <w:qFormat/>
    <w:locked/>
    <w:uiPriority w:val="9"/>
    <w:rPr>
      <w:rFonts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收、支决算总计变动情况</a:t>
            </a:r>
          </a:p>
        </c:rich>
      </c:tx>
      <c:layout/>
      <c:overlay val="0"/>
      <c:spPr>
        <a:noFill/>
        <a:ln>
          <a:noFill/>
        </a:ln>
        <a:effectLst/>
      </c:spPr>
    </c:title>
    <c:autoTitleDeleted val="0"/>
    <c:plotArea>
      <c:layout/>
      <c:barChart>
        <c:barDir val="col"/>
        <c:grouping val="clustered"/>
        <c:varyColors val="0"/>
        <c:ser>
          <c:idx val="0"/>
          <c:order val="0"/>
          <c:tx>
            <c:strRef>
              <c:f>[工作簿1]Sheet1!$G$7</c:f>
              <c:strCache>
                <c:ptCount val="1"/>
                <c:pt idx="0">
                  <c:v>收入</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[工作簿1]Sheet1!$H$6:$I$6</c:f>
              <c:strCache>
                <c:ptCount val="2"/>
                <c:pt idx="0">
                  <c:v>2019年</c:v>
                </c:pt>
                <c:pt idx="1">
                  <c:v>2020年</c:v>
                </c:pt>
              </c:strCache>
            </c:strRef>
          </c:cat>
          <c:val>
            <c:numRef>
              <c:f>[工作簿1]Sheet1!$H$7:$I$7</c:f>
              <c:numCache>
                <c:formatCode>General</c:formatCode>
                <c:ptCount val="2"/>
                <c:pt idx="0">
                  <c:v>384.33</c:v>
                </c:pt>
                <c:pt idx="1">
                  <c:v>183.92</c:v>
                </c:pt>
              </c:numCache>
            </c:numRef>
          </c:val>
        </c:ser>
        <c:ser>
          <c:idx val="1"/>
          <c:order val="1"/>
          <c:tx>
            <c:strRef>
              <c:f>[工作簿1]Sheet1!$G$8</c:f>
              <c:strCache>
                <c:ptCount val="1"/>
                <c:pt idx="0">
                  <c:v>支出</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[工作簿1]Sheet1!$H$6:$I$6</c:f>
              <c:strCache>
                <c:ptCount val="2"/>
                <c:pt idx="0">
                  <c:v>2019年</c:v>
                </c:pt>
                <c:pt idx="1">
                  <c:v>2020年</c:v>
                </c:pt>
              </c:strCache>
            </c:strRef>
          </c:cat>
          <c:val>
            <c:numRef>
              <c:f>[工作簿1]Sheet1!$H$8:$I$8</c:f>
              <c:numCache>
                <c:formatCode>General</c:formatCode>
                <c:ptCount val="2"/>
                <c:pt idx="0">
                  <c:v>384.33</c:v>
                </c:pt>
                <c:pt idx="1">
                  <c:v>105.9</c:v>
                </c:pt>
              </c:numCache>
            </c:numRef>
          </c:val>
        </c:ser>
        <c:dLbls>
          <c:showLegendKey val="0"/>
          <c:showVal val="1"/>
          <c:showCatName val="0"/>
          <c:showSerName val="0"/>
          <c:showPercent val="0"/>
          <c:showBubbleSize val="0"/>
        </c:dLbls>
        <c:gapWidth val="219"/>
        <c:overlap val="-27"/>
        <c:axId val="316436464"/>
        <c:axId val="617701611"/>
      </c:barChart>
      <c:catAx>
        <c:axId val="316436464"/>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617701611"/>
        <c:crosses val="autoZero"/>
        <c:auto val="1"/>
        <c:lblAlgn val="ctr"/>
        <c:lblOffset val="100"/>
        <c:noMultiLvlLbl val="0"/>
      </c:catAx>
      <c:valAx>
        <c:axId val="617701611"/>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1643646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pieChart>
        <c:varyColors val="1"/>
        <c:ser>
          <c:idx val="0"/>
          <c:order val="0"/>
          <c:tx>
            <c:strRef>
              <c:f>[工作簿1]Sheet1!$H$6</c:f>
              <c:strCache>
                <c:ptCount val="1"/>
                <c:pt idx="0">
                  <c:v>2020年</c:v>
                </c:pt>
              </c:strCache>
            </c:strRef>
          </c:tx>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[工作簿1]Sheet1!$G$7:$G$8</c:f>
              <c:strCache>
                <c:ptCount val="2"/>
                <c:pt idx="0">
                  <c:v>一般公共预算财政拨款收入</c:v>
                </c:pt>
                <c:pt idx="1">
                  <c:v>其他收入</c:v>
                </c:pt>
              </c:strCache>
            </c:strRef>
          </c:cat>
          <c:val>
            <c:numRef>
              <c:f>[工作簿1]Sheet1!$H$7:$H$8</c:f>
              <c:numCache>
                <c:formatCode>General</c:formatCode>
                <c:ptCount val="2"/>
                <c:pt idx="0">
                  <c:v>183.42</c:v>
                </c:pt>
                <c:pt idx="1">
                  <c:v>0.5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pieChart>
        <c:varyColors val="1"/>
        <c:ser>
          <c:idx val="0"/>
          <c:order val="0"/>
          <c:tx>
            <c:strRef>
              <c:f>[工作簿1]Sheet1!$H$6</c:f>
              <c:strCache>
                <c:ptCount val="1"/>
                <c:pt idx="0">
                  <c:v>2020年</c:v>
                </c:pt>
              </c:strCache>
            </c:strRef>
          </c:tx>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[工作簿1]Sheet1!$G$7:$G$8</c:f>
              <c:strCache>
                <c:ptCount val="2"/>
                <c:pt idx="0">
                  <c:v>基本支出</c:v>
                </c:pt>
                <c:pt idx="1">
                  <c:v>项目支出</c:v>
                </c:pt>
              </c:strCache>
            </c:strRef>
          </c:cat>
          <c:val>
            <c:numRef>
              <c:f>[工作簿1]Sheet1!$H$7:$H$8</c:f>
              <c:numCache>
                <c:formatCode>0.00%</c:formatCode>
                <c:ptCount val="2"/>
                <c:pt idx="0">
                  <c:v>0.517</c:v>
                </c:pt>
                <c:pt idx="1">
                  <c:v>0.483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[工作簿1]Sheet1!$G$7</c:f>
              <c:strCache>
                <c:ptCount val="1"/>
                <c:pt idx="0">
                  <c:v>收入</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[工作簿1]Sheet1!$H$6:$I$6</c:f>
              <c:strCache>
                <c:ptCount val="2"/>
                <c:pt idx="0">
                  <c:v>2019年</c:v>
                </c:pt>
                <c:pt idx="1">
                  <c:v>2020年</c:v>
                </c:pt>
              </c:strCache>
            </c:strRef>
          </c:cat>
          <c:val>
            <c:numRef>
              <c:f>[工作簿1]Sheet1!$H$7:$I$7</c:f>
              <c:numCache>
                <c:formatCode>General</c:formatCode>
                <c:ptCount val="2"/>
                <c:pt idx="0">
                  <c:v>384.12</c:v>
                </c:pt>
                <c:pt idx="1">
                  <c:v>183.42</c:v>
                </c:pt>
              </c:numCache>
            </c:numRef>
          </c:val>
        </c:ser>
        <c:ser>
          <c:idx val="1"/>
          <c:order val="1"/>
          <c:tx>
            <c:strRef>
              <c:f>[工作簿1]Sheet1!$G$8</c:f>
              <c:strCache>
                <c:ptCount val="1"/>
                <c:pt idx="0">
                  <c:v>支出</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[工作簿1]Sheet1!$H$6:$I$6</c:f>
              <c:strCache>
                <c:ptCount val="2"/>
                <c:pt idx="0">
                  <c:v>2019年</c:v>
                </c:pt>
                <c:pt idx="1">
                  <c:v>2020年</c:v>
                </c:pt>
              </c:strCache>
            </c:strRef>
          </c:cat>
          <c:val>
            <c:numRef>
              <c:f>[工作簿1]Sheet1!$H$8:$I$8</c:f>
              <c:numCache>
                <c:formatCode>General</c:formatCode>
                <c:ptCount val="2"/>
                <c:pt idx="0">
                  <c:v>81.65</c:v>
                </c:pt>
                <c:pt idx="1">
                  <c:v>89.06</c:v>
                </c:pt>
              </c:numCache>
            </c:numRef>
          </c:val>
        </c:ser>
        <c:dLbls>
          <c:showLegendKey val="0"/>
          <c:showVal val="1"/>
          <c:showCatName val="0"/>
          <c:showSerName val="0"/>
          <c:showPercent val="0"/>
          <c:showBubbleSize val="0"/>
        </c:dLbls>
        <c:gapWidth val="219"/>
        <c:overlap val="-27"/>
        <c:axId val="350524705"/>
        <c:axId val="145944016"/>
      </c:barChart>
      <c:catAx>
        <c:axId val="350524705"/>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45944016"/>
        <c:crosses val="autoZero"/>
        <c:auto val="1"/>
        <c:lblAlgn val="ctr"/>
        <c:lblOffset val="100"/>
        <c:noMultiLvlLbl val="0"/>
      </c:catAx>
      <c:valAx>
        <c:axId val="145944016"/>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505247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[工作簿1]Sheet1!$G$7</c:f>
              <c:strCache>
                <c:ptCount val="1"/>
                <c:pt idx="0">
                  <c:v>支出</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[工作簿1]Sheet1!$H$6:$I$6</c:f>
              <c:strCache>
                <c:ptCount val="2"/>
                <c:pt idx="0">
                  <c:v>2019年</c:v>
                </c:pt>
                <c:pt idx="1">
                  <c:v>2020年</c:v>
                </c:pt>
              </c:strCache>
            </c:strRef>
          </c:cat>
          <c:val>
            <c:numRef>
              <c:f>[工作簿1]Sheet1!$H$7:$I$7</c:f>
              <c:numCache>
                <c:formatCode>General</c:formatCode>
                <c:ptCount val="2"/>
                <c:pt idx="0">
                  <c:v>81.65</c:v>
                </c:pt>
                <c:pt idx="1">
                  <c:v>89.06</c:v>
                </c:pt>
              </c:numCache>
            </c:numRef>
          </c:val>
        </c:ser>
        <c:dLbls>
          <c:showLegendKey val="0"/>
          <c:showVal val="1"/>
          <c:showCatName val="0"/>
          <c:showSerName val="0"/>
          <c:showPercent val="0"/>
          <c:showBubbleSize val="0"/>
        </c:dLbls>
        <c:gapWidth val="219"/>
        <c:overlap val="-27"/>
        <c:axId val="753239824"/>
        <c:axId val="374601075"/>
      </c:barChart>
      <c:catAx>
        <c:axId val="753239824"/>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74601075"/>
        <c:crosses val="autoZero"/>
        <c:auto val="1"/>
        <c:lblAlgn val="ctr"/>
        <c:lblOffset val="100"/>
        <c:noMultiLvlLbl val="0"/>
      </c:catAx>
      <c:valAx>
        <c:axId val="374601075"/>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753239824"/>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pieChart>
        <c:varyColors val="1"/>
        <c:ser>
          <c:idx val="0"/>
          <c:order val="0"/>
          <c:tx>
            <c:strRef>
              <c:f>[工作簿1]Sheet1!$H$6</c:f>
              <c:strCache>
                <c:ptCount val="1"/>
                <c:pt idx="0">
                  <c:v>2020年</c:v>
                </c:pt>
              </c:strCache>
            </c:strRef>
          </c:tx>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[工作簿1]Sheet1!$G$7:$G$9</c:f>
              <c:strCache>
                <c:ptCount val="3"/>
                <c:pt idx="0">
                  <c:v>社会保障和就业支出</c:v>
                </c:pt>
                <c:pt idx="1">
                  <c:v>卫生健康支出</c:v>
                </c:pt>
                <c:pt idx="2">
                  <c:v>住房保障支出</c:v>
                </c:pt>
              </c:strCache>
            </c:strRef>
          </c:cat>
          <c:val>
            <c:numRef>
              <c:f>[工作簿1]Sheet1!$H$7:$H$9</c:f>
              <c:numCache>
                <c:formatCode>0.00%</c:formatCode>
                <c:ptCount val="3"/>
                <c:pt idx="0">
                  <c:v>0.9062</c:v>
                </c:pt>
                <c:pt idx="1">
                  <c:v>0.0225</c:v>
                </c:pt>
                <c:pt idx="2">
                  <c:v>0.0713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[工作簿1]Sheet1!$H$6</c:f>
              <c:strCache>
                <c:ptCount val="1"/>
                <c:pt idx="0">
                  <c:v>2020年</c:v>
                </c:pt>
              </c:strCache>
            </c:strRef>
          </c:tx>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[工作簿1]Sheet1!$G$7:$G$8</c:f>
              <c:strCache>
                <c:ptCount val="2"/>
                <c:pt idx="0">
                  <c:v>公务用车购置及运行维护费</c:v>
                </c:pt>
                <c:pt idx="1">
                  <c:v>公务接待费</c:v>
                </c:pt>
              </c:strCache>
            </c:strRef>
          </c:cat>
          <c:val>
            <c:numRef>
              <c:f>[工作簿1]Sheet1!$H$7:$H$8</c:f>
              <c:numCache>
                <c:formatCode>0.00%</c:formatCode>
                <c:ptCount val="2"/>
                <c:pt idx="0">
                  <c:v>0.9019</c:v>
                </c:pt>
                <c:pt idx="1">
                  <c:v>0.0281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1293</Words>
  <Characters>7375</Characters>
  <Lines>61</Lines>
  <Paragraphs>17</Paragraphs>
  <TotalTime>3</TotalTime>
  <ScaleCrop>false</ScaleCrop>
  <LinksUpToDate>false</LinksUpToDate>
  <CharactersWithSpaces>8651</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对影成双</cp:lastModifiedBy>
  <cp:lastPrinted>2021-07-29T03:56:00Z</cp:lastPrinted>
  <dcterms:modified xsi:type="dcterms:W3CDTF">2021-11-15T23:52:21Z</dcterms:modified>
  <dc:title>四川省***</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