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86737193"/>
      <w:bookmarkStart w:id="2" w:name="_Toc15377425"/>
      <w:bookmarkStart w:id="3" w:name="_Toc15396597"/>
      <w:bookmarkStart w:id="4" w:name="_Toc15377193"/>
      <w:bookmarkStart w:id="5" w:name="_Toc15396475"/>
      <w:bookmarkStart w:id="6" w:name="_Toc15378441"/>
      <w:r>
        <w:rPr>
          <w:rFonts w:ascii="黑体" w:hAnsi="黑体" w:eastAsia="黑体"/>
          <w:color w:val="000000"/>
          <w:sz w:val="72"/>
          <w:szCs w:val="72"/>
        </w:rPr>
        <w:t>2</w:t>
      </w:r>
      <w:r>
        <w:rPr>
          <w:rFonts w:hint="eastAsia" w:ascii="黑体" w:hAnsi="黑体" w:eastAsia="黑体"/>
          <w:color w:val="000000"/>
          <w:sz w:val="72"/>
          <w:szCs w:val="72"/>
        </w:rPr>
        <w:t>020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78442"/>
      <w:bookmarkStart w:id="8" w:name="_Toc15377426"/>
      <w:bookmarkStart w:id="9" w:name="_Toc15396476"/>
      <w:bookmarkStart w:id="10" w:name="_Toc15396598"/>
      <w:bookmarkStart w:id="11" w:name="_Toc15377194"/>
      <w:bookmarkStart w:id="12" w:name="_Toc86737194"/>
      <w:r>
        <w:rPr>
          <w:rFonts w:hint="eastAsia" w:ascii="方正小标宋简体" w:hAnsi="宋体" w:eastAsia="方正小标宋简体"/>
          <w:color w:val="000000"/>
          <w:sz w:val="72"/>
          <w:szCs w:val="72"/>
        </w:rPr>
        <w:t>四川省</w:t>
      </w:r>
      <w:bookmarkEnd w:id="0"/>
      <w:bookmarkStart w:id="13" w:name="_Toc15306268"/>
      <w:r>
        <w:rPr>
          <w:rFonts w:hint="eastAsia" w:ascii="方正小标宋简体" w:hAnsi="宋体" w:eastAsia="方正小标宋简体"/>
          <w:color w:val="000000"/>
          <w:sz w:val="72"/>
          <w:szCs w:val="72"/>
        </w:rPr>
        <w:t>乐山市峨眉山市人民医院</w:t>
      </w:r>
      <w:bookmarkStart w:id="114" w:name="_GoBack"/>
      <w:bookmarkEnd w:id="114"/>
      <w:r>
        <w:rPr>
          <w:rFonts w:hint="eastAsia" w:ascii="方正小标宋简体" w:hAnsi="宋体" w:eastAsia="方正小标宋简体"/>
          <w:color w:val="000000"/>
          <w:sz w:val="72"/>
          <w:szCs w:val="72"/>
        </w:rPr>
        <w:t>决算</w:t>
      </w:r>
      <w:bookmarkEnd w:id="7"/>
      <w:bookmarkEnd w:id="8"/>
      <w:bookmarkEnd w:id="9"/>
      <w:bookmarkEnd w:id="10"/>
      <w:bookmarkEnd w:id="11"/>
      <w:bookmarkEnd w:id="12"/>
      <w:bookmarkEnd w:id="13"/>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公开时间：2020年11月2日</w:t>
      </w:r>
    </w:p>
    <w:sdt>
      <w:sdtPr>
        <w:rPr>
          <w:lang w:val="zh-CN"/>
        </w:rPr>
        <w:id w:val="547348"/>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1"/>
            <w:rPr>
              <w:rFonts w:asciiTheme="minorHAnsi" w:hAnsiTheme="minorHAnsi" w:eastAsiaTheme="minorEastAsia" w:cstheme="minorBidi"/>
              <w:sz w:val="21"/>
              <w:szCs w:val="22"/>
            </w:rPr>
          </w:pPr>
          <w:r>
            <w:fldChar w:fldCharType="begin"/>
          </w:r>
          <w:r>
            <w:instrText xml:space="preserve"> TOC \o "1-3" \h \z \u </w:instrText>
          </w:r>
          <w:r>
            <w:fldChar w:fldCharType="separate"/>
          </w:r>
        </w:p>
        <w:p>
          <w:pPr>
            <w:pStyle w:val="10"/>
            <w:jc w:val="both"/>
            <w:rPr>
              <w:rFonts w:asciiTheme="minorHAnsi" w:hAnsiTheme="minorHAnsi" w:eastAsiaTheme="minorEastAsia" w:cstheme="minorBidi"/>
              <w:sz w:val="21"/>
              <w:szCs w:val="22"/>
            </w:rPr>
          </w:pPr>
          <w:r>
            <w:fldChar w:fldCharType="begin"/>
          </w:r>
          <w:r>
            <w:instrText xml:space="preserve"> HYPERLINK \l "_Toc86737195" </w:instrText>
          </w:r>
          <w:r>
            <w:fldChar w:fldCharType="separate"/>
          </w:r>
          <w:r>
            <w:rPr>
              <w:rStyle w:val="16"/>
              <w:rFonts w:hint="eastAsia" w:ascii="黑体" w:hAnsi="黑体" w:eastAsia="黑体"/>
            </w:rPr>
            <w:t>第一部分</w:t>
          </w:r>
          <w:r>
            <w:rPr>
              <w:rStyle w:val="16"/>
              <w:rFonts w:ascii="黑体" w:hAnsi="黑体" w:eastAsia="黑体"/>
            </w:rPr>
            <w:t xml:space="preserve"> </w:t>
          </w:r>
          <w:r>
            <w:rPr>
              <w:rStyle w:val="16"/>
              <w:rFonts w:hint="eastAsia" w:ascii="黑体" w:hAnsi="黑体" w:eastAsia="黑体"/>
            </w:rPr>
            <w:t>部门概况</w:t>
          </w:r>
          <w:r>
            <w:tab/>
          </w:r>
          <w:r>
            <w:fldChar w:fldCharType="begin"/>
          </w:r>
          <w:r>
            <w:instrText xml:space="preserve"> PAGEREF _Toc86737195 \h </w:instrText>
          </w:r>
          <w:r>
            <w:fldChar w:fldCharType="separate"/>
          </w:r>
          <w:r>
            <w:t>4</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"_Toc86737196" </w:instrText>
          </w:r>
          <w:r>
            <w:fldChar w:fldCharType="separate"/>
          </w:r>
          <w:r>
            <w:rPr>
              <w:rStyle w:val="16"/>
              <w:rFonts w:hint="eastAsia" w:ascii="黑体" w:hAnsi="黑体" w:eastAsia="黑体"/>
            </w:rPr>
            <w:t>一、基本职能及主要工作</w:t>
          </w:r>
          <w:r>
            <w:tab/>
          </w:r>
          <w:r>
            <w:fldChar w:fldCharType="begin"/>
          </w:r>
          <w:r>
            <w:instrText xml:space="preserve"> PAGEREF _Toc86737196 \h </w:instrText>
          </w:r>
          <w:r>
            <w:fldChar w:fldCharType="separate"/>
          </w:r>
          <w:r>
            <w:t>4</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"_Toc86737198" </w:instrText>
          </w:r>
          <w:r>
            <w:fldChar w:fldCharType="separate"/>
          </w:r>
          <w:r>
            <w:rPr>
              <w:rStyle w:val="16"/>
              <w:rFonts w:hint="eastAsia" w:ascii="黑体" w:eastAsia="黑体"/>
            </w:rPr>
            <w:t>二、</w:t>
          </w:r>
          <w:r>
            <w:rPr>
              <w:rStyle w:val="16"/>
              <w:rFonts w:hint="eastAsia" w:ascii="黑体" w:hAnsi="黑体" w:eastAsia="黑体"/>
            </w:rPr>
            <w:t>机构设置</w:t>
          </w:r>
          <w:r>
            <w:tab/>
          </w:r>
          <w:r>
            <w:fldChar w:fldCharType="begin"/>
          </w:r>
          <w:r>
            <w:instrText xml:space="preserve"> PAGEREF _Toc86737198 \h </w:instrText>
          </w:r>
          <w:r>
            <w:fldChar w:fldCharType="separate"/>
          </w:r>
          <w:r>
            <w:t>4</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"_Toc86737199" </w:instrText>
          </w:r>
          <w:r>
            <w:fldChar w:fldCharType="separate"/>
          </w:r>
          <w:r>
            <w:rPr>
              <w:rStyle w:val="16"/>
              <w:rFonts w:ascii="黑体" w:hAnsi="黑体" w:eastAsia="黑体"/>
            </w:rPr>
            <w:t>2020</w:t>
          </w:r>
          <w:r>
            <w:rPr>
              <w:rStyle w:val="16"/>
              <w:rFonts w:hint="eastAsia" w:ascii="黑体" w:hAnsi="黑体" w:eastAsia="黑体"/>
            </w:rPr>
            <w:t>年度部门决算情况说明</w:t>
          </w:r>
          <w:r>
            <w:tab/>
          </w:r>
          <w:r>
            <w:fldChar w:fldCharType="begin"/>
          </w:r>
          <w:r>
            <w:instrText xml:space="preserve"> PAGEREF _Toc86737199 \h </w:instrText>
          </w:r>
          <w:r>
            <w:fldChar w:fldCharType="separate"/>
          </w:r>
          <w:r>
            <w:t>5</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"_Toc86737200" </w:instrText>
          </w:r>
          <w:r>
            <w:fldChar w:fldCharType="separate"/>
          </w:r>
          <w:r>
            <w:rPr>
              <w:rStyle w:val="16"/>
              <w:rFonts w:hint="eastAsia" w:ascii="黑体" w:hAnsi="黑体" w:eastAsia="黑体" w:cstheme="majorBidi"/>
              <w:bCs/>
            </w:rPr>
            <w:t>一、</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入支出决算总体情况说明</w:t>
          </w:r>
          <w:r>
            <w:tab/>
          </w:r>
          <w:r>
            <w:fldChar w:fldCharType="begin"/>
          </w:r>
          <w:r>
            <w:instrText xml:space="preserve"> PAGEREF _Toc86737200 \h </w:instrText>
          </w:r>
          <w:r>
            <w:fldChar w:fldCharType="separate"/>
          </w:r>
          <w:r>
            <w:t>5</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"_Toc86737201" </w:instrText>
          </w:r>
          <w:r>
            <w:fldChar w:fldCharType="separate"/>
          </w:r>
          <w:r>
            <w:rPr>
              <w:rStyle w:val="16"/>
              <w:rFonts w:hint="eastAsia" w:ascii="黑体" w:hAnsi="黑体" w:eastAsia="黑体" w:cstheme="majorBidi"/>
              <w:bCs/>
            </w:rPr>
            <w:t>二、</w:t>
          </w:r>
          <w:r>
            <w:rPr>
              <w:rFonts w:asciiTheme="minorHAnsi" w:hAnsiTheme="minorHAnsi" w:eastAsiaTheme="minorEastAsia" w:cstheme="minorBidi"/>
              <w:szCs w:val="22"/>
            </w:rPr>
            <w:tab/>
          </w:r>
          <w:r>
            <w:rPr>
              <w:rStyle w:val="16"/>
              <w:rFonts w:hint="eastAsia" w:ascii="黑体" w:hAnsi="黑体" w:eastAsia="黑体"/>
            </w:rPr>
            <w:t>收</w:t>
          </w:r>
          <w:r>
            <w:rPr>
              <w:rStyle w:val="16"/>
              <w:rFonts w:hint="eastAsia" w:ascii="黑体" w:hAnsi="黑体" w:eastAsia="黑体" w:cstheme="majorBidi"/>
              <w:bCs/>
            </w:rPr>
            <w:t>入决算情况说明</w:t>
          </w:r>
          <w:r>
            <w:tab/>
          </w:r>
          <w:r>
            <w:fldChar w:fldCharType="begin"/>
          </w:r>
          <w:r>
            <w:instrText xml:space="preserve"> PAGEREF _Toc86737201 \h </w:instrText>
          </w:r>
          <w:r>
            <w:fldChar w:fldCharType="separate"/>
          </w:r>
          <w:r>
            <w:t>6</w:t>
          </w:r>
          <w:r>
            <w:fldChar w:fldCharType="end"/>
          </w:r>
          <w:r>
            <w:fldChar w:fldCharType="end"/>
          </w:r>
        </w:p>
        <w:p>
          <w:pPr>
            <w:pStyle w:val="11"/>
            <w:tabs>
              <w:tab w:val="left" w:pos="1260"/>
            </w:tabs>
            <w:rPr>
              <w:rFonts w:asciiTheme="minorHAnsi" w:hAnsiTheme="minorHAnsi" w:eastAsiaTheme="minorEastAsia" w:cstheme="minorBidi"/>
              <w:szCs w:val="22"/>
            </w:rPr>
          </w:pPr>
          <w:r>
            <w:fldChar w:fldCharType="begin"/>
          </w:r>
          <w:r>
            <w:instrText xml:space="preserve"> HYPERLINK \l "_Toc86737202" </w:instrText>
          </w:r>
          <w:r>
            <w:fldChar w:fldCharType="separate"/>
          </w:r>
          <w:r>
            <w:rPr>
              <w:rStyle w:val="16"/>
              <w:rFonts w:hint="eastAsia" w:ascii="黑体" w:hAnsi="黑体" w:eastAsia="黑体" w:cstheme="majorBidi"/>
              <w:bCs/>
            </w:rPr>
            <w:t>三、</w:t>
          </w:r>
          <w:r>
            <w:rPr>
              <w:rFonts w:asciiTheme="minorHAnsi" w:hAnsiTheme="minorHAnsi" w:eastAsiaTheme="minorEastAsia" w:cstheme="minorBidi"/>
              <w:szCs w:val="22"/>
            </w:rPr>
            <w:tab/>
          </w:r>
          <w:r>
            <w:rPr>
              <w:rStyle w:val="16"/>
              <w:rFonts w:hint="eastAsia" w:ascii="黑体" w:hAnsi="黑体" w:eastAsia="黑体"/>
            </w:rPr>
            <w:t>支</w:t>
          </w:r>
          <w:r>
            <w:rPr>
              <w:rStyle w:val="16"/>
              <w:rFonts w:hint="eastAsia" w:ascii="黑体" w:hAnsi="黑体" w:eastAsia="黑体" w:cstheme="majorBidi"/>
              <w:bCs/>
            </w:rPr>
            <w:t>出决算情况说明</w:t>
          </w:r>
          <w:r>
            <w:tab/>
          </w:r>
          <w:r>
            <w:fldChar w:fldCharType="begin"/>
          </w:r>
          <w:r>
            <w:instrText xml:space="preserve"> PAGEREF _Toc86737202 \h </w:instrText>
          </w:r>
          <w:r>
            <w:fldChar w:fldCharType="separate"/>
          </w:r>
          <w:r>
            <w:t>6</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"_Toc86737203" </w:instrText>
          </w:r>
          <w:r>
            <w:fldChar w:fldCharType="separate"/>
          </w:r>
          <w:r>
            <w:rPr>
              <w:rStyle w:val="16"/>
              <w:rFonts w:hint="eastAsia" w:ascii="黑体" w:hAnsi="黑体" w:eastAsia="黑体"/>
            </w:rPr>
            <w:t>四、财</w:t>
          </w:r>
          <w:r>
            <w:rPr>
              <w:rStyle w:val="16"/>
              <w:rFonts w:hint="eastAsia" w:ascii="黑体" w:hAnsi="黑体" w:eastAsia="黑体" w:cstheme="majorBidi"/>
              <w:bCs/>
            </w:rPr>
            <w:t>政拨款收入支出决算总体情况说明</w:t>
          </w:r>
          <w:r>
            <w:tab/>
          </w:r>
          <w:r>
            <w:fldChar w:fldCharType="begin"/>
          </w:r>
          <w:r>
            <w:instrText xml:space="preserve"> PAGEREF _Toc86737203 \h </w:instrText>
          </w:r>
          <w:r>
            <w:fldChar w:fldCharType="separate"/>
          </w:r>
          <w:r>
            <w:t>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"_Toc86737204" </w:instrText>
          </w:r>
          <w:r>
            <w:fldChar w:fldCharType="separate"/>
          </w:r>
          <w:r>
            <w:rPr>
              <w:rStyle w:val="16"/>
              <w:rFonts w:hint="eastAsia" w:ascii="黑体" w:hAnsi="黑体" w:eastAsia="黑体"/>
            </w:rPr>
            <w:t>五、</w:t>
          </w:r>
          <w:r>
            <w:rPr>
              <w:rStyle w:val="16"/>
              <w:rFonts w:hint="eastAsia" w:ascii="黑体" w:hAnsi="黑体" w:eastAsia="黑体"/>
              <w:b/>
            </w:rPr>
            <w:t>一</w:t>
          </w:r>
          <w:r>
            <w:rPr>
              <w:rStyle w:val="16"/>
              <w:rFonts w:hint="eastAsia" w:ascii="黑体" w:hAnsi="黑体" w:eastAsia="黑体" w:cstheme="majorBidi"/>
              <w:bCs/>
            </w:rPr>
            <w:t>般公共预算财政拨款支出决算情况说明</w:t>
          </w:r>
          <w:r>
            <w:tab/>
          </w:r>
          <w:r>
            <w:fldChar w:fldCharType="begin"/>
          </w:r>
          <w:r>
            <w:instrText xml:space="preserve"> PAGEREF _Toc86737204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"_Toc86737209" </w:instrText>
          </w:r>
          <w:r>
            <w:fldChar w:fldCharType="separate"/>
          </w:r>
          <w:r>
            <w:rPr>
              <w:rStyle w:val="16"/>
              <w:rFonts w:hint="eastAsia" w:ascii="黑体" w:eastAsia="黑体"/>
            </w:rPr>
            <w:t>六</w:t>
          </w:r>
          <w:r>
            <w:rPr>
              <w:rStyle w:val="16"/>
              <w:rFonts w:hint="eastAsia" w:ascii="黑体" w:eastAsia="黑体"/>
              <w:b/>
            </w:rPr>
            <w:t>、</w:t>
          </w:r>
          <w:r>
            <w:rPr>
              <w:rStyle w:val="16"/>
              <w:rFonts w:hint="eastAsia" w:ascii="黑体" w:hAnsi="黑体" w:eastAsia="黑体"/>
              <w:b/>
            </w:rPr>
            <w:t>一</w:t>
          </w:r>
          <w:r>
            <w:rPr>
              <w:rStyle w:val="16"/>
              <w:rFonts w:hint="eastAsia" w:ascii="黑体" w:hAnsi="黑体" w:eastAsia="黑体" w:cstheme="majorBidi"/>
              <w:bCs/>
            </w:rPr>
            <w:t>般公共预算财政拨款基本支出决算情况说明</w:t>
          </w:r>
          <w:r>
            <w:tab/>
          </w:r>
          <w:r>
            <w:fldChar w:fldCharType="begin"/>
          </w:r>
          <w:r>
            <w:instrText xml:space="preserve"> PAGEREF _Toc86737209 \h </w:instrText>
          </w:r>
          <w:r>
            <w:fldChar w:fldCharType="separate"/>
          </w:r>
          <w:r>
            <w:t>11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"_Toc86737212" </w:instrText>
          </w:r>
          <w:r>
            <w:fldChar w:fldCharType="separate"/>
          </w:r>
          <w:r>
            <w:rPr>
              <w:rStyle w:val="16"/>
              <w:rFonts w:hint="eastAsia" w:ascii="黑体" w:eastAsia="黑体"/>
            </w:rPr>
            <w:t>八、</w:t>
          </w:r>
          <w:r>
            <w:rPr>
              <w:rStyle w:val="16"/>
              <w:rFonts w:hint="eastAsia" w:ascii="黑体" w:hAnsi="黑体" w:eastAsia="黑体" w:cstheme="majorBidi"/>
              <w:bCs/>
            </w:rPr>
            <w:t>政府性基金预算支出决算情况说明</w:t>
          </w:r>
          <w:r>
            <w:tab/>
          </w:r>
          <w:r>
            <w:fldChar w:fldCharType="begin"/>
          </w:r>
          <w:r>
            <w:instrText xml:space="preserve"> PAGEREF _Toc86737212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"_Toc86737213" </w:instrText>
          </w:r>
          <w:r>
            <w:fldChar w:fldCharType="separate"/>
          </w:r>
          <w:r>
            <w:rPr>
              <w:rStyle w:val="16"/>
              <w:rFonts w:hint="eastAsia" w:ascii="黑体" w:hAnsi="黑体" w:eastAsia="黑体" w:cstheme="majorBidi"/>
              <w:bCs/>
            </w:rPr>
            <w:t>九、 国有资本经营预算支出决算情况说明</w:t>
          </w:r>
          <w:r>
            <w:tab/>
          </w:r>
          <w:r>
            <w:fldChar w:fldCharType="begin"/>
          </w:r>
          <w:r>
            <w:instrText xml:space="preserve"> PAGEREF _Toc86737213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"_Toc86737214" </w:instrText>
          </w:r>
          <w:r>
            <w:fldChar w:fldCharType="separate"/>
          </w:r>
          <w:r>
            <w:rPr>
              <w:rStyle w:val="16"/>
              <w:rFonts w:hint="eastAsia" w:ascii="黑体" w:hAnsi="黑体" w:eastAsia="黑体"/>
            </w:rPr>
            <w:t>十</w:t>
          </w:r>
          <w:r>
            <w:rPr>
              <w:rStyle w:val="16"/>
              <w:rFonts w:hint="eastAsia" w:ascii="黑体" w:hAnsi="黑体" w:eastAsia="黑体" w:cstheme="majorBidi"/>
              <w:b/>
              <w:bCs/>
            </w:rPr>
            <w:t>、</w:t>
          </w:r>
          <w:r>
            <w:rPr>
              <w:rStyle w:val="16"/>
              <w:rFonts w:hint="eastAsia" w:ascii="黑体" w:hAnsi="黑体" w:eastAsia="黑体" w:cstheme="majorBidi"/>
              <w:bCs/>
            </w:rPr>
            <w:t>其他重要事项的情况说明</w:t>
          </w:r>
          <w:r>
            <w:tab/>
          </w:r>
          <w:r>
            <w:fldChar w:fldCharType="begin"/>
          </w:r>
          <w:r>
            <w:instrText xml:space="preserve"> PAGEREF _Toc86737214 \h </w:instrText>
          </w:r>
          <w:r>
            <w:fldChar w:fldCharType="separate"/>
          </w:r>
          <w:r>
            <w:t>12</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"_Toc86737219" </w:instrText>
          </w:r>
          <w:r>
            <w:fldChar w:fldCharType="separate"/>
          </w:r>
          <w:r>
            <w:rPr>
              <w:rStyle w:val="16"/>
              <w:rFonts w:hint="eastAsia" w:ascii="黑体" w:hAnsi="黑体" w:eastAsia="黑体"/>
              <w:bCs/>
              <w:kern w:val="44"/>
            </w:rPr>
            <w:t>第三部分</w:t>
          </w:r>
          <w:r>
            <w:rPr>
              <w:rStyle w:val="16"/>
              <w:rFonts w:hint="eastAsia" w:ascii="黑体" w:hAnsi="黑体" w:eastAsia="黑体"/>
            </w:rPr>
            <w:t xml:space="preserve"> 名</w:t>
          </w:r>
          <w:r>
            <w:rPr>
              <w:rStyle w:val="16"/>
              <w:rFonts w:hint="eastAsia" w:ascii="黑体" w:hAnsi="黑体" w:eastAsia="黑体"/>
              <w:bCs/>
              <w:kern w:val="44"/>
            </w:rPr>
            <w:t>词解释</w:t>
          </w:r>
          <w:r>
            <w:tab/>
          </w:r>
          <w:r>
            <w:fldChar w:fldCharType="begin"/>
          </w:r>
          <w:r>
            <w:instrText xml:space="preserve"> PAGEREF _Toc86737219 \h </w:instrText>
          </w:r>
          <w:r>
            <w:fldChar w:fldCharType="separate"/>
          </w:r>
          <w:r>
            <w:t>16</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"_Toc86737220" </w:instrText>
          </w:r>
          <w:r>
            <w:fldChar w:fldCharType="separate"/>
          </w:r>
          <w:r>
            <w:rPr>
              <w:rStyle w:val="16"/>
              <w:rFonts w:hint="eastAsia" w:ascii="黑体" w:hAnsi="黑体" w:eastAsia="黑体"/>
            </w:rPr>
            <w:t>第</w:t>
          </w:r>
          <w:r>
            <w:rPr>
              <w:rStyle w:val="16"/>
              <w:rFonts w:hint="eastAsia" w:ascii="黑体" w:hAnsi="黑体" w:eastAsia="黑体"/>
              <w:bCs/>
              <w:kern w:val="44"/>
            </w:rPr>
            <w:t>四部分</w:t>
          </w:r>
          <w:r>
            <w:rPr>
              <w:rStyle w:val="16"/>
              <w:rFonts w:ascii="黑体" w:hAnsi="黑体" w:eastAsia="黑体"/>
              <w:bCs/>
              <w:kern w:val="44"/>
            </w:rPr>
            <w:t xml:space="preserve"> </w:t>
          </w:r>
          <w:r>
            <w:rPr>
              <w:rStyle w:val="16"/>
              <w:rFonts w:hint="eastAsia" w:ascii="黑体" w:hAnsi="黑体" w:eastAsia="黑体"/>
              <w:bCs/>
              <w:kern w:val="44"/>
            </w:rPr>
            <w:t>附件</w:t>
          </w:r>
          <w:r>
            <w:tab/>
          </w:r>
          <w:r>
            <w:fldChar w:fldCharType="begin"/>
          </w:r>
          <w:r>
            <w:instrText xml:space="preserve"> PAGEREF _Toc86737220 \h </w:instrText>
          </w:r>
          <w:r>
            <w:fldChar w:fldCharType="separate"/>
          </w:r>
          <w:r>
            <w:t>19</w:t>
          </w:r>
          <w:r>
            <w:fldChar w:fldCharType="end"/>
          </w:r>
          <w:r>
            <w:fldChar w:fldCharType="end"/>
          </w:r>
        </w:p>
        <w:p>
          <w:pPr>
            <w:pStyle w:val="10"/>
            <w:rPr>
              <w:rStyle w:val="16"/>
              <w:rFonts w:hint="eastAsia"/>
            </w:rPr>
          </w:pPr>
          <w:r>
            <w:fldChar w:fldCharType="begin"/>
          </w:r>
          <w:r>
            <w:instrText xml:space="preserve"> HYPERLINK \l "_Toc86737221" </w:instrText>
          </w:r>
          <w:r>
            <w:fldChar w:fldCharType="separate"/>
          </w:r>
          <w:r>
            <w:rPr>
              <w:rStyle w:val="16"/>
              <w:rFonts w:hint="eastAsia" w:ascii="黑体" w:hAnsi="黑体" w:eastAsia="黑体" w:cs="黑体"/>
            </w:rPr>
            <w:t>附件</w:t>
          </w:r>
          <w:r>
            <w:rPr>
              <w:rStyle w:val="16"/>
              <w:rFonts w:ascii="黑体" w:hAnsi="黑体" w:eastAsia="黑体" w:cs="黑体"/>
            </w:rPr>
            <w:t>1</w:t>
          </w:r>
          <w:r>
            <w:tab/>
          </w:r>
          <w:r>
            <w:fldChar w:fldCharType="begin"/>
          </w:r>
          <w:r>
            <w:instrText xml:space="preserve"> PAGEREF _Toc86737221 \h </w:instrText>
          </w:r>
          <w:r>
            <w:fldChar w:fldCharType="separate"/>
          </w:r>
          <w:r>
            <w:t>19</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"_Toc86737220" </w:instrText>
          </w:r>
          <w:r>
            <w:fldChar w:fldCharType="separate"/>
          </w:r>
          <w:r>
            <w:rPr>
              <w:rStyle w:val="16"/>
              <w:rFonts w:hint="eastAsia" w:ascii="黑体" w:hAnsi="黑体" w:eastAsia="黑体"/>
            </w:rPr>
            <w:t>第</w:t>
          </w:r>
          <w:r>
            <w:rPr>
              <w:rStyle w:val="16"/>
              <w:rFonts w:hint="eastAsia" w:ascii="黑体" w:hAnsi="黑体" w:eastAsia="黑体"/>
              <w:bCs/>
              <w:kern w:val="44"/>
            </w:rPr>
            <w:t>五部分</w:t>
          </w:r>
          <w:r>
            <w:rPr>
              <w:rStyle w:val="16"/>
              <w:rFonts w:ascii="黑体" w:hAnsi="黑体" w:eastAsia="黑体"/>
              <w:bCs/>
              <w:kern w:val="44"/>
            </w:rPr>
            <w:t xml:space="preserve"> </w:t>
          </w:r>
          <w:r>
            <w:rPr>
              <w:rStyle w:val="16"/>
              <w:rFonts w:hint="eastAsia" w:ascii="黑体" w:hAnsi="黑体" w:eastAsia="黑体"/>
              <w:bCs/>
              <w:kern w:val="44"/>
            </w:rPr>
            <w:t>附表</w:t>
          </w:r>
          <w:r>
            <w:tab/>
          </w:r>
          <w:r>
            <w:rPr>
              <w:rFonts w:hint="eastAsia"/>
            </w:rPr>
            <w:t>22</w:t>
          </w:r>
          <w:r>
            <w:rPr>
              <w:rFonts w:hint="eastAsia"/>
            </w:rPr>
            <w:fldChar w:fldCharType="end"/>
          </w:r>
        </w:p>
        <w:p>
          <w:pPr>
            <w:pStyle w:val="11"/>
            <w:rPr>
              <w:rFonts w:asciiTheme="minorHAnsi" w:hAnsiTheme="minorHAnsi" w:eastAsiaTheme="minorEastAsia" w:cstheme="minorBidi"/>
              <w:szCs w:val="22"/>
            </w:rPr>
          </w:pPr>
          <w:r>
            <w:fldChar w:fldCharType="begin"/>
          </w:r>
          <w:r>
            <w:instrText xml:space="preserve"> HYPERLINK \l "_Toc86737222" </w:instrText>
          </w:r>
          <w:r>
            <w:fldChar w:fldCharType="separate"/>
          </w:r>
          <w:r>
            <w:rPr>
              <w:rStyle w:val="16"/>
              <w:rFonts w:hint="eastAsia" w:ascii="仿宋" w:hAnsi="仿宋" w:eastAsia="仿宋"/>
            </w:rPr>
            <w:t>一、收入支出决算总表</w:t>
          </w:r>
          <w:r>
            <w:tab/>
          </w:r>
          <w:r>
            <w:fldChar w:fldCharType="begin"/>
          </w:r>
          <w:r>
            <w:instrText xml:space="preserve"> PAGEREF _Toc86737222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"_Toc86737223" </w:instrText>
          </w:r>
          <w:r>
            <w:fldChar w:fldCharType="separate"/>
          </w:r>
          <w:r>
            <w:rPr>
              <w:rStyle w:val="16"/>
              <w:rFonts w:hint="eastAsia" w:ascii="仿宋" w:hAnsi="仿宋" w:eastAsia="仿宋"/>
            </w:rPr>
            <w:t>二、收入决算表</w:t>
          </w:r>
          <w:r>
            <w:tab/>
          </w:r>
          <w:r>
            <w:fldChar w:fldCharType="begin"/>
          </w:r>
          <w:r>
            <w:instrText xml:space="preserve"> PAGEREF _Toc86737223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"_Toc86737224" </w:instrText>
          </w:r>
          <w:r>
            <w:fldChar w:fldCharType="separate"/>
          </w:r>
          <w:r>
            <w:rPr>
              <w:rStyle w:val="16"/>
              <w:rFonts w:hint="eastAsia" w:ascii="仿宋" w:hAnsi="仿宋" w:eastAsia="仿宋"/>
            </w:rPr>
            <w:t>三、支出决算表</w:t>
          </w:r>
          <w:r>
            <w:tab/>
          </w:r>
          <w:r>
            <w:fldChar w:fldCharType="begin"/>
          </w:r>
          <w:r>
            <w:instrText xml:space="preserve"> PAGEREF _Toc86737224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"_Toc86737225" </w:instrText>
          </w:r>
          <w:r>
            <w:fldChar w:fldCharType="separate"/>
          </w:r>
          <w:r>
            <w:rPr>
              <w:rStyle w:val="16"/>
              <w:rFonts w:hint="eastAsia" w:ascii="仿宋" w:hAnsi="仿宋" w:eastAsia="仿宋"/>
            </w:rPr>
            <w:t>四、财政拨款收入支出决算总表</w:t>
          </w:r>
          <w:r>
            <w:tab/>
          </w:r>
          <w:r>
            <w:fldChar w:fldCharType="begin"/>
          </w:r>
          <w:r>
            <w:instrText xml:space="preserve"> PAGEREF _Toc86737225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"_Toc86737226" </w:instrText>
          </w:r>
          <w:r>
            <w:fldChar w:fldCharType="separate"/>
          </w:r>
          <w:r>
            <w:rPr>
              <w:rStyle w:val="16"/>
              <w:rFonts w:hint="eastAsia" w:ascii="仿宋" w:hAnsi="仿宋" w:eastAsia="仿宋"/>
            </w:rPr>
            <w:t>五、财政拨款支出决算明细表</w:t>
          </w:r>
          <w:r>
            <w:tab/>
          </w:r>
          <w:r>
            <w:fldChar w:fldCharType="begin"/>
          </w:r>
          <w:r>
            <w:instrText xml:space="preserve"> PAGEREF _Toc86737226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"_Toc86737227" </w:instrText>
          </w:r>
          <w:r>
            <w:fldChar w:fldCharType="separate"/>
          </w:r>
          <w:r>
            <w:rPr>
              <w:rStyle w:val="16"/>
              <w:rFonts w:hint="eastAsia" w:ascii="仿宋" w:hAnsi="仿宋" w:eastAsia="仿宋"/>
            </w:rPr>
            <w:t>六、一般公共预算财政拨款支出决算表</w:t>
          </w:r>
          <w:r>
            <w:tab/>
          </w:r>
          <w:r>
            <w:fldChar w:fldCharType="begin"/>
          </w:r>
          <w:r>
            <w:instrText xml:space="preserve"> PAGEREF _Toc86737227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"_Toc86737228" </w:instrText>
          </w:r>
          <w:r>
            <w:fldChar w:fldCharType="separate"/>
          </w:r>
          <w:r>
            <w:rPr>
              <w:rStyle w:val="16"/>
              <w:rFonts w:hint="eastAsia" w:ascii="仿宋" w:hAnsi="仿宋" w:eastAsia="仿宋"/>
            </w:rPr>
            <w:t>七、一般公共预算财政拨款支出决算明细表</w:t>
          </w:r>
          <w:r>
            <w:tab/>
          </w:r>
          <w:r>
            <w:fldChar w:fldCharType="begin"/>
          </w:r>
          <w:r>
            <w:instrText xml:space="preserve"> PAGEREF _Toc86737228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"_Toc86737229" </w:instrText>
          </w:r>
          <w:r>
            <w:fldChar w:fldCharType="separate"/>
          </w:r>
          <w:r>
            <w:rPr>
              <w:rStyle w:val="16"/>
              <w:rFonts w:hint="eastAsia" w:ascii="仿宋" w:hAnsi="仿宋" w:eastAsia="仿宋"/>
            </w:rPr>
            <w:t>八、一般公共预算财政拨款基本支出决算表</w:t>
          </w:r>
          <w:r>
            <w:tab/>
          </w:r>
          <w:r>
            <w:fldChar w:fldCharType="begin"/>
          </w:r>
          <w:r>
            <w:instrText xml:space="preserve"> PAGEREF _Toc86737229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"_Toc86737230" </w:instrText>
          </w:r>
          <w:r>
            <w:fldChar w:fldCharType="separate"/>
          </w:r>
          <w:r>
            <w:rPr>
              <w:rStyle w:val="16"/>
              <w:rFonts w:hint="eastAsia" w:ascii="仿宋" w:hAnsi="仿宋" w:eastAsia="仿宋"/>
            </w:rPr>
            <w:t>九、一般公共预算财政拨款项目支出决算表</w:t>
          </w:r>
          <w:r>
            <w:tab/>
          </w:r>
          <w:r>
            <w:fldChar w:fldCharType="begin"/>
          </w:r>
          <w:r>
            <w:instrText xml:space="preserve"> PAGEREF _Toc86737230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"_Toc86737231" </w:instrText>
          </w:r>
          <w:r>
            <w:fldChar w:fldCharType="separate"/>
          </w:r>
          <w:r>
            <w:rPr>
              <w:rStyle w:val="16"/>
              <w:rFonts w:hint="eastAsia" w:ascii="仿宋" w:hAnsi="仿宋" w:eastAsia="仿宋"/>
            </w:rPr>
            <w:t>十、一般公共预算财政拨款“三公”经费支出决算表</w:t>
          </w:r>
          <w:r>
            <w:tab/>
          </w:r>
          <w:r>
            <w:fldChar w:fldCharType="begin"/>
          </w:r>
          <w:r>
            <w:instrText xml:space="preserve"> PAGEREF _Toc86737231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"_Toc86737232" </w:instrText>
          </w:r>
          <w:r>
            <w:fldChar w:fldCharType="separate"/>
          </w:r>
          <w:r>
            <w:rPr>
              <w:rStyle w:val="16"/>
              <w:rFonts w:hint="eastAsia" w:ascii="仿宋" w:hAnsi="仿宋" w:eastAsia="仿宋"/>
            </w:rPr>
            <w:t>十一、政府性基金预算财政拨款收入支出决算表</w:t>
          </w:r>
          <w:r>
            <w:tab/>
          </w:r>
          <w:r>
            <w:fldChar w:fldCharType="begin"/>
          </w:r>
          <w:r>
            <w:instrText xml:space="preserve"> PAGEREF _Toc86737232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"_Toc86737233" </w:instrText>
          </w:r>
          <w:r>
            <w:fldChar w:fldCharType="separate"/>
          </w:r>
          <w:r>
            <w:rPr>
              <w:rStyle w:val="16"/>
              <w:rFonts w:hint="eastAsia" w:ascii="仿宋" w:hAnsi="仿宋" w:eastAsia="仿宋"/>
            </w:rPr>
            <w:t>十二、政府性基金预算财政拨款“三公”经费支出决算表</w:t>
          </w:r>
          <w:r>
            <w:tab/>
          </w:r>
          <w:r>
            <w:fldChar w:fldCharType="begin"/>
          </w:r>
          <w:r>
            <w:instrText xml:space="preserve"> PAGEREF _Toc86737233 \h </w:instrText>
          </w:r>
          <w:r>
            <w:fldChar w:fldCharType="separate"/>
          </w:r>
          <w:r>
            <w:t>22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"_Toc86737234" </w:instrText>
          </w:r>
          <w:r>
            <w:fldChar w:fldCharType="separate"/>
          </w:r>
          <w:r>
            <w:rPr>
              <w:rStyle w:val="16"/>
              <w:rFonts w:hint="eastAsia" w:ascii="仿宋" w:hAnsi="仿宋" w:eastAsia="仿宋"/>
            </w:rPr>
            <w:t>十三、国有资本经营预算支出决算表</w:t>
          </w:r>
          <w:r>
            <w:tab/>
          </w:r>
          <w:r>
            <w:fldChar w:fldCharType="begin"/>
          </w:r>
          <w:r>
            <w:instrText xml:space="preserve"> PAGEREF _Toc86737234 \h </w:instrText>
          </w:r>
          <w:r>
            <w:fldChar w:fldCharType="separate"/>
          </w:r>
          <w:r>
            <w:t>22</w:t>
          </w:r>
          <w:r>
            <w:fldChar w:fldCharType="end"/>
          </w:r>
          <w:r>
            <w:fldChar w:fldCharType="end"/>
          </w:r>
        </w:p>
        <w:p>
          <w:pPr>
            <w:pStyle w:val="11"/>
            <w:rPr>
              <w:rStyle w:val="16"/>
              <w:rFonts w:ascii="仿宋" w:hAnsi="仿宋" w:eastAsia="仿宋"/>
            </w:rPr>
          </w:pPr>
          <w:r>
            <w:fldChar w:fldCharType="end"/>
          </w:r>
          <w:r>
            <w:rPr>
              <w:rStyle w:val="16"/>
              <w:rFonts w:hint="eastAsia" w:ascii="仿宋" w:hAnsi="仿宋" w:eastAsia="仿宋"/>
              <w:color w:val="auto"/>
              <w:u w:val="none"/>
            </w:rPr>
            <w:t>十四、国有资本经营预算财政拨款支出决算表</w:t>
          </w:r>
          <w:r>
            <w:rPr>
              <w:rStyle w:val="16"/>
              <w:rFonts w:ascii="仿宋" w:hAnsi="仿宋" w:eastAsia="仿宋"/>
              <w:color w:val="auto"/>
              <w:u w:val="none"/>
            </w:rPr>
            <w:tab/>
          </w:r>
          <w:r>
            <w:fldChar w:fldCharType="begin"/>
          </w:r>
          <w:r>
            <w:instrText xml:space="preserve"> PAGEREF _Toc86736603 \h </w:instrText>
          </w:r>
          <w:r>
            <w:fldChar w:fldCharType="separate"/>
          </w:r>
          <w:r>
            <w:t>2</w:t>
          </w:r>
          <w:r>
            <w:rPr>
              <w:rFonts w:hint="eastAsia"/>
            </w:rPr>
            <w:t>2</w:t>
          </w:r>
          <w:r>
            <w:fldChar w:fldCharType="end"/>
          </w:r>
        </w:p>
        <w:p/>
      </w:sdtContent>
    </w:sdt>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4" w:name="_Toc15377196"/>
      <w:bookmarkStart w:id="15" w:name="_Toc15396599"/>
      <w:r>
        <w:rPr>
          <w:rFonts w:ascii="仿宋" w:hAnsi="仿宋" w:eastAsia="仿宋"/>
          <w:b/>
          <w:sz w:val="24"/>
        </w:rPr>
        <w:br w:type="page"/>
      </w:r>
    </w:p>
    <w:p>
      <w:pPr>
        <w:pStyle w:val="2"/>
        <w:jc w:val="center"/>
        <w:rPr>
          <w:rStyle w:val="25"/>
          <w:rFonts w:ascii="黑体" w:hAnsi="黑体" w:eastAsia="黑体"/>
          <w:b/>
          <w:bCs w:val="0"/>
        </w:rPr>
      </w:pPr>
      <w:bookmarkStart w:id="16" w:name="_Toc86737195"/>
      <w:r>
        <w:rPr>
          <w:rFonts w:hint="eastAsia" w:ascii="黑体" w:hAnsi="黑体" w:eastAsia="黑体"/>
          <w:b w:val="0"/>
        </w:rPr>
        <w:t xml:space="preserve">第一部分 </w:t>
      </w:r>
      <w:r>
        <w:rPr>
          <w:rStyle w:val="25"/>
          <w:rFonts w:hint="eastAsia" w:ascii="黑体" w:hAnsi="黑体" w:eastAsia="黑体"/>
          <w:b w:val="0"/>
          <w:bCs w:val="0"/>
        </w:rPr>
        <w:t>部门概况</w:t>
      </w:r>
      <w:bookmarkEnd w:id="14"/>
      <w:bookmarkEnd w:id="15"/>
      <w:bookmarkEnd w:id="16"/>
    </w:p>
    <w:p>
      <w:pPr>
        <w:widowControl/>
        <w:jc w:val="left"/>
        <w:rPr>
          <w:rFonts w:ascii="黑体" w:eastAsia="黑体"/>
          <w:color w:val="000000"/>
          <w:sz w:val="32"/>
          <w:szCs w:val="32"/>
        </w:rPr>
      </w:pPr>
    </w:p>
    <w:p>
      <w:pPr>
        <w:pStyle w:val="3"/>
        <w:rPr>
          <w:rStyle w:val="26"/>
          <w:rFonts w:ascii="仿宋" w:hAnsi="仿宋" w:eastAsia="仿宋"/>
          <w:b w:val="0"/>
          <w:bCs w:val="0"/>
        </w:rPr>
      </w:pPr>
      <w:bookmarkStart w:id="17" w:name="_Toc86737196"/>
      <w:bookmarkStart w:id="18" w:name="_Toc15377197"/>
      <w:bookmarkStart w:id="19"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7"/>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7198"/>
      <w:bookmarkStart w:id="21" w:name="_Toc15378445"/>
      <w:bookmarkStart w:id="22" w:name="_Toc86737197"/>
      <w:r>
        <w:rPr>
          <w:rFonts w:hint="eastAsia" w:ascii="仿宋" w:hAnsi="仿宋" w:eastAsia="仿宋"/>
          <w:bCs/>
          <w:color w:val="000000"/>
          <w:sz w:val="32"/>
          <w:szCs w:val="32"/>
        </w:rPr>
        <w:t>（一）主要职能</w:t>
      </w:r>
      <w:bookmarkEnd w:id="20"/>
      <w:bookmarkEnd w:id="21"/>
      <w:r>
        <w:rPr>
          <w:rFonts w:hint="eastAsia" w:ascii="仿宋" w:hAnsi="仿宋" w:eastAsia="仿宋"/>
          <w:bCs/>
          <w:color w:val="000000"/>
          <w:sz w:val="32"/>
          <w:szCs w:val="32"/>
        </w:rPr>
        <w:t>：</w:t>
      </w:r>
      <w:r>
        <w:rPr>
          <w:rFonts w:hint="eastAsia" w:hAnsi="仿宋"/>
          <w:sz w:val="32"/>
          <w:szCs w:val="32"/>
        </w:rPr>
        <w:t>医疗卫生服务</w:t>
      </w:r>
      <w:bookmarkEnd w:id="22"/>
    </w:p>
    <w:p>
      <w:pPr>
        <w:snapToGrid w:val="0"/>
        <w:spacing w:line="520" w:lineRule="exact"/>
        <w:ind w:firstLine="640" w:firstLineChars="200"/>
        <w:rPr>
          <w:rFonts w:ascii="仿宋_GB2312" w:hAnsi="仿宋" w:eastAsia="仿宋_GB2312"/>
          <w:sz w:val="32"/>
          <w:szCs w:val="32"/>
        </w:rPr>
      </w:pPr>
      <w:bookmarkStart w:id="23" w:name="_Toc15377199"/>
      <w:bookmarkStart w:id="24" w:name="_Toc15378446"/>
      <w:r>
        <w:rPr>
          <w:rFonts w:hint="eastAsia" w:ascii="仿宋" w:hAnsi="仿宋" w:eastAsia="仿宋"/>
          <w:bCs/>
          <w:color w:val="000000"/>
          <w:sz w:val="32"/>
          <w:szCs w:val="32"/>
        </w:rPr>
        <w:t>（二）2020年重点工作完成情况</w:t>
      </w:r>
      <w:bookmarkEnd w:id="23"/>
      <w:bookmarkEnd w:id="24"/>
      <w:r>
        <w:rPr>
          <w:rFonts w:hint="eastAsia" w:ascii="仿宋" w:hAnsi="仿宋" w:eastAsia="仿宋"/>
          <w:bCs/>
          <w:color w:val="000000"/>
          <w:sz w:val="32"/>
          <w:szCs w:val="32"/>
        </w:rPr>
        <w:t>：</w:t>
      </w:r>
      <w:r>
        <w:rPr>
          <w:rFonts w:hint="eastAsia" w:ascii="仿宋_GB2312" w:hAnsi="仿宋" w:eastAsia="仿宋_GB2312"/>
          <w:sz w:val="32"/>
          <w:szCs w:val="32"/>
        </w:rPr>
        <w:t>2020年医院圆满完成了卫计局年初布置的目标任务，实现业务收入2.27亿元。2020年医院</w:t>
      </w:r>
      <w:r>
        <w:rPr>
          <w:rFonts w:hint="eastAsia" w:ascii="仿宋" w:hAnsi="仿宋" w:eastAsia="仿宋" w:cs="仿宋"/>
          <w:sz w:val="32"/>
          <w:szCs w:val="32"/>
        </w:rPr>
        <w:t>在峨眉山市应对新冠疫情应急指挥部统一安排部署下,规范设置发热门诊、隔离病区以及PCR实验室,积极开展疫情防控；医院在抓疫情防控的同时，坚持把复工复产作为紧要工作来抓，狠抓科室业务，提升服务质量；</w:t>
      </w:r>
      <w:r>
        <w:rPr>
          <w:rFonts w:hint="eastAsia" w:ascii="仿宋_GB2312" w:hAnsi="仿宋_GB2312" w:eastAsia="仿宋_GB2312" w:cs="仿宋_GB2312"/>
          <w:sz w:val="32"/>
          <w:szCs w:val="32"/>
        </w:rPr>
        <w:t>2020年，我院积极配合政府完成对马边县的全域结对帮扶工作，共派出8名骨干医护人员，对马边县医院、三河口乡卫生院、荞坝乡卫生院及烟峰乡卫生院开展对口帮扶</w:t>
      </w:r>
      <w:r>
        <w:rPr>
          <w:rFonts w:hint="eastAsia" w:ascii="仿宋_GB2312" w:hAnsi="仿宋" w:eastAsia="仿宋_GB2312"/>
          <w:sz w:val="32"/>
          <w:szCs w:val="32"/>
        </w:rPr>
        <w:t>。</w:t>
      </w:r>
    </w:p>
    <w:p>
      <w:pPr>
        <w:pStyle w:val="3"/>
        <w:rPr>
          <w:rStyle w:val="26"/>
          <w:b w:val="0"/>
          <w:bCs w:val="0"/>
        </w:rPr>
      </w:pPr>
      <w:bookmarkStart w:id="25" w:name="_Toc86737198"/>
      <w:bookmarkStart w:id="26" w:name="_Toc15396601"/>
      <w:bookmarkStart w:id="27"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5"/>
      <w:bookmarkEnd w:id="26"/>
      <w:bookmarkEnd w:id="27"/>
    </w:p>
    <w:p>
      <w:pPr>
        <w:ind w:firstLine="800" w:firstLineChars="250"/>
        <w:rPr>
          <w:rFonts w:ascii="仿宋" w:hAnsi="仿宋" w:eastAsia="仿宋"/>
          <w:color w:val="000000"/>
          <w:sz w:val="32"/>
          <w:szCs w:val="32"/>
        </w:rPr>
      </w:pPr>
      <w:r>
        <w:rPr>
          <w:rFonts w:hint="eastAsia" w:ascii="仿宋" w:hAnsi="仿宋" w:eastAsia="仿宋"/>
          <w:color w:val="000000"/>
          <w:sz w:val="32"/>
          <w:szCs w:val="32"/>
        </w:rPr>
        <w:t>医院目前有科室43个，其中：行政后勤科室  17 个，临床科室  19 个 ，医技科室  6 个，体检中心1个。</w:t>
      </w:r>
    </w:p>
    <w:p>
      <w:pPr>
        <w:widowControl/>
        <w:ind w:firstLine="960" w:firstLineChars="300"/>
        <w:jc w:val="left"/>
        <w:rPr>
          <w:rFonts w:ascii="仿宋_GB2312" w:hAnsi="仿宋" w:eastAsia="仿宋_GB2312"/>
          <w:sz w:val="32"/>
          <w:szCs w:val="32"/>
        </w:rPr>
      </w:pPr>
      <w:r>
        <w:rPr>
          <w:rFonts w:hint="eastAsia" w:ascii="仿宋_GB2312" w:hAnsi="仿宋" w:eastAsia="仿宋_GB2312"/>
          <w:sz w:val="32"/>
          <w:szCs w:val="32"/>
        </w:rPr>
        <w:t>在编在岗职工422人，离退休人员244人，编外聘用人员212人。</w:t>
      </w:r>
      <w:bookmarkStart w:id="28" w:name="_Toc15396602"/>
      <w:bookmarkStart w:id="29" w:name="_Toc15377204"/>
    </w:p>
    <w:p>
      <w:pPr>
        <w:widowControl/>
        <w:jc w:val="left"/>
        <w:rPr>
          <w:rFonts w:ascii="黑体" w:hAnsi="黑体" w:eastAsia="黑体"/>
          <w:color w:val="000000"/>
        </w:rPr>
      </w:pPr>
    </w:p>
    <w:p>
      <w:pPr>
        <w:widowControl/>
        <w:jc w:val="left"/>
        <w:rPr>
          <w:rFonts w:ascii="黑体" w:hAnsi="黑体" w:eastAsia="黑体"/>
          <w:color w:val="000000"/>
        </w:rPr>
      </w:pPr>
    </w:p>
    <w:p>
      <w:pPr>
        <w:widowControl/>
        <w:jc w:val="left"/>
        <w:rPr>
          <w:rFonts w:ascii="黑体" w:hAnsi="黑体" w:eastAsia="黑体"/>
          <w:color w:val="000000"/>
        </w:rPr>
      </w:pPr>
    </w:p>
    <w:p>
      <w:pPr>
        <w:widowControl/>
        <w:ind w:firstLine="2880" w:firstLineChars="600"/>
        <w:jc w:val="left"/>
        <w:rPr>
          <w:rFonts w:ascii="黑体" w:hAnsi="黑体" w:eastAsia="黑体"/>
          <w:color w:val="000000"/>
          <w:sz w:val="48"/>
          <w:szCs w:val="48"/>
        </w:rPr>
      </w:pPr>
      <w:r>
        <w:rPr>
          <w:rFonts w:hint="eastAsia" w:ascii="黑体" w:hAnsi="黑体" w:eastAsia="黑体"/>
          <w:color w:val="000000"/>
          <w:sz w:val="48"/>
          <w:szCs w:val="48"/>
        </w:rPr>
        <w:t>第二部分</w:t>
      </w:r>
    </w:p>
    <w:p>
      <w:pPr>
        <w:widowControl/>
        <w:ind w:firstLine="1320" w:firstLineChars="300"/>
        <w:jc w:val="left"/>
        <w:rPr>
          <w:rStyle w:val="25"/>
          <w:rFonts w:ascii="黑体" w:hAnsi="黑体" w:eastAsia="黑体"/>
          <w:b w:val="0"/>
          <w:bCs w:val="0"/>
        </w:rPr>
      </w:pPr>
    </w:p>
    <w:p>
      <w:pPr>
        <w:widowControl/>
        <w:ind w:firstLine="1320" w:firstLineChars="300"/>
        <w:jc w:val="left"/>
        <w:rPr>
          <w:rStyle w:val="25"/>
          <w:rFonts w:ascii="黑体" w:hAnsi="黑体" w:eastAsia="黑体"/>
          <w:b w:val="0"/>
          <w:bCs w:val="0"/>
        </w:rPr>
      </w:pPr>
      <w:bookmarkStart w:id="30" w:name="_Toc86737199"/>
      <w:r>
        <w:rPr>
          <w:rStyle w:val="25"/>
          <w:rFonts w:hint="eastAsia" w:ascii="黑体" w:hAnsi="黑体" w:eastAsia="黑体"/>
          <w:b w:val="0"/>
          <w:bCs w:val="0"/>
        </w:rPr>
        <w:t>2020年度部门决算情况说明</w:t>
      </w:r>
      <w:bookmarkEnd w:id="28"/>
      <w:bookmarkEnd w:id="29"/>
      <w:bookmarkEnd w:id="30"/>
    </w:p>
    <w:p/>
    <w:p>
      <w:pPr>
        <w:pStyle w:val="24"/>
        <w:numPr>
          <w:ilvl w:val="0"/>
          <w:numId w:val="1"/>
        </w:numPr>
        <w:spacing w:line="600" w:lineRule="exact"/>
        <w:ind w:firstLineChars="0"/>
        <w:outlineLvl w:val="1"/>
        <w:rPr>
          <w:rStyle w:val="26"/>
          <w:rFonts w:ascii="黑体" w:hAnsi="黑体" w:eastAsia="黑体"/>
          <w:b w:val="0"/>
        </w:rPr>
      </w:pPr>
      <w:bookmarkStart w:id="31" w:name="_Toc15377205"/>
      <w:bookmarkStart w:id="32" w:name="_Toc86737200"/>
      <w:bookmarkStart w:id="33"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1"/>
      <w:bookmarkEnd w:id="32"/>
      <w:bookmarkEnd w:id="33"/>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2020年医院总收入28175.4万元，较2019年增加1220.4万元，增加4.52%：主要原因是2020年收入中包含了抗疫特别国债财政项目资金3472.6万元，扣除此影响因素，加上疫情原因，医院事业收入实际较上年减少9.56%（2019年事业收入2.51亿元，2020年事业收入是2.27亿元）；2020年医院总支出29551.07万元，较2019年减少支出2531.93万元，减少幅度为7.89%。主要原因是2019年支出包含医院整体迁建财政项目资金5000万元。</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项目</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2019年</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医院总收入</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26955</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28175.4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医院总支出</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32083</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29551.07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收支结余</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-5128</w:t>
            </w:r>
          </w:p>
        </w:tc>
        <w:tc>
          <w:tcPr>
            <w:tcW w:w="2841" w:type="dxa"/>
          </w:tcPr>
          <w:p>
            <w:pPr>
              <w:snapToGrid w:val="0"/>
              <w:spacing w:line="520" w:lineRule="exact"/>
              <w:rPr>
                <w:rFonts w:ascii="仿宋_GB2312" w:hAnsi="仿宋" w:eastAsia="仿宋_GB2312"/>
                <w:sz w:val="32"/>
                <w:szCs w:val="32"/>
              </w:rPr>
            </w:pPr>
            <w:r>
              <w:rPr>
                <w:rFonts w:hint="eastAsia" w:ascii="仿宋_GB2312" w:hAnsi="仿宋" w:eastAsia="仿宋_GB2312"/>
                <w:sz w:val="32"/>
                <w:szCs w:val="32"/>
              </w:rPr>
              <w:t>-1375.67</w:t>
            </w:r>
          </w:p>
        </w:tc>
      </w:tr>
    </w:tbl>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p>
    <w:tbl>
      <w:tblPr>
        <w:tblStyle w:val="12"/>
        <w:tblW w:w="8640" w:type="dxa"/>
        <w:tblInd w:w="108" w:type="dxa"/>
        <w:tblLayout w:type="autofit"/>
        <w:tblCellMar>
          <w:top w:w="0" w:type="dxa"/>
          <w:left w:w="108" w:type="dxa"/>
          <w:bottom w:w="0" w:type="dxa"/>
          <w:right w:w="108" w:type="dxa"/>
        </w:tblCellMar>
      </w:tblPr>
      <w:tblGrid>
        <w:gridCol w:w="1296"/>
        <w:gridCol w:w="1080"/>
        <w:gridCol w:w="1080"/>
        <w:gridCol w:w="1080"/>
        <w:gridCol w:w="1080"/>
        <w:gridCol w:w="1080"/>
        <w:gridCol w:w="1080"/>
        <w:gridCol w:w="1080"/>
      </w:tblGrid>
      <w:tr>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80768" behindDoc="0" locked="0" layoutInCell="1" allowOverlap="1">
                  <wp:simplePos x="0" y="0"/>
                  <wp:positionH relativeFrom="column">
                    <wp:posOffset>600075</wp:posOffset>
                  </wp:positionH>
                  <wp:positionV relativeFrom="paragraph">
                    <wp:posOffset>66675</wp:posOffset>
                  </wp:positionV>
                  <wp:extent cx="4591050" cy="2762250"/>
                  <wp:effectExtent l="0" t="0" r="635" b="635"/>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70" w:hRule="atLeast"/>
                <w:tblCellSpacing w:w="0" w:type="dxa"/>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34" w:name="_Toc15396604"/>
      <w:bookmarkStart w:id="35" w:name="_Toc86737201"/>
      <w:bookmarkStart w:id="36"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34"/>
      <w:bookmarkEnd w:id="35"/>
      <w:bookmarkEnd w:id="36"/>
    </w:p>
    <w:p>
      <w:pPr>
        <w:snapToGrid w:val="0"/>
        <w:spacing w:line="520" w:lineRule="exact"/>
        <w:ind w:firstLine="640" w:firstLineChars="200"/>
        <w:rPr>
          <w:rFonts w:ascii="仿宋_GB2312" w:hAnsi="仿宋" w:eastAsia="仿宋_GB2312"/>
          <w:b/>
          <w:sz w:val="32"/>
          <w:szCs w:val="32"/>
        </w:rPr>
      </w:pPr>
      <w:r>
        <w:rPr>
          <w:rFonts w:hint="eastAsia" w:ascii="仿宋" w:hAnsi="仿宋" w:eastAsia="仿宋"/>
          <w:color w:val="000000"/>
          <w:sz w:val="32"/>
          <w:szCs w:val="32"/>
        </w:rPr>
        <w:t>2020年本年收入合计28175.4万元，</w:t>
      </w:r>
      <w:r>
        <w:rPr>
          <w:rFonts w:hint="eastAsia" w:ascii="仿宋_GB2312" w:hAnsi="仿宋" w:eastAsia="仿宋_GB2312"/>
          <w:b/>
          <w:sz w:val="32"/>
          <w:szCs w:val="32"/>
        </w:rPr>
        <w:t>收入结构如下：</w:t>
      </w:r>
    </w:p>
    <w:tbl>
      <w:tblPr>
        <w:tblStyle w:val="12"/>
        <w:tblW w:w="5580" w:type="dxa"/>
        <w:tblInd w:w="0" w:type="dxa"/>
        <w:tblLayout w:type="fixed"/>
        <w:tblCellMar>
          <w:top w:w="0" w:type="dxa"/>
          <w:left w:w="0" w:type="dxa"/>
          <w:bottom w:w="0" w:type="dxa"/>
          <w:right w:w="0" w:type="dxa"/>
        </w:tblCellMar>
      </w:tblPr>
      <w:tblGrid>
        <w:gridCol w:w="2625"/>
        <w:gridCol w:w="1665"/>
        <w:gridCol w:w="1290"/>
      </w:tblGrid>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66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1290"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单位：万元</w:t>
            </w: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医院总收入</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28175.4</w:t>
            </w:r>
          </w:p>
        </w:tc>
        <w:tc>
          <w:tcPr>
            <w:tcW w:w="129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100%</w:t>
            </w: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财政拨款收入</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5452.67</w:t>
            </w:r>
          </w:p>
        </w:tc>
        <w:tc>
          <w:tcPr>
            <w:tcW w:w="129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19.35%</w:t>
            </w: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事业收入</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22674.87</w:t>
            </w:r>
          </w:p>
        </w:tc>
        <w:tc>
          <w:tcPr>
            <w:tcW w:w="129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80.48%</w:t>
            </w: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其他收入</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47.86</w:t>
            </w:r>
          </w:p>
        </w:tc>
        <w:tc>
          <w:tcPr>
            <w:tcW w:w="1290"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0.17%</w:t>
            </w:r>
          </w:p>
        </w:tc>
      </w:tr>
    </w:tbl>
    <w:p>
      <w:pPr>
        <w:snapToGrid w:val="0"/>
        <w:spacing w:line="520" w:lineRule="exact"/>
        <w:rPr>
          <w:rFonts w:ascii="仿宋_GB2312" w:hAnsi="仿宋" w:eastAsia="仿宋_GB2312"/>
          <w:b/>
          <w:sz w:val="32"/>
          <w:szCs w:val="32"/>
        </w:rPr>
      </w:pP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drawing>
          <wp:anchor distT="0" distB="0" distL="114300" distR="114300" simplePos="0" relativeHeight="251660288" behindDoc="0" locked="0" layoutInCell="1" allowOverlap="1">
            <wp:simplePos x="0" y="0"/>
            <wp:positionH relativeFrom="column">
              <wp:posOffset>60325</wp:posOffset>
            </wp:positionH>
            <wp:positionV relativeFrom="paragraph">
              <wp:posOffset>201930</wp:posOffset>
            </wp:positionV>
            <wp:extent cx="5269230" cy="2154555"/>
            <wp:effectExtent l="19050" t="0" r="26670" b="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37" w:name="_Toc86737202"/>
      <w:bookmarkStart w:id="38" w:name="_Toc15377207"/>
      <w:bookmarkStart w:id="3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37"/>
      <w:bookmarkEnd w:id="38"/>
      <w:bookmarkEnd w:id="39"/>
    </w:p>
    <w:p>
      <w:pPr>
        <w:snapToGrid w:val="0"/>
        <w:spacing w:line="520" w:lineRule="exact"/>
        <w:ind w:firstLine="640" w:firstLineChars="200"/>
        <w:rPr>
          <w:rFonts w:ascii="仿宋_GB2312" w:hAnsi="仿宋" w:eastAsia="仿宋_GB2312"/>
          <w:sz w:val="32"/>
          <w:szCs w:val="32"/>
        </w:rPr>
      </w:pPr>
      <w:r>
        <w:rPr>
          <w:rFonts w:hint="eastAsia" w:ascii="仿宋" w:hAnsi="仿宋" w:eastAsia="仿宋"/>
          <w:color w:val="000000"/>
          <w:sz w:val="32"/>
          <w:szCs w:val="32"/>
        </w:rPr>
        <w:t>2020年本年支出合计29551.07万元，</w:t>
      </w:r>
      <w:r>
        <w:rPr>
          <w:rFonts w:hint="eastAsia" w:ascii="仿宋_GB2312" w:hAnsi="仿宋" w:eastAsia="仿宋_GB2312"/>
          <w:sz w:val="32"/>
          <w:szCs w:val="32"/>
        </w:rPr>
        <w:t>医院支出构成：</w:t>
      </w:r>
    </w:p>
    <w:tbl>
      <w:tblPr>
        <w:tblStyle w:val="12"/>
        <w:tblpPr w:leftFromText="180" w:rightFromText="180" w:vertAnchor="text" w:horzAnchor="page" w:tblpX="3213" w:tblpY="451"/>
        <w:tblOverlap w:val="never"/>
        <w:tblW w:w="4291" w:type="dxa"/>
        <w:tblInd w:w="0" w:type="dxa"/>
        <w:tblLayout w:type="fixed"/>
        <w:tblCellMar>
          <w:top w:w="0" w:type="dxa"/>
          <w:left w:w="0" w:type="dxa"/>
          <w:bottom w:w="0" w:type="dxa"/>
          <w:right w:w="0" w:type="dxa"/>
        </w:tblCellMar>
      </w:tblPr>
      <w:tblGrid>
        <w:gridCol w:w="2626"/>
        <w:gridCol w:w="1665"/>
      </w:tblGrid>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医院总支出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29551.07</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工资福利支出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10137.03</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商品和服务支出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15650.68</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对个人和家庭补助支出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198.00</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债务利息及费用支出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76.53</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资本性支出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3488.83</w:t>
            </w:r>
          </w:p>
        </w:tc>
      </w:tr>
    </w:tbl>
    <w:p>
      <w:pPr>
        <w:snapToGrid w:val="0"/>
        <w:spacing w:line="520" w:lineRule="exact"/>
        <w:ind w:firstLine="640" w:firstLineChars="200"/>
        <w:rPr>
          <w:rFonts w:ascii="仿宋_GB2312" w:hAnsi="仿宋" w:eastAsia="仿宋_GB2312"/>
          <w:sz w:val="32"/>
          <w:szCs w:val="32"/>
        </w:rPr>
      </w:pPr>
    </w:p>
    <w:p>
      <w:pPr>
        <w:snapToGrid w:val="0"/>
        <w:spacing w:line="520" w:lineRule="exact"/>
        <w:ind w:firstLine="420" w:firstLineChars="200"/>
        <w:rPr>
          <w:rFonts w:ascii="仿宋_GB2312" w:hAnsi="仿宋" w:eastAsia="仿宋_GB2312"/>
          <w:sz w:val="32"/>
          <w:szCs w:val="32"/>
        </w:rPr>
      </w:pPr>
      <w:r>
        <w:drawing>
          <wp:anchor distT="0" distB="0" distL="114300" distR="114300" simplePos="0" relativeHeight="251663360" behindDoc="0" locked="0" layoutInCell="1" allowOverlap="1">
            <wp:simplePos x="0" y="0"/>
            <wp:positionH relativeFrom="column">
              <wp:posOffset>144145</wp:posOffset>
            </wp:positionH>
            <wp:positionV relativeFrom="paragraph">
              <wp:posOffset>-7293610</wp:posOffset>
            </wp:positionV>
            <wp:extent cx="5276850" cy="2571750"/>
            <wp:effectExtent l="4445" t="4445" r="14605" b="14605"/>
            <wp:wrapTopAndBottom/>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Style w:val="12"/>
        <w:tblpPr w:leftFromText="180" w:rightFromText="180" w:vertAnchor="text" w:horzAnchor="page" w:tblpX="3738" w:tblpY="112"/>
        <w:tblOverlap w:val="never"/>
        <w:tblW w:w="4291" w:type="dxa"/>
        <w:tblInd w:w="0" w:type="dxa"/>
        <w:tblLayout w:type="fixed"/>
        <w:tblCellMar>
          <w:top w:w="0" w:type="dxa"/>
          <w:left w:w="0" w:type="dxa"/>
          <w:bottom w:w="0" w:type="dxa"/>
          <w:right w:w="0" w:type="dxa"/>
        </w:tblCellMar>
      </w:tblPr>
      <w:tblGrid>
        <w:gridCol w:w="2626"/>
        <w:gridCol w:w="1665"/>
      </w:tblGrid>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医院总支出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29551.07</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基本支出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25484.14</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项目支出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4066.93</w:t>
            </w:r>
          </w:p>
        </w:tc>
      </w:tr>
    </w:tbl>
    <w:p>
      <w:pPr>
        <w:snapToGrid w:val="0"/>
        <w:spacing w:line="520" w:lineRule="exact"/>
        <w:ind w:firstLine="643" w:firstLineChars="200"/>
        <w:rPr>
          <w:rFonts w:ascii="仿宋_GB2312" w:hAnsi="仿宋" w:eastAsia="仿宋_GB2312"/>
          <w:b/>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4384" behindDoc="0" locked="0" layoutInCell="1" allowOverlap="1">
            <wp:simplePos x="0" y="0"/>
            <wp:positionH relativeFrom="column">
              <wp:posOffset>-17780</wp:posOffset>
            </wp:positionH>
            <wp:positionV relativeFrom="paragraph">
              <wp:posOffset>336550</wp:posOffset>
            </wp:positionV>
            <wp:extent cx="5276850" cy="2514600"/>
            <wp:effectExtent l="4445" t="4445" r="14605" b="14605"/>
            <wp:wrapTopAndBottom/>
            <wp:docPr id="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40" w:name="_Toc15396606"/>
      <w:bookmarkStart w:id="41" w:name="_Toc15377208"/>
      <w:bookmarkStart w:id="42" w:name="_Toc8673720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0"/>
      <w:bookmarkEnd w:id="41"/>
      <w:bookmarkEnd w:id="4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财政拨款收入5452.67万元，财政拨款支出总计5425.67万元万；与2019年相比，财政拨款收入增加3664.37万元，主要是增加了抗疫特别国债3472.6万元；财政拨款支出减少1502.32万元，主要变动原因是2018年财政拨医院整体迁建5000万元留到2019年做支出，而2020年主要是抗疫支出3472.6万元。</w:t>
      </w:r>
    </w:p>
    <w:p>
      <w:pPr>
        <w:spacing w:line="600" w:lineRule="exact"/>
        <w:ind w:firstLine="640"/>
        <w:rPr>
          <w:rFonts w:ascii="仿宋" w:hAnsi="仿宋" w:eastAsia="仿宋"/>
          <w:color w:val="000000"/>
          <w:sz w:val="32"/>
          <w:szCs w:val="32"/>
        </w:rPr>
      </w:pPr>
    </w:p>
    <w:tbl>
      <w:tblPr>
        <w:tblStyle w:val="12"/>
        <w:tblW w:w="5580" w:type="dxa"/>
        <w:tblInd w:w="0" w:type="dxa"/>
        <w:tblLayout w:type="fixed"/>
        <w:tblCellMar>
          <w:top w:w="0" w:type="dxa"/>
          <w:left w:w="0" w:type="dxa"/>
          <w:bottom w:w="0" w:type="dxa"/>
          <w:right w:w="0" w:type="dxa"/>
        </w:tblCellMar>
      </w:tblPr>
      <w:tblGrid>
        <w:gridCol w:w="2625"/>
        <w:gridCol w:w="2715"/>
        <w:gridCol w:w="240"/>
      </w:tblGrid>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271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财政拨款收入支出构成比</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2715"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b/>
                <w:color w:val="000000"/>
                <w:sz w:val="24"/>
              </w:rPr>
            </w:pPr>
            <w:r>
              <w:rPr>
                <w:rFonts w:hint="eastAsia" w:ascii="宋体" w:hAnsi="宋体" w:cs="宋体"/>
                <w:b/>
                <w:color w:val="000000"/>
                <w:kern w:val="0"/>
                <w:sz w:val="24"/>
              </w:rPr>
              <w:t>财政拨款收入</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 xml:space="preserve">5452.67 </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社会保障和就业支出</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20.29</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卫生健康支出</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1777.31</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城乡社区支出</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kern w:val="0"/>
                <w:sz w:val="24"/>
              </w:rPr>
            </w:pPr>
            <w:r>
              <w:rPr>
                <w:rFonts w:hint="eastAsia" w:ascii="宋体" w:hAnsi="宋体" w:cs="宋体"/>
                <w:color w:val="000000"/>
                <w:kern w:val="0"/>
                <w:sz w:val="24"/>
              </w:rPr>
              <w:t>42.14</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sz w:val="24"/>
              </w:rPr>
              <w:t xml:space="preserve">住房保障支出 </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sz w:val="24"/>
              </w:rPr>
              <w:t>140.33</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285" w:hRule="atLeast"/>
        </w:trPr>
        <w:tc>
          <w:tcPr>
            <w:tcW w:w="262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sz w:val="24"/>
              </w:rPr>
              <w:t>抗疫特别国债安排支出</w:t>
            </w:r>
          </w:p>
        </w:tc>
        <w:tc>
          <w:tcPr>
            <w:tcW w:w="271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sz w:val="24"/>
              </w:rPr>
              <w:t>3472.6</w:t>
            </w:r>
          </w:p>
        </w:tc>
        <w:tc>
          <w:tcPr>
            <w:tcW w:w="240" w:type="dxa"/>
            <w:tcBorders>
              <w:top w:val="nil"/>
              <w:left w:val="nil"/>
              <w:bottom w:val="nil"/>
              <w:right w:val="nil"/>
            </w:tcBorders>
            <w:tcMar>
              <w:top w:w="15" w:type="dxa"/>
              <w:left w:w="15" w:type="dxa"/>
              <w:right w:w="15" w:type="dxa"/>
            </w:tcMar>
            <w:vAlign w:val="center"/>
          </w:tcPr>
          <w:p>
            <w:pPr>
              <w:rPr>
                <w:rFonts w:ascii="宋体" w:hAnsi="宋体" w:cs="宋体"/>
                <w:color w:val="000000"/>
                <w:sz w:val="24"/>
              </w:rPr>
            </w:pPr>
          </w:p>
        </w:tc>
      </w:tr>
    </w:tbl>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p>
    <w:tbl>
      <w:tblPr>
        <w:tblStyle w:val="12"/>
        <w:tblW w:w="8208" w:type="dxa"/>
        <w:tblInd w:w="108" w:type="dxa"/>
        <w:tblLayout w:type="autofit"/>
        <w:tblCellMar>
          <w:top w:w="0" w:type="dxa"/>
          <w:left w:w="108" w:type="dxa"/>
          <w:bottom w:w="0" w:type="dxa"/>
          <w:right w:w="108" w:type="dxa"/>
        </w:tblCellMar>
      </w:tblPr>
      <w:tblGrid>
        <w:gridCol w:w="676"/>
        <w:gridCol w:w="1096"/>
        <w:gridCol w:w="1096"/>
        <w:gridCol w:w="1096"/>
        <w:gridCol w:w="1096"/>
        <w:gridCol w:w="1096"/>
        <w:gridCol w:w="1096"/>
        <w:gridCol w:w="956"/>
      </w:tblGrid>
      <w:tr>
        <w:tblPrEx>
          <w:tblCellMar>
            <w:top w:w="0" w:type="dxa"/>
            <w:left w:w="108" w:type="dxa"/>
            <w:bottom w:w="0" w:type="dxa"/>
            <w:right w:w="108" w:type="dxa"/>
          </w:tblCellMar>
        </w:tblPrEx>
        <w:trPr>
          <w:trHeight w:val="5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82816" behindDoc="0" locked="0" layoutInCell="1" allowOverlap="1">
                  <wp:simplePos x="0" y="0"/>
                  <wp:positionH relativeFrom="column">
                    <wp:posOffset>295910</wp:posOffset>
                  </wp:positionH>
                  <wp:positionV relativeFrom="paragraph">
                    <wp:posOffset>103505</wp:posOffset>
                  </wp:positionV>
                  <wp:extent cx="4563745" cy="2759075"/>
                  <wp:effectExtent l="19050" t="0" r="27305" b="3175"/>
                  <wp:wrapNone/>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bl>
            <w:tblPr>
              <w:tblStyle w:val="12"/>
              <w:tblW w:w="0" w:type="auto"/>
              <w:tblCellSpacing w:w="0" w:type="dxa"/>
              <w:tblInd w:w="0" w:type="dxa"/>
              <w:tblLayout w:type="autofit"/>
              <w:tblCellMar>
                <w:top w:w="0" w:type="dxa"/>
                <w:left w:w="0" w:type="dxa"/>
                <w:bottom w:w="0" w:type="dxa"/>
                <w:right w:w="0" w:type="dxa"/>
              </w:tblCellMar>
            </w:tblPr>
            <w:tblGrid>
              <w:gridCol w:w="460"/>
            </w:tblGrid>
            <w:tr>
              <w:tblPrEx>
                <w:tblCellMar>
                  <w:top w:w="0" w:type="dxa"/>
                  <w:left w:w="0" w:type="dxa"/>
                  <w:bottom w:w="0" w:type="dxa"/>
                  <w:right w:w="0" w:type="dxa"/>
                </w:tblCellMar>
              </w:tblPrEx>
              <w:trPr>
                <w:trHeight w:val="570" w:hRule="atLeast"/>
                <w:tblCellSpacing w:w="0" w:type="dxa"/>
              </w:trPr>
              <w:tc>
                <w:tcPr>
                  <w:tcW w:w="4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855"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6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snapToGrid w:val="0"/>
        <w:spacing w:line="520" w:lineRule="exact"/>
        <w:ind w:firstLine="643" w:firstLineChars="200"/>
        <w:rPr>
          <w:rFonts w:ascii="楷体_GB2312" w:hAnsi="仿宋" w:eastAsia="楷体_GB2312"/>
          <w:b/>
          <w:sz w:val="32"/>
          <w:szCs w:val="32"/>
        </w:rPr>
      </w:pP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财政支出构成比</w:t>
      </w:r>
    </w:p>
    <w:tbl>
      <w:tblPr>
        <w:tblStyle w:val="12"/>
        <w:tblpPr w:leftFromText="180" w:rightFromText="180" w:vertAnchor="text" w:horzAnchor="page" w:tblpX="2525" w:tblpY="576"/>
        <w:tblOverlap w:val="never"/>
        <w:tblW w:w="4291" w:type="dxa"/>
        <w:tblInd w:w="0" w:type="dxa"/>
        <w:tblLayout w:type="fixed"/>
        <w:tblCellMar>
          <w:top w:w="0" w:type="dxa"/>
          <w:left w:w="0" w:type="dxa"/>
          <w:bottom w:w="0" w:type="dxa"/>
          <w:right w:w="0" w:type="dxa"/>
        </w:tblCellMar>
      </w:tblPr>
      <w:tblGrid>
        <w:gridCol w:w="2626"/>
        <w:gridCol w:w="1665"/>
      </w:tblGrid>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b/>
                <w:color w:val="000000"/>
                <w:sz w:val="24"/>
              </w:rPr>
            </w:pPr>
            <w:r>
              <w:rPr>
                <w:rFonts w:hint="eastAsia" w:ascii="宋体" w:hAnsi="宋体" w:cs="宋体"/>
                <w:b/>
                <w:color w:val="000000"/>
                <w:kern w:val="0"/>
                <w:sz w:val="24"/>
              </w:rPr>
              <w:t>财政拨款支出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 xml:space="preserve">   5425.67 </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社会保障和就业支出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20.29</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卫生健康支出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1717.31</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城乡和社区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75.14</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住房保障支出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r>
              <w:rPr>
                <w:rFonts w:hint="eastAsia" w:ascii="宋体" w:hAnsi="宋体" w:cs="宋体"/>
                <w:color w:val="000000"/>
                <w:kern w:val="0"/>
                <w:sz w:val="24"/>
              </w:rPr>
              <w:t>140.33</w:t>
            </w: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抗疫特别国债安排支出</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kern w:val="0"/>
                <w:sz w:val="24"/>
              </w:rPr>
            </w:pP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3472.6</w:t>
            </w: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kern w:val="0"/>
                <w:sz w:val="24"/>
              </w:rPr>
            </w:pPr>
          </w:p>
        </w:tc>
      </w:tr>
      <w:tr>
        <w:tblPrEx>
          <w:tblCellMar>
            <w:top w:w="0" w:type="dxa"/>
            <w:left w:w="0" w:type="dxa"/>
            <w:bottom w:w="0" w:type="dxa"/>
            <w:right w:w="0" w:type="dxa"/>
          </w:tblCellMar>
        </w:tblPrEx>
        <w:trPr>
          <w:trHeight w:val="285" w:hRule="atLeast"/>
        </w:trPr>
        <w:tc>
          <w:tcPr>
            <w:tcW w:w="2626"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4"/>
              </w:rPr>
            </w:pPr>
          </w:p>
        </w:tc>
        <w:tc>
          <w:tcPr>
            <w:tcW w:w="1665" w:type="dxa"/>
            <w:tcBorders>
              <w:top w:val="nil"/>
              <w:left w:val="nil"/>
              <w:bottom w:val="nil"/>
              <w:right w:val="nil"/>
            </w:tcBorders>
            <w:tcMar>
              <w:top w:w="15" w:type="dxa"/>
              <w:left w:w="15" w:type="dxa"/>
              <w:right w:w="15" w:type="dxa"/>
            </w:tcMar>
            <w:vAlign w:val="center"/>
          </w:tcPr>
          <w:p>
            <w:pPr>
              <w:widowControl/>
              <w:jc w:val="right"/>
              <w:textAlignment w:val="center"/>
              <w:rPr>
                <w:rFonts w:ascii="宋体" w:hAnsi="宋体" w:cs="宋体"/>
                <w:color w:val="000000"/>
                <w:sz w:val="24"/>
              </w:rPr>
            </w:pPr>
          </w:p>
        </w:tc>
      </w:tr>
    </w:tbl>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w:t>
      </w:r>
    </w:p>
    <w:p>
      <w:pPr>
        <w:spacing w:line="600" w:lineRule="exact"/>
        <w:ind w:firstLine="640"/>
        <w:rPr>
          <w:rFonts w:ascii="仿宋" w:hAnsi="仿宋" w:eastAsia="仿宋"/>
          <w:b/>
          <w:color w:val="00B050"/>
          <w:sz w:val="32"/>
          <w:szCs w:val="32"/>
        </w:rPr>
      </w:pPr>
    </w:p>
    <w:p>
      <w:pPr>
        <w:spacing w:line="600" w:lineRule="exact"/>
        <w:ind w:firstLine="640" w:firstLineChars="200"/>
        <w:rPr>
          <w:rFonts w:ascii="仿宋" w:hAnsi="仿宋" w:eastAsia="仿宋"/>
          <w:color w:val="000000" w:themeColor="text1"/>
          <w:sz w:val="32"/>
          <w:szCs w:val="32"/>
        </w:rPr>
      </w:pPr>
      <w:bookmarkStart w:id="43" w:name="_Toc15396607"/>
      <w:bookmarkStart w:id="44" w:name="_Toc15377209"/>
    </w:p>
    <w:p>
      <w:pPr>
        <w:spacing w:line="600" w:lineRule="exact"/>
        <w:outlineLvl w:val="1"/>
        <w:rPr>
          <w:rFonts w:ascii="黑体" w:hAnsi="黑体" w:eastAsia="黑体"/>
          <w:color w:val="000000"/>
          <w:sz w:val="32"/>
          <w:szCs w:val="32"/>
        </w:rPr>
      </w:pPr>
    </w:p>
    <w:tbl>
      <w:tblPr>
        <w:tblStyle w:val="12"/>
        <w:tblW w:w="8008" w:type="dxa"/>
        <w:tblInd w:w="108" w:type="dxa"/>
        <w:tblLayout w:type="autofit"/>
        <w:tblCellMar>
          <w:top w:w="0" w:type="dxa"/>
          <w:left w:w="108" w:type="dxa"/>
          <w:bottom w:w="0" w:type="dxa"/>
          <w:right w:w="108" w:type="dxa"/>
        </w:tblCellMar>
      </w:tblPr>
      <w:tblGrid>
        <w:gridCol w:w="676"/>
        <w:gridCol w:w="1096"/>
        <w:gridCol w:w="1096"/>
        <w:gridCol w:w="1096"/>
        <w:gridCol w:w="1096"/>
        <w:gridCol w:w="1096"/>
        <w:gridCol w:w="1096"/>
        <w:gridCol w:w="956"/>
      </w:tblGrid>
      <w:tr>
        <w:tblPrEx>
          <w:tblCellMar>
            <w:top w:w="0" w:type="dxa"/>
            <w:left w:w="108" w:type="dxa"/>
            <w:bottom w:w="0" w:type="dxa"/>
            <w:right w:w="108" w:type="dxa"/>
          </w:tblCellMar>
        </w:tblPrEx>
        <w:trPr>
          <w:trHeight w:val="162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84864" behindDoc="0" locked="0" layoutInCell="1" allowOverlap="1">
                  <wp:simplePos x="0" y="0"/>
                  <wp:positionH relativeFrom="column">
                    <wp:posOffset>238125</wp:posOffset>
                  </wp:positionH>
                  <wp:positionV relativeFrom="paragraph">
                    <wp:posOffset>276225</wp:posOffset>
                  </wp:positionV>
                  <wp:extent cx="4610100" cy="2762250"/>
                  <wp:effectExtent l="0" t="0" r="635" b="635"/>
                  <wp:wrapNone/>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460"/>
            </w:tblGrid>
            <w:tr>
              <w:tblPrEx>
                <w:tblCellMar>
                  <w:top w:w="0" w:type="dxa"/>
                  <w:left w:w="0" w:type="dxa"/>
                  <w:bottom w:w="0" w:type="dxa"/>
                  <w:right w:w="0" w:type="dxa"/>
                </w:tblCellMar>
              </w:tblPrEx>
              <w:trPr>
                <w:trHeight w:val="1620" w:hRule="atLeast"/>
                <w:tblCellSpacing w:w="0" w:type="dxa"/>
              </w:trPr>
              <w:tc>
                <w:tcPr>
                  <w:tcW w:w="4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855"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855"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spacing w:line="600" w:lineRule="exact"/>
        <w:outlineLvl w:val="1"/>
        <w:rPr>
          <w:rStyle w:val="26"/>
          <w:rFonts w:ascii="黑体" w:hAnsi="黑体" w:eastAsia="黑体"/>
          <w:b w:val="0"/>
        </w:rPr>
      </w:pPr>
      <w:bookmarkStart w:id="45" w:name="_Toc8673720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43"/>
      <w:bookmarkEnd w:id="44"/>
      <w:bookmarkEnd w:id="45"/>
    </w:p>
    <w:p>
      <w:pPr>
        <w:spacing w:line="600" w:lineRule="exact"/>
        <w:ind w:firstLine="643" w:firstLineChars="200"/>
        <w:outlineLvl w:val="2"/>
        <w:rPr>
          <w:rFonts w:ascii="仿宋" w:hAnsi="仿宋" w:eastAsia="仿宋"/>
          <w:b/>
          <w:color w:val="000000"/>
          <w:sz w:val="32"/>
          <w:szCs w:val="32"/>
        </w:rPr>
      </w:pPr>
      <w:bookmarkStart w:id="46" w:name="_Toc15377210"/>
      <w:bookmarkStart w:id="47" w:name="_Toc86737205"/>
      <w:r>
        <w:rPr>
          <w:rFonts w:hint="eastAsia" w:ascii="仿宋" w:hAnsi="仿宋" w:eastAsia="仿宋"/>
          <w:b/>
          <w:color w:val="000000"/>
          <w:sz w:val="32"/>
          <w:szCs w:val="32"/>
        </w:rPr>
        <w:t>（一）一般公共预算财政拨款支出决算总体情况</w:t>
      </w:r>
      <w:bookmarkEnd w:id="46"/>
      <w:bookmarkEnd w:id="4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2020年一般公共预算财政拨款支出1877.93万元，占本年支出合计的6.35</w:t>
      </w:r>
      <w:r>
        <w:rPr>
          <w:rFonts w:ascii="仿宋" w:hAnsi="仿宋" w:eastAsia="仿宋"/>
          <w:color w:val="000000"/>
          <w:sz w:val="32"/>
          <w:szCs w:val="32"/>
        </w:rPr>
        <w:t>%</w:t>
      </w:r>
      <w:r>
        <w:rPr>
          <w:rFonts w:hint="eastAsia" w:ascii="仿宋" w:hAnsi="仿宋" w:eastAsia="仿宋"/>
          <w:color w:val="000000"/>
          <w:sz w:val="32"/>
          <w:szCs w:val="32"/>
        </w:rPr>
        <w:t>。与2019年相比，一般公共预算财政拨款支出减少4993.77万元，减少72.67</w:t>
      </w:r>
      <w:r>
        <w:rPr>
          <w:rFonts w:ascii="仿宋" w:hAnsi="仿宋" w:eastAsia="仿宋"/>
          <w:color w:val="000000"/>
          <w:sz w:val="32"/>
          <w:szCs w:val="32"/>
        </w:rPr>
        <w:t>%</w:t>
      </w:r>
      <w:r>
        <w:rPr>
          <w:rFonts w:hint="eastAsia" w:ascii="仿宋" w:hAnsi="仿宋" w:eastAsia="仿宋"/>
          <w:color w:val="000000"/>
          <w:sz w:val="32"/>
          <w:szCs w:val="32"/>
        </w:rPr>
        <w:t>。主要变动原因是医院整体迁建项目资金5000万元，于2019年列支。</w:t>
      </w:r>
    </w:p>
    <w:tbl>
      <w:tblPr>
        <w:tblStyle w:val="12"/>
        <w:tblW w:w="8334" w:type="dxa"/>
        <w:tblInd w:w="0" w:type="dxa"/>
        <w:tblLayout w:type="fixed"/>
        <w:tblCellMar>
          <w:top w:w="15" w:type="dxa"/>
          <w:left w:w="15" w:type="dxa"/>
          <w:bottom w:w="15" w:type="dxa"/>
          <w:right w:w="15" w:type="dxa"/>
        </w:tblCellMar>
      </w:tblPr>
      <w:tblGrid>
        <w:gridCol w:w="5037"/>
        <w:gridCol w:w="1362"/>
        <w:gridCol w:w="950"/>
        <w:gridCol w:w="523"/>
        <w:gridCol w:w="462"/>
      </w:tblGrid>
      <w:tr>
        <w:tblPrEx>
          <w:tblCellMar>
            <w:top w:w="15" w:type="dxa"/>
            <w:left w:w="15" w:type="dxa"/>
            <w:bottom w:w="15" w:type="dxa"/>
            <w:right w:w="15" w:type="dxa"/>
          </w:tblCellMar>
        </w:tblPrEx>
        <w:trPr>
          <w:trHeight w:val="285" w:hRule="atLeast"/>
        </w:trPr>
        <w:tc>
          <w:tcPr>
            <w:tcW w:w="5037" w:type="dxa"/>
            <w:shd w:val="clear" w:color="auto" w:fill="auto"/>
            <w:vAlign w:val="center"/>
          </w:tcPr>
          <w:p>
            <w:pPr>
              <w:rPr>
                <w:rFonts w:ascii="宋体" w:hAnsi="宋体" w:cs="宋体"/>
                <w:color w:val="000000"/>
                <w:sz w:val="22"/>
                <w:szCs w:val="22"/>
              </w:rPr>
            </w:pPr>
          </w:p>
        </w:tc>
        <w:tc>
          <w:tcPr>
            <w:tcW w:w="1362"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2019年</w:t>
            </w:r>
          </w:p>
        </w:tc>
        <w:tc>
          <w:tcPr>
            <w:tcW w:w="95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2020年</w:t>
            </w:r>
          </w:p>
        </w:tc>
        <w:tc>
          <w:tcPr>
            <w:tcW w:w="523"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增减数</w:t>
            </w:r>
          </w:p>
        </w:tc>
        <w:tc>
          <w:tcPr>
            <w:tcW w:w="462"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增减比率</w:t>
            </w:r>
          </w:p>
        </w:tc>
      </w:tr>
      <w:tr>
        <w:tblPrEx>
          <w:tblCellMar>
            <w:top w:w="15" w:type="dxa"/>
            <w:left w:w="15" w:type="dxa"/>
            <w:bottom w:w="15" w:type="dxa"/>
            <w:right w:w="15" w:type="dxa"/>
          </w:tblCellMar>
        </w:tblPrEx>
        <w:trPr>
          <w:trHeight w:val="285" w:hRule="atLeast"/>
        </w:trPr>
        <w:tc>
          <w:tcPr>
            <w:tcW w:w="5037"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一般公共预算财政拨款支出</w:t>
            </w:r>
          </w:p>
        </w:tc>
        <w:tc>
          <w:tcPr>
            <w:tcW w:w="1362"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6871.69</w:t>
            </w:r>
          </w:p>
        </w:tc>
        <w:tc>
          <w:tcPr>
            <w:tcW w:w="95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1877.93</w:t>
            </w:r>
          </w:p>
        </w:tc>
        <w:tc>
          <w:tcPr>
            <w:tcW w:w="523" w:type="dxa"/>
            <w:shd w:val="clear" w:color="auto" w:fill="auto"/>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-4993.77</w:t>
            </w:r>
          </w:p>
        </w:tc>
        <w:tc>
          <w:tcPr>
            <w:tcW w:w="462"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-72.67%</w:t>
            </w:r>
          </w:p>
        </w:tc>
      </w:tr>
      <w:tr>
        <w:tblPrEx>
          <w:tblCellMar>
            <w:top w:w="15" w:type="dxa"/>
            <w:left w:w="15" w:type="dxa"/>
            <w:bottom w:w="15" w:type="dxa"/>
            <w:right w:w="15" w:type="dxa"/>
          </w:tblCellMar>
        </w:tblPrEx>
        <w:trPr>
          <w:trHeight w:val="271" w:hRule="atLeast"/>
        </w:trPr>
        <w:tc>
          <w:tcPr>
            <w:tcW w:w="5037" w:type="dxa"/>
            <w:shd w:val="clear" w:color="auto" w:fill="auto"/>
            <w:vAlign w:val="center"/>
          </w:tcPr>
          <w:tbl>
            <w:tblPr>
              <w:tblStyle w:val="12"/>
              <w:tblW w:w="8008" w:type="dxa"/>
              <w:tblInd w:w="0" w:type="dxa"/>
              <w:tblLayout w:type="fixed"/>
              <w:tblCellMar>
                <w:top w:w="0" w:type="dxa"/>
                <w:left w:w="108" w:type="dxa"/>
                <w:bottom w:w="0" w:type="dxa"/>
                <w:right w:w="108" w:type="dxa"/>
              </w:tblCellMar>
            </w:tblPr>
            <w:tblGrid>
              <w:gridCol w:w="476"/>
              <w:gridCol w:w="1096"/>
              <w:gridCol w:w="1096"/>
              <w:gridCol w:w="1096"/>
              <w:gridCol w:w="1096"/>
              <w:gridCol w:w="1096"/>
              <w:gridCol w:w="1096"/>
              <w:gridCol w:w="956"/>
            </w:tblGrid>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86912" behindDoc="0" locked="0" layoutInCell="1" allowOverlap="1">
                        <wp:simplePos x="0" y="0"/>
                        <wp:positionH relativeFrom="column">
                          <wp:posOffset>257175</wp:posOffset>
                        </wp:positionH>
                        <wp:positionV relativeFrom="paragraph">
                          <wp:posOffset>104775</wp:posOffset>
                        </wp:positionV>
                        <wp:extent cx="4591050" cy="2762250"/>
                        <wp:effectExtent l="0" t="0" r="635" b="635"/>
                        <wp:wrapNone/>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bl>
                  <w:tblPr>
                    <w:tblStyle w:val="12"/>
                    <w:tblW w:w="0" w:type="auto"/>
                    <w:tblCellSpacing w:w="0" w:type="dxa"/>
                    <w:tblInd w:w="0" w:type="dxa"/>
                    <w:tblLayout w:type="fixed"/>
                    <w:tblCellMar>
                      <w:top w:w="0" w:type="dxa"/>
                      <w:left w:w="0" w:type="dxa"/>
                      <w:bottom w:w="0" w:type="dxa"/>
                      <w:right w:w="0" w:type="dxa"/>
                    </w:tblCellMar>
                  </w:tblPr>
                  <w:tblGrid>
                    <w:gridCol w:w="460"/>
                  </w:tblGrid>
                  <w:tr>
                    <w:tblPrEx>
                      <w:tblCellMar>
                        <w:top w:w="0" w:type="dxa"/>
                        <w:left w:w="0" w:type="dxa"/>
                        <w:bottom w:w="0" w:type="dxa"/>
                        <w:right w:w="0" w:type="dxa"/>
                      </w:tblCellMar>
                    </w:tblPrEx>
                    <w:trPr>
                      <w:trHeight w:val="270" w:hRule="atLeast"/>
                      <w:tblCellSpacing w:w="0" w:type="dxa"/>
                    </w:trPr>
                    <w:tc>
                      <w:tcPr>
                        <w:tcW w:w="4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4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95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rPr>
                <w:rFonts w:ascii="宋体" w:hAnsi="宋体" w:cs="宋体"/>
                <w:color w:val="000000"/>
                <w:sz w:val="22"/>
                <w:szCs w:val="22"/>
              </w:rPr>
            </w:pPr>
          </w:p>
        </w:tc>
        <w:tc>
          <w:tcPr>
            <w:tcW w:w="1362" w:type="dxa"/>
            <w:shd w:val="clear" w:color="auto" w:fill="auto"/>
            <w:vAlign w:val="center"/>
          </w:tcPr>
          <w:p>
            <w:pPr>
              <w:rPr>
                <w:rFonts w:ascii="宋体" w:hAnsi="宋体" w:cs="宋体"/>
                <w:color w:val="000000"/>
                <w:sz w:val="22"/>
                <w:szCs w:val="22"/>
              </w:rPr>
            </w:pPr>
          </w:p>
        </w:tc>
        <w:tc>
          <w:tcPr>
            <w:tcW w:w="950" w:type="dxa"/>
            <w:shd w:val="clear" w:color="auto" w:fill="auto"/>
            <w:vAlign w:val="center"/>
          </w:tcPr>
          <w:p>
            <w:pPr>
              <w:rPr>
                <w:rFonts w:ascii="宋体" w:hAnsi="宋体" w:cs="宋体"/>
                <w:color w:val="000000"/>
                <w:sz w:val="22"/>
                <w:szCs w:val="22"/>
              </w:rPr>
            </w:pPr>
          </w:p>
        </w:tc>
        <w:tc>
          <w:tcPr>
            <w:tcW w:w="523" w:type="dxa"/>
            <w:shd w:val="clear" w:color="auto" w:fill="auto"/>
            <w:vAlign w:val="center"/>
          </w:tcPr>
          <w:p>
            <w:pPr>
              <w:rPr>
                <w:rFonts w:ascii="宋体" w:hAnsi="宋体" w:cs="宋体"/>
                <w:color w:val="000000"/>
                <w:sz w:val="22"/>
                <w:szCs w:val="22"/>
              </w:rPr>
            </w:pPr>
          </w:p>
        </w:tc>
        <w:tc>
          <w:tcPr>
            <w:tcW w:w="462" w:type="dxa"/>
            <w:shd w:val="clear" w:color="auto" w:fill="auto"/>
            <w:vAlign w:val="center"/>
          </w:tcPr>
          <w:p>
            <w:pPr>
              <w:rPr>
                <w:rFonts w:ascii="宋体" w:hAnsi="宋体" w:cs="宋体"/>
                <w:color w:val="000000"/>
                <w:sz w:val="22"/>
                <w:szCs w:val="22"/>
              </w:rPr>
            </w:pPr>
          </w:p>
        </w:tc>
      </w:tr>
      <w:tr>
        <w:tblPrEx>
          <w:tblCellMar>
            <w:top w:w="15" w:type="dxa"/>
            <w:left w:w="15" w:type="dxa"/>
            <w:bottom w:w="15" w:type="dxa"/>
            <w:right w:w="15" w:type="dxa"/>
          </w:tblCellMar>
        </w:tblPrEx>
        <w:trPr>
          <w:trHeight w:val="271" w:hRule="atLeast"/>
        </w:trPr>
        <w:tc>
          <w:tcPr>
            <w:tcW w:w="5037" w:type="dxa"/>
            <w:shd w:val="clear" w:color="auto" w:fill="auto"/>
            <w:vAlign w:val="center"/>
          </w:tcPr>
          <w:p>
            <w:pPr>
              <w:rPr>
                <w:rFonts w:ascii="宋体" w:hAnsi="宋体" w:cs="宋体"/>
                <w:color w:val="000000"/>
                <w:sz w:val="22"/>
                <w:szCs w:val="22"/>
              </w:rPr>
            </w:pPr>
          </w:p>
        </w:tc>
        <w:tc>
          <w:tcPr>
            <w:tcW w:w="1362" w:type="dxa"/>
            <w:shd w:val="clear" w:color="auto" w:fill="auto"/>
            <w:vAlign w:val="center"/>
          </w:tcPr>
          <w:p>
            <w:pPr>
              <w:rPr>
                <w:rFonts w:ascii="宋体" w:hAnsi="宋体" w:cs="宋体"/>
                <w:color w:val="000000"/>
                <w:sz w:val="22"/>
                <w:szCs w:val="22"/>
              </w:rPr>
            </w:pPr>
          </w:p>
        </w:tc>
        <w:tc>
          <w:tcPr>
            <w:tcW w:w="950" w:type="dxa"/>
            <w:shd w:val="clear" w:color="auto" w:fill="auto"/>
            <w:vAlign w:val="center"/>
          </w:tcPr>
          <w:p>
            <w:pPr>
              <w:rPr>
                <w:rFonts w:ascii="宋体" w:hAnsi="宋体" w:cs="宋体"/>
                <w:color w:val="000000"/>
                <w:sz w:val="22"/>
                <w:szCs w:val="22"/>
              </w:rPr>
            </w:pPr>
          </w:p>
        </w:tc>
        <w:tc>
          <w:tcPr>
            <w:tcW w:w="523" w:type="dxa"/>
            <w:shd w:val="clear" w:color="auto" w:fill="auto"/>
            <w:vAlign w:val="center"/>
          </w:tcPr>
          <w:p>
            <w:pPr>
              <w:rPr>
                <w:rFonts w:ascii="宋体" w:hAnsi="宋体" w:cs="宋体"/>
                <w:color w:val="000000"/>
                <w:sz w:val="22"/>
                <w:szCs w:val="22"/>
              </w:rPr>
            </w:pPr>
          </w:p>
        </w:tc>
        <w:tc>
          <w:tcPr>
            <w:tcW w:w="462" w:type="dxa"/>
            <w:shd w:val="clear" w:color="auto" w:fill="auto"/>
            <w:vAlign w:val="center"/>
          </w:tcPr>
          <w:p>
            <w:pPr>
              <w:rPr>
                <w:rFonts w:ascii="宋体" w:hAnsi="宋体" w:cs="宋体"/>
                <w:color w:val="000000"/>
                <w:sz w:val="22"/>
                <w:szCs w:val="22"/>
              </w:rPr>
            </w:pPr>
          </w:p>
        </w:tc>
      </w:tr>
    </w:tbl>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48" w:name="_Toc15377211"/>
      <w:bookmarkStart w:id="49" w:name="_Toc86737206"/>
      <w:r>
        <w:rPr>
          <w:rFonts w:hint="eastAsia" w:ascii="仿宋" w:hAnsi="仿宋" w:eastAsia="仿宋"/>
          <w:b/>
          <w:color w:val="000000"/>
          <w:sz w:val="32"/>
          <w:szCs w:val="32"/>
        </w:rPr>
        <w:t>（二）一般公共预算财政拨款支出决算结构情况</w:t>
      </w:r>
      <w:bookmarkEnd w:id="48"/>
      <w:bookmarkEnd w:id="49"/>
    </w:p>
    <w:p>
      <w:pPr>
        <w:spacing w:line="600" w:lineRule="exact"/>
        <w:ind w:firstLine="640"/>
        <w:rPr>
          <w:rFonts w:ascii="仿宋" w:hAnsi="仿宋" w:eastAsia="仿宋"/>
          <w:b/>
          <w:color w:val="000000" w:themeColor="text1"/>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政拨款支出1877.93万元，主要用于以下方面</w:t>
      </w:r>
      <w:r>
        <w:rPr>
          <w:rFonts w:ascii="仿宋" w:hAnsi="仿宋" w:eastAsia="仿宋"/>
          <w:color w:val="000000" w:themeColor="text1"/>
          <w:sz w:val="32"/>
          <w:szCs w:val="32"/>
        </w:rPr>
        <w:t>:</w:t>
      </w:r>
      <w:r>
        <w:rPr>
          <w:rFonts w:hint="eastAsia" w:ascii="仿宋" w:hAnsi="仿宋" w:eastAsia="仿宋"/>
          <w:color w:val="000000" w:themeColor="text1"/>
          <w:sz w:val="32"/>
          <w:szCs w:val="32"/>
        </w:rPr>
        <w:t xml:space="preserve"> </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支出20.29万元，占1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卫生健康支出1717.31</w:t>
      </w:r>
      <w:r>
        <w:rPr>
          <w:rFonts w:hint="eastAsia" w:ascii="仿宋" w:hAnsi="仿宋" w:eastAsia="仿宋"/>
          <w:color w:val="000000" w:themeColor="text1"/>
          <w:sz w:val="32"/>
          <w:szCs w:val="32"/>
        </w:rPr>
        <w:t>万元，占97.05</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；住房保障支出140.33万元，占1.85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tbl>
      <w:tblPr>
        <w:tblStyle w:val="12"/>
        <w:tblpPr w:leftFromText="180" w:rightFromText="180" w:vertAnchor="text" w:horzAnchor="page" w:tblpX="3069" w:tblpY="537"/>
        <w:tblOverlap w:val="never"/>
        <w:tblW w:w="4469" w:type="dxa"/>
        <w:tblInd w:w="0" w:type="dxa"/>
        <w:tblLayout w:type="fixed"/>
        <w:tblCellMar>
          <w:top w:w="15" w:type="dxa"/>
          <w:left w:w="15" w:type="dxa"/>
          <w:bottom w:w="15" w:type="dxa"/>
          <w:right w:w="15" w:type="dxa"/>
        </w:tblCellMar>
      </w:tblPr>
      <w:tblGrid>
        <w:gridCol w:w="3089"/>
        <w:gridCol w:w="1380"/>
      </w:tblGrid>
      <w:tr>
        <w:tblPrEx>
          <w:tblCellMar>
            <w:top w:w="15" w:type="dxa"/>
            <w:left w:w="15" w:type="dxa"/>
            <w:bottom w:w="15" w:type="dxa"/>
            <w:right w:w="15" w:type="dxa"/>
          </w:tblCellMar>
        </w:tblPrEx>
        <w:trPr>
          <w:trHeight w:val="285" w:hRule="atLeast"/>
        </w:trPr>
        <w:tc>
          <w:tcPr>
            <w:tcW w:w="3089" w:type="dxa"/>
            <w:shd w:val="clear" w:color="auto" w:fill="auto"/>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一般公共财政拨款支出合计</w:t>
            </w:r>
          </w:p>
        </w:tc>
        <w:tc>
          <w:tcPr>
            <w:tcW w:w="1380" w:type="dxa"/>
            <w:shd w:val="clear" w:color="auto" w:fill="auto"/>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1877.93万元</w:t>
            </w:r>
          </w:p>
        </w:tc>
      </w:tr>
      <w:tr>
        <w:tblPrEx>
          <w:tblCellMar>
            <w:top w:w="15" w:type="dxa"/>
            <w:left w:w="15" w:type="dxa"/>
            <w:bottom w:w="15" w:type="dxa"/>
            <w:right w:w="15" w:type="dxa"/>
          </w:tblCellMar>
        </w:tblPrEx>
        <w:trPr>
          <w:trHeight w:val="285" w:hRule="atLeast"/>
        </w:trPr>
        <w:tc>
          <w:tcPr>
            <w:tcW w:w="3089"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38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20.29万元</w:t>
            </w:r>
          </w:p>
        </w:tc>
      </w:tr>
      <w:tr>
        <w:tblPrEx>
          <w:tblCellMar>
            <w:top w:w="15" w:type="dxa"/>
            <w:left w:w="15" w:type="dxa"/>
            <w:bottom w:w="15" w:type="dxa"/>
            <w:right w:w="15" w:type="dxa"/>
          </w:tblCellMar>
        </w:tblPrEx>
        <w:trPr>
          <w:trHeight w:val="285" w:hRule="atLeast"/>
        </w:trPr>
        <w:tc>
          <w:tcPr>
            <w:tcW w:w="3089"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38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1717.31万元</w:t>
            </w:r>
          </w:p>
        </w:tc>
      </w:tr>
      <w:tr>
        <w:tblPrEx>
          <w:tblCellMar>
            <w:top w:w="15" w:type="dxa"/>
            <w:left w:w="15" w:type="dxa"/>
            <w:bottom w:w="15" w:type="dxa"/>
            <w:right w:w="15" w:type="dxa"/>
          </w:tblCellMar>
        </w:tblPrEx>
        <w:trPr>
          <w:trHeight w:val="285" w:hRule="atLeast"/>
        </w:trPr>
        <w:tc>
          <w:tcPr>
            <w:tcW w:w="3089"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380" w:type="dxa"/>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140.33万元</w:t>
            </w:r>
          </w:p>
        </w:tc>
      </w:tr>
    </w:tbl>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tbl>
      <w:tblPr>
        <w:tblStyle w:val="12"/>
        <w:tblW w:w="8640" w:type="dxa"/>
        <w:tblInd w:w="108" w:type="dxa"/>
        <w:tblLayout w:type="autofit"/>
        <w:tblCellMar>
          <w:top w:w="0" w:type="dxa"/>
          <w:left w:w="108" w:type="dxa"/>
          <w:bottom w:w="0" w:type="dxa"/>
          <w:right w:w="108" w:type="dxa"/>
        </w:tblCellMar>
      </w:tblPr>
      <w:tblGrid>
        <w:gridCol w:w="1836"/>
        <w:gridCol w:w="473"/>
        <w:gridCol w:w="1090"/>
        <w:gridCol w:w="1090"/>
        <w:gridCol w:w="1090"/>
        <w:gridCol w:w="1090"/>
        <w:gridCol w:w="1090"/>
        <w:gridCol w:w="1090"/>
      </w:tblGrid>
      <w:tr>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drawing>
                <wp:anchor distT="0" distB="0" distL="114300" distR="114300" simplePos="0" relativeHeight="251688960" behindDoc="0" locked="0" layoutInCell="1" allowOverlap="1">
                  <wp:simplePos x="0" y="0"/>
                  <wp:positionH relativeFrom="column">
                    <wp:posOffset>352425</wp:posOffset>
                  </wp:positionH>
                  <wp:positionV relativeFrom="paragraph">
                    <wp:posOffset>104775</wp:posOffset>
                  </wp:positionV>
                  <wp:extent cx="4629150" cy="2771775"/>
                  <wp:effectExtent l="0" t="0" r="635" b="0"/>
                  <wp:wrapNone/>
                  <wp:docPr id="11"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620"/>
            </w:tblGrid>
            <w:tr>
              <w:tblPrEx>
                <w:tblCellMar>
                  <w:top w:w="0" w:type="dxa"/>
                  <w:left w:w="0" w:type="dxa"/>
                  <w:bottom w:w="0" w:type="dxa"/>
                  <w:right w:w="0" w:type="dxa"/>
                </w:tblCellMar>
              </w:tblPrEx>
              <w:trPr>
                <w:trHeight w:val="270" w:hRule="atLeast"/>
                <w:tblCellSpacing w:w="0" w:type="dxa"/>
              </w:trPr>
              <w:tc>
                <w:tcPr>
                  <w:tcW w:w="162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trPr>
        <w:tc>
          <w:tcPr>
            <w:tcW w:w="1627"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73"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109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bl>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50" w:name="_Toc15377212"/>
      <w:bookmarkStart w:id="51" w:name="_Toc86737207"/>
      <w:r>
        <w:rPr>
          <w:rFonts w:hint="eastAsia" w:ascii="仿宋" w:hAnsi="仿宋" w:eastAsia="仿宋"/>
          <w:b/>
          <w:color w:val="000000"/>
          <w:sz w:val="32"/>
          <w:szCs w:val="32"/>
        </w:rPr>
        <w:t>（三）一般公共预算财政拨款支出决算具体情况</w:t>
      </w:r>
      <w:bookmarkEnd w:id="50"/>
      <w:bookmarkEnd w:id="51"/>
    </w:p>
    <w:p>
      <w:pPr>
        <w:spacing w:line="600" w:lineRule="exact"/>
        <w:ind w:firstLine="643" w:firstLineChars="200"/>
        <w:outlineLvl w:val="2"/>
        <w:rPr>
          <w:rFonts w:ascii="仿宋" w:hAnsi="仿宋" w:eastAsia="仿宋"/>
          <w:color w:val="FF0000"/>
          <w:sz w:val="32"/>
          <w:szCs w:val="32"/>
        </w:rPr>
      </w:pPr>
      <w:bookmarkStart w:id="52" w:name="_Toc15377444"/>
      <w:bookmarkStart w:id="53" w:name="_Toc15377213"/>
      <w:bookmarkStart w:id="54" w:name="_Toc15378460"/>
      <w:bookmarkStart w:id="55" w:name="_Toc86737208"/>
      <w:r>
        <w:rPr>
          <w:rFonts w:hint="eastAsia" w:ascii="仿宋" w:hAnsi="仿宋" w:eastAsia="仿宋"/>
          <w:b/>
          <w:color w:val="000000" w:themeColor="text1"/>
          <w:sz w:val="32"/>
          <w:szCs w:val="32"/>
        </w:rPr>
        <w:t>2020年般公共预算支出决算数为1877.93万元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52"/>
      <w:bookmarkEnd w:id="53"/>
      <w:bookmarkEnd w:id="54"/>
      <w:bookmarkEnd w:id="55"/>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rPr>
        <w:t>1</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社会保障和就业支出</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支出决算为20.29万元，完成预算100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bCs/>
          <w:color w:val="000000"/>
          <w:sz w:val="32"/>
          <w:szCs w:val="32"/>
        </w:rPr>
        <w:t>2</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卫生健康支出</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支出决算为1717.31万元，完成预算100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firstLine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3.住房保障支出：支出决算为140.33万元，完成预算100%。</w:t>
      </w:r>
    </w:p>
    <w:p>
      <w:pPr>
        <w:tabs>
          <w:tab w:val="right" w:pos="8306"/>
        </w:tabs>
        <w:spacing w:line="600" w:lineRule="exact"/>
        <w:outlineLvl w:val="1"/>
        <w:rPr>
          <w:rStyle w:val="26"/>
        </w:rPr>
      </w:pPr>
      <w:bookmarkStart w:id="56" w:name="_Toc86737209"/>
      <w:bookmarkStart w:id="57" w:name="_Toc15377214"/>
      <w:bookmarkStart w:id="58"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56"/>
      <w:bookmarkEnd w:id="57"/>
      <w:bookmarkEnd w:id="58"/>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2020年一般公共预算财政拨款基本支出1358.74万元，其中：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人员经费1358.74万元，主要包括：基本工资1190.59万元、津贴补贴7.54万元、其他社会保障缴费10.52万元、住房公积金140.33万元、其他对个人和家庭的补助支出9.76万元等。</w:t>
      </w:r>
      <w:bookmarkStart w:id="59" w:name="_Toc15377215"/>
      <w:bookmarkStart w:id="60" w:name="_Toc15396609"/>
    </w:p>
    <w:p>
      <w:pPr>
        <w:spacing w:line="600" w:lineRule="exact"/>
        <w:ind w:firstLine="645"/>
        <w:rPr>
          <w:rStyle w:val="26"/>
          <w:rFonts w:ascii="黑体" w:hAnsi="黑体" w:eastAsia="黑体"/>
          <w:b w:val="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59"/>
      <w:bookmarkEnd w:id="60"/>
    </w:p>
    <w:p>
      <w:pPr>
        <w:spacing w:line="600" w:lineRule="exact"/>
        <w:ind w:firstLine="640"/>
        <w:outlineLvl w:val="2"/>
        <w:rPr>
          <w:rFonts w:ascii="仿宋" w:hAnsi="仿宋" w:eastAsia="仿宋"/>
          <w:b/>
          <w:color w:val="000000"/>
          <w:sz w:val="32"/>
          <w:szCs w:val="32"/>
        </w:rPr>
      </w:pPr>
      <w:bookmarkStart w:id="61" w:name="_Toc15377216"/>
      <w:bookmarkStart w:id="62" w:name="_Toc86737210"/>
      <w:r>
        <w:rPr>
          <w:rFonts w:hint="eastAsia" w:ascii="仿宋" w:hAnsi="仿宋" w:eastAsia="仿宋"/>
          <w:b/>
          <w:color w:val="000000"/>
          <w:sz w:val="32"/>
          <w:szCs w:val="32"/>
        </w:rPr>
        <w:t>（一）“三公”经费财政拨款支出决算总体情况说明</w:t>
      </w:r>
      <w:bookmarkEnd w:id="61"/>
      <w:bookmarkEnd w:id="6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2020年“三公”经费财政拨款支出决算为0万元，完成预算0</w:t>
      </w:r>
    </w:p>
    <w:p>
      <w:pPr>
        <w:spacing w:line="600" w:lineRule="exact"/>
        <w:ind w:firstLine="640"/>
        <w:outlineLvl w:val="2"/>
        <w:rPr>
          <w:rFonts w:ascii="仿宋" w:hAnsi="仿宋" w:eastAsia="仿宋"/>
          <w:b/>
          <w:color w:val="000000"/>
          <w:sz w:val="32"/>
          <w:szCs w:val="32"/>
        </w:rPr>
      </w:pPr>
      <w:bookmarkStart w:id="63" w:name="_Toc86737211"/>
      <w:bookmarkStart w:id="64" w:name="_Toc15377217"/>
      <w:r>
        <w:rPr>
          <w:rFonts w:hint="eastAsia" w:ascii="仿宋" w:hAnsi="仿宋" w:eastAsia="仿宋"/>
          <w:b/>
          <w:color w:val="000000"/>
          <w:sz w:val="32"/>
          <w:szCs w:val="32"/>
        </w:rPr>
        <w:t>（二）“三公”经费财政拨款支出决算具体情况说明</w:t>
      </w:r>
      <w:bookmarkEnd w:id="63"/>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themeColor="text1"/>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outlineLvl w:val="1"/>
        <w:rPr>
          <w:rStyle w:val="26"/>
          <w:rFonts w:ascii="黑体" w:hAnsi="黑体" w:eastAsia="黑体"/>
        </w:rPr>
      </w:pPr>
      <w:bookmarkStart w:id="65" w:name="_Toc15377218"/>
      <w:bookmarkStart w:id="66" w:name="_Toc15396610"/>
      <w:r>
        <w:rPr>
          <w:rFonts w:hint="eastAsia" w:ascii="黑体" w:eastAsia="黑体"/>
          <w:color w:val="000000"/>
          <w:sz w:val="32"/>
          <w:szCs w:val="32"/>
        </w:rPr>
        <w:t xml:space="preserve">   </w:t>
      </w:r>
      <w:bookmarkStart w:id="67" w:name="_Toc86737212"/>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65"/>
      <w:bookmarkEnd w:id="66"/>
      <w:bookmarkEnd w:id="6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2020年政府性基金预算拨款支出3547.74万元。其中：城乡社区支出75.14万元，抗疫特别国债安排支出3472.60万元。</w:t>
      </w:r>
    </w:p>
    <w:p>
      <w:pPr>
        <w:numPr>
          <w:ilvl w:val="0"/>
          <w:numId w:val="2"/>
        </w:numPr>
        <w:spacing w:line="600" w:lineRule="exact"/>
        <w:ind w:firstLine="640"/>
        <w:outlineLvl w:val="1"/>
        <w:rPr>
          <w:rStyle w:val="26"/>
          <w:rFonts w:ascii="黑体" w:hAnsi="黑体" w:eastAsia="黑体"/>
          <w:b w:val="0"/>
        </w:rPr>
      </w:pPr>
      <w:bookmarkStart w:id="68" w:name="_Toc86737213"/>
      <w:bookmarkStart w:id="69" w:name="_Toc15396611"/>
      <w:bookmarkStart w:id="70" w:name="_Toc15377219"/>
      <w:r>
        <w:rPr>
          <w:rStyle w:val="26"/>
          <w:rFonts w:hint="eastAsia" w:ascii="黑体" w:hAnsi="黑体" w:eastAsia="黑体"/>
          <w:b w:val="0"/>
        </w:rPr>
        <w:t>国有资本经营预算支出决算情况说明</w:t>
      </w:r>
      <w:bookmarkEnd w:id="68"/>
      <w:bookmarkEnd w:id="69"/>
      <w:bookmarkEnd w:id="70"/>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2020年国有资本经营预算拨款支出0万元。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71" w:name="_Toc86737214"/>
      <w:bookmarkStart w:id="72" w:name="_Toc15377221"/>
      <w:bookmarkStart w:id="73"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71"/>
      <w:bookmarkEnd w:id="72"/>
      <w:bookmarkEnd w:id="73"/>
    </w:p>
    <w:p>
      <w:pPr>
        <w:autoSpaceDE w:val="0"/>
        <w:autoSpaceDN w:val="0"/>
        <w:adjustRightInd w:val="0"/>
        <w:spacing w:line="600" w:lineRule="exact"/>
        <w:ind w:firstLine="964" w:firstLineChars="300"/>
        <w:jc w:val="left"/>
        <w:outlineLvl w:val="2"/>
        <w:rPr>
          <w:rFonts w:ascii="仿宋" w:hAnsi="仿宋" w:eastAsia="仿宋"/>
          <w:b/>
          <w:color w:val="000000"/>
          <w:sz w:val="32"/>
          <w:szCs w:val="32"/>
        </w:rPr>
      </w:pPr>
      <w:bookmarkStart w:id="74" w:name="_Toc86737215"/>
      <w:bookmarkStart w:id="75" w:name="_Toc15377223"/>
      <w:r>
        <w:rPr>
          <w:rFonts w:hint="eastAsia" w:ascii="仿宋" w:hAnsi="仿宋" w:eastAsia="仿宋"/>
          <w:b/>
          <w:color w:val="000000"/>
          <w:sz w:val="32"/>
          <w:szCs w:val="32"/>
        </w:rPr>
        <w:t>（一）机关运行经费</w:t>
      </w:r>
      <w:bookmarkEnd w:id="74"/>
    </w:p>
    <w:p>
      <w:pPr>
        <w:autoSpaceDE w:val="0"/>
        <w:autoSpaceDN w:val="0"/>
        <w:adjustRightInd w:val="0"/>
        <w:spacing w:line="600" w:lineRule="exact"/>
        <w:ind w:firstLine="964" w:firstLineChars="300"/>
        <w:jc w:val="left"/>
        <w:outlineLvl w:val="2"/>
        <w:rPr>
          <w:rFonts w:ascii="仿宋" w:hAnsi="仿宋" w:eastAsia="仿宋"/>
          <w:b/>
          <w:color w:val="000000"/>
          <w:sz w:val="32"/>
          <w:szCs w:val="32"/>
        </w:rPr>
      </w:pPr>
      <w:bookmarkStart w:id="76" w:name="_Toc86737216"/>
      <w:r>
        <w:rPr>
          <w:rFonts w:hint="eastAsia" w:ascii="仿宋" w:hAnsi="仿宋" w:eastAsia="仿宋"/>
          <w:b/>
          <w:color w:val="000000"/>
          <w:sz w:val="32"/>
          <w:szCs w:val="32"/>
        </w:rPr>
        <w:t>（二）政府采购支出情况</w:t>
      </w:r>
      <w:bookmarkEnd w:id="75"/>
      <w:bookmarkEnd w:id="76"/>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2020年，医院政府采购支出总额620.67万元，其中：政府采购货物支出562.53万元、政府采购工程支出0万元、政府采购服务支出58.14万元。主要用于医疗设备的购置和维修保养。</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7" w:name="_Toc15377224"/>
      <w:bookmarkStart w:id="78" w:name="_Toc86737217"/>
      <w:r>
        <w:rPr>
          <w:rFonts w:hint="eastAsia" w:ascii="仿宋" w:hAnsi="仿宋" w:eastAsia="仿宋"/>
          <w:b/>
          <w:color w:val="000000"/>
          <w:sz w:val="32"/>
          <w:szCs w:val="32"/>
        </w:rPr>
        <w:t>（三）国有资产占有使用情况</w:t>
      </w:r>
      <w:bookmarkEnd w:id="77"/>
      <w:bookmarkEnd w:id="7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截至2020年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日，医院共有车辆20辆，其中：主要医疗救护用车20辆；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万元以上专用设备19台（套）。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9" w:name="_Toc86737218"/>
      <w:r>
        <w:rPr>
          <w:rFonts w:hint="eastAsia" w:ascii="仿宋" w:hAnsi="仿宋" w:eastAsia="仿宋"/>
          <w:b/>
          <w:color w:val="000000"/>
          <w:sz w:val="32"/>
          <w:szCs w:val="32"/>
        </w:rPr>
        <w:t>（四）预算绩效管理情况。</w:t>
      </w:r>
      <w:bookmarkEnd w:id="79"/>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医院对口支援项目（项目名称）开展了预算事前绩效评估，对对口支援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本部门按要求对2020年部门整体支出开展绩效自评，本部门还自行组织了1个项目支出绩效评价，从评价情况来看，全部完成绩效目标。</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本部门在2020年度部门决算中反映对口支援马边等1个项目绩效目标实际完成情况。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口支援马边项目绩效目标完成情况综述。项目全年预算数14.4万元，执行数为14.4万元，完成预算的100%。通过项目实施，保障了我院对口支援工作人员的工作经费，提升了参加对口支援人员的积极性和医疗服务能力。</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2020医疗服务能力提升（扶贫）</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四川省乐山市峨眉山市人民医院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保障对口支援马边工作人员的工作经费，提升医疗服务能力</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保障对口支援马边工作人员的工作经费，提升医疗服务能力</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本单位按要求对2020年部门整体支出绩效评价情况开展自评，《四川省乐山市峨眉山市人民医院2020年部门整体支出绩效评价报告》见附件（附件1）。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单位自行组织对“2020医院服务能力提升（扶贫）”项目开展了绩效评价，《2020医院服务能力提升（扶贫）项目2020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80" w:name="_Toc15396613"/>
      <w:bookmarkStart w:id="81" w:name="_Toc86737219"/>
      <w:bookmarkStart w:id="82"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80"/>
      <w:bookmarkEnd w:id="81"/>
      <w:bookmarkEnd w:id="82"/>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（解释本部门决算报表中全部功能分类科目至项级，请参照《2020年政府收支分类科目》增减内容。）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83" w:name="_Toc15377226"/>
      <w:r>
        <w:rPr>
          <w:rFonts w:ascii="宋体"/>
          <w:b/>
          <w:color w:val="000000"/>
          <w:sz w:val="44"/>
          <w:szCs w:val="44"/>
        </w:rPr>
        <w:br w:type="page"/>
      </w:r>
      <w:bookmarkStart w:id="84" w:name="_Toc86737220"/>
      <w:bookmarkStart w:id="85"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84"/>
      <w:bookmarkEnd w:id="85"/>
    </w:p>
    <w:p>
      <w:pPr>
        <w:spacing w:line="600" w:lineRule="exact"/>
        <w:jc w:val="left"/>
        <w:outlineLvl w:val="0"/>
        <w:rPr>
          <w:rFonts w:ascii="方正小标宋简体" w:hAnsi="方正小标宋简体" w:eastAsia="方正小标宋简体" w:cs="方正小标宋简体"/>
          <w:sz w:val="32"/>
          <w:szCs w:val="32"/>
        </w:rPr>
      </w:pPr>
      <w:bookmarkStart w:id="86" w:name="_Toc86737221"/>
      <w:r>
        <w:rPr>
          <w:rFonts w:hint="eastAsia" w:ascii="黑体" w:hAnsi="黑体" w:eastAsia="黑体" w:cs="黑体"/>
          <w:sz w:val="32"/>
          <w:szCs w:val="32"/>
        </w:rPr>
        <w:t>附件1</w:t>
      </w:r>
      <w:bookmarkEnd w:id="86"/>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四川省乐山市峨眉山市人民医院</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2020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rPr>
          <w:rFonts w:ascii="仿宋_GB2312" w:hAnsi="宋体" w:eastAsia="仿宋_GB2312"/>
          <w:sz w:val="32"/>
          <w:szCs w:val="32"/>
          <w:shd w:val="clear" w:color="auto" w:fill="FFFFFF"/>
        </w:rPr>
      </w:pPr>
    </w:p>
    <w:p>
      <w:pPr>
        <w:widowControl/>
        <w:adjustRightInd w:val="0"/>
        <w:snapToGrid w:val="0"/>
        <w:spacing w:line="580" w:lineRule="exact"/>
        <w:ind w:firstLine="960" w:firstLineChars="3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 w:hAnsi="仿宋" w:eastAsia="仿宋"/>
          <w:color w:val="000000"/>
          <w:sz w:val="32"/>
          <w:szCs w:val="32"/>
        </w:rPr>
        <w:t>医院目前有科室43个，其中：行政后勤科室  17 个，临床科室  19 个 ，医技科室  6 个，体检中心1个。</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 xml:space="preserve">       医疗卫生服务</w:t>
      </w:r>
    </w:p>
    <w:p>
      <w:pPr>
        <w:ind w:firstLine="800" w:firstLineChars="25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ind w:firstLine="800" w:firstLineChars="250"/>
        <w:rPr>
          <w:rFonts w:ascii="仿宋_GB2312" w:hAnsi="仿宋" w:eastAsia="仿宋_GB2312"/>
          <w:sz w:val="32"/>
          <w:szCs w:val="32"/>
        </w:rPr>
      </w:pPr>
      <w:r>
        <w:rPr>
          <w:rFonts w:hint="eastAsia" w:ascii="仿宋_GB2312" w:hAnsi="仿宋" w:eastAsia="仿宋_GB2312"/>
          <w:sz w:val="32"/>
          <w:szCs w:val="32"/>
        </w:rPr>
        <w:t>在编在岗职工422人，离退休人员244人，编外聘用人员212人。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（一）医院财政资金收入情况。</w:t>
      </w:r>
      <w:r>
        <w:rPr>
          <w:rFonts w:hint="eastAsia" w:ascii="仿宋_GB2312" w:hAnsi="宋体" w:eastAsia="仿宋_GB2312" w:cs="宋体"/>
          <w:color w:val="000000"/>
          <w:kern w:val="0"/>
          <w:sz w:val="32"/>
          <w:szCs w:val="32"/>
          <w:shd w:val="clear" w:color="auto" w:fill="FFFFFF"/>
        </w:rPr>
        <w:t>2020年财政资金收入5452.67万元。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（二）医院财政资金支出情况。</w:t>
      </w:r>
      <w:r>
        <w:rPr>
          <w:rFonts w:hint="eastAsia" w:ascii="仿宋_GB2312" w:hAnsi="宋体" w:eastAsia="仿宋_GB2312" w:cs="宋体"/>
          <w:color w:val="000000"/>
          <w:kern w:val="0"/>
          <w:sz w:val="32"/>
          <w:szCs w:val="32"/>
          <w:shd w:val="clear" w:color="auto" w:fill="FFFFFF"/>
        </w:rPr>
        <w:t>2020年财政资金支出5425.67万元。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2020年度为了保障对口支援马边工作人员的工作经费，提升医疗服务能力，我们将“</w:t>
      </w:r>
      <w:r>
        <w:rPr>
          <w:rFonts w:hint="eastAsia" w:ascii="宋体" w:hAnsi="宋体" w:cs="宋体"/>
          <w:color w:val="000000"/>
          <w:sz w:val="24"/>
        </w:rPr>
        <w:t>2020医疗服务能力提升（扶贫）”</w:t>
      </w:r>
      <w:r>
        <w:rPr>
          <w:rFonts w:hint="eastAsia" w:ascii="宋体" w:hAnsi="宋体" w:cs="宋体"/>
          <w:color w:val="000000"/>
          <w:sz w:val="32"/>
          <w:szCs w:val="32"/>
        </w:rPr>
        <w:t>项目作为绩效考核项目，该项目年初预算资金14.4万元，完成14.4万元，完成目标100%。经费的执行按照对口支援人员的人头进行资金分配，全部通过财政大平台直接支付的方式支付给每一个参加对口支援工作人员的工资卡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评价结论：通过项目的实施，保障了参加对口支援工作人员的工作经费，提升了医疗服务能力。</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四川省乐山市峨眉山市人民医院</w:t>
      </w:r>
    </w:p>
    <w:p>
      <w:pPr>
        <w:spacing w:line="600" w:lineRule="exact"/>
        <w:jc w:val="center"/>
        <w:rPr>
          <w:rFonts w:ascii="方正小标宋简体" w:hAnsi="宋体" w:eastAsia="方正小标宋简体"/>
          <w:color w:val="000000"/>
          <w:kern w:val="0"/>
          <w:sz w:val="44"/>
          <w:szCs w:val="44"/>
          <w:lang w:val="zh-CN"/>
        </w:rPr>
      </w:pPr>
      <w:r>
        <w:rPr>
          <w:rFonts w:hint="eastAsia" w:ascii="仿宋_GB2312" w:hAnsi="仿宋_GB2312" w:eastAsia="仿宋_GB2312" w:cs="仿宋_GB2312"/>
          <w:sz w:val="32"/>
          <w:szCs w:val="32"/>
        </w:rPr>
        <w:t xml:space="preserve"> “2020医院服务能力提升（扶贫）”</w:t>
      </w:r>
      <w:r>
        <w:rPr>
          <w:rFonts w:hint="eastAsia" w:ascii="方正小标宋简体" w:hAnsi="宋体" w:eastAsia="方正小标宋简体"/>
          <w:color w:val="000000"/>
          <w:kern w:val="0"/>
          <w:sz w:val="44"/>
          <w:szCs w:val="44"/>
          <w:lang w:val="zh-CN"/>
        </w:rPr>
        <w:t>项目2020绩效评价报告</w:t>
      </w:r>
    </w:p>
    <w:p>
      <w:pPr>
        <w:spacing w:line="600" w:lineRule="exact"/>
        <w:rPr>
          <w:rFonts w:ascii="宋体" w:hAnsi="宋体"/>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宋体" w:hAnsi="宋体" w:cs="宋体"/>
          <w:color w:val="000000"/>
          <w:sz w:val="32"/>
          <w:szCs w:val="32"/>
        </w:rPr>
      </w:pPr>
      <w:r>
        <w:rPr>
          <w:rFonts w:hint="eastAsia" w:ascii="仿宋_GB2312" w:hAnsi="宋体" w:eastAsia="仿宋_GB2312" w:cs="宋体"/>
          <w:color w:val="000000"/>
          <w:kern w:val="0"/>
          <w:sz w:val="32"/>
          <w:szCs w:val="32"/>
          <w:shd w:val="clear" w:color="auto" w:fill="FFFFFF"/>
        </w:rPr>
        <w:t>2020年度为了保障对口支援马边工作人员的工作经费，提升医疗服务能力，我们将“</w:t>
      </w:r>
      <w:r>
        <w:rPr>
          <w:rFonts w:hint="eastAsia" w:ascii="宋体" w:hAnsi="宋体" w:cs="宋体"/>
          <w:color w:val="000000"/>
          <w:sz w:val="24"/>
        </w:rPr>
        <w:t>2020医疗服务能力提升（扶贫）”</w:t>
      </w:r>
      <w:r>
        <w:rPr>
          <w:rFonts w:hint="eastAsia" w:ascii="宋体" w:hAnsi="宋体" w:cs="宋体"/>
          <w:color w:val="000000"/>
          <w:sz w:val="32"/>
          <w:szCs w:val="32"/>
        </w:rPr>
        <w:t>项目作为绩效考核项目，该项目年初预算资金14.4万元，完成14.4万元，完成目标100%。经费的执行按照对口支援人员的人头进行资金分配，全部通过财政大平台直接支付的方式支付给每一个参加对口支援工作人员的工资卡上。</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宋体"/>
          <w:color w:val="000000"/>
          <w:kern w:val="0"/>
          <w:sz w:val="32"/>
          <w:szCs w:val="32"/>
          <w:shd w:val="clear" w:color="auto" w:fill="FFFFFF"/>
          <w:lang w:val="zh-CN"/>
        </w:rPr>
        <w:t>评价结论：通过项目的实施，保障了参加对口支援工作人员的工作经费，提升了医疗服务能力。</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ind w:firstLine="2640" w:firstLineChars="600"/>
        <w:jc w:val="left"/>
        <w:rPr>
          <w:rStyle w:val="25"/>
          <w:rFonts w:ascii="黑体" w:hAnsi="黑体" w:eastAsia="黑体"/>
          <w:b w:val="0"/>
        </w:rPr>
      </w:pPr>
      <w:bookmarkStart w:id="8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83"/>
      <w:bookmarkEnd w:id="8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88" w:name="_Toc86737222"/>
      <w:bookmarkStart w:id="8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88"/>
      <w:bookmarkEnd w:id="89"/>
    </w:p>
    <w:p>
      <w:pPr>
        <w:pStyle w:val="3"/>
        <w:rPr>
          <w:rFonts w:ascii="仿宋" w:hAnsi="仿宋" w:eastAsia="仿宋"/>
          <w:color w:val="000000"/>
        </w:rPr>
      </w:pPr>
      <w:bookmarkStart w:id="90" w:name="_Toc86737223"/>
      <w:bookmarkStart w:id="9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90"/>
      <w:bookmarkEnd w:id="91"/>
    </w:p>
    <w:p>
      <w:pPr>
        <w:pStyle w:val="3"/>
        <w:rPr>
          <w:rFonts w:ascii="仿宋" w:hAnsi="仿宋" w:eastAsia="仿宋"/>
          <w:color w:val="000000"/>
        </w:rPr>
      </w:pPr>
      <w:bookmarkStart w:id="92" w:name="_Toc86737224"/>
      <w:bookmarkStart w:id="93"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92"/>
      <w:bookmarkEnd w:id="93"/>
    </w:p>
    <w:p>
      <w:pPr>
        <w:pStyle w:val="3"/>
        <w:rPr>
          <w:rFonts w:ascii="仿宋" w:hAnsi="仿宋" w:eastAsia="仿宋"/>
          <w:b w:val="0"/>
          <w:color w:val="000000"/>
        </w:rPr>
      </w:pPr>
      <w:bookmarkStart w:id="94" w:name="_Toc15396622"/>
      <w:bookmarkStart w:id="95" w:name="_Toc86737225"/>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94"/>
      <w:bookmarkEnd w:id="95"/>
    </w:p>
    <w:p>
      <w:pPr>
        <w:pStyle w:val="3"/>
        <w:rPr>
          <w:rStyle w:val="26"/>
          <w:rFonts w:ascii="仿宋" w:hAnsi="仿宋" w:eastAsia="仿宋"/>
          <w:b w:val="0"/>
          <w:bCs w:val="0"/>
        </w:rPr>
      </w:pPr>
      <w:bookmarkStart w:id="96" w:name="_Toc15396623"/>
      <w:bookmarkStart w:id="97" w:name="_Toc86737226"/>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96"/>
      <w:bookmarkEnd w:id="97"/>
      <w:bookmarkStart w:id="98" w:name="_Toc15396624"/>
    </w:p>
    <w:p>
      <w:pPr>
        <w:pStyle w:val="3"/>
        <w:rPr>
          <w:rFonts w:ascii="仿宋" w:hAnsi="仿宋" w:eastAsia="仿宋"/>
          <w:color w:val="000000"/>
        </w:rPr>
      </w:pPr>
      <w:bookmarkStart w:id="99" w:name="_Toc86737227"/>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98"/>
      <w:bookmarkEnd w:id="99"/>
    </w:p>
    <w:p>
      <w:pPr>
        <w:pStyle w:val="3"/>
        <w:rPr>
          <w:rFonts w:ascii="仿宋" w:hAnsi="仿宋" w:eastAsia="仿宋"/>
          <w:color w:val="000000"/>
        </w:rPr>
      </w:pPr>
      <w:bookmarkStart w:id="100" w:name="_Toc15396625"/>
      <w:bookmarkStart w:id="101" w:name="_Toc86737228"/>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00"/>
      <w:bookmarkEnd w:id="101"/>
    </w:p>
    <w:p>
      <w:pPr>
        <w:pStyle w:val="3"/>
        <w:rPr>
          <w:rFonts w:ascii="仿宋" w:hAnsi="仿宋" w:eastAsia="仿宋"/>
          <w:color w:val="000000"/>
        </w:rPr>
      </w:pPr>
      <w:bookmarkStart w:id="102" w:name="_Toc15396626"/>
      <w:bookmarkStart w:id="103" w:name="_Toc86737229"/>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02"/>
      <w:bookmarkEnd w:id="103"/>
    </w:p>
    <w:p>
      <w:pPr>
        <w:pStyle w:val="3"/>
        <w:rPr>
          <w:rFonts w:ascii="仿宋" w:hAnsi="仿宋" w:eastAsia="仿宋"/>
          <w:color w:val="000000"/>
        </w:rPr>
      </w:pPr>
      <w:bookmarkStart w:id="104" w:name="_Toc86737230"/>
      <w:bookmarkStart w:id="105"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04"/>
      <w:bookmarkEnd w:id="105"/>
    </w:p>
    <w:p>
      <w:pPr>
        <w:pStyle w:val="3"/>
        <w:rPr>
          <w:rFonts w:ascii="仿宋" w:hAnsi="仿宋" w:eastAsia="仿宋"/>
          <w:color w:val="000000"/>
        </w:rPr>
      </w:pPr>
      <w:bookmarkStart w:id="106" w:name="_Toc15396628"/>
      <w:bookmarkStart w:id="107" w:name="_Toc86737231"/>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06"/>
      <w:bookmarkEnd w:id="107"/>
    </w:p>
    <w:p>
      <w:pPr>
        <w:pStyle w:val="3"/>
        <w:rPr>
          <w:rFonts w:ascii="仿宋" w:hAnsi="仿宋" w:eastAsia="仿宋"/>
          <w:color w:val="000000"/>
        </w:rPr>
      </w:pPr>
      <w:bookmarkStart w:id="108" w:name="_Toc86737232"/>
      <w:bookmarkStart w:id="10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08"/>
      <w:bookmarkEnd w:id="109"/>
    </w:p>
    <w:p>
      <w:pPr>
        <w:pStyle w:val="3"/>
        <w:rPr>
          <w:rFonts w:ascii="仿宋" w:hAnsi="仿宋" w:eastAsia="仿宋"/>
          <w:color w:val="000000"/>
        </w:rPr>
      </w:pPr>
      <w:bookmarkStart w:id="110" w:name="_Toc15396630"/>
      <w:bookmarkStart w:id="111" w:name="_Toc86737233"/>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10"/>
      <w:bookmarkEnd w:id="111"/>
    </w:p>
    <w:p>
      <w:pPr>
        <w:pStyle w:val="3"/>
        <w:rPr>
          <w:rFonts w:ascii="仿宋" w:hAnsi="仿宋" w:eastAsia="仿宋"/>
          <w:color w:val="000000" w:themeColor="text1"/>
        </w:rPr>
      </w:pPr>
      <w:bookmarkStart w:id="112" w:name="_Toc86737234"/>
      <w:bookmarkStart w:id="113"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112"/>
      <w:bookmarkEnd w:id="11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lang w:val="en-US"/>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F9A1383"/>
    <w:multiLevelType w:val="singleLevel"/>
    <w:tmpl w:val="5F9A1383"/>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51FB3"/>
    <w:rsid w:val="0006487A"/>
    <w:rsid w:val="00065F8F"/>
    <w:rsid w:val="00070A43"/>
    <w:rsid w:val="000768F2"/>
    <w:rsid w:val="000852A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1280"/>
    <w:rsid w:val="00114E9B"/>
    <w:rsid w:val="00142216"/>
    <w:rsid w:val="00144D6A"/>
    <w:rsid w:val="0014729F"/>
    <w:rsid w:val="00157BAB"/>
    <w:rsid w:val="001654D1"/>
    <w:rsid w:val="00174518"/>
    <w:rsid w:val="0018106D"/>
    <w:rsid w:val="00186EDB"/>
    <w:rsid w:val="001877A7"/>
    <w:rsid w:val="00191536"/>
    <w:rsid w:val="00193D51"/>
    <w:rsid w:val="00196687"/>
    <w:rsid w:val="001C0962"/>
    <w:rsid w:val="001D7531"/>
    <w:rsid w:val="001E737D"/>
    <w:rsid w:val="001F0592"/>
    <w:rsid w:val="001F7506"/>
    <w:rsid w:val="002006CD"/>
    <w:rsid w:val="00202B36"/>
    <w:rsid w:val="00204B7A"/>
    <w:rsid w:val="00204CDE"/>
    <w:rsid w:val="0021101A"/>
    <w:rsid w:val="00220536"/>
    <w:rsid w:val="002207B2"/>
    <w:rsid w:val="00224899"/>
    <w:rsid w:val="00235629"/>
    <w:rsid w:val="00260C38"/>
    <w:rsid w:val="002616C0"/>
    <w:rsid w:val="00265372"/>
    <w:rsid w:val="002656A2"/>
    <w:rsid w:val="002662AA"/>
    <w:rsid w:val="00280496"/>
    <w:rsid w:val="00294DC9"/>
    <w:rsid w:val="00295495"/>
    <w:rsid w:val="002A05A7"/>
    <w:rsid w:val="002A31DE"/>
    <w:rsid w:val="002B2613"/>
    <w:rsid w:val="002C1DBE"/>
    <w:rsid w:val="002D19B0"/>
    <w:rsid w:val="002D6D05"/>
    <w:rsid w:val="002E146B"/>
    <w:rsid w:val="002F1818"/>
    <w:rsid w:val="002F567B"/>
    <w:rsid w:val="00313798"/>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29F8"/>
    <w:rsid w:val="00443880"/>
    <w:rsid w:val="004464F4"/>
    <w:rsid w:val="00471401"/>
    <w:rsid w:val="00473F31"/>
    <w:rsid w:val="0048263A"/>
    <w:rsid w:val="00487E5D"/>
    <w:rsid w:val="00497016"/>
    <w:rsid w:val="004A29C9"/>
    <w:rsid w:val="004A711F"/>
    <w:rsid w:val="004B199D"/>
    <w:rsid w:val="004B2F19"/>
    <w:rsid w:val="004B4690"/>
    <w:rsid w:val="004E0A2D"/>
    <w:rsid w:val="004E206B"/>
    <w:rsid w:val="004E6DF7"/>
    <w:rsid w:val="004F0FBD"/>
    <w:rsid w:val="004F403E"/>
    <w:rsid w:val="00505A47"/>
    <w:rsid w:val="00512FDA"/>
    <w:rsid w:val="00520DA0"/>
    <w:rsid w:val="0054240F"/>
    <w:rsid w:val="005664BB"/>
    <w:rsid w:val="00566FFA"/>
    <w:rsid w:val="0057481D"/>
    <w:rsid w:val="00575F0B"/>
    <w:rsid w:val="0058486E"/>
    <w:rsid w:val="00585B33"/>
    <w:rsid w:val="0059014D"/>
    <w:rsid w:val="005B5C64"/>
    <w:rsid w:val="005B6E8D"/>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FA9"/>
    <w:rsid w:val="0066343B"/>
    <w:rsid w:val="00664777"/>
    <w:rsid w:val="0067329A"/>
    <w:rsid w:val="006748A4"/>
    <w:rsid w:val="00681A31"/>
    <w:rsid w:val="00683E73"/>
    <w:rsid w:val="006A3141"/>
    <w:rsid w:val="006A5E34"/>
    <w:rsid w:val="006B2422"/>
    <w:rsid w:val="006B2B9A"/>
    <w:rsid w:val="006C1937"/>
    <w:rsid w:val="006F020C"/>
    <w:rsid w:val="007127B7"/>
    <w:rsid w:val="0071798E"/>
    <w:rsid w:val="00727533"/>
    <w:rsid w:val="007313DE"/>
    <w:rsid w:val="00740BCB"/>
    <w:rsid w:val="007416B6"/>
    <w:rsid w:val="007428A7"/>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0F61"/>
    <w:rsid w:val="00885AF4"/>
    <w:rsid w:val="008939CD"/>
    <w:rsid w:val="008A104B"/>
    <w:rsid w:val="008B768C"/>
    <w:rsid w:val="008B7DF1"/>
    <w:rsid w:val="008C4DB1"/>
    <w:rsid w:val="008C4EAF"/>
    <w:rsid w:val="008C5176"/>
    <w:rsid w:val="008C7FD0"/>
    <w:rsid w:val="008E1DE7"/>
    <w:rsid w:val="008E707C"/>
    <w:rsid w:val="00900B08"/>
    <w:rsid w:val="00902155"/>
    <w:rsid w:val="00902FA3"/>
    <w:rsid w:val="00907250"/>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2978"/>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94A65"/>
    <w:rsid w:val="00AB64C9"/>
    <w:rsid w:val="00AC3C6A"/>
    <w:rsid w:val="00AD0F83"/>
    <w:rsid w:val="00AD5620"/>
    <w:rsid w:val="00AD656B"/>
    <w:rsid w:val="00AD7C1B"/>
    <w:rsid w:val="00AE16BA"/>
    <w:rsid w:val="00AE1EBE"/>
    <w:rsid w:val="00B03C9D"/>
    <w:rsid w:val="00B060AE"/>
    <w:rsid w:val="00B10517"/>
    <w:rsid w:val="00B127F6"/>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2702"/>
    <w:rsid w:val="00BB4DF0"/>
    <w:rsid w:val="00BC1EEA"/>
    <w:rsid w:val="00BC289F"/>
    <w:rsid w:val="00BC2D50"/>
    <w:rsid w:val="00BC5361"/>
    <w:rsid w:val="00BC5460"/>
    <w:rsid w:val="00BC6B50"/>
    <w:rsid w:val="00BC6F1D"/>
    <w:rsid w:val="00BD0E25"/>
    <w:rsid w:val="00BF5BD6"/>
    <w:rsid w:val="00C03E31"/>
    <w:rsid w:val="00C14F93"/>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3116"/>
    <w:rsid w:val="00D94C04"/>
    <w:rsid w:val="00D9777C"/>
    <w:rsid w:val="00DA634F"/>
    <w:rsid w:val="00DA65AC"/>
    <w:rsid w:val="00DB1913"/>
    <w:rsid w:val="00DC410D"/>
    <w:rsid w:val="00DC5A81"/>
    <w:rsid w:val="00DC68CA"/>
    <w:rsid w:val="00DC7CBA"/>
    <w:rsid w:val="00DD52D0"/>
    <w:rsid w:val="00DD73B7"/>
    <w:rsid w:val="00DE5D7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A6C40"/>
    <w:rsid w:val="00ED1B63"/>
    <w:rsid w:val="00ED3C1F"/>
    <w:rsid w:val="00ED4085"/>
    <w:rsid w:val="00ED420E"/>
    <w:rsid w:val="00ED6FBE"/>
    <w:rsid w:val="00EE2F57"/>
    <w:rsid w:val="00EE314D"/>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6D93"/>
    <w:rsid w:val="00FD3CC1"/>
    <w:rsid w:val="00FE6D70"/>
    <w:rsid w:val="00FF1840"/>
    <w:rsid w:val="00FF1E02"/>
    <w:rsid w:val="00FF30B4"/>
    <w:rsid w:val="0E4E2F57"/>
    <w:rsid w:val="10C055FF"/>
    <w:rsid w:val="16BB723D"/>
    <w:rsid w:val="22123A34"/>
    <w:rsid w:val="240371BF"/>
    <w:rsid w:val="29A10A76"/>
    <w:rsid w:val="29FD04D3"/>
    <w:rsid w:val="2D0536BB"/>
    <w:rsid w:val="319F7F4E"/>
    <w:rsid w:val="360B2A9A"/>
    <w:rsid w:val="39EE0AD9"/>
    <w:rsid w:val="4985508A"/>
    <w:rsid w:val="4ECE2238"/>
    <w:rsid w:val="61243EFA"/>
    <w:rsid w:val="6DFC2ADF"/>
    <w:rsid w:val="72734D90"/>
    <w:rsid w:val="7D742C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esktop\2019&#24180;&#37096;&#38376;&#20915;&#31639;&#34920;&#20998;&#26512;%20&#24037;&#20316;&#24213;&#3129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strRef>
              <c:f>Sheet1!$B$4:$B$6</c:f>
              <c:strCache>
                <c:ptCount val="3"/>
                <c:pt idx="0">
                  <c:v>医院总收入</c:v>
                </c:pt>
                <c:pt idx="1">
                  <c:v>医院总支出</c:v>
                </c:pt>
                <c:pt idx="2">
                  <c:v>收支结余</c:v>
                </c:pt>
              </c:strCache>
            </c:strRef>
          </c:cat>
          <c:val>
            <c:numRef>
              <c:f>Sheet1!$C$4:$C$6</c:f>
              <c:numCache>
                <c:formatCode>General</c:formatCode>
                <c:ptCount val="3"/>
                <c:pt idx="0">
                  <c:v>26955</c:v>
                </c:pt>
                <c:pt idx="1">
                  <c:v>32083</c:v>
                </c:pt>
                <c:pt idx="2">
                  <c:v>-5128</c:v>
                </c:pt>
              </c:numCache>
            </c:numRef>
          </c:val>
        </c:ser>
        <c:ser>
          <c:idx val="1"/>
          <c:order val="1"/>
          <c:invertIfNegative val="0"/>
          <c:dLbls>
            <c:delete val="1"/>
          </c:dLbls>
          <c:cat>
            <c:strRef>
              <c:f>Sheet1!$B$4:$B$6</c:f>
              <c:strCache>
                <c:ptCount val="3"/>
                <c:pt idx="0">
                  <c:v>医院总收入</c:v>
                </c:pt>
                <c:pt idx="1">
                  <c:v>医院总支出</c:v>
                </c:pt>
                <c:pt idx="2">
                  <c:v>收支结余</c:v>
                </c:pt>
              </c:strCache>
            </c:strRef>
          </c:cat>
          <c:val>
            <c:numRef>
              <c:f>Sheet1!$D$4:$D$6</c:f>
              <c:numCache>
                <c:formatCode>General</c:formatCode>
                <c:ptCount val="3"/>
                <c:pt idx="0">
                  <c:v>30359</c:v>
                </c:pt>
                <c:pt idx="1">
                  <c:v>25200</c:v>
                </c:pt>
                <c:pt idx="2">
                  <c:v>5159</c:v>
                </c:pt>
              </c:numCache>
            </c:numRef>
          </c:val>
        </c:ser>
        <c:dLbls>
          <c:showLegendKey val="0"/>
          <c:showVal val="0"/>
          <c:showCatName val="0"/>
          <c:showSerName val="0"/>
          <c:showPercent val="0"/>
          <c:showBubbleSize val="0"/>
        </c:dLbls>
        <c:gapWidth val="150"/>
        <c:axId val="64631552"/>
        <c:axId val="64633088"/>
      </c:barChart>
      <c:catAx>
        <c:axId val="64631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633088"/>
        <c:crosses val="autoZero"/>
        <c:auto val="1"/>
        <c:lblAlgn val="ctr"/>
        <c:lblOffset val="100"/>
        <c:noMultiLvlLbl val="0"/>
      </c:catAx>
      <c:valAx>
        <c:axId val="64633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63155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医院收入结构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elete val="1"/>
          </c:dLbls>
          <c:cat>
            <c:strRef>
              <c:f>'[2019年部门决算表分析 工作底稿.xls]Sheet1'!$A$32:$A$34</c:f>
              <c:strCache>
                <c:ptCount val="3"/>
                <c:pt idx="0">
                  <c:v>财政拨款收入</c:v>
                </c:pt>
                <c:pt idx="1">
                  <c:v>事业收入</c:v>
                </c:pt>
                <c:pt idx="2">
                  <c:v>其他收入</c:v>
                </c:pt>
              </c:strCache>
            </c:strRef>
          </c:cat>
          <c:val>
            <c:numRef>
              <c:f>'[2019年部门决算表分析 工作底稿.xls]Sheet1'!$B$32:$B$34</c:f>
              <c:numCache>
                <c:formatCode>General</c:formatCode>
                <c:ptCount val="3"/>
                <c:pt idx="0">
                  <c:v>1788</c:v>
                </c:pt>
                <c:pt idx="1">
                  <c:v>25075</c:v>
                </c:pt>
                <c:pt idx="2">
                  <c:v>92</c:v>
                </c:pt>
              </c:numCache>
            </c:numRef>
          </c:val>
        </c:ser>
        <c:ser>
          <c:idx val="1"/>
          <c:order val="1"/>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delete val="1"/>
          </c:dLbls>
          <c:cat>
            <c:strRef>
              <c:f>'[2019年部门决算表分析 工作底稿.xls]Sheet1'!$A$32:$A$34</c:f>
              <c:strCache>
                <c:ptCount val="3"/>
                <c:pt idx="0">
                  <c:v>财政拨款收入</c:v>
                </c:pt>
                <c:pt idx="1">
                  <c:v>事业收入</c:v>
                </c:pt>
                <c:pt idx="2">
                  <c:v>其他收入</c:v>
                </c:pt>
              </c:strCache>
            </c:strRef>
          </c:cat>
          <c:val>
            <c:numRef>
              <c:f>'[2019年部门决算表分析 工作底稿.xls]Sheet1'!$C$32:$C$34</c:f>
              <c:numCache>
                <c:formatCode>0.00%</c:formatCode>
                <c:ptCount val="3"/>
                <c:pt idx="0">
                  <c:v>0.0663</c:v>
                </c:pt>
                <c:pt idx="1">
                  <c:v>0.9303</c:v>
                </c:pt>
                <c:pt idx="2">
                  <c:v>0.0004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医院支出构成</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elete val="1"/>
          </c:dLbls>
          <c:cat>
            <c:strRef>
              <c:f>'[2019年部门决算表分析 工作底稿.xls]Sheet1'!$A$56:$A$60</c:f>
              <c:strCache>
                <c:ptCount val="5"/>
                <c:pt idx="0">
                  <c:v>工资福利支出</c:v>
                </c:pt>
                <c:pt idx="1">
                  <c:v>商品和服务支出</c:v>
                </c:pt>
                <c:pt idx="2">
                  <c:v>对个人和家庭补助支出</c:v>
                </c:pt>
                <c:pt idx="3">
                  <c:v>债务利息及费用支出</c:v>
                </c:pt>
                <c:pt idx="4">
                  <c:v>资本性支出</c:v>
                </c:pt>
              </c:strCache>
            </c:strRef>
          </c:cat>
          <c:val>
            <c:numRef>
              <c:f>'[2019年部门决算表分析 工作底稿.xls]Sheet1'!$B$56:$B$60</c:f>
              <c:numCache>
                <c:formatCode>General</c:formatCode>
                <c:ptCount val="5"/>
                <c:pt idx="0">
                  <c:v>10551</c:v>
                </c:pt>
                <c:pt idx="1">
                  <c:v>16113</c:v>
                </c:pt>
                <c:pt idx="2">
                  <c:v>170</c:v>
                </c:pt>
                <c:pt idx="3">
                  <c:v>80</c:v>
                </c:pt>
                <c:pt idx="4">
                  <c:v>5169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医院基本支出和项目支出构成</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delete val="1"/>
          </c:dLbls>
          <c:cat>
            <c:strRef>
              <c:f>'[2019年部门决算表分析 工作底稿.xls]Sheet1'!$A$79:$A$80</c:f>
              <c:strCache>
                <c:ptCount val="2"/>
                <c:pt idx="0">
                  <c:v>基本支出</c:v>
                </c:pt>
                <c:pt idx="1">
                  <c:v>项目支出</c:v>
                </c:pt>
              </c:strCache>
            </c:strRef>
          </c:cat>
          <c:val>
            <c:numRef>
              <c:f>'[2019年部门决算表分析 工作底稿.xls]Sheet1'!$B$79:$B$80</c:f>
              <c:numCache>
                <c:formatCode>General</c:formatCode>
                <c:ptCount val="2"/>
                <c:pt idx="0">
                  <c:v>26543</c:v>
                </c:pt>
                <c:pt idx="1">
                  <c:v>5540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zero"/>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财政拨款收入构成比</a:t>
            </a:r>
            <a:endParaRPr lang="zh-CN" altLang="en-US"/>
          </a:p>
        </c:rich>
      </c:tx>
      <c:layout/>
      <c:overlay val="0"/>
    </c:title>
    <c:autoTitleDeleted val="0"/>
    <c:plotArea>
      <c:layout/>
      <c:pieChart>
        <c:varyColors val="1"/>
        <c:ser>
          <c:idx val="0"/>
          <c:order val="0"/>
          <c:tx>
            <c:strRef>
              <c:f>Sheet1!$C$4:$C$5</c:f>
              <c:strCache>
                <c:ptCount val="1"/>
                <c:pt idx="0">
                  <c:v>财政拨款收入支出构成比</c:v>
                </c:pt>
              </c:strCache>
            </c:strRef>
          </c:tx>
          <c:explosion val="0"/>
          <c:dPt>
            <c:idx val="0"/>
            <c:bubble3D val="0"/>
          </c:dPt>
          <c:dPt>
            <c:idx val="1"/>
            <c:bubble3D val="0"/>
          </c:dPt>
          <c:dPt>
            <c:idx val="2"/>
            <c:bubble3D val="0"/>
          </c:dPt>
          <c:dPt>
            <c:idx val="3"/>
            <c:bubble3D val="0"/>
          </c:dPt>
          <c:dPt>
            <c:idx val="4"/>
            <c:bubble3D val="0"/>
          </c:dPt>
          <c:dLbls>
            <c:delete val="1"/>
          </c:dLbls>
          <c:cat>
            <c:strRef>
              <c:f>Sheet1!$B$6:$B$10</c:f>
              <c:strCache>
                <c:ptCount val="5"/>
                <c:pt idx="0">
                  <c:v>社会保障和就业支出</c:v>
                </c:pt>
                <c:pt idx="1">
                  <c:v>卫生健康支出</c:v>
                </c:pt>
                <c:pt idx="2">
                  <c:v>城乡社区支出</c:v>
                </c:pt>
                <c:pt idx="3">
                  <c:v>住房保障支出 </c:v>
                </c:pt>
                <c:pt idx="4">
                  <c:v>抗疫特别国债安排支出</c:v>
                </c:pt>
              </c:strCache>
            </c:strRef>
          </c:cat>
          <c:val>
            <c:numRef>
              <c:f>Sheet1!$C$6:$C$10</c:f>
              <c:numCache>
                <c:formatCode>General</c:formatCode>
                <c:ptCount val="5"/>
                <c:pt idx="0">
                  <c:v>20.29</c:v>
                </c:pt>
                <c:pt idx="1">
                  <c:v>1777.31</c:v>
                </c:pt>
                <c:pt idx="2">
                  <c:v>42.14</c:v>
                </c:pt>
                <c:pt idx="3">
                  <c:v>140.33</c:v>
                </c:pt>
                <c:pt idx="4">
                  <c:v>3472.6</c:v>
                </c:pt>
              </c:numCache>
            </c:numRef>
          </c:val>
        </c:ser>
        <c:ser>
          <c:idx val="1"/>
          <c:order val="1"/>
          <c:tx>
            <c:strRef>
              <c:f>Sheet1!$D$4:$D$5</c:f>
              <c:strCache>
                <c:ptCount val="1"/>
                <c:pt idx="0">
                  <c:v>100%</c:v>
                </c:pt>
              </c:strCache>
            </c:strRef>
          </c:tx>
          <c:explosion val="0"/>
          <c:dPt>
            <c:idx val="0"/>
            <c:bubble3D val="0"/>
          </c:dPt>
          <c:dPt>
            <c:idx val="1"/>
            <c:bubble3D val="0"/>
          </c:dPt>
          <c:dPt>
            <c:idx val="2"/>
            <c:bubble3D val="0"/>
          </c:dPt>
          <c:dPt>
            <c:idx val="3"/>
            <c:bubble3D val="0"/>
          </c:dPt>
          <c:dPt>
            <c:idx val="4"/>
            <c:bubble3D val="0"/>
          </c:dPt>
          <c:dLbls>
            <c:delete val="1"/>
          </c:dLbls>
          <c:cat>
            <c:strRef>
              <c:f>Sheet1!$B$6:$B$10</c:f>
              <c:strCache>
                <c:ptCount val="5"/>
                <c:pt idx="0">
                  <c:v>社会保障和就业支出</c:v>
                </c:pt>
                <c:pt idx="1">
                  <c:v>卫生健康支出</c:v>
                </c:pt>
                <c:pt idx="2">
                  <c:v>城乡社区支出</c:v>
                </c:pt>
                <c:pt idx="3">
                  <c:v>住房保障支出 </c:v>
                </c:pt>
                <c:pt idx="4">
                  <c:v>抗疫特别国债安排支出</c:v>
                </c:pt>
              </c:strCache>
            </c:strRef>
          </c:cat>
          <c:val>
            <c:numRef>
              <c:f>Sheet1!$D$6:$D$10</c:f>
              <c:numCache>
                <c:formatCode>0.00%</c:formatCode>
                <c:ptCount val="5"/>
                <c:pt idx="0">
                  <c:v>0.00370000000000001</c:v>
                </c:pt>
                <c:pt idx="1">
                  <c:v>0.326000000000001</c:v>
                </c:pt>
                <c:pt idx="2">
                  <c:v>0.00770000000000001</c:v>
                </c:pt>
                <c:pt idx="3">
                  <c:v>0.0257</c:v>
                </c:pt>
                <c:pt idx="4" c:formatCode="General">
                  <c:v>63.69</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Lbls>
            <c:delete val="1"/>
          </c:dLbls>
          <c:cat>
            <c:strRef>
              <c:f>Sheet1!$B$29:$B$34</c:f>
              <c:strCache>
                <c:ptCount val="6"/>
                <c:pt idx="0">
                  <c:v>财政支出构成比</c:v>
                </c:pt>
                <c:pt idx="1">
                  <c:v>社会保障和就业支出</c:v>
                </c:pt>
                <c:pt idx="2">
                  <c:v>卫生健康支出</c:v>
                </c:pt>
                <c:pt idx="3">
                  <c:v>城乡和社区</c:v>
                </c:pt>
                <c:pt idx="4">
                  <c:v>住房保障支出</c:v>
                </c:pt>
                <c:pt idx="5">
                  <c:v>抗疫特别国债安排支出</c:v>
                </c:pt>
              </c:strCache>
            </c:strRef>
          </c:cat>
          <c:val>
            <c:numRef>
              <c:f>Sheet1!$C$29:$C$34</c:f>
              <c:numCache>
                <c:formatCode>General</c:formatCode>
                <c:ptCount val="6"/>
                <c:pt idx="1">
                  <c:v>20.29</c:v>
                </c:pt>
                <c:pt idx="2">
                  <c:v>1717.31</c:v>
                </c:pt>
                <c:pt idx="3">
                  <c:v>75.14</c:v>
                </c:pt>
                <c:pt idx="4">
                  <c:v>140.33</c:v>
                </c:pt>
                <c:pt idx="5">
                  <c:v>3472.6</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delete val="1"/>
          </c:dLbls>
          <c:cat>
            <c:strRef>
              <c:f>Sheet1!$B$29:$B$34</c:f>
              <c:strCache>
                <c:ptCount val="6"/>
                <c:pt idx="0">
                  <c:v>财政支出构成比</c:v>
                </c:pt>
                <c:pt idx="1">
                  <c:v>社会保障和就业支出</c:v>
                </c:pt>
                <c:pt idx="2">
                  <c:v>卫生健康支出</c:v>
                </c:pt>
                <c:pt idx="3">
                  <c:v>城乡和社区</c:v>
                </c:pt>
                <c:pt idx="4">
                  <c:v>住房保障支出</c:v>
                </c:pt>
                <c:pt idx="5">
                  <c:v>抗疫特别国债安排支出</c:v>
                </c:pt>
              </c:strCache>
            </c:strRef>
          </c:cat>
          <c:val>
            <c:numRef>
              <c:f>Sheet1!$D$29:$D$34</c:f>
              <c:numCache>
                <c:formatCode>0%</c:formatCode>
                <c:ptCount val="6"/>
                <c:pt idx="0">
                  <c:v>1</c:v>
                </c:pt>
                <c:pt idx="1" c:formatCode="0.00%">
                  <c:v>0.0038</c:v>
                </c:pt>
                <c:pt idx="2" c:formatCode="0.00%">
                  <c:v>0.316500000000001</c:v>
                </c:pt>
                <c:pt idx="3" c:formatCode="0.00%">
                  <c:v>0.0138</c:v>
                </c:pt>
                <c:pt idx="4" c:formatCode="0.00%">
                  <c:v>0.0259</c:v>
                </c:pt>
                <c:pt idx="5" c:formatCode="0.00%">
                  <c:v>0.640000000000001</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Sheet1!$B$56</c:f>
              <c:strCache>
                <c:ptCount val="1"/>
                <c:pt idx="0">
                  <c:v>一般公共预算财政拨款支出</c:v>
                </c:pt>
              </c:strCache>
            </c:strRef>
          </c:tx>
          <c:invertIfNegative val="0"/>
          <c:dLbls>
            <c:delete val="1"/>
          </c:dLbls>
          <c:cat>
            <c:strRef>
              <c:f>Sheet1!$C$54:$D$55</c:f>
              <c:strCache>
                <c:ptCount val="2"/>
                <c:pt idx="0">
                  <c:v>2019年</c:v>
                </c:pt>
                <c:pt idx="1">
                  <c:v>2020年</c:v>
                </c:pt>
              </c:strCache>
            </c:strRef>
          </c:cat>
          <c:val>
            <c:numRef>
              <c:f>Sheet1!$C$56:$D$56</c:f>
              <c:numCache>
                <c:formatCode>General</c:formatCode>
                <c:ptCount val="2"/>
                <c:pt idx="0">
                  <c:v>6871.69</c:v>
                </c:pt>
                <c:pt idx="1">
                  <c:v>1877.92</c:v>
                </c:pt>
              </c:numCache>
            </c:numRef>
          </c:val>
        </c:ser>
        <c:dLbls>
          <c:showLegendKey val="0"/>
          <c:showVal val="0"/>
          <c:showCatName val="0"/>
          <c:showSerName val="0"/>
          <c:showPercent val="0"/>
          <c:showBubbleSize val="0"/>
        </c:dLbls>
        <c:gapWidth val="150"/>
        <c:axId val="72289280"/>
        <c:axId val="72291072"/>
      </c:barChart>
      <c:catAx>
        <c:axId val="722892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291072"/>
        <c:crosses val="autoZero"/>
        <c:auto val="1"/>
        <c:lblAlgn val="ctr"/>
        <c:lblOffset val="100"/>
        <c:noMultiLvlLbl val="0"/>
      </c:catAx>
      <c:valAx>
        <c:axId val="72291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28928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elete val="1"/>
          </c:dLbls>
          <c:cat>
            <c:strRef>
              <c:f>Sheet1!$C$105:$C$107</c:f>
              <c:strCache>
                <c:ptCount val="3"/>
                <c:pt idx="0">
                  <c:v>社会保障和就业支出</c:v>
                </c:pt>
                <c:pt idx="1">
                  <c:v>卫生健康支出</c:v>
                </c:pt>
                <c:pt idx="2">
                  <c:v>住房保障支出</c:v>
                </c:pt>
              </c:strCache>
            </c:strRef>
          </c:cat>
          <c:val>
            <c:numRef>
              <c:f>Sheet1!$D$105:$D$107</c:f>
              <c:numCache>
                <c:formatCode>General</c:formatCode>
                <c:ptCount val="3"/>
                <c:pt idx="0">
                  <c:v>20.29</c:v>
                </c:pt>
                <c:pt idx="1">
                  <c:v>1717.31</c:v>
                </c:pt>
                <c:pt idx="2">
                  <c:v>140.33</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28F7A-AF5B-4E9C-B8A7-ED70AABEACD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1413</Words>
  <Characters>8060</Characters>
  <Lines>67</Lines>
  <Paragraphs>18</Paragraphs>
  <TotalTime>11</TotalTime>
  <ScaleCrop>false</ScaleCrop>
  <LinksUpToDate>false</LinksUpToDate>
  <CharactersWithSpaces>9455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2021-10-25T03:24:00Z</dcterms:created>
  <dc:creator>曹颖</dc:creator>
  <cp:lastModifiedBy>★双木慧灵~~</cp:lastModifiedBy>
  <cp:lastPrinted>2020-07-23T02:58:00Z</cp:lastPrinted>
  <dcterms:modified xsi:type="dcterms:W3CDTF">2021-11-02T06:47:23Z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