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default" w:ascii="方正小标宋简体" w:hAnsi="宋体" w:eastAsia="方正小标宋简体"/>
          <w:b/>
          <w:bCs/>
          <w:color w:val="000000" w:themeColor="text1"/>
          <w:sz w:val="72"/>
          <w:szCs w:val="72"/>
          <w:lang w:val="en-US" w:eastAsia="zh-CN"/>
        </w:rPr>
      </w:pPr>
      <w:bookmarkStart w:id="1" w:name="_Toc15377193"/>
      <w:bookmarkStart w:id="2" w:name="_Toc15396475"/>
      <w:bookmarkStart w:id="3" w:name="_Toc15378441"/>
      <w:bookmarkStart w:id="4" w:name="_Toc15377425"/>
      <w:bookmarkStart w:id="5" w:name="_Toc15396597"/>
      <w:r>
        <w:rPr>
          <w:rFonts w:ascii="黑体" w:hAnsi="黑体" w:eastAsia="黑体"/>
          <w:b/>
          <w:bCs/>
          <w:color w:val="000000" w:themeColor="text1"/>
          <w:sz w:val="72"/>
          <w:szCs w:val="72"/>
        </w:rPr>
        <w:t>20</w:t>
      </w:r>
      <w:r>
        <w:rPr>
          <w:rFonts w:hint="eastAsia" w:ascii="黑体" w:hAnsi="黑体" w:eastAsia="黑体"/>
          <w:b/>
          <w:bCs/>
          <w:color w:val="000000" w:themeColor="text1"/>
          <w:sz w:val="72"/>
          <w:szCs w:val="72"/>
          <w:lang w:val="en-US" w:eastAsia="zh-CN"/>
        </w:rPr>
        <w:t>20</w:t>
      </w:r>
      <w:r>
        <w:rPr>
          <w:rFonts w:hint="eastAsia" w:ascii="方正小标宋简体" w:hAnsi="宋体" w:eastAsia="方正小标宋简体"/>
          <w:b/>
          <w:bCs/>
          <w:color w:val="000000" w:themeColor="text1"/>
          <w:sz w:val="72"/>
          <w:szCs w:val="72"/>
        </w:rPr>
        <w:t>年度</w:t>
      </w:r>
      <w:bookmarkEnd w:id="1"/>
      <w:bookmarkEnd w:id="2"/>
      <w:bookmarkEnd w:id="3"/>
      <w:bookmarkEnd w:id="4"/>
      <w:bookmarkEnd w:id="5"/>
      <w:r>
        <w:rPr>
          <w:rFonts w:hint="eastAsia" w:ascii="方正小标宋简体" w:hAnsi="宋体" w:eastAsia="方正小标宋简体"/>
          <w:b/>
          <w:bCs/>
          <w:color w:val="000000" w:themeColor="text1"/>
          <w:sz w:val="72"/>
          <w:szCs w:val="72"/>
          <w:lang w:val="en-US" w:eastAsia="zh-CN"/>
        </w:rPr>
        <w:t xml:space="preserve">  </w:t>
      </w:r>
    </w:p>
    <w:p>
      <w:pPr>
        <w:adjustRightInd w:val="0"/>
        <w:snapToGrid w:val="0"/>
        <w:spacing w:line="360" w:lineRule="auto"/>
        <w:jc w:val="center"/>
        <w:outlineLvl w:val="0"/>
        <w:rPr>
          <w:rFonts w:ascii="方正小标宋简体" w:hAnsi="宋体" w:eastAsia="方正小标宋简体"/>
          <w:b/>
          <w:bCs/>
          <w:color w:val="000000" w:themeColor="text1"/>
          <w:sz w:val="72"/>
          <w:szCs w:val="72"/>
        </w:rPr>
      </w:pPr>
      <w:bookmarkStart w:id="6" w:name="_Toc15396476"/>
      <w:bookmarkStart w:id="7" w:name="_Toc15377426"/>
      <w:bookmarkStart w:id="8" w:name="_Toc15378442"/>
      <w:bookmarkStart w:id="9" w:name="_Toc15396598"/>
      <w:bookmarkStart w:id="10" w:name="_Toc15377194"/>
      <w:r>
        <w:rPr>
          <w:rFonts w:hint="eastAsia" w:ascii="方正小标宋简体" w:hAnsi="宋体" w:eastAsia="方正小标宋简体"/>
          <w:b/>
          <w:bCs/>
          <w:color w:val="000000" w:themeColor="text1"/>
          <w:sz w:val="72"/>
          <w:szCs w:val="72"/>
        </w:rPr>
        <w:t>四川省</w:t>
      </w:r>
      <w:bookmarkEnd w:id="0"/>
      <w:bookmarkStart w:id="11" w:name="_Toc15306268"/>
      <w:r>
        <w:rPr>
          <w:rFonts w:hint="eastAsia" w:ascii="方正小标宋简体" w:hAnsi="宋体" w:eastAsia="方正小标宋简体"/>
          <w:b/>
          <w:bCs/>
          <w:color w:val="000000" w:themeColor="text1"/>
          <w:sz w:val="72"/>
          <w:szCs w:val="72"/>
          <w:lang w:eastAsia="zh-CN"/>
        </w:rPr>
        <w:t>峨眉山市财政局</w:t>
      </w:r>
      <w:r>
        <w:rPr>
          <w:rFonts w:hint="eastAsia" w:ascii="方正小标宋简体" w:hAnsi="宋体" w:eastAsia="方正小标宋简体"/>
          <w:b/>
          <w:bCs/>
          <w:color w:val="000000" w:themeColor="text1"/>
          <w:sz w:val="72"/>
          <w:szCs w:val="72"/>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b/>
          <w:bCs/>
          <w:color w:val="000000"/>
          <w:sz w:val="48"/>
          <w:szCs w:val="48"/>
        </w:rPr>
      </w:pPr>
      <w:r>
        <w:rPr>
          <w:rFonts w:ascii="方正小标宋简体" w:hAnsi="宋体" w:eastAsia="方正小标宋简体"/>
          <w:color w:val="000000"/>
          <w:sz w:val="36"/>
          <w:szCs w:val="36"/>
        </w:rPr>
        <w:br w:type="page"/>
      </w:r>
      <w:r>
        <w:rPr>
          <w:rFonts w:hint="eastAsia" w:ascii="黑体" w:hAnsi="黑体" w:eastAsia="黑体"/>
          <w:b/>
          <w:bCs/>
          <w:color w:val="000000"/>
          <w:sz w:val="48"/>
          <w:szCs w:val="48"/>
        </w:rPr>
        <w:t>目</w:t>
      </w:r>
      <w:r>
        <w:rPr>
          <w:rFonts w:hint="eastAsia" w:ascii="黑体" w:hAnsi="黑体" w:eastAsia="黑体"/>
          <w:b/>
          <w:bCs/>
          <w:color w:val="000000"/>
          <w:sz w:val="48"/>
          <w:szCs w:val="48"/>
          <w:lang w:val="en-US" w:eastAsia="zh-CN"/>
        </w:rPr>
        <w:t xml:space="preserve">  </w:t>
      </w:r>
      <w:r>
        <w:rPr>
          <w:rFonts w:hint="eastAsia" w:ascii="黑体" w:hAnsi="黑体" w:eastAsia="黑体"/>
          <w:b/>
          <w:bCs/>
          <w:color w:val="000000"/>
          <w:sz w:val="48"/>
          <w:szCs w:val="48"/>
        </w:rPr>
        <w:t>录</w:t>
      </w:r>
    </w:p>
    <w:p>
      <w:pPr>
        <w:widowControl/>
        <w:jc w:val="center"/>
        <w:rPr>
          <w:rFonts w:ascii="黑体" w:hAnsi="黑体" w:eastAsia="黑体" w:cstheme="minorBidi"/>
          <w:sz w:val="28"/>
          <w:szCs w:val="28"/>
        </w:rPr>
      </w:pP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公开时间：202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w:t>
      </w:r>
    </w:p>
    <w:p>
      <w:pPr>
        <w:rPr>
          <w:rFonts w:hint="eastAsia" w:ascii="仿宋_GB2312" w:hAnsi="仿宋_GB2312" w:eastAsia="仿宋_GB2312" w:cs="仿宋_GB2312"/>
          <w:sz w:val="28"/>
          <w:szCs w:val="28"/>
        </w:rPr>
      </w:pPr>
    </w:p>
    <w:p>
      <w:pPr>
        <w:pStyle w:val="11"/>
        <w:adjustRightInd w:val="0"/>
        <w:snapToGrid w:val="0"/>
        <w:spacing w:before="0" w:line="440" w:lineRule="exact"/>
        <w:ind w:firstLine="640" w:firstLineChars="200"/>
        <w:jc w:val="left"/>
        <w:rPr>
          <w:rFonts w:cstheme="minorBidi"/>
          <w:sz w:val="32"/>
          <w:szCs w:val="32"/>
        </w:rPr>
      </w:pPr>
      <w:r>
        <w:rPr>
          <w:rFonts w:hint="eastAsia" w:ascii="黑体" w:hAnsi="黑体" w:eastAsia="黑体" w:cs="黑体"/>
          <w:sz w:val="32"/>
          <w:szCs w:val="32"/>
        </w:rPr>
        <w:t>第一部分 部门概况</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adjustRightInd w:val="0"/>
        <w:snapToGrid w:val="0"/>
        <w:spacing w:before="0" w:line="4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第二部分度部门决算情况说明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440" w:lineRule="exact"/>
        <w:ind w:firstLine="640" w:firstLineChars="20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adjustRightInd w:val="0"/>
        <w:snapToGrid w:val="0"/>
        <w:spacing w:before="0" w:line="4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第三部分 名词解释</w:t>
      </w:r>
    </w:p>
    <w:p>
      <w:pPr>
        <w:pStyle w:val="11"/>
        <w:adjustRightInd w:val="0"/>
        <w:snapToGrid w:val="0"/>
        <w:spacing w:before="0" w:line="4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第四部分 附件</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1"/>
        <w:adjustRightInd w:val="0"/>
        <w:snapToGrid w:val="0"/>
        <w:spacing w:before="0" w:line="4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第五部分 附表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bookmarkStart w:id="12" w:name="_Toc15396599"/>
      <w:bookmarkStart w:id="13" w:name="_Toc15377196"/>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44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440" w:lineRule="exact"/>
        <w:jc w:val="left"/>
        <w:rPr>
          <w:rFonts w:ascii="仿宋" w:hAnsi="仿宋" w:eastAsia="仿宋"/>
          <w:bCs/>
          <w:kern w:val="44"/>
          <w:sz w:val="24"/>
        </w:rPr>
      </w:pPr>
      <w:r>
        <w:rPr>
          <w:rFonts w:ascii="仿宋" w:hAnsi="仿宋" w:eastAsia="仿宋"/>
          <w:b/>
          <w:sz w:val="24"/>
        </w:rPr>
        <w:br w:type="page"/>
      </w:r>
    </w:p>
    <w:p>
      <w:pPr>
        <w:keepNext w:val="0"/>
        <w:keepLines w:val="0"/>
        <w:pageBreakBefore w:val="0"/>
        <w:widowControl w:val="0"/>
        <w:numPr>
          <w:ilvl w:val="0"/>
          <w:numId w:val="1"/>
        </w:numPr>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部门概况</w:t>
      </w:r>
      <w:bookmarkEnd w:id="12"/>
      <w:bookmarkEnd w:id="13"/>
    </w:p>
    <w:p>
      <w:pPr>
        <w:keepNext w:val="0"/>
        <w:keepLines w:val="0"/>
        <w:pageBreakBefore w:val="0"/>
        <w:widowControl w:val="0"/>
        <w:numPr>
          <w:ilvl w:val="0"/>
          <w:numId w:val="0"/>
        </w:numPr>
        <w:kinsoku/>
        <w:wordWrap/>
        <w:overflowPunct/>
        <w:topLinePunct w:val="0"/>
        <w:autoSpaceDE/>
        <w:autoSpaceDN/>
        <w:bidi w:val="0"/>
        <w:spacing w:line="600" w:lineRule="exact"/>
        <w:jc w:val="both"/>
        <w:textAlignment w:val="auto"/>
        <w:rPr>
          <w:rFonts w:hint="eastAsia" w:ascii="方正小标宋_GBK" w:hAnsi="方正小标宋_GBK" w:eastAsia="方正小标宋_GBK" w:cs="方正小标宋_GBK"/>
          <w:b/>
          <w:bCs/>
          <w:sz w:val="44"/>
          <w:szCs w:val="44"/>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bookmarkStart w:id="14" w:name="_Toc15377197"/>
      <w:bookmarkStart w:id="15" w:name="_Toc15396600"/>
      <w:r>
        <w:rPr>
          <w:rFonts w:hint="eastAsia" w:ascii="黑体" w:hAnsi="黑体" w:eastAsia="黑体" w:cs="黑体"/>
          <w:sz w:val="32"/>
          <w:szCs w:val="32"/>
          <w:lang w:eastAsia="zh-CN"/>
        </w:rPr>
        <w:t>一、</w:t>
      </w:r>
      <w:r>
        <w:rPr>
          <w:rFonts w:hint="eastAsia" w:ascii="黑体" w:hAnsi="黑体" w:eastAsia="黑体" w:cs="黑体"/>
          <w:sz w:val="32"/>
          <w:szCs w:val="32"/>
        </w:rPr>
        <w:t>基本职能及主要工作</w:t>
      </w:r>
      <w:bookmarkEnd w:id="14"/>
      <w:bookmarkEnd w:id="15"/>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bookmarkStart w:id="18" w:name="_Toc15377199"/>
      <w:bookmarkStart w:id="19" w:name="_Toc15378446"/>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eastAsia="仿宋_GB2312"/>
          <w:sz w:val="32"/>
          <w:szCs w:val="32"/>
          <w:lang w:eastAsia="zh-CN"/>
        </w:rPr>
        <w:t>峨眉山</w:t>
      </w:r>
      <w:r>
        <w:rPr>
          <w:rFonts w:hint="eastAsia" w:ascii="Times New Roman" w:hAnsi="Times New Roman" w:eastAsia="仿宋_GB2312"/>
          <w:sz w:val="32"/>
          <w:szCs w:val="32"/>
        </w:rPr>
        <w:t>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pPr>
        <w:pStyle w:val="6"/>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（二）20</w:t>
      </w:r>
      <w:r>
        <w:rPr>
          <w:rFonts w:hint="eastAsia" w:ascii="楷体_GB2312" w:hAnsi="楷体_GB2312" w:eastAsia="楷体_GB2312" w:cs="楷体_GB2312"/>
          <w:bCs/>
          <w:color w:val="auto"/>
          <w:sz w:val="32"/>
          <w:szCs w:val="32"/>
          <w:lang w:val="en-US" w:eastAsia="zh-CN"/>
        </w:rPr>
        <w:t>20</w:t>
      </w:r>
      <w:r>
        <w:rPr>
          <w:rFonts w:hint="eastAsia" w:ascii="楷体_GB2312" w:hAnsi="楷体_GB2312" w:eastAsia="楷体_GB2312" w:cs="楷体_GB2312"/>
          <w:bCs/>
          <w:color w:val="auto"/>
          <w:sz w:val="32"/>
          <w:szCs w:val="32"/>
        </w:rPr>
        <w:t>年重点工作完成情况</w:t>
      </w:r>
      <w:bookmarkEnd w:id="18"/>
      <w:bookmarkEnd w:id="19"/>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bookmarkStart w:id="20" w:name="_Toc15377200"/>
      <w:bookmarkStart w:id="21" w:name="_Toc15396601"/>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color w:val="auto"/>
          <w:kern w:val="0"/>
          <w:sz w:val="32"/>
          <w:szCs w:val="32"/>
          <w:highlight w:val="none"/>
        </w:rPr>
        <w:t>积极向上争取资金</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结合我市2020年政府投资计划和重点领域对标补短五年行动计划，会同市发改局拟定了《峨眉山市2020年市级部门向上争取项目资金考核细则》，明确了2020年向上争取项目资金指导性计划。</w:t>
      </w:r>
      <w:r>
        <w:rPr>
          <w:rFonts w:hint="eastAsia" w:ascii="仿宋_GB2312" w:hAnsi="仿宋_GB2312" w:eastAsia="仿宋_GB2312" w:cs="仿宋_GB2312"/>
          <w:color w:val="auto"/>
          <w:sz w:val="32"/>
          <w:szCs w:val="32"/>
          <w:highlight w:val="none"/>
          <w:lang w:val="en-US" w:eastAsia="zh-CN"/>
        </w:rPr>
        <w:t>2020年</w:t>
      </w:r>
      <w:r>
        <w:rPr>
          <w:rFonts w:hint="eastAsia" w:ascii="仿宋_GB2312" w:hAnsi="仿宋_GB2312" w:eastAsia="仿宋_GB2312" w:cs="仿宋_GB2312"/>
          <w:color w:val="auto"/>
          <w:sz w:val="32"/>
          <w:szCs w:val="32"/>
          <w:highlight w:val="none"/>
        </w:rPr>
        <w:t>，我市向上争取资金共计19.59亿元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同比增长64.62%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有力的保障了民生工程建设所需。</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auto"/>
          <w:kern w:val="0"/>
          <w:sz w:val="32"/>
          <w:szCs w:val="32"/>
          <w:highlight w:val="none"/>
        </w:rPr>
        <w:t>“三保”保障有力</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决贯彻落实中央“六稳”“六保”要求，千方百计兜住“三保”底线。一是年初预算不留缺口，全额编制“三保”支出预算。提高政治站位，坚持把“三保”放在财政支出的优先位置，做到预算安排不出现“三保”支出缺口，预算执行不出现挤占拖欠，确保上级制定的民生政策等全面落实到位。二是加大税源挖潜力度，切实增强“三保”可用财力。在加快复工复产的同时，全面排查和梳理税源，全力挖掘收入增长点，进一步缓减疫情和经济下行压力等因素造成的减收增支影响。压实责任，深入查找税收收入短板，通过对重点税源排查清理，加强征管，落实缴税，确保及时足额入库。同时加大财政资金整合力度，积极盘活存量资金，增强“三保”支出保障能力。三是大力压减一般性支出，2020年“三公”经费预算在2019年的基础上压减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部门压减一般性支出达到18%。将节约的资金优先用于民生、支持打赢“三大攻坚战”等重点领域。四是强化“三保”运行分析调度，提高库款监测确保优先顺序。及时发现“三保”工作中存在的问题，并有效处理。同时对库款流动性紧张的状况，加大资金调度，确保工资按时发放、机构正常运转、基本民生有力保障。进一步规范国库库款管理，分清轻重缓急安排调度财政资金，确保国库库款足额保障“三保”支出需求，坚决兜牢“三保”底线。</w:t>
      </w:r>
    </w:p>
    <w:p>
      <w:pPr>
        <w:keepNext w:val="0"/>
        <w:keepLines w:val="0"/>
        <w:pageBreakBefore w:val="0"/>
        <w:widowControl w:val="0"/>
        <w:kinsoku/>
        <w:wordWrap/>
        <w:overflowPunct/>
        <w:topLinePunct w:val="0"/>
        <w:autoSpaceDE/>
        <w:autoSpaceDN/>
        <w:bidi w:val="0"/>
        <w:spacing w:line="600" w:lineRule="exact"/>
        <w:ind w:right="-332" w:rightChars="-158"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color w:val="auto"/>
          <w:kern w:val="0"/>
          <w:sz w:val="32"/>
          <w:szCs w:val="32"/>
          <w:highlight w:val="none"/>
          <w:lang w:eastAsia="zh-CN"/>
        </w:rPr>
        <w:t>财政监督管理水平不断提升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是深入开展监督检查。先后开展了“违规发放工资奖金津贴补贴专项整治工作”和“举一反三全面抓好整治工作”，174个预算单位完成自查并签订了《承诺书》，自查发现涉及差旅费、资金管理等问题14个，金额16.4万元。选取两家预算单位开展会计质量监督检查，发现涉及会计基础工作、收入资产核算、政府采购程序等问题9个，金额56万元。开展产业扶贫资金风险排查和小额信贷资金保全工作，对财政支持扶贫政策执行情况进行核查，了解掌握实施效果，防范财政金融风险。按照强农惠农资金“一卡通”监管要求，发现疑似问题8个，督促项目发放主管部门切实整改，修改完善信息，追缴死亡多发放资金10万元。二是加强会计管理。对我市7家代理记账机构进行行业发展的研究和数据分析，强化代理记账行业执业质量监管；组织开展会计专业技术人员职称考试、继续教育和村级财务等培训会；完成行政事业单位内部控制报告编报工作，强化单位内控意识。三是积极落实疫情防控等政府采购制度，深化政府采购制度改革。督促各单位做好贫困地区农副产品采购工作，深化营商环境专项治理，全面清理政府采购领域妨碍公平竞争的问题和做法，检查发现涉及合同签订、评审过程违规、逾期退还保证金等问题10个并及时进行查处，对1名采购人、2家供应商处以警告、罚款等行政处罚，促进政府采购市场公平。针对政府采购乱象，制定《规范政府采购行为完善政府采购手续》管理办法，加强政府采购监管。</w:t>
      </w:r>
    </w:p>
    <w:p>
      <w:pPr>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二、机构设置</w:t>
      </w:r>
      <w:bookmarkEnd w:id="20"/>
      <w:bookmarkEnd w:id="21"/>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峨眉山市财政局</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个，其中参照公务员法管理的事业单位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分别为峨眉山市国库支付中心、峨眉山市财政局收费票据监管中心，</w:t>
      </w:r>
      <w:r>
        <w:rPr>
          <w:rFonts w:hint="eastAsia" w:ascii="仿宋_GB2312" w:hAnsi="仿宋_GB2312" w:eastAsia="仿宋_GB2312" w:cs="仿宋_GB2312"/>
          <w:sz w:val="32"/>
          <w:szCs w:val="32"/>
        </w:rPr>
        <w:t>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，分别为峨眉山市财政投资评审中心、峨眉山市国有资产服务中心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年度决算编制范围的</w:t>
      </w:r>
      <w:r>
        <w:rPr>
          <w:rFonts w:hint="eastAsia" w:ascii="仿宋_GB2312" w:hAnsi="仿宋_GB2312" w:eastAsia="仿宋_GB2312" w:cs="仿宋_GB2312"/>
          <w:sz w:val="32"/>
          <w:szCs w:val="32"/>
          <w:lang w:eastAsia="zh-CN"/>
        </w:rPr>
        <w:t>包括峨眉山市财政局机关及峨眉山市财政局收费票据监管中心。</w:t>
      </w:r>
    </w:p>
    <w:p>
      <w:pPr>
        <w:keepNext w:val="0"/>
        <w:keepLines w:val="0"/>
        <w:pageBreakBefore w:val="0"/>
        <w:widowControl/>
        <w:kinsoku/>
        <w:wordWrap/>
        <w:overflowPunct/>
        <w:topLinePunct w:val="0"/>
        <w:autoSpaceDE/>
        <w:autoSpaceDN/>
        <w:bidi w:val="0"/>
        <w:spacing w:line="600" w:lineRule="exact"/>
        <w:jc w:val="left"/>
        <w:textAlignment w:val="auto"/>
        <w:rPr>
          <w:rFonts w:ascii="仿宋" w:hAnsi="仿宋" w:eastAsia="仿宋"/>
          <w:color w:val="000000"/>
          <w:kern w:val="0"/>
          <w:sz w:val="32"/>
          <w:szCs w:val="32"/>
        </w:rPr>
      </w:pPr>
      <w:r>
        <w:rPr>
          <w:rFonts w:ascii="仿宋" w:hAnsi="仿宋" w:eastAsia="仿宋"/>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bookmarkStart w:id="22" w:name="_Toc15377204"/>
      <w:bookmarkStart w:id="23" w:name="_Toc15396602"/>
      <w:r>
        <w:rPr>
          <w:rFonts w:hint="eastAsia" w:ascii="方正小标宋_GBK" w:hAnsi="方正小标宋_GBK" w:eastAsia="方正小标宋_GBK" w:cs="方正小标宋_GBK"/>
          <w:b w:val="0"/>
          <w:bCs w:val="0"/>
          <w:sz w:val="44"/>
          <w:szCs w:val="44"/>
        </w:rPr>
        <w:t>第二部分 20</w:t>
      </w:r>
      <w:r>
        <w:rPr>
          <w:rFonts w:hint="eastAsia" w:ascii="方正小标宋_GBK" w:hAnsi="方正小标宋_GBK" w:eastAsia="方正小标宋_GBK" w:cs="方正小标宋_GBK"/>
          <w:b w:val="0"/>
          <w:bCs w:val="0"/>
          <w:sz w:val="44"/>
          <w:szCs w:val="44"/>
          <w:lang w:val="en-US" w:eastAsia="zh-CN"/>
        </w:rPr>
        <w:t>20</w:t>
      </w:r>
      <w:r>
        <w:rPr>
          <w:rFonts w:hint="eastAsia" w:ascii="方正小标宋_GBK" w:hAnsi="方正小标宋_GBK" w:eastAsia="方正小标宋_GBK" w:cs="方正小标宋_GBK"/>
          <w:b w:val="0"/>
          <w:bCs w:val="0"/>
          <w:sz w:val="44"/>
          <w:szCs w:val="44"/>
        </w:rPr>
        <w:t>年度部门决算情况说明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4" w:name="_Toc15396603"/>
      <w:bookmarkStart w:id="25" w:name="_Toc1537720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1224.21</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302.65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19.82</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2020年完成项目金额压缩。</w:t>
      </w:r>
    </w:p>
    <w:p>
      <w:pPr>
        <w:pStyle w:val="2"/>
        <w:rPr>
          <w:rFonts w:hint="eastAsia"/>
          <w:lang w:val="en-US" w:eastAsia="zh-CN"/>
        </w:rPr>
      </w:pPr>
    </w:p>
    <w:p>
      <w:pPr>
        <w:spacing w:line="600" w:lineRule="exact"/>
        <w:ind w:firstLine="420" w:firstLineChars="200"/>
        <w:rPr>
          <w:rFonts w:hint="eastAsia" w:ascii="仿宋_GB2312" w:hAnsi="仿宋_GB2312" w:eastAsia="仿宋_GB2312" w:cs="仿宋_GB2312"/>
          <w:color w:val="000000" w:themeColor="text1"/>
          <w:sz w:val="32"/>
          <w:szCs w:val="32"/>
        </w:rPr>
      </w:pPr>
      <w:r>
        <w:drawing>
          <wp:anchor distT="0" distB="0" distL="114300" distR="114300" simplePos="0" relativeHeight="251669504" behindDoc="1" locked="0" layoutInCell="1" allowOverlap="1">
            <wp:simplePos x="0" y="0"/>
            <wp:positionH relativeFrom="column">
              <wp:posOffset>340995</wp:posOffset>
            </wp:positionH>
            <wp:positionV relativeFrom="paragraph">
              <wp:posOffset>64770</wp:posOffset>
            </wp:positionV>
            <wp:extent cx="4737100" cy="3193415"/>
            <wp:effectExtent l="4445" t="4445" r="20955" b="21590"/>
            <wp:wrapTight wrapText="bothSides">
              <wp:wrapPolygon>
                <wp:start x="-20" y="-30"/>
                <wp:lineTo x="-20" y="21488"/>
                <wp:lineTo x="21522" y="21488"/>
                <wp:lineTo x="21522" y="-30"/>
                <wp:lineTo x="-20" y="-3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（图1：收、支决算总计变动情况图）（柱状图）</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1215.12</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1206.96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99.33</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7.76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0.64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；其他收入</w:t>
      </w:r>
      <w:r>
        <w:rPr>
          <w:rFonts w:hint="eastAsia" w:ascii="仿宋_GB2312" w:hAnsi="仿宋_GB2312" w:eastAsia="仿宋_GB2312" w:cs="仿宋_GB2312"/>
          <w:color w:val="000000"/>
          <w:sz w:val="32"/>
          <w:szCs w:val="32"/>
          <w:lang w:val="en-US" w:eastAsia="zh-CN"/>
        </w:rPr>
        <w:t>0.40万元.占0.03%</w:t>
      </w:r>
      <w:r>
        <w:rPr>
          <w:rFonts w:hint="eastAsia" w:ascii="仿宋_GB2312" w:hAnsi="仿宋_GB2312" w:eastAsia="仿宋_GB2312" w:cs="仿宋_GB2312"/>
          <w:color w:val="000000"/>
          <w:sz w:val="32"/>
          <w:szCs w:val="32"/>
        </w:rPr>
        <w:t>。</w:t>
      </w:r>
    </w:p>
    <w:p>
      <w:pPr>
        <w:spacing w:line="600" w:lineRule="exact"/>
        <w:ind w:firstLine="420" w:firstLineChars="200"/>
        <w:outlineLvl w:val="1"/>
        <w:rPr>
          <w:rFonts w:hint="eastAsia"/>
          <w:lang w:val="en-US" w:eastAsia="zh-CN"/>
        </w:rPr>
      </w:pPr>
      <w:r>
        <w:drawing>
          <wp:anchor distT="0" distB="0" distL="114300" distR="114300" simplePos="0" relativeHeight="251668480" behindDoc="1" locked="0" layoutInCell="1" allowOverlap="1">
            <wp:simplePos x="0" y="0"/>
            <wp:positionH relativeFrom="column">
              <wp:posOffset>299720</wp:posOffset>
            </wp:positionH>
            <wp:positionV relativeFrom="paragraph">
              <wp:posOffset>106045</wp:posOffset>
            </wp:positionV>
            <wp:extent cx="4572000" cy="2743200"/>
            <wp:effectExtent l="4445" t="4445" r="14605" b="14605"/>
            <wp:wrapTight wrapText="bothSides">
              <wp:wrapPolygon>
                <wp:start x="-21" y="-35"/>
                <wp:lineTo x="-21" y="21565"/>
                <wp:lineTo x="21579" y="21565"/>
                <wp:lineTo x="21579" y="-35"/>
                <wp:lineTo x="-21" y="-35"/>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420" w:firstLineChars="200"/>
        <w:outlineLvl w:val="1"/>
        <w:rPr>
          <w:rFonts w:hint="eastAsia"/>
          <w:lang w:val="en-US" w:eastAsia="zh-CN"/>
        </w:rPr>
      </w:pPr>
    </w:p>
    <w:p>
      <w:pPr>
        <w:spacing w:line="600" w:lineRule="exact"/>
        <w:ind w:firstLine="420" w:firstLineChars="200"/>
        <w:outlineLvl w:val="1"/>
        <w:rPr>
          <w:rFonts w:hint="eastAsia"/>
          <w:lang w:val="en-US" w:eastAsia="zh-CN"/>
        </w:rPr>
      </w:pPr>
    </w:p>
    <w:p>
      <w:pPr>
        <w:spacing w:line="600" w:lineRule="exact"/>
        <w:ind w:firstLine="420" w:firstLineChars="200"/>
        <w:outlineLvl w:val="1"/>
        <w:rPr>
          <w:rFonts w:hint="eastAsia"/>
          <w:lang w:val="en-US" w:eastAsia="zh-CN"/>
        </w:rPr>
      </w:pPr>
    </w:p>
    <w:p>
      <w:pPr>
        <w:spacing w:line="600" w:lineRule="exact"/>
        <w:ind w:firstLine="420" w:firstLineChars="200"/>
        <w:outlineLvl w:val="1"/>
        <w:rPr>
          <w:rFonts w:hint="eastAsia"/>
          <w:lang w:val="en-US" w:eastAsia="zh-CN"/>
        </w:rPr>
      </w:pPr>
    </w:p>
    <w:p>
      <w:pPr>
        <w:spacing w:line="600" w:lineRule="exact"/>
        <w:ind w:firstLine="420" w:firstLineChars="200"/>
        <w:outlineLvl w:val="1"/>
        <w:rPr>
          <w:rFonts w:hint="eastAsia"/>
          <w:lang w:val="en-US" w:eastAsia="zh-CN"/>
        </w:rPr>
      </w:pPr>
    </w:p>
    <w:p>
      <w:pPr>
        <w:spacing w:line="600" w:lineRule="exact"/>
        <w:ind w:firstLine="420" w:firstLineChars="200"/>
        <w:outlineLvl w:val="1"/>
        <w:rPr>
          <w:rFonts w:hint="eastAsia"/>
          <w:lang w:val="en-US" w:eastAsia="zh-CN"/>
        </w:rPr>
      </w:pPr>
    </w:p>
    <w:p>
      <w:pPr>
        <w:spacing w:line="600" w:lineRule="exact"/>
        <w:ind w:firstLine="420" w:firstLineChars="200"/>
        <w:outlineLvl w:val="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1"/>
        <w:rPr>
          <w:rFonts w:hint="eastAsia" w:ascii="仿宋_GB2312" w:hAnsi="仿宋_GB2312" w:eastAsia="仿宋_GB2312" w:cs="仿宋_GB2312"/>
          <w:color w:val="FF0000"/>
          <w:sz w:val="32"/>
          <w:szCs w:val="32"/>
        </w:rPr>
      </w:pPr>
      <w:r>
        <w:rPr>
          <w:rFonts w:hint="eastAsia"/>
          <w:lang w:val="en-US" w:eastAsia="zh-CN"/>
        </w:rPr>
        <w:t xml:space="preserve">        </w:t>
      </w:r>
      <w:r>
        <w:rPr>
          <w:rFonts w:hint="eastAsia" w:ascii="仿宋_GB2312" w:hAnsi="仿宋_GB2312" w:eastAsia="仿宋_GB2312" w:cs="仿宋_GB2312"/>
          <w:color w:val="000000" w:themeColor="text1"/>
          <w:sz w:val="32"/>
          <w:szCs w:val="32"/>
        </w:rPr>
        <w:t>（图2：收入决算结构图）</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1"/>
        <w:rPr>
          <w:rStyle w:val="26"/>
          <w:rFonts w:hint="eastAsia" w:ascii="黑体" w:hAnsi="黑体" w:eastAsia="黑体" w:cs="黑体"/>
          <w:b w:val="0"/>
        </w:rPr>
      </w:pPr>
      <w:bookmarkStart w:id="28" w:name="_Toc15377207"/>
      <w:bookmarkStart w:id="29" w:name="_Toc15396605"/>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支</w:t>
      </w:r>
      <w:r>
        <w:rPr>
          <w:rStyle w:val="26"/>
          <w:rFonts w:hint="eastAsia" w:ascii="黑体" w:hAnsi="黑体" w:eastAsia="黑体" w:cs="黑体"/>
          <w:b w:val="0"/>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1215.13</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665.20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54.74</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549.93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45.26</w:t>
      </w:r>
      <w:r>
        <w:rPr>
          <w:rFonts w:hint="eastAsia" w:ascii="仿宋_GB2312" w:hAnsi="仿宋_GB2312" w:eastAsia="仿宋_GB2312" w:cs="仿宋_GB2312"/>
          <w:color w:val="000000"/>
          <w:sz w:val="32"/>
          <w:szCs w:val="32"/>
        </w:rPr>
        <w:t>%。</w:t>
      </w:r>
    </w:p>
    <w:p>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7456" behindDoc="1" locked="0" layoutInCell="1" allowOverlap="1">
            <wp:simplePos x="0" y="0"/>
            <wp:positionH relativeFrom="column">
              <wp:posOffset>347345</wp:posOffset>
            </wp:positionH>
            <wp:positionV relativeFrom="paragraph">
              <wp:posOffset>379095</wp:posOffset>
            </wp:positionV>
            <wp:extent cx="4572000" cy="2743200"/>
            <wp:effectExtent l="4445" t="4445" r="14605" b="14605"/>
            <wp:wrapTight wrapText="bothSides">
              <wp:wrapPolygon>
                <wp:start x="-21" y="-35"/>
                <wp:lineTo x="-21" y="21565"/>
                <wp:lineTo x="21579" y="21565"/>
                <wp:lineTo x="21579" y="-35"/>
                <wp:lineTo x="-21" y="-35"/>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420" w:firstLineChars="200"/>
        <w:outlineLvl w:val="1"/>
      </w:pPr>
    </w:p>
    <w:p>
      <w:pPr>
        <w:spacing w:line="600" w:lineRule="exact"/>
        <w:ind w:firstLine="1600" w:firstLineChars="500"/>
        <w:outlineLvl w:val="1"/>
        <w:rPr>
          <w:rFonts w:hint="eastAsia" w:ascii="仿宋_GB2312" w:hAnsi="仿宋_GB2312" w:eastAsia="仿宋_GB2312" w:cs="仿宋_GB2312"/>
          <w:color w:val="000000" w:themeColor="text1"/>
          <w:sz w:val="32"/>
          <w:szCs w:val="32"/>
        </w:rPr>
      </w:pPr>
    </w:p>
    <w:p>
      <w:pPr>
        <w:spacing w:line="600" w:lineRule="exact"/>
        <w:ind w:firstLine="1600" w:firstLineChars="50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（图3：支出决算结构图）</w:t>
      </w:r>
    </w:p>
    <w:p>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color w:val="000000"/>
          <w:sz w:val="32"/>
          <w:szCs w:val="32"/>
          <w:lang w:val="en-US" w:eastAsia="zh-CN"/>
        </w:rPr>
        <w:t>1214.72</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年相比，财政拨款收、支总计各</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235.57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16.24</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2020年完成项目金额压缩。</w:t>
      </w:r>
    </w:p>
    <w:p>
      <w:pPr>
        <w:spacing w:line="600" w:lineRule="exact"/>
        <w:ind w:firstLine="640"/>
        <w:rPr>
          <w:rFonts w:hint="default" w:ascii="仿宋" w:hAnsi="仿宋" w:eastAsia="仿宋"/>
          <w:color w:val="000000"/>
          <w:sz w:val="32"/>
          <w:szCs w:val="32"/>
          <w:lang w:val="en-US" w:eastAsia="zh-CN"/>
        </w:rPr>
      </w:pPr>
      <w:r>
        <w:drawing>
          <wp:anchor distT="0" distB="0" distL="114300" distR="114300" simplePos="0" relativeHeight="251670528" behindDoc="1" locked="0" layoutInCell="1" allowOverlap="1">
            <wp:simplePos x="0" y="0"/>
            <wp:positionH relativeFrom="column">
              <wp:posOffset>277495</wp:posOffset>
            </wp:positionH>
            <wp:positionV relativeFrom="paragraph">
              <wp:posOffset>233045</wp:posOffset>
            </wp:positionV>
            <wp:extent cx="4953000" cy="3429000"/>
            <wp:effectExtent l="4445" t="4445" r="14605" b="14605"/>
            <wp:wrapTight wrapText="bothSides">
              <wp:wrapPolygon>
                <wp:start x="-19" y="-28"/>
                <wp:lineTo x="-19" y="21572"/>
                <wp:lineTo x="21581" y="21572"/>
                <wp:lineTo x="21581" y="-28"/>
                <wp:lineTo x="-19" y="-28"/>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（图4：财政拨款收、支决算总计变动情况）（柱状图）</w:t>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4" w:name="_Toc15377210"/>
      <w:r>
        <w:rPr>
          <w:rFonts w:hint="eastAsia" w:ascii="楷体_GB2312" w:hAnsi="楷体_GB2312" w:eastAsia="楷体_GB2312" w:cs="楷体_GB2312"/>
          <w:b w:val="0"/>
          <w:bCs/>
          <w:color w:val="000000"/>
          <w:sz w:val="32"/>
          <w:szCs w:val="32"/>
        </w:rPr>
        <w:t>（一）一般公共预算财政拨款支出决算总体情况</w:t>
      </w:r>
      <w:bookmarkEnd w:id="34"/>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1206.96</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99.33</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41.80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3.35</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2020年完成项目金额压缩。</w:t>
      </w:r>
    </w:p>
    <w:p>
      <w:pPr>
        <w:spacing w:line="600" w:lineRule="exact"/>
        <w:ind w:firstLine="420" w:firstLineChars="200"/>
        <w:rPr>
          <w:rFonts w:hint="eastAsia" w:ascii="仿宋" w:hAnsi="仿宋" w:eastAsia="仿宋"/>
          <w:color w:val="000000"/>
          <w:sz w:val="32"/>
          <w:szCs w:val="32"/>
          <w:lang w:val="en-US" w:eastAsia="zh-CN"/>
        </w:rPr>
      </w:pPr>
      <w:r>
        <w:drawing>
          <wp:anchor distT="0" distB="0" distL="114300" distR="114300" simplePos="0" relativeHeight="251671552" behindDoc="1" locked="0" layoutInCell="1" allowOverlap="1">
            <wp:simplePos x="0" y="0"/>
            <wp:positionH relativeFrom="column">
              <wp:posOffset>309880</wp:posOffset>
            </wp:positionH>
            <wp:positionV relativeFrom="paragraph">
              <wp:posOffset>-148590</wp:posOffset>
            </wp:positionV>
            <wp:extent cx="4990465" cy="2895600"/>
            <wp:effectExtent l="4445" t="4445" r="15240" b="71755"/>
            <wp:wrapTight wrapText="bothSides">
              <wp:wrapPolygon>
                <wp:start x="-19" y="-33"/>
                <wp:lineTo x="-19" y="21567"/>
                <wp:lineTo x="21501" y="21567"/>
                <wp:lineTo x="21501" y="-33"/>
                <wp:lineTo x="-19" y="-33"/>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ind w:firstLine="320" w:firstLineChars="1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（图5：一般公共预算财政拨款支出决算变动情况）（柱状图）</w:t>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5" w:name="_Toc15377211"/>
      <w:r>
        <w:rPr>
          <w:rFonts w:hint="eastAsia" w:ascii="楷体_GB2312" w:hAnsi="楷体_GB2312" w:eastAsia="楷体_GB2312" w:cs="楷体_GB2312"/>
          <w:b w:val="0"/>
          <w:bCs/>
          <w:color w:val="000000"/>
          <w:sz w:val="32"/>
          <w:szCs w:val="32"/>
        </w:rPr>
        <w:t>（二）一般公共预算财政拨款支出决算结构情况</w:t>
      </w:r>
      <w:bookmarkEnd w:id="35"/>
    </w:p>
    <w:p>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1206.96</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color w:val="000000"/>
          <w:sz w:val="32"/>
          <w:szCs w:val="32"/>
        </w:rPr>
        <w:t>一般公共服务（类）支出</w:t>
      </w:r>
      <w:r>
        <w:rPr>
          <w:rFonts w:hint="eastAsia" w:ascii="仿宋_GB2312" w:hAnsi="仿宋_GB2312" w:eastAsia="仿宋_GB2312" w:cs="仿宋_GB2312"/>
          <w:color w:val="000000"/>
          <w:sz w:val="32"/>
          <w:szCs w:val="32"/>
          <w:lang w:val="en-US" w:eastAsia="zh-CN"/>
        </w:rPr>
        <w:t>1097.88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90.96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社会保障和就业</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支出49.92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卫生健康</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12.19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农林水</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3.00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0.25</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43.97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themeColor="text1"/>
          <w:sz w:val="32"/>
          <w:szCs w:val="32"/>
          <w:lang w:val="en-US" w:eastAsia="zh-CN"/>
        </w:rPr>
        <w:t>.64</w:t>
      </w:r>
      <w:r>
        <w:rPr>
          <w:rFonts w:hint="eastAsia" w:ascii="仿宋_GB2312" w:hAnsi="仿宋_GB2312" w:eastAsia="仿宋_GB2312" w:cs="仿宋_GB2312"/>
          <w:color w:val="000000" w:themeColor="text1"/>
          <w:sz w:val="32"/>
          <w:szCs w:val="32"/>
        </w:rPr>
        <w:t>%。</w:t>
      </w:r>
    </w:p>
    <w:p>
      <w:pPr>
        <w:spacing w:line="600" w:lineRule="exact"/>
        <w:ind w:firstLine="640"/>
        <w:rPr>
          <w:rFonts w:hint="eastAsia" w:ascii="仿宋" w:hAnsi="仿宋" w:eastAsia="仿宋"/>
          <w:color w:val="000000" w:themeColor="text1"/>
          <w:sz w:val="32"/>
          <w:szCs w:val="32"/>
        </w:rPr>
      </w:pPr>
      <w:r>
        <w:drawing>
          <wp:anchor distT="0" distB="0" distL="114300" distR="114300" simplePos="0" relativeHeight="251672576" behindDoc="1" locked="0" layoutInCell="1" allowOverlap="1">
            <wp:simplePos x="0" y="0"/>
            <wp:positionH relativeFrom="column">
              <wp:posOffset>-52705</wp:posOffset>
            </wp:positionH>
            <wp:positionV relativeFrom="paragraph">
              <wp:posOffset>205740</wp:posOffset>
            </wp:positionV>
            <wp:extent cx="5539740" cy="2715895"/>
            <wp:effectExtent l="4445" t="4445" r="56515" b="60960"/>
            <wp:wrapTight wrapText="bothSides">
              <wp:wrapPolygon>
                <wp:start x="-17" y="-35"/>
                <wp:lineTo x="-17" y="21479"/>
                <wp:lineTo x="21523" y="21479"/>
                <wp:lineTo x="21523" y="-35"/>
                <wp:lineTo x="-17" y="-35"/>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6" w:name="_Toc15377212"/>
      <w:r>
        <w:rPr>
          <w:rFonts w:hint="eastAsia" w:ascii="楷体_GB2312" w:hAnsi="楷体_GB2312" w:eastAsia="楷体_GB2312" w:cs="楷体_GB2312"/>
          <w:b w:val="0"/>
          <w:bCs/>
          <w:color w:val="000000"/>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2"/>
        <w:rPr>
          <w:rFonts w:hint="eastAsia" w:ascii="仿宋_GB2312" w:hAnsi="仿宋_GB2312" w:eastAsia="仿宋_GB2312" w:cs="仿宋_GB2312"/>
          <w:b w:val="0"/>
          <w:bCs/>
          <w:color w:val="FF0000"/>
          <w:sz w:val="32"/>
          <w:szCs w:val="32"/>
        </w:rPr>
      </w:pPr>
      <w:bookmarkStart w:id="37" w:name="_Toc15377444"/>
      <w:bookmarkStart w:id="38" w:name="_Toc15378460"/>
      <w:bookmarkStart w:id="39" w:name="_Toc15377213"/>
      <w:r>
        <w:rPr>
          <w:rFonts w:hint="eastAsia" w:ascii="仿宋_GB2312" w:hAnsi="仿宋_GB2312" w:eastAsia="仿宋_GB2312" w:cs="仿宋_GB2312"/>
          <w:b w:val="0"/>
          <w:bCs/>
          <w:color w:val="000000" w:themeColor="text1"/>
          <w:sz w:val="32"/>
          <w:szCs w:val="32"/>
        </w:rPr>
        <w:t>20</w:t>
      </w:r>
      <w:r>
        <w:rPr>
          <w:rFonts w:hint="eastAsia" w:ascii="仿宋_GB2312" w:hAnsi="仿宋_GB2312" w:eastAsia="仿宋_GB2312" w:cs="仿宋_GB2312"/>
          <w:b w:val="0"/>
          <w:bCs/>
          <w:color w:val="000000" w:themeColor="text1"/>
          <w:sz w:val="32"/>
          <w:szCs w:val="32"/>
          <w:lang w:val="en-US" w:eastAsia="zh-CN"/>
        </w:rPr>
        <w:t>20</w:t>
      </w:r>
      <w:r>
        <w:rPr>
          <w:rFonts w:hint="eastAsia" w:ascii="仿宋_GB2312" w:hAnsi="仿宋_GB2312" w:eastAsia="仿宋_GB2312" w:cs="仿宋_GB2312"/>
          <w:b w:val="0"/>
          <w:bCs/>
          <w:color w:val="000000" w:themeColor="text1"/>
          <w:sz w:val="32"/>
          <w:szCs w:val="32"/>
        </w:rPr>
        <w:t>年</w:t>
      </w:r>
      <w:r>
        <w:rPr>
          <w:rFonts w:hint="eastAsia" w:ascii="仿宋_GB2312" w:hAnsi="仿宋_GB2312" w:eastAsia="仿宋_GB2312" w:cs="仿宋_GB2312"/>
          <w:b w:val="0"/>
          <w:bCs/>
          <w:color w:val="000000" w:themeColor="text1"/>
          <w:sz w:val="32"/>
          <w:szCs w:val="32"/>
          <w:lang w:eastAsia="zh-CN"/>
        </w:rPr>
        <w:t>一</w:t>
      </w:r>
      <w:r>
        <w:rPr>
          <w:rFonts w:hint="eastAsia" w:ascii="仿宋_GB2312" w:hAnsi="仿宋_GB2312" w:eastAsia="仿宋_GB2312" w:cs="仿宋_GB2312"/>
          <w:b w:val="0"/>
          <w:bCs/>
          <w:color w:val="000000" w:themeColor="text1"/>
          <w:sz w:val="32"/>
          <w:szCs w:val="32"/>
        </w:rPr>
        <w:t>般公共预算支出决算数为</w:t>
      </w:r>
      <w:r>
        <w:rPr>
          <w:rFonts w:hint="eastAsia" w:ascii="仿宋_GB2312" w:hAnsi="仿宋_GB2312" w:eastAsia="仿宋_GB2312" w:cs="仿宋_GB2312"/>
          <w:b w:val="0"/>
          <w:bCs/>
          <w:color w:val="000000" w:themeColor="text1"/>
          <w:sz w:val="32"/>
          <w:szCs w:val="32"/>
          <w:lang w:val="en-US" w:eastAsia="zh-CN"/>
        </w:rPr>
        <w:t>1206.96万元</w:t>
      </w:r>
      <w:r>
        <w:rPr>
          <w:rFonts w:hint="eastAsia" w:ascii="仿宋_GB2312" w:hAnsi="仿宋_GB2312" w:eastAsia="仿宋_GB2312" w:cs="仿宋_GB2312"/>
          <w:b w:val="0"/>
          <w:bCs/>
          <w:color w:val="000000" w:themeColor="text1"/>
          <w:sz w:val="32"/>
          <w:szCs w:val="32"/>
        </w:rPr>
        <w:t>，</w:t>
      </w:r>
      <w:r>
        <w:rPr>
          <w:rStyle w:val="15"/>
          <w:rFonts w:hint="eastAsia" w:ascii="仿宋_GB2312" w:hAnsi="仿宋_GB2312" w:eastAsia="仿宋_GB2312" w:cs="仿宋_GB2312"/>
          <w:b w:val="0"/>
          <w:bCs/>
          <w:color w:val="000000" w:themeColor="text1"/>
          <w:sz w:val="32"/>
          <w:szCs w:val="32"/>
        </w:rPr>
        <w:t>完成</w:t>
      </w:r>
      <w:r>
        <w:rPr>
          <w:rStyle w:val="15"/>
          <w:rFonts w:hint="eastAsia" w:ascii="仿宋_GB2312" w:hAnsi="仿宋_GB2312" w:eastAsia="仿宋_GB2312" w:cs="仿宋_GB2312"/>
          <w:b w:val="0"/>
          <w:bCs/>
          <w:color w:val="000000"/>
          <w:sz w:val="32"/>
          <w:szCs w:val="32"/>
        </w:rPr>
        <w:t>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1</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一般公共服务（类）</w:t>
      </w:r>
      <w:r>
        <w:rPr>
          <w:rStyle w:val="15"/>
          <w:rFonts w:hint="eastAsia" w:ascii="仿宋_GB2312" w:hAnsi="仿宋_GB2312" w:eastAsia="仿宋_GB2312" w:cs="仿宋_GB2312"/>
          <w:b w:val="0"/>
          <w:bCs/>
          <w:color w:val="000000"/>
          <w:sz w:val="32"/>
          <w:szCs w:val="32"/>
          <w:lang w:eastAsia="zh-CN"/>
        </w:rPr>
        <w:t>财政事务</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行政运行</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559.13</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一般公共服务（类）</w:t>
      </w:r>
      <w:r>
        <w:rPr>
          <w:rStyle w:val="15"/>
          <w:rFonts w:hint="eastAsia" w:ascii="仿宋_GB2312" w:hAnsi="仿宋_GB2312" w:eastAsia="仿宋_GB2312" w:cs="仿宋_GB2312"/>
          <w:b w:val="0"/>
          <w:bCs/>
          <w:color w:val="000000"/>
          <w:sz w:val="32"/>
          <w:szCs w:val="32"/>
          <w:lang w:eastAsia="zh-CN"/>
        </w:rPr>
        <w:t>财政事务</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一般行政管理事务</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269.93</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3</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一般公共服务（类）</w:t>
      </w:r>
      <w:r>
        <w:rPr>
          <w:rStyle w:val="15"/>
          <w:rFonts w:hint="eastAsia" w:ascii="仿宋_GB2312" w:hAnsi="仿宋_GB2312" w:eastAsia="仿宋_GB2312" w:cs="仿宋_GB2312"/>
          <w:b w:val="0"/>
          <w:bCs/>
          <w:color w:val="000000"/>
          <w:sz w:val="32"/>
          <w:szCs w:val="32"/>
          <w:lang w:eastAsia="zh-CN"/>
        </w:rPr>
        <w:t>财政事务</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其他财政事务支出</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268.82</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4</w:t>
      </w:r>
      <w:r>
        <w:rPr>
          <w:rStyle w:val="15"/>
          <w:rFonts w:hint="eastAsia" w:ascii="仿宋_GB2312" w:hAnsi="仿宋_GB2312" w:eastAsia="仿宋_GB2312" w:cs="仿宋_GB2312"/>
          <w:b w:val="0"/>
          <w:bCs/>
          <w:color w:val="000000"/>
          <w:sz w:val="32"/>
          <w:szCs w:val="32"/>
          <w:lang w:eastAsia="zh-CN"/>
        </w:rPr>
        <w:t>．社会保障和就业</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行政事业单位离退休</w:t>
      </w:r>
      <w:r>
        <w:rPr>
          <w:rStyle w:val="15"/>
          <w:rFonts w:hint="eastAsia" w:ascii="仿宋_GB2312" w:hAnsi="仿宋_GB2312" w:eastAsia="仿宋_GB2312" w:cs="仿宋_GB2312"/>
          <w:b w:val="0"/>
          <w:bCs/>
          <w:color w:val="000000"/>
          <w:sz w:val="32"/>
          <w:szCs w:val="32"/>
        </w:rPr>
        <w:t>（款）机关事业单位基本养老保险缴费（项）: 支出决算为</w:t>
      </w:r>
      <w:r>
        <w:rPr>
          <w:rStyle w:val="15"/>
          <w:rFonts w:hint="eastAsia" w:ascii="仿宋_GB2312" w:hAnsi="仿宋_GB2312" w:eastAsia="仿宋_GB2312" w:cs="仿宋_GB2312"/>
          <w:b w:val="0"/>
          <w:bCs/>
          <w:color w:val="000000"/>
          <w:sz w:val="32"/>
          <w:szCs w:val="32"/>
          <w:lang w:val="en-US" w:eastAsia="zh-CN"/>
        </w:rPr>
        <w:t>31.81</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5</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社会保障和就业（类）</w:t>
      </w:r>
      <w:r>
        <w:rPr>
          <w:rStyle w:val="15"/>
          <w:rFonts w:hint="eastAsia" w:ascii="仿宋_GB2312" w:hAnsi="仿宋_GB2312" w:eastAsia="仿宋_GB2312" w:cs="仿宋_GB2312"/>
          <w:b w:val="0"/>
          <w:bCs/>
          <w:color w:val="000000"/>
          <w:sz w:val="32"/>
          <w:szCs w:val="32"/>
          <w:lang w:eastAsia="zh-CN"/>
        </w:rPr>
        <w:t>行政事业单位离退休</w:t>
      </w:r>
      <w:r>
        <w:rPr>
          <w:rStyle w:val="15"/>
          <w:rFonts w:hint="eastAsia" w:ascii="仿宋_GB2312" w:hAnsi="仿宋_GB2312" w:eastAsia="仿宋_GB2312" w:cs="仿宋_GB2312"/>
          <w:b w:val="0"/>
          <w:bCs/>
          <w:color w:val="000000"/>
          <w:sz w:val="32"/>
          <w:szCs w:val="32"/>
        </w:rPr>
        <w:t>（款）机关事业单位职业年金缴费（项）: 支出决算为</w:t>
      </w:r>
      <w:r>
        <w:rPr>
          <w:rStyle w:val="15"/>
          <w:rFonts w:hint="eastAsia" w:ascii="仿宋_GB2312" w:hAnsi="仿宋_GB2312" w:eastAsia="仿宋_GB2312" w:cs="仿宋_GB2312"/>
          <w:b w:val="0"/>
          <w:bCs/>
          <w:color w:val="000000"/>
          <w:sz w:val="32"/>
          <w:szCs w:val="32"/>
          <w:lang w:val="en-US" w:eastAsia="zh-CN"/>
        </w:rPr>
        <w:t>16.54</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6</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社会保障和就业（类）</w:t>
      </w:r>
      <w:r>
        <w:rPr>
          <w:rStyle w:val="15"/>
          <w:rFonts w:hint="eastAsia" w:ascii="仿宋_GB2312" w:hAnsi="仿宋_GB2312" w:eastAsia="仿宋_GB2312" w:cs="仿宋_GB2312"/>
          <w:b w:val="0"/>
          <w:bCs/>
          <w:color w:val="000000"/>
          <w:sz w:val="32"/>
          <w:szCs w:val="32"/>
          <w:lang w:eastAsia="zh-CN"/>
        </w:rPr>
        <w:t>其他社会保障和就业</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其他社会保障和就业</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1.57</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7</w:t>
      </w:r>
      <w:r>
        <w:rPr>
          <w:rStyle w:val="15"/>
          <w:rFonts w:hint="eastAsia" w:ascii="仿宋_GB2312" w:hAnsi="仿宋_GB2312" w:eastAsia="仿宋_GB2312" w:cs="仿宋_GB2312"/>
          <w:b w:val="0"/>
          <w:bCs/>
          <w:color w:val="000000"/>
          <w:sz w:val="32"/>
          <w:szCs w:val="32"/>
          <w:lang w:eastAsia="zh-CN"/>
        </w:rPr>
        <w:t>．卫生健康</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行政事业单位医疗</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行政单位医疗</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12.19</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8</w:t>
      </w:r>
      <w:r>
        <w:rPr>
          <w:rStyle w:val="15"/>
          <w:rFonts w:hint="eastAsia" w:ascii="仿宋_GB2312" w:hAnsi="仿宋_GB2312" w:eastAsia="仿宋_GB2312" w:cs="仿宋_GB2312"/>
          <w:b w:val="0"/>
          <w:bCs/>
          <w:color w:val="000000"/>
          <w:sz w:val="32"/>
          <w:szCs w:val="32"/>
          <w:lang w:eastAsia="zh-CN"/>
        </w:rPr>
        <w:t>．农林水</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扶贫</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其他扶贫</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3.00</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9</w:t>
      </w:r>
      <w:r>
        <w:rPr>
          <w:rStyle w:val="15"/>
          <w:rFonts w:hint="eastAsia" w:ascii="仿宋_GB2312" w:hAnsi="仿宋_GB2312" w:eastAsia="仿宋_GB2312" w:cs="仿宋_GB2312"/>
          <w:b w:val="0"/>
          <w:bCs/>
          <w:color w:val="000000"/>
          <w:sz w:val="32"/>
          <w:szCs w:val="32"/>
          <w:lang w:eastAsia="zh-CN"/>
        </w:rPr>
        <w:t>．住房保障</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住房改革</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住房公积金</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43.97</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line="640" w:lineRule="exact"/>
        <w:ind w:firstLine="640"/>
        <w:textAlignment w:val="auto"/>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665.21</w:t>
      </w:r>
      <w:r>
        <w:rPr>
          <w:rFonts w:hint="eastAsia" w:ascii="仿宋_GB2312" w:hAnsi="仿宋_GB2312" w:eastAsia="仿宋_GB2312" w:cs="仿宋_GB2312"/>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518.44</w:t>
      </w:r>
      <w:r>
        <w:rPr>
          <w:rFonts w:hint="eastAsia" w:ascii="仿宋_GB2312" w:hAnsi="仿宋_GB2312" w:eastAsia="仿宋_GB2312" w:cs="仿宋_GB2312"/>
          <w:color w:val="000000"/>
          <w:sz w:val="32"/>
          <w:szCs w:val="32"/>
        </w:rPr>
        <w:t>万元，主要包括：基本工资、津贴补贴、奖金、伙食补助费、机关事业单位基本养老保险缴费、职业年金缴费、</w:t>
      </w:r>
      <w:r>
        <w:rPr>
          <w:rFonts w:hint="eastAsia" w:ascii="仿宋_GB2312" w:hAnsi="仿宋_GB2312" w:eastAsia="仿宋_GB2312" w:cs="仿宋_GB2312"/>
          <w:color w:val="000000"/>
          <w:sz w:val="32"/>
          <w:szCs w:val="32"/>
          <w:lang w:eastAsia="zh-CN"/>
        </w:rPr>
        <w:t>职工基本医疗保险缴费、</w:t>
      </w:r>
      <w:r>
        <w:rPr>
          <w:rFonts w:hint="eastAsia" w:ascii="仿宋_GB2312" w:hAnsi="仿宋_GB2312" w:eastAsia="仿宋_GB2312" w:cs="仿宋_GB2312"/>
          <w:color w:val="000000"/>
          <w:sz w:val="32"/>
          <w:szCs w:val="32"/>
        </w:rPr>
        <w:t>其他社会保障缴费、生活补助、住房公积金、其他个人和家庭的补助支出等。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146.77</w:t>
      </w:r>
      <w:r>
        <w:rPr>
          <w:rFonts w:hint="eastAsia" w:ascii="仿宋_GB2312" w:hAnsi="仿宋_GB2312" w:eastAsia="仿宋_GB2312" w:cs="仿宋_GB2312"/>
          <w:color w:val="000000"/>
          <w:sz w:val="32"/>
          <w:szCs w:val="32"/>
        </w:rPr>
        <w:t>万元，主要包括：办公费、水费、电费、邮电费、物业管理费、差旅费、维修（护）费、劳务费、工会经费、公务用车运行维护费、其他交通费、其他商品和服务支出、办公设备购置</w:t>
      </w:r>
      <w:r>
        <w:rPr>
          <w:rFonts w:hint="eastAsia" w:ascii="仿宋_GB2312" w:hAnsi="仿宋_GB2312" w:eastAsia="仿宋_GB2312" w:cs="仿宋_GB2312"/>
          <w:color w:val="000000"/>
          <w:sz w:val="32"/>
          <w:szCs w:val="32"/>
          <w:lang w:eastAsia="zh-CN"/>
        </w:rPr>
        <w:t>、专用设备购置</w:t>
      </w:r>
      <w:r>
        <w:rPr>
          <w:rFonts w:hint="eastAsia" w:ascii="仿宋_GB2312" w:hAnsi="仿宋_GB2312" w:eastAsia="仿宋_GB2312" w:cs="仿宋_GB2312"/>
          <w:color w:val="000000"/>
          <w:sz w:val="32"/>
          <w:szCs w:val="32"/>
        </w:rPr>
        <w:t>等。</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outlineLvl w:val="2"/>
        <w:rPr>
          <w:rFonts w:hint="eastAsia" w:ascii="楷体_GB2312" w:hAnsi="楷体_GB2312" w:eastAsia="楷体_GB2312" w:cs="楷体_GB2312"/>
          <w:b w:val="0"/>
          <w:bCs/>
          <w:color w:val="000000"/>
          <w:sz w:val="32"/>
          <w:szCs w:val="32"/>
        </w:rPr>
      </w:pPr>
      <w:bookmarkStart w:id="44" w:name="_Toc15377216"/>
      <w:r>
        <w:rPr>
          <w:rFonts w:hint="eastAsia" w:ascii="楷体_GB2312" w:hAnsi="楷体_GB2312" w:eastAsia="楷体_GB2312" w:cs="楷体_GB2312"/>
          <w:b w:val="0"/>
          <w:bCs/>
          <w:color w:val="000000"/>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4.03</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7.90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outlineLvl w:val="2"/>
        <w:rPr>
          <w:rFonts w:hint="eastAsia" w:ascii="楷体_GB2312" w:hAnsi="楷体_GB2312" w:eastAsia="楷体_GB2312" w:cs="楷体_GB2312"/>
          <w:b w:val="0"/>
          <w:bCs/>
          <w:color w:val="000000"/>
          <w:sz w:val="32"/>
          <w:szCs w:val="32"/>
        </w:rPr>
      </w:pPr>
      <w:bookmarkStart w:id="45" w:name="_Toc15377217"/>
      <w:r>
        <w:rPr>
          <w:rFonts w:hint="eastAsia" w:ascii="楷体_GB2312" w:hAnsi="楷体_GB2312" w:eastAsia="楷体_GB2312" w:cs="楷体_GB2312"/>
          <w:b w:val="0"/>
          <w:bCs/>
          <w:color w:val="000000"/>
          <w:sz w:val="32"/>
          <w:szCs w:val="32"/>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年“三公”经费财政拨款支出决算中，</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因公出国（境）费支出；公务用车购置及运行维护费支出决算</w:t>
      </w:r>
      <w:r>
        <w:rPr>
          <w:rFonts w:hint="eastAsia" w:ascii="仿宋_GB2312" w:hAnsi="仿宋_GB2312" w:eastAsia="仿宋_GB2312" w:cs="仿宋_GB2312"/>
          <w:color w:val="000000"/>
          <w:sz w:val="32"/>
          <w:szCs w:val="32"/>
          <w:lang w:val="en-US" w:eastAsia="zh-CN"/>
        </w:rPr>
        <w:t>3.90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96.77</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0.13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3.23</w:t>
      </w:r>
      <w:r>
        <w:rPr>
          <w:rFonts w:hint="eastAsia" w:ascii="仿宋_GB2312" w:hAnsi="仿宋_GB2312" w:eastAsia="仿宋_GB2312" w:cs="仿宋_GB2312"/>
          <w:color w:val="000000"/>
          <w:sz w:val="32"/>
          <w:szCs w:val="32"/>
        </w:rPr>
        <w:t>%。具体情况如下：</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drawing>
          <wp:anchor distT="0" distB="0" distL="114300" distR="114300" simplePos="0" relativeHeight="251673600" behindDoc="1" locked="0" layoutInCell="1" allowOverlap="1">
            <wp:simplePos x="0" y="0"/>
            <wp:positionH relativeFrom="column">
              <wp:posOffset>385445</wp:posOffset>
            </wp:positionH>
            <wp:positionV relativeFrom="paragraph">
              <wp:posOffset>-85090</wp:posOffset>
            </wp:positionV>
            <wp:extent cx="4572000" cy="2743200"/>
            <wp:effectExtent l="4445" t="4445" r="14605" b="14605"/>
            <wp:wrapTight wrapText="bothSides">
              <wp:wrapPolygon>
                <wp:start x="-21" y="-35"/>
                <wp:lineTo x="-21" y="21565"/>
                <wp:lineTo x="21579" y="21565"/>
                <wp:lineTo x="21579" y="-35"/>
                <wp:lineTo x="-21" y="-35"/>
              </wp:wrapPolygon>
            </wp:wrapTight>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1609" w:firstLineChars="503"/>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（图7：“三公”经费财政拨款支出结构）</w:t>
      </w:r>
      <w:r>
        <w:rPr>
          <w:rFonts w:hint="eastAsia" w:ascii="仿宋_GB2312" w:hAnsi="仿宋_GB2312" w:eastAsia="仿宋_GB2312" w:cs="仿宋_GB2312"/>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因公出国（境）经费支出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公务用车购置及运行维护费支出</w:t>
      </w:r>
      <w:r>
        <w:rPr>
          <w:rFonts w:hint="eastAsia" w:ascii="仿宋_GB2312" w:hAnsi="仿宋_GB2312" w:eastAsia="仿宋_GB2312" w:cs="仿宋_GB2312"/>
          <w:b w:val="0"/>
          <w:bCs w:val="0"/>
          <w:color w:val="000000"/>
          <w:sz w:val="32"/>
          <w:szCs w:val="32"/>
          <w:lang w:val="en-US" w:eastAsia="zh-CN"/>
        </w:rPr>
        <w:t>3.90</w:t>
      </w:r>
      <w:r>
        <w:rPr>
          <w:rFonts w:hint="eastAsia" w:ascii="仿宋_GB2312" w:hAnsi="仿宋_GB2312" w:eastAsia="仿宋_GB2312" w:cs="仿宋_GB2312"/>
          <w:b w:val="0"/>
          <w:bCs w:val="0"/>
          <w:color w:val="000000"/>
          <w:sz w:val="32"/>
          <w:szCs w:val="32"/>
        </w:rPr>
        <w:t>万元,</w:t>
      </w:r>
      <w:r>
        <w:rPr>
          <w:rStyle w:val="15"/>
          <w:rFonts w:hint="eastAsia" w:ascii="仿宋_GB2312" w:hAnsi="仿宋_GB2312" w:eastAsia="仿宋_GB2312" w:cs="仿宋_GB2312"/>
          <w:b w:val="0"/>
          <w:bCs w:val="0"/>
          <w:color w:val="000000"/>
          <w:sz w:val="32"/>
          <w:szCs w:val="32"/>
        </w:rPr>
        <w:t>完成预算</w:t>
      </w:r>
      <w:r>
        <w:rPr>
          <w:rStyle w:val="15"/>
          <w:rFonts w:hint="eastAsia" w:ascii="仿宋_GB2312" w:hAnsi="仿宋_GB2312" w:eastAsia="仿宋_GB2312" w:cs="仿宋_GB2312"/>
          <w:b w:val="0"/>
          <w:bCs w:val="0"/>
          <w:color w:val="000000"/>
          <w:sz w:val="32"/>
          <w:szCs w:val="32"/>
          <w:lang w:val="en-US" w:eastAsia="zh-CN"/>
        </w:rPr>
        <w:t>11.14</w:t>
      </w:r>
      <w:r>
        <w:rPr>
          <w:rStyle w:val="15"/>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公务用车购置及运行维护费支出决算比201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年减少</w:t>
      </w:r>
      <w:r>
        <w:rPr>
          <w:rFonts w:hint="eastAsia" w:ascii="仿宋_GB2312" w:hAnsi="仿宋_GB2312" w:eastAsia="仿宋_GB2312" w:cs="仿宋_GB2312"/>
          <w:b w:val="0"/>
          <w:bCs w:val="0"/>
          <w:color w:val="000000"/>
          <w:sz w:val="32"/>
          <w:szCs w:val="32"/>
          <w:lang w:val="en-US" w:eastAsia="zh-CN"/>
        </w:rPr>
        <w:t>1.52</w:t>
      </w:r>
      <w:r>
        <w:rPr>
          <w:rFonts w:hint="eastAsia" w:ascii="仿宋_GB2312" w:hAnsi="仿宋_GB2312" w:eastAsia="仿宋_GB2312" w:cs="仿宋_GB2312"/>
          <w:b w:val="0"/>
          <w:bCs w:val="0"/>
          <w:color w:val="000000"/>
          <w:sz w:val="32"/>
          <w:szCs w:val="32"/>
        </w:rPr>
        <w:t>万元，下降</w:t>
      </w:r>
      <w:r>
        <w:rPr>
          <w:rFonts w:hint="eastAsia" w:ascii="仿宋_GB2312" w:hAnsi="仿宋_GB2312" w:eastAsia="仿宋_GB2312" w:cs="仿宋_GB2312"/>
          <w:b w:val="0"/>
          <w:bCs w:val="0"/>
          <w:color w:val="000000"/>
          <w:sz w:val="32"/>
          <w:szCs w:val="32"/>
          <w:lang w:val="en-US" w:eastAsia="zh-CN"/>
        </w:rPr>
        <w:t>28.04</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eastAsia="zh-CN"/>
        </w:rPr>
        <w:t>厉行节约。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其中：</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公务用车购置支出。截至20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年12月底，单位共有公务用车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辆，其中：应急保障用车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b w:val="0"/>
          <w:bCs w:val="0"/>
          <w:color w:val="000000"/>
          <w:sz w:val="32"/>
          <w:szCs w:val="32"/>
          <w:lang w:val="en-US" w:eastAsia="zh-CN"/>
        </w:rPr>
        <w:t>3.90</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精准扶贫、赴上级财政部门及各区市县财政局交流</w:t>
      </w:r>
      <w:r>
        <w:rPr>
          <w:rFonts w:hint="eastAsia" w:ascii="仿宋_GB2312" w:hAnsi="仿宋_GB2312" w:eastAsia="仿宋_GB2312" w:cs="仿宋_GB2312"/>
          <w:b w:val="0"/>
          <w:bCs w:val="0"/>
          <w:color w:val="000000"/>
          <w:sz w:val="32"/>
          <w:szCs w:val="32"/>
        </w:rPr>
        <w:t>等</w:t>
      </w:r>
      <w:r>
        <w:rPr>
          <w:rFonts w:hint="eastAsia" w:ascii="仿宋_GB2312" w:hAnsi="仿宋_GB2312" w:eastAsia="仿宋_GB2312" w:cs="仿宋_GB2312"/>
          <w:b w:val="0"/>
          <w:bCs w:val="0"/>
          <w:color w:val="000000"/>
          <w:sz w:val="32"/>
          <w:szCs w:val="32"/>
          <w:lang w:eastAsia="zh-CN"/>
        </w:rPr>
        <w:t>工作</w:t>
      </w:r>
      <w:r>
        <w:rPr>
          <w:rFonts w:hint="eastAsia" w:ascii="仿宋_GB2312" w:hAnsi="仿宋_GB2312" w:eastAsia="仿宋_GB2312" w:cs="仿宋_GB2312"/>
          <w:b w:val="0"/>
          <w:bCs w:val="0"/>
          <w:color w:val="000000"/>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color w:val="000000"/>
          <w:sz w:val="32"/>
          <w:szCs w:val="32"/>
          <w:lang w:val="en-US" w:eastAsia="zh-CN"/>
        </w:rPr>
        <w:t>0.13</w:t>
      </w:r>
      <w:r>
        <w:rPr>
          <w:rFonts w:hint="eastAsia" w:ascii="仿宋_GB2312" w:hAnsi="仿宋_GB2312" w:eastAsia="仿宋_GB2312" w:cs="仿宋_GB2312"/>
          <w:b w:val="0"/>
          <w:bCs w:val="0"/>
          <w:color w:val="000000"/>
          <w:sz w:val="32"/>
          <w:szCs w:val="32"/>
        </w:rPr>
        <w:t>万元，</w:t>
      </w:r>
      <w:r>
        <w:rPr>
          <w:rStyle w:val="15"/>
          <w:rFonts w:hint="eastAsia" w:ascii="仿宋_GB2312" w:hAnsi="仿宋_GB2312" w:eastAsia="仿宋_GB2312" w:cs="仿宋_GB2312"/>
          <w:b w:val="0"/>
          <w:bCs w:val="0"/>
          <w:color w:val="000000"/>
          <w:sz w:val="32"/>
          <w:szCs w:val="32"/>
        </w:rPr>
        <w:t>完成预算</w:t>
      </w:r>
      <w:r>
        <w:rPr>
          <w:rStyle w:val="15"/>
          <w:rFonts w:hint="eastAsia" w:ascii="仿宋_GB2312" w:hAnsi="仿宋_GB2312" w:eastAsia="仿宋_GB2312" w:cs="仿宋_GB2312"/>
          <w:b w:val="0"/>
          <w:bCs w:val="0"/>
          <w:color w:val="000000"/>
          <w:sz w:val="32"/>
          <w:szCs w:val="32"/>
          <w:lang w:val="en-US" w:eastAsia="zh-CN"/>
        </w:rPr>
        <w:t>0.81</w:t>
      </w:r>
      <w:r>
        <w:rPr>
          <w:rStyle w:val="15"/>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公务接待费支出决算比201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减少</w:t>
      </w:r>
      <w:r>
        <w:rPr>
          <w:rFonts w:hint="eastAsia" w:ascii="仿宋_GB2312" w:hAnsi="仿宋_GB2312" w:eastAsia="仿宋_GB2312" w:cs="仿宋_GB2312"/>
          <w:b w:val="0"/>
          <w:bCs w:val="0"/>
          <w:color w:val="000000"/>
          <w:sz w:val="32"/>
          <w:szCs w:val="32"/>
          <w:lang w:val="en-US" w:eastAsia="zh-CN"/>
        </w:rPr>
        <w:t>0.91</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，下降</w:t>
      </w:r>
      <w:r>
        <w:rPr>
          <w:rFonts w:hint="eastAsia" w:ascii="仿宋_GB2312" w:hAnsi="仿宋_GB2312" w:eastAsia="仿宋_GB2312" w:cs="仿宋_GB2312"/>
          <w:b w:val="0"/>
          <w:bCs w:val="0"/>
          <w:color w:val="000000"/>
          <w:sz w:val="32"/>
          <w:szCs w:val="32"/>
          <w:lang w:val="en-US" w:eastAsia="zh-CN"/>
        </w:rPr>
        <w:t>87.50%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auto"/>
          <w:sz w:val="32"/>
          <w:szCs w:val="32"/>
        </w:rPr>
        <w:t>主要原因是</w:t>
      </w:r>
      <w:r>
        <w:rPr>
          <w:rFonts w:hint="eastAsia" w:ascii="仿宋_GB2312" w:hAnsi="仿宋_GB2312" w:eastAsia="仿宋_GB2312" w:cs="仿宋_GB2312"/>
          <w:b w:val="0"/>
          <w:bCs w:val="0"/>
          <w:color w:val="auto"/>
          <w:sz w:val="32"/>
          <w:szCs w:val="32"/>
          <w:lang w:eastAsia="zh-CN"/>
        </w:rPr>
        <w:t>疫情期间接待减少。其中：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0.13</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auto"/>
          <w:sz w:val="32"/>
          <w:szCs w:val="32"/>
        </w:rPr>
        <w:t>主要用于</w:t>
      </w:r>
      <w:r>
        <w:rPr>
          <w:rFonts w:hint="eastAsia" w:ascii="仿宋_GB2312" w:hAnsi="仿宋_GB2312" w:eastAsia="仿宋_GB2312" w:cs="仿宋_GB2312"/>
          <w:b w:val="0"/>
          <w:bCs w:val="0"/>
          <w:color w:val="auto"/>
          <w:sz w:val="32"/>
          <w:szCs w:val="32"/>
          <w:lang w:eastAsia="zh-CN"/>
        </w:rPr>
        <w:t>区市县财政局交流学习</w:t>
      </w:r>
      <w:r>
        <w:rPr>
          <w:rFonts w:hint="eastAsia" w:ascii="仿宋_GB2312" w:hAnsi="仿宋_GB2312" w:eastAsia="仿宋_GB2312" w:cs="仿宋_GB2312"/>
          <w:b w:val="0"/>
          <w:bCs w:val="0"/>
          <w:color w:val="auto"/>
          <w:sz w:val="32"/>
          <w:szCs w:val="32"/>
        </w:rPr>
        <w:t>。国内公务接待</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批次，</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人次（不包括陪同人员），共计支出</w:t>
      </w:r>
      <w:r>
        <w:rPr>
          <w:rFonts w:hint="eastAsia" w:ascii="仿宋_GB2312" w:hAnsi="仿宋_GB2312" w:eastAsia="仿宋_GB2312" w:cs="仿宋_GB2312"/>
          <w:b w:val="0"/>
          <w:bCs w:val="0"/>
          <w:color w:val="auto"/>
          <w:sz w:val="32"/>
          <w:szCs w:val="32"/>
          <w:lang w:val="en-US" w:eastAsia="zh-CN"/>
        </w:rPr>
        <w:t>0.13</w:t>
      </w:r>
      <w:r>
        <w:rPr>
          <w:rFonts w:hint="eastAsia" w:ascii="仿宋_GB2312" w:hAnsi="仿宋_GB2312" w:eastAsia="仿宋_GB2312" w:cs="仿宋_GB2312"/>
          <w:b w:val="0"/>
          <w:bCs w:val="0"/>
          <w:color w:val="auto"/>
          <w:sz w:val="32"/>
          <w:szCs w:val="32"/>
        </w:rPr>
        <w:t>万元，具体内容包括：</w:t>
      </w:r>
      <w:r>
        <w:rPr>
          <w:rFonts w:hint="eastAsia" w:ascii="仿宋_GB2312" w:hAnsi="仿宋_GB2312" w:eastAsia="仿宋_GB2312" w:cs="仿宋_GB2312"/>
          <w:b w:val="0"/>
          <w:bCs w:val="0"/>
          <w:color w:val="auto"/>
          <w:sz w:val="32"/>
          <w:szCs w:val="32"/>
          <w:lang w:eastAsia="zh-CN"/>
        </w:rPr>
        <w:t>区市县财政局交流学习等</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外事接待支出</w:t>
      </w:r>
    </w:p>
    <w:p>
      <w:pPr>
        <w:keepNext w:val="0"/>
        <w:keepLines w:val="0"/>
        <w:pageBreakBefore w:val="0"/>
        <w:widowControl w:val="0"/>
        <w:kinsoku/>
        <w:wordWrap/>
        <w:overflowPunct/>
        <w:topLinePunct w:val="0"/>
        <w:bidi w:val="0"/>
        <w:snapToGrid/>
        <w:spacing w:line="600" w:lineRule="exact"/>
        <w:ind w:firstLine="640"/>
        <w:textAlignment w:val="auto"/>
        <w:outlineLvl w:val="1"/>
        <w:rPr>
          <w:rStyle w:val="26"/>
          <w:rFonts w:hint="eastAsia" w:ascii="黑体" w:hAnsi="黑体" w:eastAsia="黑体" w:cs="黑体"/>
        </w:rPr>
      </w:pPr>
      <w:bookmarkStart w:id="46" w:name="_Toc15396610"/>
      <w:bookmarkStart w:id="47" w:name="_Toc15377218"/>
      <w:r>
        <w:rPr>
          <w:rFonts w:hint="eastAsia" w:ascii="黑体" w:hAnsi="黑体" w:eastAsia="黑体" w:cs="黑体"/>
          <w:color w:val="000000"/>
          <w:sz w:val="32"/>
          <w:szCs w:val="32"/>
        </w:rPr>
        <w:t>八、</w:t>
      </w:r>
      <w:r>
        <w:rPr>
          <w:rStyle w:val="26"/>
          <w:rFonts w:hint="eastAsia" w:ascii="黑体" w:hAnsi="黑体" w:eastAsia="黑体" w:cs="黑体"/>
          <w:b w:val="0"/>
        </w:rPr>
        <w:t>政府性基金预算支出决算情况说明</w:t>
      </w:r>
      <w:bookmarkEnd w:id="46"/>
      <w:bookmarkEnd w:id="47"/>
    </w:p>
    <w:p>
      <w:pPr>
        <w:keepNext w:val="0"/>
        <w:keepLines w:val="0"/>
        <w:pageBreakBefore w:val="0"/>
        <w:widowControl w:val="0"/>
        <w:kinsoku/>
        <w:wordWrap/>
        <w:overflowPunct/>
        <w:topLinePunct w:val="0"/>
        <w:bidi w:val="0"/>
        <w:snapToGrid/>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7.76</w:t>
      </w:r>
      <w:r>
        <w:rPr>
          <w:rFonts w:hint="eastAsia" w:ascii="仿宋_GB2312" w:eastAsia="仿宋_GB2312"/>
          <w:color w:val="000000"/>
          <w:sz w:val="32"/>
          <w:szCs w:val="32"/>
        </w:rPr>
        <w:t>万元。</w:t>
      </w:r>
    </w:p>
    <w:p>
      <w:pPr>
        <w:keepNext w:val="0"/>
        <w:keepLines w:val="0"/>
        <w:pageBreakBefore w:val="0"/>
        <w:widowControl w:val="0"/>
        <w:numPr>
          <w:ilvl w:val="0"/>
          <w:numId w:val="2"/>
        </w:numPr>
        <w:kinsoku/>
        <w:wordWrap/>
        <w:overflowPunct/>
        <w:topLinePunct w:val="0"/>
        <w:bidi w:val="0"/>
        <w:snapToGrid/>
        <w:spacing w:line="600" w:lineRule="exact"/>
        <w:ind w:firstLine="640"/>
        <w:textAlignment w:val="auto"/>
        <w:outlineLvl w:val="1"/>
        <w:rPr>
          <w:rStyle w:val="26"/>
          <w:rFonts w:hint="eastAsia" w:ascii="黑体" w:hAnsi="黑体" w:eastAsia="黑体" w:cs="黑体"/>
          <w:b w:val="0"/>
        </w:rPr>
      </w:pPr>
      <w:bookmarkStart w:id="48" w:name="_Toc15396611"/>
      <w:bookmarkStart w:id="49" w:name="_Toc15377219"/>
      <w:r>
        <w:rPr>
          <w:rStyle w:val="26"/>
          <w:rFonts w:hint="eastAsia" w:ascii="黑体" w:hAnsi="黑体" w:eastAsia="黑体" w:cs="黑体"/>
          <w:b w:val="0"/>
        </w:rPr>
        <w:t>国有资本经营预算支出决算情况说明</w:t>
      </w:r>
      <w:bookmarkEnd w:id="48"/>
      <w:bookmarkEnd w:id="49"/>
    </w:p>
    <w:p>
      <w:pPr>
        <w:keepNext w:val="0"/>
        <w:keepLines w:val="0"/>
        <w:pageBreakBefore w:val="0"/>
        <w:widowControl w:val="0"/>
        <w:kinsoku/>
        <w:wordWrap/>
        <w:overflowPunct/>
        <w:topLinePunct w:val="0"/>
        <w:bidi w:val="0"/>
        <w:snapToGrid/>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Style w:val="26"/>
          <w:rFonts w:hint="eastAsia" w:ascii="黑体" w:hAnsi="黑体" w:eastAsia="黑体" w:cs="黑体"/>
        </w:rPr>
      </w:pPr>
      <w:bookmarkStart w:id="50" w:name="_Toc15396612"/>
      <w:bookmarkStart w:id="51" w:name="_Toc15377221"/>
      <w:r>
        <w:rPr>
          <w:rFonts w:hint="eastAsia" w:ascii="黑体" w:hAnsi="黑体" w:eastAsia="黑体" w:cs="黑体"/>
          <w:color w:val="000000"/>
          <w:sz w:val="32"/>
          <w:szCs w:val="32"/>
        </w:rPr>
        <w:t>十</w:t>
      </w:r>
      <w:r>
        <w:rPr>
          <w:rStyle w:val="26"/>
          <w:rFonts w:hint="eastAsia" w:ascii="黑体" w:hAnsi="黑体" w:eastAsia="黑体" w:cs="黑体"/>
        </w:rPr>
        <w:t>、</w:t>
      </w:r>
      <w:r>
        <w:rPr>
          <w:rStyle w:val="26"/>
          <w:rFonts w:hint="eastAsia" w:ascii="黑体" w:hAnsi="黑体" w:eastAsia="黑体" w:cs="黑体"/>
          <w:b w:val="0"/>
        </w:rPr>
        <w:t>其他重要事项的情况说明</w:t>
      </w:r>
      <w:bookmarkEnd w:id="50"/>
      <w:bookmarkEnd w:id="51"/>
    </w:p>
    <w:p>
      <w:pPr>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52" w:name="_Toc15377222"/>
      <w:r>
        <w:rPr>
          <w:rFonts w:hint="eastAsia" w:ascii="楷体_GB2312" w:hAnsi="楷体_GB2312" w:eastAsia="楷体_GB2312" w:cs="楷体_GB2312"/>
          <w:b w:val="0"/>
          <w:bCs/>
          <w:color w:val="000000"/>
          <w:sz w:val="32"/>
          <w:szCs w:val="32"/>
        </w:rPr>
        <w:t>（一）机关运行经费支出情况</w:t>
      </w:r>
      <w:bookmarkEnd w:id="52"/>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峨眉山市财政局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146.76万元187.04</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40.28</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下降</w:t>
      </w:r>
      <w:r>
        <w:rPr>
          <w:rFonts w:hint="eastAsia" w:ascii="仿宋_GB2312" w:eastAsia="仿宋_GB2312"/>
          <w:color w:val="auto"/>
          <w:sz w:val="32"/>
          <w:szCs w:val="32"/>
          <w:lang w:val="en-US" w:eastAsia="zh-CN"/>
        </w:rPr>
        <w:t>21.54</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厉行节约。</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color w:val="auto"/>
          <w:sz w:val="32"/>
          <w:szCs w:val="32"/>
        </w:rPr>
      </w:pPr>
      <w:bookmarkStart w:id="53" w:name="_Toc15377223"/>
      <w:r>
        <w:rPr>
          <w:rFonts w:hint="eastAsia" w:ascii="楷体_GB2312" w:hAnsi="楷体_GB2312" w:eastAsia="楷体_GB2312" w:cs="楷体_GB2312"/>
          <w:b w:val="0"/>
          <w:bCs/>
          <w:color w:val="auto"/>
          <w:sz w:val="32"/>
          <w:szCs w:val="32"/>
        </w:rPr>
        <w:t>（二）政府采购支出情况</w:t>
      </w:r>
      <w:bookmarkEnd w:id="53"/>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b/>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auto"/>
          <w:sz w:val="32"/>
          <w:szCs w:val="32"/>
          <w:lang w:eastAsia="zh-CN"/>
        </w:rPr>
        <w:t>峨眉山市财政局政府采购支出总额</w:t>
      </w:r>
      <w:r>
        <w:rPr>
          <w:rFonts w:hint="eastAsia" w:ascii="仿宋_GB2312" w:eastAsia="仿宋_GB2312"/>
          <w:color w:val="auto"/>
          <w:sz w:val="32"/>
          <w:szCs w:val="32"/>
          <w:lang w:val="en-US" w:eastAsia="zh-CN"/>
        </w:rPr>
        <w:t>237.00万元，全部为政府采购服务支出，</w:t>
      </w:r>
      <w:r>
        <w:rPr>
          <w:rFonts w:hint="eastAsia" w:ascii="仿宋_GB2312" w:eastAsia="仿宋_GB2312"/>
          <w:color w:val="000000" w:themeColor="text1"/>
          <w:sz w:val="32"/>
          <w:szCs w:val="32"/>
          <w:lang w:val="en-US" w:eastAsia="zh-CN"/>
        </w:rPr>
        <w:t>主要用于委托咨询公司对峨眉山市经济建设提供财政管理、国企管理和融资、申请地方政府专项债券等咨询服务</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4" w:name="_Toc15377224"/>
      <w:r>
        <w:rPr>
          <w:rFonts w:hint="eastAsia" w:ascii="楷体_GB2312" w:hAnsi="楷体_GB2312" w:eastAsia="楷体_GB2312" w:cs="楷体_GB2312"/>
          <w:b w:val="0"/>
          <w:bCs/>
          <w:color w:val="000000"/>
          <w:sz w:val="32"/>
          <w:szCs w:val="32"/>
        </w:rPr>
        <w:t>（三）国有资产占有使用情况</w:t>
      </w:r>
      <w:bookmarkEnd w:id="54"/>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峨眉山市财政局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（四）预算绩效管理情况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财政监督检查业务费、财政信息系统运行维护费、纪委监察派驻机构工作经费、财政专项业务经费、国库集中支付电子化经费、金融办业务费、全市企业财务信息统计工作经费、全市债权债务管理专项经费、全市执法执勤车信息管理系统建设及运维费等九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eastAsia="zh-CN"/>
        </w:rPr>
        <w:t>上述九</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预算执行过程中，</w:t>
      </w:r>
      <w:r>
        <w:rPr>
          <w:rFonts w:hint="eastAsia" w:ascii="仿宋_GB2312" w:hAnsi="仿宋_GB2312" w:eastAsia="仿宋_GB2312" w:cs="仿宋_GB2312"/>
          <w:sz w:val="32"/>
          <w:szCs w:val="32"/>
          <w:lang w:eastAsia="zh-CN"/>
        </w:rPr>
        <w:t>对上述九</w:t>
      </w:r>
      <w:r>
        <w:rPr>
          <w:rFonts w:hint="eastAsia" w:ascii="仿宋_GB2312" w:hAnsi="仿宋_GB2312" w:eastAsia="仿宋_GB2312" w:cs="仿宋_GB2312"/>
          <w:sz w:val="32"/>
          <w:szCs w:val="32"/>
        </w:rPr>
        <w:t>个项目开展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绩效监控。</w:t>
      </w:r>
      <w:bookmarkStart w:id="73" w:name="_GoBack"/>
      <w:bookmarkEnd w:id="7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整体支出开展绩效自评，从评价情况来看峨眉山市财政局20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年度财政拨款收入总计1</w:t>
      </w:r>
      <w:r>
        <w:rPr>
          <w:rFonts w:hint="eastAsia" w:ascii="仿宋_GB2312" w:hAnsi="仿宋_GB2312" w:eastAsia="仿宋_GB2312" w:cs="仿宋_GB2312"/>
          <w:sz w:val="32"/>
          <w:szCs w:val="32"/>
          <w:lang w:val="en-US" w:eastAsia="zh-CN"/>
        </w:rPr>
        <w:t>214.72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年相比，财政拨款收入总计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235.55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16.24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年度财政拨款支出总计</w:t>
      </w:r>
      <w:r>
        <w:rPr>
          <w:rFonts w:hint="eastAsia" w:ascii="仿宋_GB2312" w:hAnsi="仿宋_GB2312" w:eastAsia="仿宋_GB2312" w:cs="仿宋_GB2312"/>
          <w:sz w:val="32"/>
          <w:szCs w:val="32"/>
          <w:lang w:val="en-US" w:eastAsia="zh-CN"/>
        </w:rPr>
        <w:t>1214.72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年相比，财政拨款支出总计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235.55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16.24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年一般公共预算财政拨款支出12</w:t>
      </w:r>
      <w:r>
        <w:rPr>
          <w:rFonts w:hint="eastAsia" w:ascii="仿宋_GB2312" w:hAnsi="仿宋_GB2312" w:eastAsia="仿宋_GB2312" w:cs="仿宋_GB2312"/>
          <w:sz w:val="32"/>
          <w:szCs w:val="32"/>
          <w:lang w:val="en-US" w:eastAsia="zh-CN"/>
        </w:rPr>
        <w:t>06.96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1097.88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支出49.92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12.19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农林水</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住房保障支出</w:t>
      </w:r>
      <w:r>
        <w:rPr>
          <w:rFonts w:hint="eastAsia" w:ascii="仿宋_GB2312" w:hAnsi="仿宋_GB2312" w:eastAsia="仿宋_GB2312" w:cs="仿宋_GB2312"/>
          <w:color w:val="000000" w:themeColor="text1"/>
          <w:sz w:val="32"/>
          <w:szCs w:val="32"/>
          <w:lang w:val="en-US" w:eastAsia="zh-CN"/>
        </w:rPr>
        <w:t>43.97</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3.64</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年使用政府性基金预算财政拨款支出</w:t>
      </w:r>
      <w:r>
        <w:rPr>
          <w:rFonts w:hint="eastAsia" w:ascii="仿宋_GB2312" w:hAnsi="仿宋_GB2312" w:eastAsia="仿宋_GB2312" w:cs="仿宋_GB2312"/>
          <w:sz w:val="32"/>
          <w:szCs w:val="32"/>
          <w:lang w:val="en-US" w:eastAsia="zh-CN"/>
        </w:rPr>
        <w:t>7.76</w:t>
      </w:r>
      <w:r>
        <w:rPr>
          <w:rFonts w:hint="eastAsia" w:ascii="仿宋_GB2312" w:hAnsi="仿宋_GB2312" w:eastAsia="仿宋_GB2312" w:cs="仿宋_GB2312"/>
          <w:sz w:val="32"/>
          <w:szCs w:val="32"/>
        </w:rPr>
        <w:t>万元。</w:t>
      </w:r>
    </w:p>
    <w:p>
      <w:pPr>
        <w:pStyle w:val="2"/>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未组织开展项目支出绩效评价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财政监督检查业务费、财政信息系统运行维护费、纪委监察派驻机构工作经费、财政专项业务经费、国库集中支付电子化经费、金融办业务费、全市企业财务信息统计工作经费、全市债权债务管理专项经费、全市执法执勤车信息管理系统建设及运维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color w:val="auto"/>
          <w:sz w:val="32"/>
          <w:szCs w:val="32"/>
          <w:lang w:eastAsia="zh-CN"/>
        </w:rPr>
        <w:t>选取以下五个项目进行公开。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纪委监察派驻机构工作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39.00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39.00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w:t>
      </w:r>
      <w:r>
        <w:rPr>
          <w:rFonts w:hint="eastAsia" w:ascii="仿宋_GB2312" w:hAnsi="仿宋_GB2312" w:eastAsia="仿宋_GB2312" w:cs="仿宋_GB2312"/>
          <w:sz w:val="32"/>
          <w:szCs w:val="32"/>
          <w:lang w:val="en-US" w:eastAsia="zh-CN"/>
        </w:rPr>
        <w:t>保障了</w:t>
      </w:r>
      <w:r>
        <w:rPr>
          <w:rFonts w:hint="eastAsia" w:ascii="仿宋_GB2312" w:hAnsi="仿宋_GB2312" w:eastAsia="仿宋_GB2312" w:cs="仿宋_GB2312"/>
          <w:sz w:val="32"/>
          <w:szCs w:val="32"/>
          <w:lang w:val="zh-CN" w:eastAsia="zh-CN"/>
        </w:rPr>
        <w:t>纪检监察组开展日常监督、专项监督、办案等工作的开展。</w:t>
      </w:r>
      <w:r>
        <w:rPr>
          <w:rFonts w:hint="eastAsia" w:ascii="仿宋_GB2312" w:hAnsi="仿宋_GB2312" w:eastAsia="仿宋_GB2312" w:cs="仿宋_GB2312"/>
          <w:sz w:val="32"/>
          <w:szCs w:val="32"/>
          <w:lang w:val="en-US" w:eastAsia="zh-CN"/>
        </w:rPr>
        <w:t>纪检监察组开通了网络举报平台，人员日常开支经费得到解决，为开展监督工作打下基础。纪检经费保</w:t>
      </w:r>
      <w:r>
        <w:rPr>
          <w:rFonts w:hint="eastAsia" w:ascii="仿宋_GB2312" w:hAnsi="仿宋_GB2312" w:eastAsia="仿宋_GB2312" w:cs="仿宋_GB2312"/>
          <w:sz w:val="32"/>
          <w:szCs w:val="32"/>
          <w:lang w:val="zh-CN" w:eastAsia="zh-CN"/>
        </w:rPr>
        <w:t>障了纪检机构的正常运转，减少了部门预算支出，提高了纪检工作办事效率。发现的主要问题：党风廉政建设和反腐败工作力度还有待加强。</w:t>
      </w:r>
      <w:r>
        <w:rPr>
          <w:rFonts w:hint="eastAsia" w:ascii="仿宋_GB2312" w:hAnsi="仿宋_GB2312" w:eastAsia="仿宋_GB2312" w:cs="仿宋_GB2312"/>
          <w:sz w:val="32"/>
          <w:szCs w:val="32"/>
          <w:lang w:val="en-US" w:eastAsia="zh-CN"/>
        </w:rPr>
        <w:t>下一步，纪检监察组继续按规定履行好监督执纪问责工作，督促部门落实主体责任，促进单位党风廉政建设和反腐败工作，为各项政策方针在部门落实提供纪律保障。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财政专项业务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140.00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预算的编制和执行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国库改革业务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全面深化；加强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税收工作，拓展税源，财政、</w:t>
      </w:r>
      <w:r>
        <w:rPr>
          <w:rFonts w:hint="eastAsia" w:ascii="仿宋_GB2312" w:hAnsi="仿宋_GB2312" w:eastAsia="仿宋_GB2312" w:cs="仿宋_GB2312"/>
          <w:sz w:val="32"/>
          <w:szCs w:val="32"/>
          <w:lang w:eastAsia="zh-CN"/>
        </w:rPr>
        <w:t>税务</w:t>
      </w:r>
      <w:r>
        <w:rPr>
          <w:rFonts w:hint="eastAsia" w:ascii="仿宋_GB2312" w:hAnsi="仿宋_GB2312" w:eastAsia="仿宋_GB2312" w:cs="仿宋_GB2312"/>
          <w:sz w:val="32"/>
          <w:szCs w:val="32"/>
        </w:rPr>
        <w:t>工作全面对接；进一步推进农村综合改革，认真完成“精准扶贫”工作保障</w:t>
      </w:r>
      <w:r>
        <w:rPr>
          <w:rFonts w:hint="eastAsia" w:ascii="仿宋_GB2312" w:hAnsi="仿宋_GB2312" w:eastAsia="仿宋_GB2312" w:cs="仿宋_GB2312"/>
          <w:sz w:val="32"/>
          <w:szCs w:val="32"/>
          <w:lang w:eastAsia="zh-CN"/>
        </w:rPr>
        <w:t>。发现的主要问题：预算的编制不够细致，国库集中支付模式急需改革。下一步，我们将继续</w:t>
      </w:r>
      <w:r>
        <w:rPr>
          <w:rFonts w:hint="eastAsia" w:ascii="仿宋_GB2312" w:hAnsi="仿宋_GB2312" w:eastAsia="仿宋_GB2312" w:cs="仿宋_GB2312"/>
          <w:color w:val="000000"/>
          <w:kern w:val="0"/>
          <w:sz w:val="32"/>
          <w:szCs w:val="32"/>
          <w:lang w:val="zh-CN" w:eastAsia="zh-CN" w:bidi="ar-SA"/>
        </w:rPr>
        <w:t>细化预算编制工作；深化国库集中支付电子化业务的改革；加强财务管理，严格财务审核。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全市债权债务管理</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19.69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19.69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了政府债务管理，限额管理、预算管理、债券管理、风险防控、统计分析、考核评价、信息公开和政府隐性债务监管</w:t>
      </w:r>
      <w:r>
        <w:rPr>
          <w:rFonts w:hint="eastAsia" w:ascii="仿宋_GB2312" w:hAnsi="仿宋_GB2312" w:eastAsia="仿宋_GB2312" w:cs="仿宋_GB2312"/>
          <w:sz w:val="32"/>
          <w:szCs w:val="32"/>
          <w:lang w:val="en-US" w:eastAsia="zh-CN"/>
        </w:rPr>
        <w:t>。发现的主要问题：</w:t>
      </w:r>
      <w:r>
        <w:rPr>
          <w:rFonts w:hint="eastAsia" w:ascii="仿宋_GB2312" w:hAnsi="仿宋_GB2312" w:eastAsia="仿宋_GB2312" w:cs="仿宋_GB2312"/>
          <w:sz w:val="32"/>
          <w:szCs w:val="32"/>
          <w:lang w:eastAsia="zh-CN"/>
        </w:rPr>
        <w:t>专项债券生命周期管理机制有待完善。下一步，需进一步压实项目主管部门监管职责，管好用好债券资金的同时，确保项目运营收入顺利实现。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国库集中支付电子化</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据我局国库集中支付电子化管理项目改革需要，通过在财政、人民银行和代理银行三方对等部署含电子凭证库及电子印章系统在内的安全支撑体系，及提供给各方业务系统调用的接口，在不破坏各方现有业务系统数据完整性基础上，各方业务系统通过与电子凭证库衔接，实现对现有电子单据的电子签章和验章，并形成电子凭证。从技术角度和表象来说，就是实现“无纸化”，在财政部门、预算单位、人民银行、代理银行，利用信息网络技术，取消纸质凭证和单据流转，发出电子指令办理财政资金支付及清算业务，实现财政资金安全、高效运行的管理模式。发现的主要问题：国库集中支付改革迫在眉睫，需加快进度。下一步，需加快国库集中支付改革的进度，及早实现财务工作的“电子化”及“无纸化”。</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全市执法执勤车信息管理系统建设及运维费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16.78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通过项目实施，为全市</w:t>
      </w:r>
      <w:r>
        <w:rPr>
          <w:rFonts w:hint="eastAsia" w:ascii="仿宋_GB2312" w:hAnsi="仿宋_GB2312" w:eastAsia="仿宋_GB2312" w:cs="仿宋_GB2312"/>
          <w:sz w:val="32"/>
          <w:szCs w:val="32"/>
          <w:lang w:val="en-US" w:eastAsia="zh-CN"/>
        </w:rPr>
        <w:t xml:space="preserve">94辆公务用车提供北斗车辆位置服务终端，并提供公务用车信息管理平台运营服务，实现对全市执法执勤车的高效、有序管理。发现的主要问题：设备的报修及后续服务还有待加强。下一步，我们将进一步加强与劳务提供方的联系，将全市执法执勤车管理工作完善并落到实处。  </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tbl>
      <w:tblPr>
        <w:tblStyle w:val="13"/>
        <w:tblpPr w:leftFromText="180" w:rightFromText="180" w:vertAnchor="text" w:horzAnchor="page" w:tblpXSpec="center" w:tblpY="423"/>
        <w:tblOverlap w:val="never"/>
        <w:tblW w:w="10125" w:type="dxa"/>
        <w:jc w:val="center"/>
        <w:tblLayout w:type="fixed"/>
        <w:tblCellMar>
          <w:top w:w="0" w:type="dxa"/>
          <w:left w:w="0" w:type="dxa"/>
          <w:bottom w:w="0" w:type="dxa"/>
          <w:right w:w="0" w:type="dxa"/>
        </w:tblCellMar>
      </w:tblPr>
      <w:tblGrid>
        <w:gridCol w:w="775"/>
        <w:gridCol w:w="982"/>
        <w:gridCol w:w="1025"/>
        <w:gridCol w:w="2392"/>
        <w:gridCol w:w="2394"/>
        <w:gridCol w:w="2557"/>
      </w:tblGrid>
      <w:tr>
        <w:tblPrEx>
          <w:tblCellMar>
            <w:top w:w="0" w:type="dxa"/>
            <w:left w:w="0" w:type="dxa"/>
            <w:bottom w:w="0" w:type="dxa"/>
            <w:right w:w="0" w:type="dxa"/>
          </w:tblCellMar>
        </w:tblPrEx>
        <w:trPr>
          <w:trHeight w:val="1223" w:hRule="atLeast"/>
          <w:jc w:val="center"/>
        </w:trPr>
        <w:tc>
          <w:tcPr>
            <w:tcW w:w="1012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项目名称</w:t>
            </w:r>
          </w:p>
        </w:tc>
        <w:tc>
          <w:tcPr>
            <w:tcW w:w="73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eastAsia="zh-CN"/>
              </w:rPr>
              <w:t>纪委监察派驻机构工作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预算单位</w:t>
            </w:r>
          </w:p>
        </w:tc>
        <w:tc>
          <w:tcPr>
            <w:tcW w:w="73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276"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预算执行情况(万元)</w:t>
            </w:r>
          </w:p>
        </w:tc>
        <w:tc>
          <w:tcPr>
            <w:tcW w:w="20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390000.00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执行数:</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390000.00</w:t>
            </w:r>
          </w:p>
        </w:tc>
      </w:tr>
      <w:tr>
        <w:tblPrEx>
          <w:tblCellMar>
            <w:top w:w="0" w:type="dxa"/>
            <w:left w:w="0" w:type="dxa"/>
            <w:bottom w:w="0" w:type="dxa"/>
            <w:right w:w="0" w:type="dxa"/>
          </w:tblCellMar>
        </w:tblPrEx>
        <w:trPr>
          <w:trHeight w:val="276"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0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390000.00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390000.00</w:t>
            </w:r>
          </w:p>
        </w:tc>
      </w:tr>
      <w:tr>
        <w:tblPrEx>
          <w:tblCellMar>
            <w:top w:w="0" w:type="dxa"/>
            <w:left w:w="0" w:type="dxa"/>
            <w:bottom w:w="0" w:type="dxa"/>
            <w:right w:w="0" w:type="dxa"/>
          </w:tblCellMar>
        </w:tblPrEx>
        <w:trPr>
          <w:trHeight w:val="1307"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0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年度目标完成情况</w:t>
            </w:r>
          </w:p>
        </w:tc>
        <w:tc>
          <w:tcPr>
            <w:tcW w:w="43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预期目标</w:t>
            </w:r>
          </w:p>
        </w:tc>
        <w:tc>
          <w:tcPr>
            <w:tcW w:w="49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实际完成目标</w:t>
            </w:r>
          </w:p>
        </w:tc>
      </w:tr>
      <w:tr>
        <w:tblPrEx>
          <w:tblCellMar>
            <w:top w:w="0" w:type="dxa"/>
            <w:left w:w="0" w:type="dxa"/>
            <w:bottom w:w="0" w:type="dxa"/>
            <w:right w:w="0" w:type="dxa"/>
          </w:tblCellMar>
        </w:tblPrEx>
        <w:trPr>
          <w:trHeight w:val="9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43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49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77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预期指标值(包含数字及文字描述)</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实际完成指标值(包含数字及文字描述)</w:t>
            </w:r>
          </w:p>
        </w:tc>
      </w:tr>
      <w:tr>
        <w:tblPrEx>
          <w:tblCellMar>
            <w:top w:w="0" w:type="dxa"/>
            <w:left w:w="0" w:type="dxa"/>
            <w:bottom w:w="0" w:type="dxa"/>
            <w:right w:w="0" w:type="dxa"/>
          </w:tblCellMar>
        </w:tblPrEx>
        <w:trPr>
          <w:trHeight w:val="1163"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7"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957"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保障本单位稽查、检查工作按时完成</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保障本单位稽查、检查工作按时完成</w:t>
            </w:r>
          </w:p>
        </w:tc>
      </w:tr>
      <w:tr>
        <w:tblPrEx>
          <w:tblCellMar>
            <w:top w:w="0" w:type="dxa"/>
            <w:left w:w="0" w:type="dxa"/>
            <w:bottom w:w="0" w:type="dxa"/>
            <w:right w:w="0" w:type="dxa"/>
          </w:tblCellMar>
        </w:tblPrEx>
        <w:trPr>
          <w:trHeight w:val="1057"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r>
      <w:tr>
        <w:tblPrEx>
          <w:tblCellMar>
            <w:top w:w="0" w:type="dxa"/>
            <w:left w:w="0" w:type="dxa"/>
            <w:bottom w:w="0" w:type="dxa"/>
            <w:right w:w="0" w:type="dxa"/>
          </w:tblCellMar>
        </w:tblPrEx>
        <w:trPr>
          <w:trHeight w:val="1182"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133" w:hRule="atLeast"/>
          <w:jc w:val="center"/>
        </w:trPr>
        <w:tc>
          <w:tcPr>
            <w:tcW w:w="1012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529"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3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财政专项业务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3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276"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0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r>
      <w:tr>
        <w:tblPrEx>
          <w:tblCellMar>
            <w:top w:w="0" w:type="dxa"/>
            <w:left w:w="0" w:type="dxa"/>
            <w:bottom w:w="0" w:type="dxa"/>
            <w:right w:w="0" w:type="dxa"/>
          </w:tblCellMar>
        </w:tblPrEx>
        <w:trPr>
          <w:trHeight w:val="276"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0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r>
      <w:tr>
        <w:tblPrEx>
          <w:tblCellMar>
            <w:top w:w="0" w:type="dxa"/>
            <w:left w:w="0" w:type="dxa"/>
            <w:bottom w:w="0" w:type="dxa"/>
            <w:right w:w="0" w:type="dxa"/>
          </w:tblCellMar>
        </w:tblPrEx>
        <w:trPr>
          <w:trHeight w:val="846"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0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9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3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c>
          <w:tcPr>
            <w:tcW w:w="49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77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927"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937"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947"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252" w:hRule="atLeast"/>
          <w:jc w:val="center"/>
        </w:trPr>
        <w:tc>
          <w:tcPr>
            <w:tcW w:w="7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c>
          <w:tcPr>
            <w:tcW w:w="2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r>
    </w:tbl>
    <w:tbl>
      <w:tblPr>
        <w:tblStyle w:val="13"/>
        <w:tblpPr w:leftFromText="180" w:rightFromText="180" w:vertAnchor="text" w:horzAnchor="page" w:tblpX="1284" w:tblpY="-39"/>
        <w:tblOverlap w:val="never"/>
        <w:tblW w:w="9960" w:type="dxa"/>
        <w:jc w:val="center"/>
        <w:tblLayout w:type="fixed"/>
        <w:tblCellMar>
          <w:top w:w="0" w:type="dxa"/>
          <w:left w:w="0" w:type="dxa"/>
          <w:bottom w:w="0" w:type="dxa"/>
          <w:right w:w="0" w:type="dxa"/>
        </w:tblCellMar>
      </w:tblPr>
      <w:tblGrid>
        <w:gridCol w:w="810"/>
        <w:gridCol w:w="94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全市债权债务管理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276"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r>
      <w:tr>
        <w:tblPrEx>
          <w:tblCellMar>
            <w:top w:w="0" w:type="dxa"/>
            <w:left w:w="0" w:type="dxa"/>
            <w:bottom w:w="0" w:type="dxa"/>
            <w:right w:w="0" w:type="dxa"/>
          </w:tblCellMar>
        </w:tblPrEx>
        <w:trPr>
          <w:trHeight w:val="276"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9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r>
      <w:tr>
        <w:tblPrEx>
          <w:tblCellMar>
            <w:top w:w="0" w:type="dxa"/>
            <w:left w:w="0" w:type="dxa"/>
            <w:bottom w:w="0" w:type="dxa"/>
            <w:right w:w="0" w:type="dxa"/>
          </w:tblCellMar>
        </w:tblPrEx>
        <w:trPr>
          <w:trHeight w:val="731"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9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3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r>
      <w:tr>
        <w:tblPrEx>
          <w:tblCellMar>
            <w:top w:w="0" w:type="dxa"/>
            <w:left w:w="0" w:type="dxa"/>
            <w:bottom w:w="0" w:type="dxa"/>
            <w:right w:w="0" w:type="dxa"/>
          </w:tblCellMar>
        </w:tblPrEx>
        <w:trPr>
          <w:trHeight w:val="1042" w:hRule="atLeast"/>
          <w:jc w:val="center"/>
        </w:trPr>
        <w:tc>
          <w:tcPr>
            <w:tcW w:w="81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81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r>
      <w:tr>
        <w:tblPrEx>
          <w:tblCellMar>
            <w:top w:w="0" w:type="dxa"/>
            <w:left w:w="0" w:type="dxa"/>
            <w:bottom w:w="0" w:type="dxa"/>
            <w:right w:w="0" w:type="dxa"/>
          </w:tblCellMar>
        </w:tblPrEx>
        <w:trPr>
          <w:trHeight w:val="1297" w:hRule="atLeast"/>
          <w:jc w:val="center"/>
        </w:trPr>
        <w:tc>
          <w:tcPr>
            <w:tcW w:w="81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w:t>
            </w:r>
            <w:r>
              <w:rPr>
                <w:rFonts w:hint="eastAsia" w:ascii="宋体" w:hAnsi="宋体" w:cs="宋体"/>
                <w:color w:val="000000"/>
                <w:sz w:val="24"/>
                <w:lang w:eastAsia="zh-CN"/>
              </w:rPr>
              <w:t>债权债务管理</w:t>
            </w:r>
            <w:r>
              <w:rPr>
                <w:rFonts w:hint="eastAsia" w:ascii="宋体" w:hAnsi="宋体" w:cs="宋体"/>
                <w:color w:val="000000"/>
                <w:sz w:val="24"/>
              </w:rPr>
              <w:t>工作保质保量完成</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w:t>
            </w:r>
            <w:r>
              <w:rPr>
                <w:rFonts w:hint="eastAsia" w:ascii="宋体" w:hAnsi="宋体" w:cs="宋体"/>
                <w:color w:val="000000"/>
                <w:sz w:val="24"/>
                <w:lang w:eastAsia="zh-CN"/>
              </w:rPr>
              <w:t>债权债务管理</w:t>
            </w:r>
            <w:r>
              <w:rPr>
                <w:rFonts w:hint="eastAsia" w:ascii="宋体" w:hAnsi="宋体" w:cs="宋体"/>
                <w:color w:val="000000"/>
                <w:sz w:val="24"/>
              </w:rPr>
              <w:t>工作保质保量完成</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81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及时处理债权债务相关问题</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及时处理债权债务相关问题</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81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管理全市债权债务工作情况，配合上级相关检查</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管理全市债权债务工作情况，配合上级相关检查</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297" w:hRule="atLeast"/>
          <w:jc w:val="center"/>
        </w:trPr>
        <w:tc>
          <w:tcPr>
            <w:tcW w:w="81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保障本单位债权债务工作顺利完成，保障应有的社会效益</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保障本单位债权债务工作顺利完成，保障应有的社会效益</w:t>
            </w:r>
            <w:r>
              <w:rPr>
                <w:rFonts w:hint="eastAsia" w:ascii="宋体" w:hAnsi="宋体" w:cs="宋体"/>
                <w:color w:val="000000"/>
                <w:sz w:val="24"/>
                <w:lang w:eastAsia="zh-CN"/>
              </w:rPr>
              <w:t>。</w:t>
            </w:r>
          </w:p>
        </w:tc>
      </w:tr>
    </w:tbl>
    <w:tbl>
      <w:tblPr>
        <w:tblStyle w:val="13"/>
        <w:tblpPr w:leftFromText="180" w:rightFromText="180" w:vertAnchor="text" w:horzAnchor="page" w:tblpX="1374" w:tblpY="92"/>
        <w:tblOverlap w:val="never"/>
        <w:tblW w:w="9960" w:type="dxa"/>
        <w:jc w:val="center"/>
        <w:tblLayout w:type="fixed"/>
        <w:tblCellMar>
          <w:top w:w="0" w:type="dxa"/>
          <w:left w:w="0" w:type="dxa"/>
          <w:bottom w:w="0" w:type="dxa"/>
          <w:right w:w="0" w:type="dxa"/>
        </w:tblCellMar>
      </w:tblPr>
      <w:tblGrid>
        <w:gridCol w:w="520"/>
        <w:gridCol w:w="1230"/>
        <w:gridCol w:w="1032"/>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国库集中支付电子化</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276" w:hRule="atLeast"/>
          <w:jc w:val="center"/>
        </w:trPr>
        <w:tc>
          <w:tcPr>
            <w:tcW w:w="5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r>
      <w:tr>
        <w:tblPrEx>
          <w:tblCellMar>
            <w:top w:w="0" w:type="dxa"/>
            <w:left w:w="0" w:type="dxa"/>
            <w:bottom w:w="0" w:type="dxa"/>
            <w:right w:w="0" w:type="dxa"/>
          </w:tblCellMar>
        </w:tblPrEx>
        <w:trPr>
          <w:trHeight w:val="276"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r>
      <w:tr>
        <w:tblPrEx>
          <w:tblCellMar>
            <w:top w:w="0" w:type="dxa"/>
            <w:left w:w="0" w:type="dxa"/>
            <w:bottom w:w="0" w:type="dxa"/>
            <w:right w:w="0" w:type="dxa"/>
          </w:tblCellMar>
        </w:tblPrEx>
        <w:trPr>
          <w:trHeight w:val="1616"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27" w:hRule="atLeast"/>
          <w:jc w:val="center"/>
        </w:trPr>
        <w:tc>
          <w:tcPr>
            <w:tcW w:w="5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6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374"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6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r>
      <w:tr>
        <w:tblPrEx>
          <w:tblCellMar>
            <w:top w:w="0" w:type="dxa"/>
            <w:left w:w="0" w:type="dxa"/>
            <w:bottom w:w="0" w:type="dxa"/>
            <w:right w:w="0" w:type="dxa"/>
          </w:tblCellMar>
        </w:tblPrEx>
        <w:trPr>
          <w:trHeight w:val="1147" w:hRule="atLeast"/>
          <w:jc w:val="center"/>
        </w:trPr>
        <w:tc>
          <w:tcPr>
            <w:tcW w:w="5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088" w:hRule="atLeast"/>
          <w:jc w:val="center"/>
        </w:trPr>
        <w:tc>
          <w:tcPr>
            <w:tcW w:w="5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针对国库集中支付电子化改革做前期各项铺垫及准备。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针对国库集中支付电子化改革做前期各项铺垫及准备。</w:t>
            </w:r>
          </w:p>
        </w:tc>
      </w:tr>
      <w:tr>
        <w:tblPrEx>
          <w:tblCellMar>
            <w:top w:w="0" w:type="dxa"/>
            <w:left w:w="0" w:type="dxa"/>
            <w:bottom w:w="0" w:type="dxa"/>
            <w:right w:w="0" w:type="dxa"/>
          </w:tblCellMar>
        </w:tblPrEx>
        <w:trPr>
          <w:trHeight w:val="1432" w:hRule="atLeast"/>
          <w:jc w:val="center"/>
        </w:trPr>
        <w:tc>
          <w:tcPr>
            <w:tcW w:w="5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按要求</w:t>
            </w:r>
            <w:r>
              <w:rPr>
                <w:rFonts w:hint="eastAsia" w:ascii="宋体" w:hAnsi="宋体" w:cs="宋体"/>
                <w:color w:val="000000"/>
                <w:sz w:val="24"/>
                <w:lang w:eastAsia="zh-CN"/>
              </w:rPr>
              <w:t>达到</w:t>
            </w:r>
            <w:r>
              <w:rPr>
                <w:rFonts w:hint="eastAsia" w:ascii="宋体" w:hAnsi="宋体" w:cs="宋体"/>
                <w:color w:val="000000"/>
                <w:sz w:val="24"/>
              </w:rPr>
              <w:t>落实</w:t>
            </w:r>
            <w:r>
              <w:rPr>
                <w:rFonts w:hint="eastAsia" w:ascii="宋体" w:hAnsi="宋体" w:cs="宋体"/>
                <w:color w:val="000000"/>
                <w:sz w:val="24"/>
                <w:lang w:eastAsia="zh-CN"/>
              </w:rPr>
              <w:t>国库集中支付电子化改革办公室硬件要求。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按要求</w:t>
            </w:r>
            <w:r>
              <w:rPr>
                <w:rFonts w:hint="eastAsia" w:ascii="宋体" w:hAnsi="宋体" w:cs="宋体"/>
                <w:color w:val="000000"/>
                <w:sz w:val="24"/>
                <w:lang w:eastAsia="zh-CN"/>
              </w:rPr>
              <w:t>达到</w:t>
            </w:r>
            <w:r>
              <w:rPr>
                <w:rFonts w:hint="eastAsia" w:ascii="宋体" w:hAnsi="宋体" w:cs="宋体"/>
                <w:color w:val="000000"/>
                <w:sz w:val="24"/>
              </w:rPr>
              <w:t>落实</w:t>
            </w:r>
            <w:r>
              <w:rPr>
                <w:rFonts w:hint="eastAsia" w:ascii="宋体" w:hAnsi="宋体" w:cs="宋体"/>
                <w:color w:val="000000"/>
                <w:sz w:val="24"/>
                <w:lang w:eastAsia="zh-CN"/>
              </w:rPr>
              <w:t>国库集中支付电子化改革办公室硬件要求。</w:t>
            </w:r>
          </w:p>
        </w:tc>
      </w:tr>
      <w:tr>
        <w:tblPrEx>
          <w:tblCellMar>
            <w:top w:w="0" w:type="dxa"/>
            <w:left w:w="0" w:type="dxa"/>
            <w:bottom w:w="0" w:type="dxa"/>
            <w:right w:w="0" w:type="dxa"/>
          </w:tblCellMar>
        </w:tblPrEx>
        <w:trPr>
          <w:trHeight w:val="1042" w:hRule="atLeast"/>
          <w:jc w:val="center"/>
        </w:trPr>
        <w:tc>
          <w:tcPr>
            <w:tcW w:w="5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按要求</w:t>
            </w:r>
            <w:r>
              <w:rPr>
                <w:rFonts w:hint="eastAsia" w:ascii="宋体" w:hAnsi="宋体" w:cs="宋体"/>
                <w:color w:val="000000"/>
                <w:sz w:val="24"/>
                <w:lang w:eastAsia="zh-CN"/>
              </w:rPr>
              <w:t>确保覆盖面。</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覆盖面</w:t>
            </w:r>
            <w:r>
              <w:rPr>
                <w:rFonts w:hint="eastAsia" w:ascii="宋体" w:hAnsi="宋体" w:cs="宋体"/>
                <w:color w:val="000000"/>
                <w:sz w:val="24"/>
                <w:lang w:val="en-US" w:eastAsia="zh-CN"/>
              </w:rPr>
              <w:t>100%</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297" w:hRule="atLeast"/>
          <w:jc w:val="center"/>
        </w:trPr>
        <w:tc>
          <w:tcPr>
            <w:tcW w:w="5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实现国库集中支付无纸化，节约各项社会资源。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实现国库集中支付无纸化，节约各项社会资源。</w:t>
            </w:r>
          </w:p>
        </w:tc>
      </w:tr>
    </w:tbl>
    <w:tbl>
      <w:tblPr>
        <w:tblStyle w:val="13"/>
        <w:tblpPr w:leftFromText="180" w:rightFromText="180" w:vertAnchor="text" w:horzAnchor="page" w:tblpX="1225" w:tblpY="107"/>
        <w:tblOverlap w:val="never"/>
        <w:tblW w:w="9860" w:type="dxa"/>
        <w:jc w:val="center"/>
        <w:tblLayout w:type="fixed"/>
        <w:tblCellMar>
          <w:top w:w="0" w:type="dxa"/>
          <w:left w:w="0" w:type="dxa"/>
          <w:bottom w:w="0" w:type="dxa"/>
          <w:right w:w="0" w:type="dxa"/>
        </w:tblCellMar>
      </w:tblPr>
      <w:tblGrid>
        <w:gridCol w:w="653"/>
        <w:gridCol w:w="1085"/>
        <w:gridCol w:w="1016"/>
        <w:gridCol w:w="2367"/>
        <w:gridCol w:w="2369"/>
        <w:gridCol w:w="2370"/>
      </w:tblGrid>
      <w:tr>
        <w:tblPrEx>
          <w:tblCellMar>
            <w:top w:w="0" w:type="dxa"/>
            <w:left w:w="0" w:type="dxa"/>
            <w:bottom w:w="0" w:type="dxa"/>
            <w:right w:w="0" w:type="dxa"/>
          </w:tblCellMar>
        </w:tblPrEx>
        <w:trPr>
          <w:trHeight w:val="1248" w:hRule="atLeast"/>
          <w:jc w:val="center"/>
        </w:trPr>
        <w:tc>
          <w:tcPr>
            <w:tcW w:w="98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641" w:hRule="atLeast"/>
          <w:jc w:val="center"/>
        </w:trPr>
        <w:tc>
          <w:tcPr>
            <w:tcW w:w="27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全市执法执勤车信息管理系统建设及运维费</w:t>
            </w:r>
          </w:p>
        </w:tc>
      </w:tr>
      <w:tr>
        <w:tblPrEx>
          <w:tblCellMar>
            <w:top w:w="0" w:type="dxa"/>
            <w:left w:w="0" w:type="dxa"/>
            <w:bottom w:w="0" w:type="dxa"/>
            <w:right w:w="0" w:type="dxa"/>
          </w:tblCellMar>
        </w:tblPrEx>
        <w:trPr>
          <w:trHeight w:val="333" w:hRule="atLeast"/>
          <w:jc w:val="center"/>
        </w:trPr>
        <w:tc>
          <w:tcPr>
            <w:tcW w:w="27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333"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r>
      <w:tr>
        <w:tblPrEx>
          <w:tblCellMar>
            <w:top w:w="0" w:type="dxa"/>
            <w:left w:w="0" w:type="dxa"/>
            <w:bottom w:w="0" w:type="dxa"/>
            <w:right w:w="0" w:type="dxa"/>
          </w:tblCellMar>
        </w:tblPrEx>
        <w:trPr>
          <w:trHeight w:val="333"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r>
      <w:tr>
        <w:tblPrEx>
          <w:tblCellMar>
            <w:top w:w="0" w:type="dxa"/>
            <w:left w:w="0" w:type="dxa"/>
            <w:bottom w:w="0" w:type="dxa"/>
            <w:right w:w="0" w:type="dxa"/>
          </w:tblCellMar>
        </w:tblPrEx>
        <w:trPr>
          <w:trHeight w:val="1044"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9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73" w:hRule="atLeast"/>
          <w:jc w:val="center"/>
        </w:trPr>
        <w:tc>
          <w:tcPr>
            <w:tcW w:w="653"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46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c>
          <w:tcPr>
            <w:tcW w:w="473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r>
      <w:tr>
        <w:tblPrEx>
          <w:tblCellMar>
            <w:top w:w="0" w:type="dxa"/>
            <w:left w:w="0" w:type="dxa"/>
            <w:bottom w:w="0" w:type="dxa"/>
            <w:right w:w="0" w:type="dxa"/>
          </w:tblCellMar>
        </w:tblPrEx>
        <w:trPr>
          <w:trHeight w:val="1207" w:hRule="atLeast"/>
          <w:jc w:val="center"/>
        </w:trPr>
        <w:tc>
          <w:tcPr>
            <w:tcW w:w="6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178"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建立一个管理系统，实时管理全市的执法执勤车辆。</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建立一个管理系统，实时管理全市的执法执勤车辆。</w:t>
            </w:r>
          </w:p>
        </w:tc>
      </w:tr>
      <w:tr>
        <w:tblPrEx>
          <w:tblCellMar>
            <w:top w:w="0" w:type="dxa"/>
            <w:left w:w="0" w:type="dxa"/>
            <w:bottom w:w="0" w:type="dxa"/>
            <w:right w:w="0" w:type="dxa"/>
          </w:tblCellMar>
        </w:tblPrEx>
        <w:trPr>
          <w:trHeight w:val="1459"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安装北斗车辆位置服务终端。</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94套</w:t>
            </w:r>
          </w:p>
        </w:tc>
      </w:tr>
      <w:tr>
        <w:tblPrEx>
          <w:tblCellMar>
            <w:top w:w="0" w:type="dxa"/>
            <w:left w:w="0" w:type="dxa"/>
            <w:bottom w:w="0" w:type="dxa"/>
            <w:right w:w="0" w:type="dxa"/>
          </w:tblCellMar>
        </w:tblPrEx>
        <w:trPr>
          <w:trHeight w:val="1177"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建立管理平台系统。</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1个</w:t>
            </w:r>
          </w:p>
        </w:tc>
      </w:tr>
      <w:tr>
        <w:tblPrEx>
          <w:tblCellMar>
            <w:top w:w="0" w:type="dxa"/>
            <w:left w:w="0" w:type="dxa"/>
            <w:bottom w:w="0" w:type="dxa"/>
            <w:right w:w="0" w:type="dxa"/>
          </w:tblCellMar>
        </w:tblPrEx>
        <w:trPr>
          <w:trHeight w:val="1316"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远程技术服务</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确保服务的高质量和高效率</w:t>
            </w:r>
          </w:p>
        </w:tc>
      </w:tr>
    </w:tbl>
    <w:p>
      <w:pPr>
        <w:spacing w:line="580" w:lineRule="exact"/>
        <w:ind w:left="630"/>
        <w:rPr>
          <w:rFonts w:hint="eastAsia" w:ascii="楷体_GB2312" w:hAnsi="楷体_GB2312" w:eastAsia="楷体_GB2312" w:cs="楷体_GB2312"/>
          <w:sz w:val="32"/>
          <w:szCs w:val="32"/>
        </w:rPr>
      </w:pPr>
    </w:p>
    <w:p>
      <w:pPr>
        <w:keepNext w:val="0"/>
        <w:keepLines w:val="0"/>
        <w:pageBreakBefore w:val="0"/>
        <w:kinsoku/>
        <w:wordWrap/>
        <w:overflowPunct/>
        <w:topLinePunct w:val="0"/>
        <w:autoSpaceDE/>
        <w:autoSpaceDN/>
        <w:bidi w:val="0"/>
        <w:adjustRightInd/>
        <w:snapToGrid/>
        <w:spacing w:line="600" w:lineRule="exact"/>
        <w:ind w:left="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绩效评价结果。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整体支出绩效评价情况开展自评，《</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年整体支出绩效评价报告》见附件（附件1）。</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单位未组织项目绩效评价</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br w:type="page"/>
      </w:r>
    </w:p>
    <w:p>
      <w:pPr>
        <w:numPr>
          <w:ilvl w:val="0"/>
          <w:numId w:val="3"/>
        </w:numPr>
        <w:spacing w:line="600" w:lineRule="exact"/>
        <w:ind w:firstLine="660" w:firstLineChars="150"/>
        <w:jc w:val="center"/>
        <w:outlineLvl w:val="0"/>
        <w:rPr>
          <w:rStyle w:val="25"/>
          <w:rFonts w:hint="eastAsia" w:ascii="方正小标宋_GBK" w:hAnsi="方正小标宋_GBK" w:eastAsia="方正小标宋_GBK" w:cs="方正小标宋_GBK"/>
          <w:b w:val="0"/>
          <w:bCs w:val="0"/>
        </w:rPr>
      </w:pPr>
      <w:bookmarkStart w:id="55" w:name="_Toc15396613"/>
      <w:bookmarkStart w:id="56" w:name="_Toc15377225"/>
      <w:r>
        <w:rPr>
          <w:rFonts w:hint="eastAsia" w:ascii="方正小标宋_GBK" w:hAnsi="方正小标宋_GBK" w:eastAsia="方正小标宋_GBK" w:cs="方正小标宋_GBK"/>
          <w:b w:val="0"/>
          <w:bCs w:val="0"/>
          <w:color w:val="000000"/>
          <w:sz w:val="44"/>
          <w:szCs w:val="44"/>
        </w:rPr>
        <w:t>名</w:t>
      </w:r>
      <w:r>
        <w:rPr>
          <w:rStyle w:val="25"/>
          <w:rFonts w:hint="eastAsia" w:ascii="方正小标宋_GBK" w:hAnsi="方正小标宋_GBK" w:eastAsia="方正小标宋_GBK" w:cs="方正小标宋_GBK"/>
          <w:b w:val="0"/>
          <w:bCs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其他收入：指单位取得的除上述收入以外的各项收入。主要是利息收入、国有资产出租收入等。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年末结转和结余：指单位按有关规定结转到下年或以后年度继续使用的资金。</w:t>
      </w:r>
    </w:p>
    <w:p>
      <w:pPr>
        <w:pStyle w:val="31"/>
        <w:ind w:firstLine="640"/>
        <w:rPr>
          <w:rFonts w:hint="eastAsia"/>
        </w:rPr>
      </w:pPr>
      <w:r>
        <w:rPr>
          <w:rFonts w:hint="eastAsia"/>
          <w:lang w:val="en-US" w:eastAsia="zh-CN"/>
        </w:rPr>
        <w:t>七、</w:t>
      </w:r>
      <w:r>
        <w:rPr>
          <w:rFonts w:hint="eastAsia"/>
        </w:rPr>
        <w:t>一般公共服务支出（类）财政事务（款）行政运行（项）：反映行政单位（包括实行公务员管理的事业单位）的基本支出。</w:t>
      </w:r>
    </w:p>
    <w:p>
      <w:pPr>
        <w:pStyle w:val="31"/>
        <w:ind w:firstLine="640"/>
        <w:rPr>
          <w:rFonts w:hint="eastAsia"/>
        </w:rPr>
      </w:pPr>
      <w:r>
        <w:rPr>
          <w:rFonts w:hint="eastAsia"/>
          <w:lang w:val="en-US" w:eastAsia="zh-CN"/>
        </w:rPr>
        <w:t>八、</w:t>
      </w:r>
      <w:r>
        <w:rPr>
          <w:rFonts w:hint="eastAsia"/>
        </w:rPr>
        <w:t>一般公共服务支出（类）财政事务（款）一般行政管理事务（项）：反映行政单位（包括实行公务员管理的事业单位）未单独设置项级科目的其他项目支出。</w:t>
      </w:r>
    </w:p>
    <w:p>
      <w:pPr>
        <w:pStyle w:val="31"/>
        <w:ind w:firstLine="640"/>
      </w:pPr>
      <w:r>
        <w:rPr>
          <w:rFonts w:hint="eastAsia"/>
          <w:lang w:val="en-US" w:eastAsia="zh-CN"/>
        </w:rPr>
        <w:t>九、</w:t>
      </w:r>
      <w:r>
        <w:rPr>
          <w:rFonts w:hint="eastAsia"/>
        </w:rPr>
        <w:t>一般公共服务支出（类）财政事务（款）其他财政事务（项）：反映其他财政事务方面的支出。</w:t>
      </w:r>
    </w:p>
    <w:p>
      <w:pPr>
        <w:pStyle w:val="31"/>
        <w:ind w:firstLine="640"/>
        <w:rPr>
          <w:rFonts w:hint="eastAsia"/>
        </w:rPr>
      </w:pPr>
      <w:r>
        <w:rPr>
          <w:rFonts w:hint="eastAsia"/>
          <w:lang w:eastAsia="zh-CN"/>
        </w:rPr>
        <w:t>十、</w:t>
      </w:r>
      <w:r>
        <w:rPr>
          <w:rFonts w:hint="eastAsia"/>
        </w:rPr>
        <w:t>社会保障和就业支出（类）行政事业单位养老支出（款）机关事业单位职业年金缴费支出（项）：反映机关事业单位实施养老保险制度由单位缴纳的基本养老保险费支出。</w:t>
      </w:r>
      <w:r>
        <w:br w:type="textWrapping"/>
      </w:r>
      <w:r>
        <w:rPr>
          <w:rFonts w:hint="eastAsia"/>
        </w:rPr>
        <w:t>　　</w:t>
      </w:r>
      <w:r>
        <w:rPr>
          <w:rFonts w:hint="eastAsia"/>
          <w:lang w:val="en-US" w:eastAsia="zh-CN"/>
        </w:rPr>
        <w:t>十一、</w:t>
      </w:r>
      <w:r>
        <w:rPr>
          <w:rFonts w:hint="eastAsia"/>
        </w:rPr>
        <w:t>社会保障和就业支出（类）行政事业单位养老支出（款）机关事业单位基本养老保险缴费支出（项）：反映机关事业单位实施养老保险制度由单位缴纳的职业年金支出。</w:t>
      </w:r>
      <w:r>
        <w:br w:type="textWrapping"/>
      </w:r>
      <w:r>
        <w:rPr>
          <w:rFonts w:hint="eastAsia"/>
        </w:rPr>
        <w:t>　　</w:t>
      </w:r>
      <w:r>
        <w:rPr>
          <w:rFonts w:hint="eastAsia"/>
          <w:lang w:val="en-US" w:eastAsia="zh-CN"/>
        </w:rPr>
        <w:t>十二、</w:t>
      </w:r>
      <w:r>
        <w:rPr>
          <w:rFonts w:hint="eastAsia"/>
        </w:rPr>
        <w:t>社会保障和就业支出（类）抚恤（款）其他优抚支出（项）：反映其他用于优抚方面的支出。</w:t>
      </w:r>
    </w:p>
    <w:p>
      <w:pPr>
        <w:pStyle w:val="31"/>
        <w:ind w:firstLine="640"/>
        <w:rPr>
          <w:rFonts w:hint="eastAsia" w:ascii="仿宋_GB2312" w:hAnsi="Calibri" w:eastAsia="仿宋_GB2312" w:cs="仿宋"/>
          <w:color w:val="000000"/>
          <w:kern w:val="0"/>
          <w:sz w:val="32"/>
          <w:szCs w:val="32"/>
          <w:lang w:val="en-US" w:eastAsia="zh-CN" w:bidi="ar-SA"/>
        </w:rPr>
      </w:pPr>
      <w:r>
        <w:rPr>
          <w:rFonts w:hint="eastAsia"/>
          <w:lang w:val="en-US" w:eastAsia="zh-CN"/>
        </w:rPr>
        <w:t>十三、</w:t>
      </w:r>
      <w:r>
        <w:rPr>
          <w:rFonts w:hint="eastAsia"/>
        </w:rPr>
        <w:t>社会保障和就业支出（类）其他社会保障和就业支出（款）其他社会保障和就业支出（项）：反映其他用于社会保障和就业方面的支出。</w:t>
      </w:r>
      <w:r>
        <w:br w:type="textWrapping"/>
      </w:r>
      <w:r>
        <w:rPr>
          <w:rFonts w:hint="eastAsia"/>
        </w:rPr>
        <w:t>　　</w:t>
      </w:r>
      <w:r>
        <w:rPr>
          <w:rFonts w:hint="eastAsia"/>
          <w:lang w:val="en-US" w:eastAsia="zh-CN"/>
        </w:rPr>
        <w:t>十四、</w:t>
      </w:r>
      <w:r>
        <w:rPr>
          <w:rFonts w:hint="eastAsia"/>
        </w:rPr>
        <w:t>卫生健康支出（类）行政事业单位医疗（款）行政单位医疗（项）：反映财政部门安排的行政单位（包括实行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　　</w:t>
      </w:r>
    </w:p>
    <w:p>
      <w:pPr>
        <w:spacing w:line="600" w:lineRule="exact"/>
        <w:ind w:firstLine="64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十五、卫生健康支出（类）行政事业单位医疗（款）事业单位医疗（项）：反映财政部门安排的事业单位基本医疗保险缴费经费。</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　　十六、住房保障支出（类）住房改革支出（款）住房公积金（项）：反映行政事业单位按人力资源和社会保障部、财政部规定的基本工资和津贴补贴以及规定比例为职工缴纳的住房公积金。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lang w:val="en-US" w:eastAsia="zh-CN" w:bidi="ar-SA"/>
        </w:rPr>
        <w:t>十七、基本支出：指为保障机构正常运转、完成日常工作任务而发生的人员支</w:t>
      </w:r>
      <w:r>
        <w:rPr>
          <w:rFonts w:hint="eastAsia" w:ascii="仿宋_GB2312" w:eastAsia="仿宋_GB2312"/>
          <w:color w:val="000000"/>
          <w:sz w:val="32"/>
          <w:szCs w:val="32"/>
        </w:rPr>
        <w:t>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十八、</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十九、</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二十、</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二十一、</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600" w:lineRule="exact"/>
        <w:jc w:val="center"/>
        <w:textAlignment w:val="auto"/>
        <w:outlineLvl w:val="0"/>
        <w:rPr>
          <w:rStyle w:val="25"/>
          <w:rFonts w:ascii="黑体" w:hAnsi="黑体" w:eastAsia="黑体"/>
          <w:b w:val="0"/>
          <w:bCs w:val="0"/>
        </w:rPr>
      </w:pPr>
      <w:bookmarkStart w:id="57" w:name="_Toc15377226"/>
      <w:r>
        <w:rPr>
          <w:rFonts w:ascii="宋体"/>
          <w:b/>
          <w:color w:val="000000"/>
          <w:sz w:val="44"/>
          <w:szCs w:val="44"/>
        </w:rPr>
        <w:br w:type="page"/>
      </w:r>
      <w:bookmarkStart w:id="58" w:name="_Toc15396614"/>
      <w:r>
        <w:rPr>
          <w:rFonts w:hint="eastAsia" w:ascii="方正小标宋_GBK" w:hAnsi="方正小标宋_GBK" w:eastAsia="方正小标宋_GBK" w:cs="方正小标宋_GBK"/>
          <w:b w:val="0"/>
          <w:bCs w:val="0"/>
          <w:sz w:val="44"/>
          <w:szCs w:val="44"/>
        </w:rPr>
        <w:t>第四部分 附</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rPr>
        <w:t>件</w:t>
      </w:r>
      <w:bookmarkEnd w:id="58"/>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峨眉山市财政局</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宋体"/>
          <w:szCs w:val="32"/>
          <w:shd w:val="clear" w:color="auto" w:fill="FFFFFF"/>
        </w:rPr>
      </w:pPr>
      <w:r>
        <w:rPr>
          <w:rFonts w:hint="eastAsia" w:ascii="方正小标宋_GBK" w:hAnsi="宋体" w:eastAsia="方正小标宋_GBK"/>
          <w:b/>
          <w:sz w:val="44"/>
          <w:szCs w:val="44"/>
          <w:shd w:val="clear" w:color="auto" w:fill="FFFFFF"/>
        </w:rPr>
        <w:t>20</w:t>
      </w:r>
      <w:r>
        <w:rPr>
          <w:rFonts w:hint="eastAsia" w:ascii="方正小标宋_GBK" w:hAnsi="宋体" w:eastAsia="方正小标宋_GBK"/>
          <w:b/>
          <w:sz w:val="44"/>
          <w:szCs w:val="44"/>
          <w:shd w:val="clear" w:color="auto" w:fill="FFFFFF"/>
          <w:lang w:val="en-US" w:eastAsia="zh-CN"/>
        </w:rPr>
        <w:t>20</w:t>
      </w:r>
      <w:r>
        <w:rPr>
          <w:rFonts w:hint="eastAsia" w:ascii="方正小标宋_GBK" w:hAnsi="宋体" w:eastAsia="方正小标宋_GBK"/>
          <w:b/>
          <w:sz w:val="44"/>
          <w:szCs w:val="44"/>
          <w:shd w:val="clear" w:color="auto" w:fill="FFFFFF"/>
        </w:rPr>
        <w:t>年整体支出绩效报告</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宋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en-US" w:eastAsia="zh-CN" w:bidi="ar-SA"/>
        </w:rPr>
        <w:t>一、</w:t>
      </w:r>
      <w:r>
        <w:rPr>
          <w:rFonts w:hint="eastAsia" w:ascii="黑体" w:hAnsi="黑体" w:eastAsia="黑体" w:cs="黑体"/>
          <w:color w:val="000000"/>
          <w:kern w:val="0"/>
          <w:sz w:val="32"/>
          <w:szCs w:val="32"/>
          <w:lang w:val="zh-CN" w:eastAsia="zh-CN" w:bidi="ar-SA"/>
        </w:rPr>
        <w:t>部门（单位）概况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（一）机构组成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下属二级决算单位4个，其中参照公务员法管理的事业单位2个，分别是峨眉山市国库支付中心和峨眉山市财政局收费票据监管中心，其他事业单位2个，分别是峨眉山市国有资产服务中心和峨眉山市财政投资评审中心。</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（二）机构职能</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（三）人员概况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C00000"/>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峨眉山市财政局</w:t>
      </w:r>
      <w:r>
        <w:rPr>
          <w:rFonts w:hint="eastAsia" w:ascii="仿宋_GB2312" w:hAnsi="Calibri" w:eastAsia="仿宋_GB2312" w:cs="仿宋"/>
          <w:color w:val="auto"/>
          <w:kern w:val="0"/>
          <w:sz w:val="32"/>
          <w:szCs w:val="32"/>
          <w:lang w:val="en-US" w:eastAsia="zh-CN" w:bidi="ar-SA"/>
        </w:rPr>
        <w:t>截止2020年12月行政编制实际人数为27人，比2019年增加1人，原因为：调入5人、调出2人、退休2人。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（一）财政资金收入情况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峨眉山市财政局2020年度</w:t>
      </w:r>
      <w:r>
        <w:rPr>
          <w:rFonts w:hint="eastAsia" w:ascii="仿宋_GB2312" w:hAnsi="仿宋_GB2312" w:eastAsia="仿宋_GB2312" w:cs="仿宋_GB2312"/>
          <w:sz w:val="32"/>
          <w:szCs w:val="32"/>
        </w:rPr>
        <w:t>财政拨款收入总计1</w:t>
      </w:r>
      <w:r>
        <w:rPr>
          <w:rFonts w:hint="eastAsia" w:ascii="仿宋_GB2312" w:hAnsi="仿宋_GB2312" w:eastAsia="仿宋_GB2312" w:cs="仿宋_GB2312"/>
          <w:sz w:val="32"/>
          <w:szCs w:val="32"/>
          <w:lang w:val="en-US" w:eastAsia="zh-CN"/>
        </w:rPr>
        <w:t>214.72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年相比，财政拨款收入总计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235.55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16.24</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（二）财政资金支出情况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年度财政拨款支出总计</w:t>
      </w:r>
      <w:r>
        <w:rPr>
          <w:rFonts w:hint="eastAsia" w:ascii="仿宋_GB2312" w:hAnsi="仿宋_GB2312" w:eastAsia="仿宋_GB2312" w:cs="仿宋_GB2312"/>
          <w:sz w:val="32"/>
          <w:szCs w:val="32"/>
          <w:lang w:val="en-US" w:eastAsia="zh-CN"/>
        </w:rPr>
        <w:t>1214.72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年相比，财政拨款支出总计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235.55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16.24</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年一般公共预算财政拨款支出12</w:t>
      </w:r>
      <w:r>
        <w:rPr>
          <w:rFonts w:hint="eastAsia" w:ascii="仿宋_GB2312" w:hAnsi="仿宋_GB2312" w:eastAsia="仿宋_GB2312" w:cs="仿宋_GB2312"/>
          <w:sz w:val="32"/>
          <w:szCs w:val="32"/>
          <w:lang w:val="en-US" w:eastAsia="zh-CN"/>
        </w:rPr>
        <w:t>06.96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1097.88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支出49.92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12.19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农林水</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住房保障支出</w:t>
      </w:r>
      <w:r>
        <w:rPr>
          <w:rFonts w:hint="eastAsia" w:ascii="仿宋_GB2312" w:hAnsi="仿宋_GB2312" w:eastAsia="仿宋_GB2312" w:cs="仿宋_GB2312"/>
          <w:color w:val="000000" w:themeColor="text1"/>
          <w:sz w:val="32"/>
          <w:szCs w:val="32"/>
          <w:lang w:val="en-US" w:eastAsia="zh-CN"/>
        </w:rPr>
        <w:t>43.97</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3.64</w:t>
      </w:r>
      <w:r>
        <w:rPr>
          <w:rFonts w:hint="eastAsia" w:ascii="仿宋_GB2312" w:hAnsi="仿宋_GB2312" w:eastAsia="仿宋_GB2312" w:cs="仿宋_GB2312"/>
          <w:color w:val="000000" w:themeColor="text1"/>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峨眉山市财政局2020年使用政府性基金预算财政拨款支出7.76万元。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三、整体预算绩效管理情况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（一）预算管理</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我单位严格按照《预算法》的要求根据项目具体情况和资金使用情况编制预决算、填报绩效目标和专项项目进度表。</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1．2020年峨眉山市财政局年初预算编制情况：</w:t>
      </w:r>
    </w:p>
    <w:tbl>
      <w:tblPr>
        <w:tblStyle w:val="13"/>
        <w:tblW w:w="8970" w:type="dxa"/>
        <w:jc w:val="center"/>
        <w:tblLayout w:type="fixed"/>
        <w:tblCellMar>
          <w:top w:w="0" w:type="dxa"/>
          <w:left w:w="108" w:type="dxa"/>
          <w:bottom w:w="0" w:type="dxa"/>
          <w:right w:w="108" w:type="dxa"/>
        </w:tblCellMar>
      </w:tblPr>
      <w:tblGrid>
        <w:gridCol w:w="536"/>
        <w:gridCol w:w="1459"/>
        <w:gridCol w:w="3975"/>
        <w:gridCol w:w="1009"/>
        <w:gridCol w:w="1061"/>
        <w:gridCol w:w="930"/>
      </w:tblGrid>
      <w:tr>
        <w:tblPrEx>
          <w:tblCellMar>
            <w:top w:w="0" w:type="dxa"/>
            <w:left w:w="108" w:type="dxa"/>
            <w:bottom w:w="0" w:type="dxa"/>
            <w:right w:w="108" w:type="dxa"/>
          </w:tblCellMar>
        </w:tblPrEx>
        <w:trPr>
          <w:trHeight w:val="416" w:hRule="atLeast"/>
          <w:jc w:val="center"/>
        </w:trPr>
        <w:tc>
          <w:tcPr>
            <w:tcW w:w="1995"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部门名称</w:t>
            </w:r>
          </w:p>
        </w:tc>
        <w:tc>
          <w:tcPr>
            <w:tcW w:w="697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峨眉山市财政局</w:t>
            </w:r>
          </w:p>
        </w:tc>
      </w:tr>
      <w:tr>
        <w:tblPrEx>
          <w:tblCellMar>
            <w:top w:w="0" w:type="dxa"/>
            <w:left w:w="108" w:type="dxa"/>
            <w:bottom w:w="0" w:type="dxa"/>
            <w:right w:w="108" w:type="dxa"/>
          </w:tblCellMar>
        </w:tblPrEx>
        <w:trPr>
          <w:trHeight w:val="499" w:hRule="atLeast"/>
          <w:jc w:val="center"/>
        </w:trPr>
        <w:tc>
          <w:tcPr>
            <w:tcW w:w="53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年度</w:t>
            </w:r>
            <w:r>
              <w:rPr>
                <w:rFonts w:hint="eastAsia" w:ascii="仿宋_GB2312" w:hAnsi="仿宋_GB2312" w:eastAsia="仿宋_GB2312" w:cs="仿宋_GB2312"/>
                <w:color w:val="000000"/>
                <w:kern w:val="0"/>
                <w:sz w:val="24"/>
                <w:szCs w:val="24"/>
                <w:lang w:val="en-US" w:eastAsia="zh-CN" w:bidi="ar-SA"/>
              </w:rPr>
              <w:br w:type="textWrapping"/>
            </w:r>
            <w:r>
              <w:rPr>
                <w:rFonts w:hint="eastAsia" w:ascii="仿宋_GB2312" w:hAnsi="仿宋_GB2312" w:eastAsia="仿宋_GB2312" w:cs="仿宋_GB2312"/>
                <w:color w:val="000000"/>
                <w:kern w:val="0"/>
                <w:sz w:val="24"/>
                <w:szCs w:val="24"/>
                <w:lang w:val="en-US" w:eastAsia="zh-CN" w:bidi="ar-SA"/>
              </w:rPr>
              <w:t>主要</w:t>
            </w:r>
            <w:r>
              <w:rPr>
                <w:rFonts w:hint="eastAsia" w:ascii="仿宋_GB2312" w:hAnsi="仿宋_GB2312" w:eastAsia="仿宋_GB2312" w:cs="仿宋_GB2312"/>
                <w:color w:val="000000"/>
                <w:kern w:val="0"/>
                <w:sz w:val="24"/>
                <w:szCs w:val="24"/>
                <w:lang w:val="en-US" w:eastAsia="zh-CN" w:bidi="ar-SA"/>
              </w:rPr>
              <w:br w:type="textWrapping"/>
            </w:r>
            <w:r>
              <w:rPr>
                <w:rFonts w:hint="eastAsia" w:ascii="仿宋_GB2312" w:hAnsi="仿宋_GB2312" w:eastAsia="仿宋_GB2312" w:cs="仿宋_GB2312"/>
                <w:color w:val="000000"/>
                <w:kern w:val="0"/>
                <w:sz w:val="24"/>
                <w:szCs w:val="24"/>
                <w:lang w:val="en-US" w:eastAsia="zh-CN" w:bidi="ar-SA"/>
              </w:rPr>
              <w:t>任务</w:t>
            </w:r>
          </w:p>
        </w:tc>
        <w:tc>
          <w:tcPr>
            <w:tcW w:w="1459"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任务名称</w:t>
            </w:r>
          </w:p>
        </w:tc>
        <w:tc>
          <w:tcPr>
            <w:tcW w:w="3975"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主要内容</w:t>
            </w:r>
          </w:p>
        </w:tc>
        <w:tc>
          <w:tcPr>
            <w:tcW w:w="300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预算金额（单位：万元）</w:t>
            </w:r>
          </w:p>
        </w:tc>
      </w:tr>
      <w:tr>
        <w:tblPrEx>
          <w:tblCellMar>
            <w:top w:w="0" w:type="dxa"/>
            <w:left w:w="108" w:type="dxa"/>
            <w:bottom w:w="0" w:type="dxa"/>
            <w:right w:w="108" w:type="dxa"/>
          </w:tblCellMar>
        </w:tblPrEx>
        <w:trPr>
          <w:trHeight w:val="78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3975"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总额</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财政拨款</w:t>
            </w:r>
          </w:p>
        </w:tc>
        <w:tc>
          <w:tcPr>
            <w:tcW w:w="9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其他资金</w:t>
            </w:r>
          </w:p>
        </w:tc>
      </w:tr>
      <w:tr>
        <w:tblPrEx>
          <w:tblCellMar>
            <w:top w:w="0" w:type="dxa"/>
            <w:left w:w="108" w:type="dxa"/>
            <w:bottom w:w="0" w:type="dxa"/>
            <w:right w:w="108" w:type="dxa"/>
          </w:tblCellMar>
        </w:tblPrEx>
        <w:trPr>
          <w:trHeight w:val="1931"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基本费用</w:t>
            </w:r>
          </w:p>
        </w:tc>
        <w:tc>
          <w:tcPr>
            <w:tcW w:w="3975"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人员的工资性支出、机关事业养老保险和职业年金支出、医疗保险支出以及对个人及家庭的补助（住房公积金）支出。保障机关事业单位的正常运转，包括：办公费、电话费、差旅费、劳务费等支出。</w:t>
            </w: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xml:space="preserve">448.29 </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448.29</w:t>
            </w:r>
          </w:p>
        </w:tc>
        <w:tc>
          <w:tcPr>
            <w:tcW w:w="9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w:t>
            </w:r>
          </w:p>
        </w:tc>
      </w:tr>
      <w:tr>
        <w:tblPrEx>
          <w:tblCellMar>
            <w:top w:w="0" w:type="dxa"/>
            <w:left w:w="108" w:type="dxa"/>
            <w:bottom w:w="0" w:type="dxa"/>
            <w:right w:w="108" w:type="dxa"/>
          </w:tblCellMar>
        </w:tblPrEx>
        <w:trPr>
          <w:trHeight w:val="795"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财政监督检查业务费</w:t>
            </w:r>
          </w:p>
        </w:tc>
        <w:tc>
          <w:tcPr>
            <w:tcW w:w="3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用于财监局外出检查相关支出</w:t>
            </w: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5.00</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5.00</w:t>
            </w:r>
          </w:p>
        </w:tc>
        <w:tc>
          <w:tcPr>
            <w:tcW w:w="9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p>
        </w:tc>
      </w:tr>
      <w:tr>
        <w:tblPrEx>
          <w:tblCellMar>
            <w:top w:w="0" w:type="dxa"/>
            <w:left w:w="108" w:type="dxa"/>
            <w:bottom w:w="0" w:type="dxa"/>
            <w:right w:w="108" w:type="dxa"/>
          </w:tblCellMar>
        </w:tblPrEx>
        <w:trPr>
          <w:trHeight w:val="915"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财政信息系统运行维护费</w:t>
            </w:r>
          </w:p>
        </w:tc>
        <w:tc>
          <w:tcPr>
            <w:tcW w:w="3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用于财政信息系统维护管理以及每年给电信公司支付的网络使用费</w:t>
            </w: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30.00</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30.00</w:t>
            </w:r>
          </w:p>
        </w:tc>
        <w:tc>
          <w:tcPr>
            <w:tcW w:w="9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p>
        </w:tc>
      </w:tr>
      <w:tr>
        <w:tblPrEx>
          <w:tblCellMar>
            <w:top w:w="0" w:type="dxa"/>
            <w:left w:w="108" w:type="dxa"/>
            <w:bottom w:w="0" w:type="dxa"/>
            <w:right w:w="108" w:type="dxa"/>
          </w:tblCellMar>
        </w:tblPrEx>
        <w:trPr>
          <w:trHeight w:val="1695"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财政专项业务费</w:t>
            </w:r>
          </w:p>
        </w:tc>
        <w:tc>
          <w:tcPr>
            <w:tcW w:w="3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加强预算的编制和执行；国库改革业务全面深化；加强税收工作，拓展税源，财政、税务工作全面对接；进一步推进农村综合改革，认真完成“精准扶贫”工作</w:t>
            </w: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150.00</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150.00</w:t>
            </w:r>
          </w:p>
        </w:tc>
        <w:tc>
          <w:tcPr>
            <w:tcW w:w="9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w:t>
            </w:r>
          </w:p>
        </w:tc>
      </w:tr>
      <w:tr>
        <w:tblPrEx>
          <w:tblCellMar>
            <w:top w:w="0" w:type="dxa"/>
            <w:left w:w="108" w:type="dxa"/>
            <w:bottom w:w="0" w:type="dxa"/>
            <w:right w:w="108" w:type="dxa"/>
          </w:tblCellMar>
        </w:tblPrEx>
        <w:trPr>
          <w:trHeight w:val="197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国库集中支付电子化经费</w:t>
            </w:r>
          </w:p>
        </w:tc>
        <w:tc>
          <w:tcPr>
            <w:tcW w:w="3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szCs w:val="24"/>
                <w:lang w:eastAsia="zh-CN"/>
              </w:rPr>
              <w:t>在财政部门、预算单位、人民银行、代理银行，利用信息网络技术，取消纸质凭证和单据流转，发出电子指令办理财政资金支付及清算业务，实现财政资金安全、高效运行的管理模式。</w:t>
            </w: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10.00</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10.00</w:t>
            </w:r>
          </w:p>
        </w:tc>
        <w:tc>
          <w:tcPr>
            <w:tcW w:w="9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p>
        </w:tc>
      </w:tr>
      <w:tr>
        <w:tblPrEx>
          <w:tblCellMar>
            <w:top w:w="0" w:type="dxa"/>
            <w:left w:w="108" w:type="dxa"/>
            <w:bottom w:w="0" w:type="dxa"/>
            <w:right w:w="108" w:type="dxa"/>
          </w:tblCellMar>
        </w:tblPrEx>
        <w:trPr>
          <w:trHeight w:val="87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金融办业务费</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用于金融办对全市金融机构的管理等相关工作。</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xml:space="preserve">10.00 </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xml:space="preserve">10.00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w:t>
            </w:r>
          </w:p>
        </w:tc>
      </w:tr>
      <w:tr>
        <w:tblPrEx>
          <w:tblCellMar>
            <w:top w:w="0" w:type="dxa"/>
            <w:left w:w="108" w:type="dxa"/>
            <w:bottom w:w="0" w:type="dxa"/>
            <w:right w:w="108" w:type="dxa"/>
          </w:tblCellMar>
        </w:tblPrEx>
        <w:trPr>
          <w:trHeight w:val="138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xml:space="preserve">    纪委监察派驻机构工作经费</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纪委监察派驻财政局机构办案经费，包括：办公费、邮电费、差旅费、公务用车运行费、其他商品和服务支出等</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xml:space="preserve">40.00 </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xml:space="preserve">40.00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　</w:t>
            </w:r>
          </w:p>
        </w:tc>
      </w:tr>
      <w:tr>
        <w:tblPrEx>
          <w:tblCellMar>
            <w:top w:w="0" w:type="dxa"/>
            <w:left w:w="108" w:type="dxa"/>
            <w:bottom w:w="0" w:type="dxa"/>
            <w:right w:w="108" w:type="dxa"/>
          </w:tblCellMar>
        </w:tblPrEx>
        <w:trPr>
          <w:trHeight w:val="1346"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全市企业财务信息统计工作经费</w:t>
            </w:r>
          </w:p>
        </w:tc>
        <w:tc>
          <w:tcPr>
            <w:tcW w:w="3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用于支付全市企业财务信息统计劳务费</w:t>
            </w:r>
          </w:p>
        </w:tc>
        <w:tc>
          <w:tcPr>
            <w:tcW w:w="10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5.00</w:t>
            </w:r>
          </w:p>
        </w:tc>
        <w:tc>
          <w:tcPr>
            <w:tcW w:w="10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5.00</w:t>
            </w:r>
          </w:p>
        </w:tc>
        <w:tc>
          <w:tcPr>
            <w:tcW w:w="9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p>
        </w:tc>
      </w:tr>
      <w:tr>
        <w:tblPrEx>
          <w:tblCellMar>
            <w:top w:w="0" w:type="dxa"/>
            <w:left w:w="108" w:type="dxa"/>
            <w:bottom w:w="0" w:type="dxa"/>
            <w:right w:w="108" w:type="dxa"/>
          </w:tblCellMar>
        </w:tblPrEx>
        <w:trPr>
          <w:trHeight w:val="101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全市债权债务管理专项经费</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用于债权债务管理等相关工作</w:t>
            </w: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20.00</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20.00</w:t>
            </w:r>
          </w:p>
        </w:tc>
        <w:tc>
          <w:tcPr>
            <w:tcW w:w="9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p>
        </w:tc>
      </w:tr>
      <w:tr>
        <w:tblPrEx>
          <w:tblCellMar>
            <w:top w:w="0" w:type="dxa"/>
            <w:left w:w="108" w:type="dxa"/>
            <w:bottom w:w="0" w:type="dxa"/>
            <w:right w:w="108" w:type="dxa"/>
          </w:tblCellMar>
        </w:tblPrEx>
        <w:trPr>
          <w:trHeight w:val="173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全市执法执勤车信息管理系统建设及运维费</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为全市94辆公务用车提供北斗车辆位置服务终端，并提供公务用车信息管理平台运营服务，实现对全市执法执勤车的高效、有序管理。</w:t>
            </w: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17.00</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17.00</w:t>
            </w:r>
          </w:p>
        </w:tc>
        <w:tc>
          <w:tcPr>
            <w:tcW w:w="930" w:type="dxa"/>
            <w:tcBorders>
              <w:bottom w:val="single" w:color="auto" w:sz="4" w:space="0"/>
              <w:right w:val="single" w:color="auto" w:sz="4" w:space="0"/>
            </w:tcBorders>
            <w:noWrap w:val="0"/>
            <w:vAlign w:val="top"/>
          </w:tcPr>
          <w:p>
            <w:pPr>
              <w:widowControl/>
              <w:jc w:val="center"/>
              <w:rPr>
                <w:rFonts w:hint="eastAsia" w:ascii="仿宋_GB2312" w:hAnsi="仿宋_GB2312" w:eastAsia="仿宋_GB2312" w:cs="仿宋_GB2312"/>
                <w:color w:val="000000"/>
                <w:kern w:val="0"/>
                <w:sz w:val="24"/>
                <w:szCs w:val="24"/>
                <w:lang w:val="en-US" w:eastAsia="zh-CN" w:bidi="ar-SA"/>
              </w:rPr>
            </w:pPr>
          </w:p>
        </w:tc>
      </w:tr>
      <w:tr>
        <w:tblPrEx>
          <w:tblCellMar>
            <w:top w:w="0" w:type="dxa"/>
            <w:left w:w="108" w:type="dxa"/>
            <w:bottom w:w="0" w:type="dxa"/>
            <w:right w:w="108" w:type="dxa"/>
          </w:tblCellMar>
        </w:tblPrEx>
        <w:trPr>
          <w:trHeight w:val="70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p>
        </w:tc>
        <w:tc>
          <w:tcPr>
            <w:tcW w:w="1459"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金额合计</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p>
        </w:tc>
        <w:tc>
          <w:tcPr>
            <w:tcW w:w="100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735.29</w:t>
            </w:r>
          </w:p>
        </w:tc>
        <w:tc>
          <w:tcPr>
            <w:tcW w:w="106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735.29</w:t>
            </w:r>
          </w:p>
        </w:tc>
        <w:tc>
          <w:tcPr>
            <w:tcW w:w="930" w:type="dxa"/>
            <w:tcBorders>
              <w:bottom w:val="single" w:color="auto" w:sz="4" w:space="0"/>
              <w:right w:val="single" w:color="auto" w:sz="4" w:space="0"/>
            </w:tcBorders>
            <w:noWrap w:val="0"/>
            <w:vAlign w:val="top"/>
          </w:tcPr>
          <w:p>
            <w:pPr>
              <w:widowControl/>
              <w:jc w:val="center"/>
              <w:rPr>
                <w:rFonts w:hint="eastAsia" w:ascii="仿宋_GB2312" w:hAnsi="仿宋_GB2312" w:eastAsia="仿宋_GB2312" w:cs="仿宋_GB2312"/>
                <w:color w:val="000000"/>
                <w:kern w:val="0"/>
                <w:sz w:val="24"/>
                <w:szCs w:val="24"/>
                <w:lang w:val="en-US" w:eastAsia="zh-CN" w:bidi="ar-SA"/>
              </w:rPr>
            </w:pPr>
          </w:p>
        </w:tc>
      </w:tr>
    </w:tbl>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2．目标完成及预算编制准确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我单位严格按照计划完成资金拨付，根据预算合理控制支出数额及支出进度。20</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年年初预算收入</w:t>
      </w:r>
      <w:r>
        <w:rPr>
          <w:rFonts w:hint="eastAsia" w:ascii="仿宋_GB2312" w:hAnsi="Calibri" w:eastAsia="仿宋_GB2312" w:cs="仿宋"/>
          <w:color w:val="000000"/>
          <w:kern w:val="0"/>
          <w:sz w:val="32"/>
          <w:szCs w:val="32"/>
          <w:lang w:val="en-US" w:eastAsia="zh-CN" w:bidi="ar-SA"/>
        </w:rPr>
        <w:t>735.29</w:t>
      </w:r>
      <w:r>
        <w:rPr>
          <w:rFonts w:hint="eastAsia" w:ascii="仿宋_GB2312" w:hAnsi="Calibri" w:eastAsia="仿宋_GB2312" w:cs="仿宋"/>
          <w:color w:val="000000"/>
          <w:kern w:val="0"/>
          <w:sz w:val="32"/>
          <w:szCs w:val="32"/>
          <w:lang w:val="zh-CN" w:eastAsia="zh-CN" w:bidi="ar-SA"/>
        </w:rPr>
        <w:t>万元，调整预算收入</w:t>
      </w:r>
      <w:r>
        <w:rPr>
          <w:rFonts w:hint="eastAsia" w:ascii="仿宋_GB2312" w:hAnsi="Calibri" w:eastAsia="仿宋_GB2312" w:cs="仿宋"/>
          <w:color w:val="000000"/>
          <w:kern w:val="0"/>
          <w:sz w:val="32"/>
          <w:szCs w:val="32"/>
          <w:lang w:val="en-US" w:eastAsia="zh-CN" w:bidi="ar-SA"/>
        </w:rPr>
        <w:t>479.43</w:t>
      </w:r>
      <w:r>
        <w:rPr>
          <w:rFonts w:hint="eastAsia" w:ascii="仿宋_GB2312" w:hAnsi="Calibri" w:eastAsia="仿宋_GB2312" w:cs="仿宋"/>
          <w:color w:val="000000"/>
          <w:kern w:val="0"/>
          <w:sz w:val="32"/>
          <w:szCs w:val="32"/>
          <w:lang w:val="zh-CN" w:eastAsia="zh-CN" w:bidi="ar-SA"/>
        </w:rPr>
        <w:t>万元，收入差异主要为因工作需要将全市部分预算项目及下属单位部分预算调整至我局以及20</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年目标奖未纳入</w:t>
      </w:r>
      <w:r>
        <w:rPr>
          <w:rFonts w:hint="eastAsia" w:ascii="仿宋_GB2312" w:hAnsi="Calibri" w:eastAsia="仿宋_GB2312" w:cs="仿宋"/>
          <w:color w:val="000000"/>
          <w:kern w:val="0"/>
          <w:sz w:val="32"/>
          <w:szCs w:val="32"/>
          <w:lang w:val="en-US" w:eastAsia="zh-CN" w:bidi="ar-SA"/>
        </w:rPr>
        <w:t>2020</w:t>
      </w:r>
      <w:r>
        <w:rPr>
          <w:rFonts w:hint="eastAsia" w:ascii="仿宋_GB2312" w:hAnsi="Calibri" w:eastAsia="仿宋_GB2312" w:cs="仿宋"/>
          <w:color w:val="000000"/>
          <w:kern w:val="0"/>
          <w:sz w:val="32"/>
          <w:szCs w:val="32"/>
          <w:lang w:val="zh-CN" w:eastAsia="zh-CN" w:bidi="ar-SA"/>
        </w:rPr>
        <w:t>年预算，预算编制基本准确。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3．预算动态调整</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20</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年度，因工作需要，将财政信息系统运行维护费、财政专项业务费、国库集中支付电子化经费、纪检监察派驻机构工作经费等进行微调，取消了全市企业财务信息统计工作项目，将全市大预算一案两书编制经费、全市票据款等项目调整至我单位支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4．执行进度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eastAsia="zh-CN"/>
        </w:rPr>
        <w:t>年截止20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eastAsia="zh-CN"/>
        </w:rPr>
        <w:t>年6月30日，财政拨款支出</w:t>
      </w:r>
      <w:r>
        <w:rPr>
          <w:rFonts w:hint="eastAsia" w:ascii="仿宋_GB2312" w:hAnsi="仿宋_GB2312" w:eastAsia="仿宋_GB2312" w:cs="仿宋_GB2312"/>
          <w:color w:val="auto"/>
          <w:sz w:val="32"/>
          <w:szCs w:val="32"/>
          <w:lang w:val="en-US" w:eastAsia="zh-CN"/>
        </w:rPr>
        <w:t>467.27</w:t>
      </w:r>
      <w:r>
        <w:rPr>
          <w:rFonts w:hint="eastAsia" w:ascii="仿宋_GB2312" w:hAnsi="仿宋_GB2312" w:eastAsia="仿宋_GB2312" w:cs="仿宋_GB2312"/>
          <w:color w:val="auto"/>
          <w:sz w:val="32"/>
          <w:szCs w:val="32"/>
          <w:lang w:val="zh-CN" w:eastAsia="zh-CN"/>
        </w:rPr>
        <w:t>万元，支出进度为</w:t>
      </w:r>
      <w:r>
        <w:rPr>
          <w:rFonts w:hint="eastAsia" w:ascii="仿宋_GB2312" w:hAnsi="仿宋_GB2312" w:eastAsia="仿宋_GB2312" w:cs="仿宋_GB2312"/>
          <w:color w:val="auto"/>
          <w:sz w:val="32"/>
          <w:szCs w:val="32"/>
          <w:lang w:val="en-US" w:eastAsia="zh-CN"/>
        </w:rPr>
        <w:t>38.47</w:t>
      </w:r>
      <w:r>
        <w:rPr>
          <w:rFonts w:hint="eastAsia" w:ascii="仿宋_GB2312" w:hAnsi="仿宋_GB2312" w:eastAsia="仿宋_GB2312" w:cs="仿宋_GB2312"/>
          <w:color w:val="auto"/>
          <w:sz w:val="32"/>
          <w:szCs w:val="32"/>
          <w:lang w:val="zh-CN" w:eastAsia="zh-CN"/>
        </w:rPr>
        <w:t>%；截止20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eastAsia="zh-CN"/>
        </w:rPr>
        <w:t>年9月30日，财政拨款支出</w:t>
      </w:r>
      <w:r>
        <w:rPr>
          <w:rFonts w:hint="eastAsia" w:ascii="仿宋_GB2312" w:hAnsi="仿宋_GB2312" w:eastAsia="仿宋_GB2312" w:cs="仿宋_GB2312"/>
          <w:color w:val="auto"/>
          <w:sz w:val="32"/>
          <w:szCs w:val="32"/>
          <w:lang w:val="en-US" w:eastAsia="zh-CN"/>
        </w:rPr>
        <w:t>998.37</w:t>
      </w:r>
      <w:r>
        <w:rPr>
          <w:rFonts w:hint="eastAsia" w:ascii="仿宋_GB2312" w:hAnsi="仿宋_GB2312" w:eastAsia="仿宋_GB2312" w:cs="仿宋_GB2312"/>
          <w:color w:val="auto"/>
          <w:sz w:val="32"/>
          <w:szCs w:val="32"/>
          <w:lang w:val="zh-CN" w:eastAsia="zh-CN"/>
        </w:rPr>
        <w:t>万元，支出进度为</w:t>
      </w:r>
      <w:r>
        <w:rPr>
          <w:rFonts w:hint="eastAsia" w:ascii="仿宋_GB2312" w:hAnsi="仿宋_GB2312" w:eastAsia="仿宋_GB2312" w:cs="仿宋_GB2312"/>
          <w:color w:val="auto"/>
          <w:sz w:val="32"/>
          <w:szCs w:val="32"/>
          <w:lang w:val="en-US" w:eastAsia="zh-CN"/>
        </w:rPr>
        <w:t>82.19</w:t>
      </w:r>
      <w:r>
        <w:rPr>
          <w:rFonts w:hint="eastAsia" w:ascii="仿宋_GB2312" w:hAnsi="仿宋_GB2312" w:eastAsia="仿宋_GB2312" w:cs="仿宋_GB2312"/>
          <w:color w:val="auto"/>
          <w:sz w:val="32"/>
          <w:szCs w:val="32"/>
          <w:lang w:val="zh-CN" w:eastAsia="zh-CN"/>
        </w:rPr>
        <w:t>%；截止20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eastAsia="zh-CN"/>
        </w:rPr>
        <w:t>年11月30日，财政拨款支出为</w:t>
      </w:r>
      <w:r>
        <w:rPr>
          <w:rFonts w:hint="eastAsia" w:ascii="仿宋_GB2312" w:hAnsi="仿宋_GB2312" w:eastAsia="仿宋_GB2312" w:cs="仿宋_GB2312"/>
          <w:color w:val="auto"/>
          <w:sz w:val="32"/>
          <w:szCs w:val="32"/>
          <w:lang w:val="en-US" w:eastAsia="zh-CN"/>
        </w:rPr>
        <w:t>1093.90</w:t>
      </w:r>
      <w:r>
        <w:rPr>
          <w:rFonts w:hint="eastAsia" w:ascii="仿宋_GB2312" w:hAnsi="仿宋_GB2312" w:eastAsia="仿宋_GB2312" w:cs="仿宋_GB2312"/>
          <w:color w:val="auto"/>
          <w:sz w:val="32"/>
          <w:szCs w:val="32"/>
          <w:lang w:val="zh-CN" w:eastAsia="zh-CN"/>
        </w:rPr>
        <w:t>万元，支出进度为</w:t>
      </w:r>
      <w:r>
        <w:rPr>
          <w:rFonts w:hint="eastAsia" w:ascii="仿宋_GB2312" w:hAnsi="仿宋_GB2312" w:eastAsia="仿宋_GB2312" w:cs="仿宋_GB2312"/>
          <w:color w:val="auto"/>
          <w:sz w:val="32"/>
          <w:szCs w:val="32"/>
          <w:lang w:val="en-US" w:eastAsia="zh-CN"/>
        </w:rPr>
        <w:t>90.05</w:t>
      </w:r>
      <w:r>
        <w:rPr>
          <w:rFonts w:hint="eastAsia" w:ascii="仿宋_GB2312" w:hAnsi="仿宋_GB2312" w:eastAsia="仿宋_GB2312" w:cs="仿宋_GB2312"/>
          <w:color w:val="auto"/>
          <w:sz w:val="32"/>
          <w:szCs w:val="32"/>
          <w:lang w:val="zh-CN" w:eastAsia="zh-CN"/>
        </w:rPr>
        <w:t>%，全年执行进度合理。</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Calibri" w:eastAsia="仿宋_GB2312" w:cs="仿宋"/>
          <w:color w:val="000000"/>
          <w:kern w:val="0"/>
          <w:sz w:val="32"/>
          <w:szCs w:val="32"/>
          <w:lang w:val="zh-CN" w:eastAsia="zh-CN" w:bidi="ar-SA"/>
        </w:rPr>
        <w:t>峨眉山市财政局20</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年年初财政拨款预算收入</w:t>
      </w:r>
      <w:r>
        <w:rPr>
          <w:rFonts w:hint="eastAsia" w:ascii="仿宋_GB2312" w:hAnsi="Calibri" w:eastAsia="仿宋_GB2312" w:cs="仿宋"/>
          <w:color w:val="000000"/>
          <w:kern w:val="0"/>
          <w:sz w:val="32"/>
          <w:szCs w:val="32"/>
          <w:lang w:val="en-US" w:eastAsia="zh-CN" w:bidi="ar-SA"/>
        </w:rPr>
        <w:t>735.29</w:t>
      </w:r>
      <w:r>
        <w:rPr>
          <w:rFonts w:hint="eastAsia" w:ascii="仿宋_GB2312" w:hAnsi="Calibri" w:eastAsia="仿宋_GB2312" w:cs="仿宋"/>
          <w:color w:val="000000"/>
          <w:kern w:val="0"/>
          <w:sz w:val="32"/>
          <w:szCs w:val="32"/>
          <w:lang w:val="zh-CN" w:eastAsia="zh-CN" w:bidi="ar-SA"/>
        </w:rPr>
        <w:t>万元，调整预算收入</w:t>
      </w:r>
      <w:r>
        <w:rPr>
          <w:rFonts w:hint="eastAsia" w:ascii="仿宋_GB2312" w:hAnsi="Calibri" w:eastAsia="仿宋_GB2312" w:cs="仿宋"/>
          <w:color w:val="000000"/>
          <w:kern w:val="0"/>
          <w:sz w:val="32"/>
          <w:szCs w:val="32"/>
          <w:lang w:val="en-US" w:eastAsia="zh-CN" w:bidi="ar-SA"/>
        </w:rPr>
        <w:t>479.43</w:t>
      </w:r>
      <w:r>
        <w:rPr>
          <w:rFonts w:hint="eastAsia" w:ascii="仿宋_GB2312" w:hAnsi="Calibri" w:eastAsia="仿宋_GB2312" w:cs="仿宋"/>
          <w:color w:val="000000"/>
          <w:kern w:val="0"/>
          <w:sz w:val="32"/>
          <w:szCs w:val="32"/>
          <w:lang w:val="zh-CN" w:eastAsia="zh-CN" w:bidi="ar-SA"/>
        </w:rPr>
        <w:t>万元，最终预算执行</w:t>
      </w:r>
      <w:r>
        <w:rPr>
          <w:rFonts w:hint="eastAsia" w:ascii="仿宋_GB2312" w:hAnsi="Calibri" w:eastAsia="仿宋_GB2312" w:cs="仿宋"/>
          <w:color w:val="000000"/>
          <w:kern w:val="0"/>
          <w:sz w:val="32"/>
          <w:szCs w:val="32"/>
          <w:lang w:val="en-US" w:eastAsia="zh-CN" w:bidi="ar-SA"/>
        </w:rPr>
        <w:t>1214.72万元，</w:t>
      </w:r>
      <w:r>
        <w:rPr>
          <w:rFonts w:hint="eastAsia" w:ascii="仿宋_GB2312" w:hAnsi="仿宋_GB2312" w:eastAsia="仿宋_GB2312" w:cs="仿宋_GB2312"/>
          <w:sz w:val="32"/>
          <w:szCs w:val="32"/>
          <w:lang w:val="zh-CN" w:eastAsia="zh-CN"/>
        </w:rPr>
        <w:t>预算完成率为</w:t>
      </w:r>
      <w:r>
        <w:rPr>
          <w:rFonts w:hint="eastAsia" w:ascii="仿宋_GB2312" w:hAnsi="仿宋_GB2312" w:eastAsia="仿宋_GB2312" w:cs="仿宋_GB2312"/>
          <w:sz w:val="32"/>
          <w:szCs w:val="32"/>
          <w:lang w:val="en-US" w:eastAsia="zh-CN"/>
        </w:rPr>
        <w:t>100.00%。</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峨眉山市财政局项目资金的管理都按照相关规定执行，实行专款专用。项目执行采购制度，签订采购合同，经验收合格后支付项目价款，严格财务管理，由经办人、审核人、分管领导及主要领导签字确认后支付费用，会计核算和账务处理由专人负责，及时规范。</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（二）评价结果运用情况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我局认真开展绩效目标自评工作，绩效结果应用自评良好，绩效目标随同预决算及时向社会公开，收支管理严格按照财务管理制度和相关文件执行，评价结果及时报告，并针对工作中的不足及时改进。</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优，</w:t>
      </w:r>
      <w:r>
        <w:rPr>
          <w:rFonts w:hint="eastAsia" w:ascii="仿宋_GB2312" w:hAnsi="Calibri" w:eastAsia="仿宋_GB2312" w:cs="仿宋"/>
          <w:color w:val="000000"/>
          <w:kern w:val="0"/>
          <w:sz w:val="32"/>
          <w:szCs w:val="32"/>
          <w:lang w:val="en-US" w:eastAsia="zh-CN" w:bidi="ar-SA"/>
        </w:rPr>
        <w:t>92</w:t>
      </w:r>
      <w:r>
        <w:rPr>
          <w:rFonts w:hint="eastAsia" w:ascii="仿宋_GB2312" w:hAnsi="Calibri" w:eastAsia="仿宋_GB2312" w:cs="仿宋"/>
          <w:color w:val="000000"/>
          <w:kern w:val="0"/>
          <w:sz w:val="32"/>
          <w:szCs w:val="32"/>
          <w:lang w:val="zh-CN" w:eastAsia="zh-CN" w:bidi="ar-SA"/>
        </w:rPr>
        <w:t>分。预算编制</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分，其中：目标制定</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分，目标完成</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分，编制准确</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分；预算执行</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分，其中：支出控制5分，动态调整</w:t>
      </w:r>
      <w:r>
        <w:rPr>
          <w:rFonts w:hint="eastAsia" w:ascii="仿宋_GB2312" w:hAnsi="Calibri" w:eastAsia="仿宋_GB2312" w:cs="仿宋"/>
          <w:color w:val="000000"/>
          <w:kern w:val="0"/>
          <w:sz w:val="32"/>
          <w:szCs w:val="32"/>
          <w:lang w:val="en-US" w:eastAsia="zh-CN" w:bidi="ar-SA"/>
        </w:rPr>
        <w:t>5</w:t>
      </w:r>
      <w:r>
        <w:rPr>
          <w:rFonts w:hint="eastAsia" w:ascii="仿宋_GB2312" w:hAnsi="Calibri" w:eastAsia="仿宋_GB2312" w:cs="仿宋"/>
          <w:color w:val="000000"/>
          <w:kern w:val="0"/>
          <w:sz w:val="32"/>
          <w:szCs w:val="32"/>
          <w:lang w:val="zh-CN" w:eastAsia="zh-CN" w:bidi="ar-SA"/>
        </w:rPr>
        <w:t>分，执行进度</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分；完成结果</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分，其中：预算完成</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分，违规记录</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分；项目决策</w:t>
      </w:r>
      <w:r>
        <w:rPr>
          <w:rFonts w:hint="eastAsia" w:ascii="仿宋_GB2312" w:hAnsi="Calibri" w:eastAsia="仿宋_GB2312" w:cs="仿宋"/>
          <w:color w:val="000000"/>
          <w:kern w:val="0"/>
          <w:sz w:val="32"/>
          <w:szCs w:val="32"/>
          <w:lang w:val="en-US" w:eastAsia="zh-CN" w:bidi="ar-SA"/>
        </w:rPr>
        <w:t>8分，其中：程序严密3分，规划合理3分，符合结果2分；项目实施4分，其中：分配科学2分，分配及时2分；完成结果8分，其中：预算完成3分，实施绩效3分，违规记录2分；自评质量4分；信息公开8分，其中：目标公开4分，自评公开4分；</w:t>
      </w:r>
      <w:r>
        <w:rPr>
          <w:rFonts w:hint="eastAsia" w:ascii="仿宋_GB2312" w:hAnsi="Calibri" w:eastAsia="仿宋_GB2312" w:cs="仿宋"/>
          <w:color w:val="000000"/>
          <w:kern w:val="0"/>
          <w:sz w:val="32"/>
          <w:szCs w:val="32"/>
          <w:lang w:val="zh-CN" w:eastAsia="zh-CN" w:bidi="ar-SA"/>
        </w:rPr>
        <w:t>整改反馈8分，其中：整改结果</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，应用反馈</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（二）存在问题和建议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项目资金的预算编制准确率需要提高。项目资金的预算编制应多考察、论证，提高准确率，因为和财政局机关一起办公，系统设备有共用情况，所以产生预算资金调整，在今后的预算编制中，可提前安排、划分。</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2．项目资金使用应更严格、规范，保证专款专用，严格执行政府采购等各项规章制度。</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3．部门支出相关（基本支出方面）的规章制度还不够完善。</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（三）改进建议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针对上述存在的问题及对外整体支出管理工作的需要，拟实施的改进措施如下：</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加强财务管理，严格财务审核。加强我单位财务管理，健全单位财务管理制度体系，规范财务行为。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spacing w:line="600" w:lineRule="exact"/>
        <w:jc w:val="center"/>
        <w:outlineLvl w:val="0"/>
        <w:rPr>
          <w:rStyle w:val="25"/>
          <w:rFonts w:hint="eastAsia" w:ascii="方正小标宋_GBK" w:hAnsi="方正小标宋_GBK" w:eastAsia="方正小标宋_GBK" w:cs="方正小标宋_GBK"/>
          <w:b w:val="0"/>
          <w:bCs w:val="0"/>
        </w:rPr>
      </w:pPr>
      <w:bookmarkStart w:id="59" w:name="_Toc15396618"/>
      <w:r>
        <w:rPr>
          <w:rFonts w:hint="eastAsia" w:ascii="方正小标宋_GBK" w:hAnsi="方正小标宋_GBK" w:eastAsia="方正小标宋_GBK" w:cs="方正小标宋_GBK"/>
          <w:b w:val="0"/>
          <w:bCs w:val="0"/>
          <w:color w:val="000000"/>
          <w:sz w:val="44"/>
          <w:szCs w:val="44"/>
        </w:rPr>
        <w:t>第</w:t>
      </w:r>
      <w:r>
        <w:rPr>
          <w:rStyle w:val="25"/>
          <w:rFonts w:hint="eastAsia" w:ascii="方正小标宋_GBK" w:hAnsi="方正小标宋_GBK" w:eastAsia="方正小标宋_GBK" w:cs="方正小标宋_GBK"/>
          <w:b w:val="0"/>
          <w:bCs w:val="0"/>
        </w:rPr>
        <w:t>五部分 附</w:t>
      </w:r>
      <w:r>
        <w:rPr>
          <w:rStyle w:val="25"/>
          <w:rFonts w:hint="eastAsia" w:ascii="方正小标宋_GBK" w:hAnsi="方正小标宋_GBK" w:eastAsia="方正小标宋_GBK" w:cs="方正小标宋_GBK"/>
          <w:b w:val="0"/>
          <w:bCs w:val="0"/>
          <w:lang w:eastAsia="zh-CN"/>
        </w:rPr>
        <w:t>　</w:t>
      </w:r>
      <w:r>
        <w:rPr>
          <w:rStyle w:val="25"/>
          <w:rFonts w:hint="eastAsia" w:ascii="方正小标宋_GBK" w:hAnsi="方正小标宋_GBK" w:eastAsia="方正小标宋_GBK" w:cs="方正小标宋_GBK"/>
          <w:b w:val="0"/>
          <w:bCs w:val="0"/>
        </w:rPr>
        <w:t>表</w:t>
      </w:r>
      <w:bookmarkEnd w:id="57"/>
      <w:bookmarkEnd w:id="59"/>
    </w:p>
    <w:p>
      <w:pPr>
        <w:spacing w:line="600" w:lineRule="exact"/>
        <w:jc w:val="center"/>
        <w:outlineLvl w:val="0"/>
        <w:rPr>
          <w:rFonts w:ascii="仿宋" w:hAnsi="仿宋" w:eastAsia="仿宋"/>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0" w:name="_Toc1539661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bookmarkStart w:id="72" w:name="_Toc15396631"/>
      <w:r>
        <w:rPr>
          <w:rFonts w:hint="eastAsia" w:ascii="仿宋_GB2312" w:hAnsi="仿宋_GB2312" w:eastAsia="仿宋_GB2312" w:cs="仿宋_GB2312"/>
          <w:sz w:val="32"/>
          <w:szCs w:val="32"/>
          <w:lang w:eastAsia="zh-CN"/>
        </w:rPr>
        <w:t>　　</w:t>
      </w:r>
      <w:bookmarkEnd w:id="72"/>
      <w:r>
        <w:rPr>
          <w:rFonts w:hint="eastAsia" w:ascii="仿宋_GB2312" w:hAnsi="仿宋_GB2312" w:eastAsia="仿宋_GB2312" w:cs="仿宋_GB2312"/>
          <w:sz w:val="32"/>
          <w:szCs w:val="32"/>
          <w:lang w:val="en-US" w:eastAsia="zh-CN"/>
        </w:rPr>
        <w:t>十三、国有资本经营预算财政拨款收入支出决算表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十四、国有资本经营预算财政拨款支出决算表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41" w:right="1468" w:bottom="1587" w:left="1468"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2049" o:spid="_x0000_s2049" o:spt="202" type="#_x0000_t202" style="position:absolute;left:0pt;margin-top:-6.7pt;height:19.3pt;width:88.4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sdt>
                <w:sdtPr>
                  <w:rPr>
                    <w:rFonts w:hint="eastAsia" w:ascii="宋体" w:hAnsi="宋体" w:eastAsia="宋体" w:cs="宋体"/>
                    <w:sz w:val="28"/>
                    <w:szCs w:val="28"/>
                  </w:rPr>
                  <w:id w:val="-1994781956"/>
                </w:sdtPr>
                <w:sdtEndPr>
                  <w:rPr>
                    <w:rFonts w:hint="eastAsia" w:ascii="宋体" w:hAnsi="宋体" w:eastAsia="宋体" w:cs="宋体"/>
                    <w:sz w:val="28"/>
                    <w:szCs w:val="28"/>
                  </w:rPr>
                </w:sdtEndPr>
                <w:sdtContent>
                  <w:p>
                    <w:pPr>
                      <w:pStyle w:val="9"/>
                      <w:jc w:val="cente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24</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p>
                </w:sdtContent>
              </w:sd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FF8DBD"/>
    <w:multiLevelType w:val="singleLevel"/>
    <w:tmpl w:val="A6FF8DBD"/>
    <w:lvl w:ilvl="0" w:tentative="0">
      <w:start w:val="1"/>
      <w:numFmt w:val="chineseCounting"/>
      <w:suff w:val="space"/>
      <w:lvlText w:val="第%1部分"/>
      <w:lvlJc w:val="left"/>
      <w:rPr>
        <w:rFonts w:hint="eastAsia"/>
      </w:rPr>
    </w:lvl>
  </w:abstractNum>
  <w:abstractNum w:abstractNumId="1">
    <w:nsid w:val="C42B51C9"/>
    <w:multiLevelType w:val="singleLevel"/>
    <w:tmpl w:val="C42B51C9"/>
    <w:lvl w:ilvl="0" w:tentative="0">
      <w:start w:val="5"/>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29E3"/>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222D"/>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494A"/>
    <w:rsid w:val="029724B9"/>
    <w:rsid w:val="02A6195C"/>
    <w:rsid w:val="02C21220"/>
    <w:rsid w:val="0330488F"/>
    <w:rsid w:val="03FC087A"/>
    <w:rsid w:val="05294C4C"/>
    <w:rsid w:val="057D1A90"/>
    <w:rsid w:val="05BC5326"/>
    <w:rsid w:val="05CC3EFD"/>
    <w:rsid w:val="0AB06987"/>
    <w:rsid w:val="0AF0737D"/>
    <w:rsid w:val="0F570C31"/>
    <w:rsid w:val="0FB42E9C"/>
    <w:rsid w:val="10865A10"/>
    <w:rsid w:val="10C055FF"/>
    <w:rsid w:val="113E0BC9"/>
    <w:rsid w:val="126A2D95"/>
    <w:rsid w:val="15140919"/>
    <w:rsid w:val="15526177"/>
    <w:rsid w:val="16652D9B"/>
    <w:rsid w:val="16BB723D"/>
    <w:rsid w:val="192F01A0"/>
    <w:rsid w:val="1AE049F0"/>
    <w:rsid w:val="1B6477CD"/>
    <w:rsid w:val="1CD068DC"/>
    <w:rsid w:val="1D985659"/>
    <w:rsid w:val="203466F9"/>
    <w:rsid w:val="20FB6F6B"/>
    <w:rsid w:val="212428F9"/>
    <w:rsid w:val="219960DD"/>
    <w:rsid w:val="240371BF"/>
    <w:rsid w:val="24127B52"/>
    <w:rsid w:val="279D042E"/>
    <w:rsid w:val="2816611C"/>
    <w:rsid w:val="29FD04D3"/>
    <w:rsid w:val="2A211589"/>
    <w:rsid w:val="2B9D65E9"/>
    <w:rsid w:val="2BEF0688"/>
    <w:rsid w:val="2C0109D7"/>
    <w:rsid w:val="2C366700"/>
    <w:rsid w:val="2CA60895"/>
    <w:rsid w:val="2CD61CC9"/>
    <w:rsid w:val="2E3D48E1"/>
    <w:rsid w:val="2F556E34"/>
    <w:rsid w:val="2FE1237B"/>
    <w:rsid w:val="319F7F4E"/>
    <w:rsid w:val="32364233"/>
    <w:rsid w:val="33B647EC"/>
    <w:rsid w:val="35922DF8"/>
    <w:rsid w:val="364D1656"/>
    <w:rsid w:val="38E2001A"/>
    <w:rsid w:val="39185236"/>
    <w:rsid w:val="39933278"/>
    <w:rsid w:val="3A24064A"/>
    <w:rsid w:val="3A4D6514"/>
    <w:rsid w:val="3A69252D"/>
    <w:rsid w:val="3BD55FDA"/>
    <w:rsid w:val="3BF00751"/>
    <w:rsid w:val="3DEB13A6"/>
    <w:rsid w:val="3E246C0D"/>
    <w:rsid w:val="3E7A2915"/>
    <w:rsid w:val="3EB325B1"/>
    <w:rsid w:val="3FF901EA"/>
    <w:rsid w:val="40CF5D1D"/>
    <w:rsid w:val="42283FE0"/>
    <w:rsid w:val="42C66B08"/>
    <w:rsid w:val="42DE5C57"/>
    <w:rsid w:val="43965413"/>
    <w:rsid w:val="44DB0665"/>
    <w:rsid w:val="456C5898"/>
    <w:rsid w:val="47022D25"/>
    <w:rsid w:val="478E4572"/>
    <w:rsid w:val="47A2134C"/>
    <w:rsid w:val="4812676A"/>
    <w:rsid w:val="48A27728"/>
    <w:rsid w:val="48E85E90"/>
    <w:rsid w:val="49086D46"/>
    <w:rsid w:val="4ABF2E3F"/>
    <w:rsid w:val="4D95699B"/>
    <w:rsid w:val="4DC27038"/>
    <w:rsid w:val="4DF9287D"/>
    <w:rsid w:val="4ECE2238"/>
    <w:rsid w:val="50BE45E9"/>
    <w:rsid w:val="52D52261"/>
    <w:rsid w:val="538132BE"/>
    <w:rsid w:val="54E35E0B"/>
    <w:rsid w:val="55D8052C"/>
    <w:rsid w:val="57F475CE"/>
    <w:rsid w:val="58056C22"/>
    <w:rsid w:val="58CF19AE"/>
    <w:rsid w:val="5CCA5BD8"/>
    <w:rsid w:val="5D1030EB"/>
    <w:rsid w:val="5D9622E8"/>
    <w:rsid w:val="5DBE0633"/>
    <w:rsid w:val="5E0936BE"/>
    <w:rsid w:val="5EB05663"/>
    <w:rsid w:val="60246974"/>
    <w:rsid w:val="60647096"/>
    <w:rsid w:val="60F15120"/>
    <w:rsid w:val="615F595B"/>
    <w:rsid w:val="61AC4978"/>
    <w:rsid w:val="6261443E"/>
    <w:rsid w:val="63082894"/>
    <w:rsid w:val="63A52AB1"/>
    <w:rsid w:val="64A00258"/>
    <w:rsid w:val="659B1A2D"/>
    <w:rsid w:val="667F4158"/>
    <w:rsid w:val="66D44B2F"/>
    <w:rsid w:val="69DB5172"/>
    <w:rsid w:val="69E42345"/>
    <w:rsid w:val="6B1D1C2D"/>
    <w:rsid w:val="6DB536A7"/>
    <w:rsid w:val="70B777F2"/>
    <w:rsid w:val="70D52CA3"/>
    <w:rsid w:val="7164454E"/>
    <w:rsid w:val="72245FE2"/>
    <w:rsid w:val="72734D90"/>
    <w:rsid w:val="72FA0117"/>
    <w:rsid w:val="7399006E"/>
    <w:rsid w:val="75A57AE1"/>
    <w:rsid w:val="75B67365"/>
    <w:rsid w:val="75C9041E"/>
    <w:rsid w:val="75E43E96"/>
    <w:rsid w:val="77666061"/>
    <w:rsid w:val="78FC55D6"/>
    <w:rsid w:val="7BCC1F2C"/>
    <w:rsid w:val="7D2E0BAD"/>
    <w:rsid w:val="7D65035B"/>
    <w:rsid w:val="7D8266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2019年</c:v>
                </c:pt>
                <c:pt idx="1">
                  <c:v>2020年</c:v>
                </c:pt>
              </c:strCache>
            </c:strRef>
          </c:cat>
          <c:val>
            <c:numRef>
              <c:f>[工作簿1]Sheet1!$B$1:$B$2</c:f>
              <c:numCache>
                <c:formatCode>General</c:formatCode>
                <c:ptCount val="2"/>
                <c:pt idx="0">
                  <c:v>1526.86</c:v>
                </c:pt>
                <c:pt idx="1">
                  <c:v>1224.21</c:v>
                </c:pt>
              </c:numCache>
            </c:numRef>
          </c:val>
        </c:ser>
        <c:dLbls>
          <c:showLegendKey val="0"/>
          <c:showVal val="1"/>
          <c:showCatName val="0"/>
          <c:showSerName val="0"/>
          <c:showPercent val="0"/>
          <c:showBubbleSize val="0"/>
        </c:dLbls>
        <c:gapWidth val="219"/>
        <c:overlap val="-27"/>
        <c:axId val="68556701"/>
        <c:axId val="57359286"/>
      </c:barChart>
      <c:catAx>
        <c:axId val="685567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59286"/>
        <c:crosses val="autoZero"/>
        <c:auto val="1"/>
        <c:lblAlgn val="ctr"/>
        <c:lblOffset val="100"/>
        <c:noMultiLvlLbl val="0"/>
      </c:catAx>
      <c:valAx>
        <c:axId val="573592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567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r>
                      <a:rPr lang="en-US" altLang="zh-CN"/>
                      <a:t>1206.96</a:t>
                    </a:r>
                    <a:r>
                      <a:rPr altLang="en-US"/>
                      <a:t>万元</a:t>
                    </a:r>
                    <a:r>
                      <a:t>99%</a:t>
                    </a:r>
                  </a:p>
                </c:rich>
              </c:tx>
              <c:dLblPos val="inEnd"/>
              <c:showLegendKey val="0"/>
              <c:showVal val="0"/>
              <c:showCatName val="0"/>
              <c:showSerName val="0"/>
              <c:showPercent val="1"/>
              <c:showBubbleSize val="0"/>
              <c:extLst>
                <c:ext xmlns:c15="http://schemas.microsoft.com/office/drawing/2012/chart" uri="{CE6537A1-D6FC-4f65-9D91-7224C49458BB}">
                  <c15:layout>
                    <c:manualLayout>
                      <c:w val="0.242638888888889"/>
                      <c:h val="0.163888888888889"/>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a:t>
                    </a:r>
                    <a:r>
                      <a:rPr lang="en-US" altLang="zh-CN"/>
                      <a:t>7.76</a:t>
                    </a:r>
                    <a:r>
                      <a:rPr altLang="en-US"/>
                      <a:t>万元</a:t>
                    </a:r>
                    <a:r>
                      <a:t>1%</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[工作簿1]Sheet1!$A$23:$A$24</c:f>
              <c:strCache>
                <c:ptCount val="2"/>
                <c:pt idx="0">
                  <c:v>一般公共预算财政拨款收入</c:v>
                </c:pt>
                <c:pt idx="1">
                  <c:v>政府性基金预算财政拨款收入</c:v>
                </c:pt>
              </c:strCache>
            </c:strRef>
          </c:cat>
          <c:val>
            <c:numRef>
              <c:f>[工作簿1]Sheet1!$B$23:$B$24</c:f>
              <c:numCache>
                <c:formatCode>General</c:formatCode>
                <c:ptCount val="2"/>
                <c:pt idx="0">
                  <c:v>1206.96</c:v>
                </c:pt>
                <c:pt idx="1">
                  <c:v>7.76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665.20</a:t>
                    </a:r>
                    <a:r>
                      <a:rPr altLang="en-US"/>
                      <a:t>万元</a:t>
                    </a:r>
                    <a:r>
                      <a:t>5</a:t>
                    </a:r>
                    <a:r>
                      <a:rPr lang="en-US" altLang="zh-CN"/>
                      <a:t>4.74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r>
                      <a:rPr lang="en-US" altLang="zh-CN"/>
                      <a:t>549.93</a:t>
                    </a:r>
                    <a:r>
                      <a:rPr altLang="en-US"/>
                      <a:t>万元</a:t>
                    </a:r>
                    <a:r>
                      <a:t>45</a:t>
                    </a:r>
                    <a:r>
                      <a:rPr lang="en-US" altLang="zh-CN"/>
                      <a:t>.26</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[工作簿1]Sheet1!$A$34:$A$35</c:f>
              <c:strCache>
                <c:ptCount val="2"/>
                <c:pt idx="0">
                  <c:v>基本支出</c:v>
                </c:pt>
                <c:pt idx="1">
                  <c:v>项目支出</c:v>
                </c:pt>
              </c:strCache>
            </c:strRef>
          </c:cat>
          <c:val>
            <c:numRef>
              <c:f>[工作簿1]Sheet1!$B$34:$B$35</c:f>
              <c:numCache>
                <c:formatCode>General</c:formatCode>
                <c:ptCount val="2"/>
                <c:pt idx="0">
                  <c:v>665.2</c:v>
                </c:pt>
                <c:pt idx="1">
                  <c:v>549.93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[工作簿1]Sheet1!$A$44:$A$45</c:f>
              <c:strCache>
                <c:ptCount val="2"/>
                <c:pt idx="0">
                  <c:v>2019年</c:v>
                </c:pt>
                <c:pt idx="1">
                  <c:v>2020年</c:v>
                </c:pt>
              </c:strCache>
            </c:strRef>
          </c:cat>
          <c:val>
            <c:numRef>
              <c:f>[工作簿1]Sheet1!$B$44:$B$45</c:f>
              <c:numCache>
                <c:formatCode>General</c:formatCode>
                <c:ptCount val="2"/>
                <c:pt idx="0">
                  <c:v>1450.29</c:v>
                </c:pt>
                <c:pt idx="1">
                  <c:v>1214.72</c:v>
                </c:pt>
              </c:numCache>
            </c:numRef>
          </c:val>
        </c:ser>
        <c:dLbls>
          <c:showLegendKey val="0"/>
          <c:showVal val="1"/>
          <c:showCatName val="0"/>
          <c:showSerName val="0"/>
          <c:showPercent val="0"/>
          <c:showBubbleSize val="0"/>
        </c:dLbls>
        <c:gapWidth val="219"/>
        <c:overlap val="-27"/>
        <c:axId val="240467503"/>
        <c:axId val="336889895"/>
      </c:barChart>
      <c:catAx>
        <c:axId val="2404675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889895"/>
        <c:crosses val="autoZero"/>
        <c:auto val="1"/>
        <c:lblAlgn val="ctr"/>
        <c:lblOffset val="100"/>
        <c:noMultiLvlLbl val="0"/>
      </c:catAx>
      <c:valAx>
        <c:axId val="336889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4675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  </a:t>
            </a:r>
          </a:p>
          <a:p>
            <a:pPr defTabSz="914400">
              <a:defRPr lang="zh-CN" sz="1400" b="0" i="0" u="none" strike="noStrike" kern="1200" spc="0" baseline="0">
                <a:solidFill>
                  <a:schemeClr val="tx1">
                    <a:lumMod val="65000"/>
                    <a:lumOff val="35000"/>
                  </a:schemeClr>
                </a:solidFill>
                <a:latin typeface="+mn-lt"/>
                <a:ea typeface="+mn-ea"/>
                <a:cs typeface="+mn-cs"/>
              </a:defRPr>
            </a:pPr>
            <a:r>
              <a:t>（ 单位</a:t>
            </a:r>
            <a:r>
              <a:rPr lang="en-US" altLang="zh-CN"/>
              <a:t>:</a:t>
            </a:r>
            <a:r>
              <a:rPr altLang="en-US"/>
              <a:t>万元</a:t>
            </a:r>
            <a:r>
              <a:t>）</a:t>
            </a:r>
          </a:p>
        </c:rich>
      </c:tx>
      <c:layout>
        <c:manualLayout>
          <c:xMode val="edge"/>
          <c:yMode val="edge"/>
          <c:x val="0.181766128006108"/>
          <c:y val="0.024725274725274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[工作簿1]Sheet1!$A$71:$A$72</c:f>
              <c:strCache>
                <c:ptCount val="2"/>
                <c:pt idx="0">
                  <c:v>2019年</c:v>
                </c:pt>
                <c:pt idx="1">
                  <c:v>2020年</c:v>
                </c:pt>
              </c:strCache>
            </c:strRef>
          </c:cat>
          <c:val>
            <c:numRef>
              <c:f>[工作簿1]Sheet1!$B$71:$B$72</c:f>
              <c:numCache>
                <c:formatCode>General</c:formatCode>
                <c:ptCount val="2"/>
                <c:pt idx="0">
                  <c:v>1248.76</c:v>
                </c:pt>
                <c:pt idx="1">
                  <c:v>1206.96</c:v>
                </c:pt>
              </c:numCache>
            </c:numRef>
          </c:val>
        </c:ser>
        <c:dLbls>
          <c:showLegendKey val="0"/>
          <c:showVal val="1"/>
          <c:showCatName val="0"/>
          <c:showSerName val="0"/>
          <c:showPercent val="0"/>
          <c:showBubbleSize val="0"/>
        </c:dLbls>
        <c:gapWidth val="219"/>
        <c:overlap val="-27"/>
        <c:axId val="958519260"/>
        <c:axId val="138440120"/>
      </c:barChart>
      <c:catAx>
        <c:axId val="9585192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440120"/>
        <c:crosses val="autoZero"/>
        <c:auto val="1"/>
        <c:lblAlgn val="ctr"/>
        <c:lblOffset val="100"/>
        <c:noMultiLvlLbl val="0"/>
      </c:catAx>
      <c:valAx>
        <c:axId val="138440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85192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41763840144911"/>
          <c:y val="0.01567671137432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164302227997535"/>
                  <c:y val="0.2196901717824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社会保障和就业（类）支出</a:t>
                    </a:r>
                    <a:r>
                      <a:rPr lang="en-US" altLang="zh-CN"/>
                      <a:t>49.92</a:t>
                    </a:r>
                    <a:r>
                      <a:t>4</a:t>
                    </a:r>
                    <a:r>
                      <a:rPr lang="en-US" altLang="zh-CN"/>
                      <a:t>.14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85620612824326"/>
                  <c:y val="0.1101737448067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卫生健康（类）支出</a:t>
                    </a:r>
                    <a:r>
                      <a:rPr lang="en-US" altLang="zh-CN"/>
                      <a:t>12.19</a:t>
                    </a:r>
                    <a:r>
                      <a:t>1</a:t>
                    </a:r>
                    <a:r>
                      <a:rPr lang="en-US" altLang="zh-CN"/>
                      <a:t>.01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9067134608853"/>
                      <c:h val="0.123323462811357"/>
                    </c:manualLayout>
                  </c15:layout>
                </c:ext>
              </c:extLst>
            </c:dLbl>
            <c:dLbl>
              <c:idx val="3"/>
              <c:layout>
                <c:manualLayout>
                  <c:x val="0.046400715560601"/>
                  <c:y val="0.090897696843903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农林水（类）支出：</a:t>
                    </a:r>
                    <a:r>
                      <a:rPr lang="en-US" altLang="zh-CN"/>
                      <a:t>3</a:t>
                    </a:r>
                    <a:r>
                      <a:t>0</a:t>
                    </a:r>
                    <a:r>
                      <a:rPr lang="en-US" altLang="zh-CN"/>
                      <a:t>.25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0499264123174"/>
                      <c:h val="0.123323462811357"/>
                    </c:manualLayout>
                  </c15:layout>
                </c:ext>
              </c:extLst>
            </c:dLbl>
            <c:dLbl>
              <c:idx val="4"/>
              <c:layout>
                <c:manualLayout>
                  <c:x val="0.0772645083985518"/>
                  <c:y val="0.190547252814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住房保障支出</a:t>
                    </a:r>
                    <a:r>
                      <a:rPr lang="en-US" altLang="zh-CN"/>
                      <a:t>43.97</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r>
                      <a:rPr lang="en-US" altLang="zh-CN"/>
                      <a:t>3.64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[工作簿1]Sheet1!$A$91:$A$95</c:f>
              <c:strCache>
                <c:ptCount val="5"/>
                <c:pt idx="0">
                  <c:v>一般公共服务（类）支出</c:v>
                </c:pt>
                <c:pt idx="1">
                  <c:v>社会保障和就业（类）支出</c:v>
                </c:pt>
                <c:pt idx="2">
                  <c:v>卫生健康（类）支出</c:v>
                </c:pt>
                <c:pt idx="3">
                  <c:v>农林水（类）支出</c:v>
                </c:pt>
                <c:pt idx="4">
                  <c:v>住房保障支出</c:v>
                </c:pt>
              </c:strCache>
            </c:strRef>
          </c:cat>
          <c:val>
            <c:numRef>
              <c:f>[工作簿1]Sheet1!$B$91:$B$95</c:f>
              <c:numCache>
                <c:formatCode>General</c:formatCode>
                <c:ptCount val="5"/>
                <c:pt idx="0">
                  <c:v>1097.88</c:v>
                </c:pt>
                <c:pt idx="1">
                  <c:v>49.92</c:v>
                </c:pt>
                <c:pt idx="2">
                  <c:v>12.19</c:v>
                </c:pt>
                <c:pt idx="3">
                  <c:v>3</c:v>
                </c:pt>
                <c:pt idx="4">
                  <c:v>43.97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manualLayout>
          <c:layoutTarget val="inner"/>
          <c:xMode val="edge"/>
          <c:yMode val="edge"/>
          <c:x val="0.251527777777778"/>
          <c:y val="0.176388888888889"/>
          <c:w val="0.463611111111111"/>
          <c:h val="0.77268518518518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公务用车购置及运行维护费：</a:t>
                    </a:r>
                    <a:r>
                      <a:rPr lang="en-US" altLang="zh-CN"/>
                      <a:t>3.9</a:t>
                    </a:r>
                    <a:r>
                      <a:rPr altLang="en-US"/>
                      <a:t>万元</a:t>
                    </a:r>
                    <a:r>
                      <a:t>97%</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30277777777778"/>
                      <c:h val="0.163888888888889"/>
                    </c:manualLayout>
                  </c15:layout>
                </c:ext>
              </c:extLst>
            </c:dLbl>
            <c:dLbl>
              <c:idx val="1"/>
              <c:layout>
                <c:manualLayout>
                  <c:x val="-0.104032273078976"/>
                  <c:y val="0.23131093944037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公务接待费</a:t>
                    </a:r>
                    <a:r>
                      <a:rPr lang="en-US" altLang="zh-CN"/>
                      <a:t>:0.13</a:t>
                    </a:r>
                    <a:r>
                      <a:rPr altLang="en-US"/>
                      <a:t>万元</a:t>
                    </a:r>
                    <a:r>
                      <a:t>3%</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9166666666667"/>
                      <c:h val="0.174537037037037"/>
                    </c:manualLayout>
                  </c15:layout>
                </c:ext>
              </c:extLst>
            </c:dLbl>
            <c:dLbl>
              <c:idx val="2"/>
              <c:layout>
                <c:manualLayout>
                  <c:x val="0.0937492540504304"/>
                  <c:y val="0.1233935185144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因公出国（境）费：</a:t>
                    </a:r>
                    <a:r>
                      <a:rPr lang="en-US" altLang="zh-CN"/>
                      <a:t>0</a:t>
                    </a:r>
                    <a:r>
                      <a:rPr altLang="en-US"/>
                      <a:t>万元</a:t>
                    </a:r>
                    <a:r>
                      <a:t>0%</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4583333333333"/>
                      <c:h val="0.163888888888889"/>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[工作簿1]Sheet1!$A$108:$A$110</c:f>
              <c:strCache>
                <c:ptCount val="3"/>
                <c:pt idx="0">
                  <c:v>公务用车购置及运行维护费</c:v>
                </c:pt>
                <c:pt idx="1">
                  <c:v>公务接待费</c:v>
                </c:pt>
                <c:pt idx="2">
                  <c:v>因公出国（境）费</c:v>
                </c:pt>
              </c:strCache>
            </c:strRef>
          </c:cat>
          <c:val>
            <c:numRef>
              <c:f>[工作簿1]Sheet1!$B$108:$B$110</c:f>
              <c:numCache>
                <c:formatCode>General</c:formatCode>
                <c:ptCount val="3"/>
                <c:pt idx="0">
                  <c:v>3.9</c:v>
                </c:pt>
                <c:pt idx="1">
                  <c:v>0.13</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12</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2021-10-28T07:45:28Z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