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8441"/>
      <w:bookmarkStart w:id="4" w:name="_Toc15396475"/>
      <w:bookmarkStart w:id="5" w:name="_Toc1537742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96476"/>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峨眉山市民政中心</w:t>
      </w:r>
    </w:p>
    <w:p>
      <w:pPr>
        <w:adjustRightInd w:val="0"/>
        <w:snapToGrid w:val="0"/>
        <w:spacing w:line="360" w:lineRule="auto"/>
        <w:jc w:val="center"/>
        <w:outlineLvl w:val="0"/>
        <w:rPr>
          <w:rFonts w:ascii="方正小标宋简体" w:hAnsi="宋体" w:eastAsia="方正小标宋简体"/>
          <w:color w:val="000000"/>
          <w:sz w:val="72"/>
          <w:szCs w:val="72"/>
        </w:rPr>
      </w:pPr>
      <w:bookmarkStart w:id="71" w:name="_GoBack"/>
      <w:bookmarkEnd w:id="71"/>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pStyle w:val="2"/>
        <w:pageBreakBefore w:val="0"/>
        <w:kinsoku/>
        <w:wordWrap/>
        <w:overflowPunct/>
        <w:topLinePunct w:val="0"/>
        <w:bidi w:val="0"/>
        <w:spacing w:line="600" w:lineRule="exact"/>
        <w:jc w:val="center"/>
        <w:textAlignment w:val="auto"/>
        <w:rPr>
          <w:rStyle w:val="10"/>
          <w:rFonts w:ascii="黑体" w:hAnsi="黑体" w:eastAsia="黑体"/>
          <w:b/>
          <w:bCs w:val="0"/>
        </w:rPr>
      </w:pPr>
      <w:r>
        <w:rPr>
          <w:rFonts w:ascii="方正小标宋简体" w:hAnsi="宋体" w:eastAsia="方正小标宋简体"/>
          <w:color w:val="000000"/>
          <w:sz w:val="36"/>
          <w:szCs w:val="36"/>
        </w:rPr>
        <w:br w:type="page"/>
      </w:r>
      <w:r>
        <w:rPr>
          <w:rFonts w:hint="eastAsia" w:ascii="黑体" w:hAnsi="黑体" w:eastAsia="黑体"/>
          <w:b w:val="0"/>
        </w:rPr>
        <w:t>第一部分</w:t>
      </w:r>
      <w:r>
        <w:rPr>
          <w:rFonts w:ascii="黑体" w:hAnsi="黑体" w:eastAsia="黑体"/>
          <w:b w:val="0"/>
        </w:rPr>
        <w:t xml:space="preserve"> </w:t>
      </w:r>
      <w:r>
        <w:rPr>
          <w:rStyle w:val="10"/>
          <w:rFonts w:hint="eastAsia" w:ascii="黑体" w:hAnsi="黑体" w:eastAsia="黑体"/>
          <w:b w:val="0"/>
          <w:bCs w:val="0"/>
        </w:rPr>
        <w:t>部门概况</w:t>
      </w:r>
    </w:p>
    <w:p>
      <w:pPr>
        <w:pageBreakBefore w:val="0"/>
        <w:widowControl/>
        <w:kinsoku/>
        <w:wordWrap/>
        <w:overflowPunct/>
        <w:topLinePunct w:val="0"/>
        <w:bidi w:val="0"/>
        <w:spacing w:line="600" w:lineRule="exact"/>
        <w:jc w:val="left"/>
        <w:textAlignment w:val="auto"/>
        <w:rPr>
          <w:rFonts w:ascii="黑体" w:eastAsia="黑体"/>
          <w:color w:val="000000"/>
          <w:sz w:val="32"/>
          <w:szCs w:val="32"/>
        </w:rPr>
      </w:pPr>
    </w:p>
    <w:p>
      <w:pPr>
        <w:pStyle w:val="3"/>
        <w:pageBreakBefore w:val="0"/>
        <w:kinsoku/>
        <w:wordWrap/>
        <w:overflowPunct/>
        <w:topLinePunct w:val="0"/>
        <w:bidi w:val="0"/>
        <w:spacing w:line="600" w:lineRule="exact"/>
        <w:textAlignment w:val="auto"/>
        <w:rPr>
          <w:rStyle w:val="11"/>
          <w:rFonts w:ascii="仿宋" w:hAnsi="仿宋" w:eastAsia="仿宋"/>
          <w:b w:val="0"/>
          <w:bCs w:val="0"/>
        </w:rPr>
      </w:pPr>
      <w:bookmarkStart w:id="12" w:name="_Toc15377197"/>
      <w:bookmarkStart w:id="13" w:name="_Toc15396600"/>
      <w:r>
        <w:rPr>
          <w:rFonts w:hint="eastAsia" w:ascii="黑体" w:hAnsi="黑体" w:eastAsia="黑体"/>
          <w:b w:val="0"/>
          <w:color w:val="000000"/>
        </w:rPr>
        <w:t>一、基</w:t>
      </w:r>
      <w:r>
        <w:rPr>
          <w:rStyle w:val="11"/>
          <w:rFonts w:hint="eastAsia" w:ascii="黑体" w:hAnsi="黑体" w:eastAsia="黑体"/>
          <w:b w:val="0"/>
          <w:bCs w:val="0"/>
        </w:rPr>
        <w:t>本职能及主要工作</w:t>
      </w:r>
      <w:bookmarkEnd w:id="12"/>
      <w:bookmarkEnd w:id="13"/>
    </w:p>
    <w:p>
      <w:pPr>
        <w:pStyle w:val="4"/>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bCs/>
          <w:color w:val="000000"/>
          <w:sz w:val="32"/>
          <w:szCs w:val="32"/>
        </w:rPr>
      </w:pPr>
      <w:bookmarkStart w:id="14" w:name="_Toc15378445"/>
      <w:bookmarkStart w:id="15" w:name="_Toc15377198"/>
      <w:r>
        <w:rPr>
          <w:rFonts w:hint="eastAsia" w:ascii="仿宋" w:hAnsi="仿宋" w:eastAsia="仿宋"/>
          <w:bCs/>
          <w:color w:val="000000"/>
          <w:sz w:val="32"/>
          <w:szCs w:val="32"/>
        </w:rPr>
        <w:t>（</w:t>
      </w:r>
      <w:r>
        <w:rPr>
          <w:rFonts w:hint="eastAsia" w:ascii="仿宋_GB2312" w:hAnsi="仿宋_GB2312" w:eastAsia="仿宋_GB2312" w:cs="仿宋_GB2312"/>
          <w:bCs/>
          <w:color w:val="000000"/>
          <w:sz w:val="32"/>
          <w:szCs w:val="32"/>
        </w:rPr>
        <w:t>一）主要职能。</w:t>
      </w:r>
      <w:bookmarkEnd w:id="14"/>
      <w:bookmarkEnd w:id="15"/>
    </w:p>
    <w:p>
      <w:pPr>
        <w:snapToGrid w:val="0"/>
        <w:spacing w:line="520" w:lineRule="exact"/>
        <w:ind w:firstLine="960" w:firstLineChars="300"/>
        <w:rPr>
          <w:rFonts w:hint="eastAsia" w:ascii="仿宋_GB2312" w:hAnsi="仿宋" w:eastAsia="仿宋_GB2312"/>
          <w:sz w:val="32"/>
          <w:szCs w:val="32"/>
          <w:lang w:eastAsia="zh-CN"/>
        </w:rPr>
      </w:pPr>
      <w:r>
        <w:rPr>
          <w:rFonts w:hint="eastAsia" w:ascii="仿宋_GB2312" w:hAnsi="仿宋" w:eastAsia="仿宋_GB2312"/>
          <w:sz w:val="32"/>
          <w:szCs w:val="32"/>
          <w:lang w:eastAsia="zh-CN"/>
        </w:rPr>
        <w:t>峨眉山市民政中心，社会养老服务中心，主要为社会五保老人、贫困老人、社会流浪乞讨人员提供生活服务保障。</w:t>
      </w:r>
    </w:p>
    <w:p>
      <w:pPr>
        <w:pStyle w:val="4"/>
        <w:pageBreakBefore w:val="0"/>
        <w:kinsoku/>
        <w:wordWrap/>
        <w:overflowPunct/>
        <w:topLinePunct w:val="0"/>
        <w:bidi w:val="0"/>
        <w:adjustRightInd w:val="0"/>
        <w:snapToGrid w:val="0"/>
        <w:spacing w:before="93" w:line="600" w:lineRule="exact"/>
        <w:ind w:firstLine="640" w:firstLineChars="200"/>
        <w:textAlignment w:val="auto"/>
        <w:outlineLvl w:val="2"/>
        <w:rPr>
          <w:rFonts w:hint="eastAsia" w:ascii="仿宋_GB2312" w:hAnsi="仿宋_GB2312" w:eastAsia="仿宋_GB2312" w:cs="仿宋_GB2312"/>
          <w:bCs/>
          <w:color w:val="000000"/>
          <w:sz w:val="32"/>
          <w:szCs w:val="32"/>
        </w:rPr>
      </w:pPr>
      <w:bookmarkStart w:id="16" w:name="_Toc15378446"/>
      <w:bookmarkStart w:id="17" w:name="_Toc15377199"/>
      <w:r>
        <w:rPr>
          <w:rFonts w:hint="eastAsia" w:ascii="仿宋_GB2312" w:hAnsi="仿宋_GB2312" w:eastAsia="仿宋_GB2312" w:cs="仿宋_GB2312"/>
          <w:bCs/>
          <w:color w:val="000000"/>
          <w:sz w:val="32"/>
          <w:szCs w:val="32"/>
        </w:rPr>
        <w:t>（二）2020年重点工作完成情况。</w:t>
      </w:r>
      <w:bookmarkEnd w:id="16"/>
      <w:bookmarkEnd w:id="17"/>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敬老院内</w:t>
      </w:r>
      <w:r>
        <w:rPr>
          <w:rFonts w:hint="eastAsia" w:ascii="仿宋_GB2312" w:hAnsi="仿宋" w:eastAsia="仿宋_GB2312"/>
          <w:sz w:val="32"/>
          <w:szCs w:val="32"/>
          <w:lang w:val="en-US" w:eastAsia="zh-CN"/>
        </w:rPr>
        <w:t>2020年正常运转，为养老服务提供运转保障。各喷淋消防设施设备检测更换，老人房间装修改造升级，为老人提供了更舒适、更安全的环境。切实保障了老人吃、住、用、行。多次举行志愿者表演及捐赠，让老人生活充满阳光和爱的希望。</w:t>
      </w:r>
    </w:p>
    <w:p>
      <w:pPr>
        <w:snapToGrid w:val="0"/>
        <w:spacing w:line="520" w:lineRule="exact"/>
        <w:ind w:firstLine="640" w:firstLineChars="200"/>
        <w:rPr>
          <w:rFonts w:hint="eastAsia" w:ascii="仿宋" w:hAnsi="仿宋" w:eastAsia="仿宋"/>
          <w:sz w:val="32"/>
          <w:szCs w:val="32"/>
        </w:rPr>
      </w:pPr>
      <w:r>
        <w:rPr>
          <w:rFonts w:hint="eastAsia" w:ascii="仿宋_GB2312" w:hAnsi="仿宋" w:eastAsia="仿宋_GB2312"/>
          <w:sz w:val="32"/>
          <w:szCs w:val="32"/>
          <w:lang w:val="en-US" w:eastAsia="zh-CN"/>
        </w:rPr>
        <w:t>救助站、未保中心</w:t>
      </w:r>
      <w:r>
        <w:rPr>
          <w:rFonts w:hint="eastAsia" w:ascii="仿宋" w:hAnsi="仿宋" w:eastAsia="仿宋" w:cs="仿宋_GB2312"/>
          <w:sz w:val="32"/>
          <w:szCs w:val="32"/>
        </w:rPr>
        <w:t>年救助</w:t>
      </w:r>
      <w:r>
        <w:rPr>
          <w:rFonts w:hint="eastAsia" w:ascii="仿宋" w:hAnsi="仿宋" w:eastAsia="仿宋" w:cs="仿宋_GB2312"/>
          <w:sz w:val="32"/>
          <w:szCs w:val="32"/>
          <w:lang w:val="en-US" w:eastAsia="zh-CN"/>
        </w:rPr>
        <w:t>共救助</w:t>
      </w:r>
      <w:r>
        <w:rPr>
          <w:rFonts w:hint="eastAsia" w:ascii="仿宋" w:hAnsi="仿宋" w:eastAsia="仿宋" w:cs="仿宋_GB2312"/>
          <w:sz w:val="32"/>
          <w:szCs w:val="32"/>
        </w:rPr>
        <w:t>各类受助人员</w:t>
      </w:r>
      <w:r>
        <w:rPr>
          <w:rFonts w:hint="eastAsia" w:ascii="仿宋" w:hAnsi="仿宋" w:eastAsia="仿宋" w:cs="仿宋_GB2312"/>
          <w:sz w:val="32"/>
          <w:szCs w:val="32"/>
          <w:lang w:val="en-US" w:eastAsia="zh-CN"/>
        </w:rPr>
        <w:t>946</w:t>
      </w:r>
      <w:r>
        <w:rPr>
          <w:rFonts w:hint="eastAsia" w:ascii="仿宋" w:hAnsi="仿宋" w:eastAsia="仿宋" w:cs="仿宋_GB2312"/>
          <w:sz w:val="32"/>
          <w:szCs w:val="32"/>
        </w:rPr>
        <w:t>人次，</w:t>
      </w:r>
      <w:r>
        <w:rPr>
          <w:rFonts w:hint="eastAsia" w:ascii="仿宋" w:hAnsi="仿宋" w:eastAsia="仿宋" w:cs="仿宋_GB2312"/>
          <w:color w:val="000000"/>
          <w:kern w:val="0"/>
          <w:sz w:val="32"/>
          <w:szCs w:val="32"/>
        </w:rPr>
        <w:t>救助帮扶留守儿童</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困境</w:t>
      </w:r>
      <w:r>
        <w:rPr>
          <w:rFonts w:hint="eastAsia" w:ascii="仿宋" w:hAnsi="仿宋" w:eastAsia="仿宋" w:cs="仿宋_GB2312"/>
          <w:color w:val="000000"/>
          <w:kern w:val="0"/>
          <w:sz w:val="32"/>
          <w:szCs w:val="32"/>
          <w:lang w:eastAsia="zh-CN"/>
        </w:rPr>
        <w:t>儿童</w:t>
      </w:r>
      <w:r>
        <w:rPr>
          <w:rFonts w:hint="eastAsia" w:ascii="仿宋" w:hAnsi="仿宋" w:eastAsia="仿宋" w:cs="仿宋_GB2312"/>
          <w:color w:val="000000"/>
          <w:kern w:val="0"/>
          <w:sz w:val="32"/>
          <w:szCs w:val="32"/>
          <w:lang w:val="en-US" w:eastAsia="zh-CN"/>
        </w:rPr>
        <w:t>734</w:t>
      </w:r>
      <w:r>
        <w:rPr>
          <w:rFonts w:hint="eastAsia" w:ascii="仿宋" w:hAnsi="仿宋" w:eastAsia="仿宋" w:cs="仿宋_GB2312"/>
          <w:color w:val="000000"/>
          <w:kern w:val="0"/>
          <w:sz w:val="32"/>
          <w:szCs w:val="32"/>
        </w:rPr>
        <w:t>人次；</w:t>
      </w:r>
      <w:r>
        <w:rPr>
          <w:rFonts w:hint="eastAsia" w:ascii="仿宋" w:hAnsi="仿宋" w:eastAsia="仿宋"/>
          <w:sz w:val="32"/>
          <w:szCs w:val="32"/>
        </w:rPr>
        <w:t>通过不断加快未成年人社会保护体系建设，着力健全未成年人社会保护工作机制，提升未成年人保护工作水平，有力推动了儿童福利事业的发展，为我市农村留守儿童和困境儿童健康成长创造了良好环境，为社会的和谐稳定作出了努力。</w:t>
      </w:r>
    </w:p>
    <w:p>
      <w:pPr>
        <w:pStyle w:val="4"/>
        <w:pageBreakBefore w:val="0"/>
        <w:kinsoku/>
        <w:wordWrap/>
        <w:overflowPunct/>
        <w:topLinePunct w:val="0"/>
        <w:bidi w:val="0"/>
        <w:adjustRightInd w:val="0"/>
        <w:snapToGrid w:val="0"/>
        <w:spacing w:before="93" w:line="600" w:lineRule="exact"/>
        <w:ind w:firstLine="640" w:firstLineChars="200"/>
        <w:textAlignment w:val="auto"/>
        <w:outlineLvl w:val="2"/>
        <w:rPr>
          <w:rFonts w:hint="eastAsia" w:ascii="仿宋_GB2312" w:hAnsi="仿宋_GB2312" w:eastAsia="仿宋_GB2312" w:cs="仿宋_GB2312"/>
          <w:bCs/>
          <w:color w:val="000000"/>
          <w:sz w:val="32"/>
          <w:szCs w:val="32"/>
        </w:rPr>
      </w:pPr>
    </w:p>
    <w:p>
      <w:pPr>
        <w:pStyle w:val="3"/>
        <w:pageBreakBefore w:val="0"/>
        <w:kinsoku/>
        <w:wordWrap/>
        <w:overflowPunct/>
        <w:topLinePunct w:val="0"/>
        <w:bidi w:val="0"/>
        <w:spacing w:line="600" w:lineRule="exact"/>
        <w:textAlignment w:val="auto"/>
        <w:rPr>
          <w:rStyle w:val="11"/>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11"/>
          <w:rFonts w:hint="eastAsia" w:ascii="黑体" w:hAnsi="黑体" w:eastAsia="黑体"/>
          <w:b w:val="0"/>
          <w:bCs w:val="0"/>
        </w:rPr>
        <w:t>构设置</w:t>
      </w:r>
      <w:bookmarkEnd w:id="18"/>
      <w:bookmarkEnd w:id="19"/>
    </w:p>
    <w:p>
      <w:pPr>
        <w:numPr>
          <w:ilvl w:val="0"/>
          <w:numId w:val="0"/>
        </w:numPr>
        <w:snapToGrid w:val="0"/>
        <w:spacing w:line="520" w:lineRule="exact"/>
        <w:ind w:firstLine="960" w:firstLineChars="300"/>
        <w:rPr>
          <w:rFonts w:hint="eastAsia" w:ascii="仿宋_GB2312" w:hAnsi="仿宋" w:eastAsia="仿宋_GB2312"/>
          <w:sz w:val="32"/>
          <w:szCs w:val="32"/>
          <w:lang w:eastAsia="zh-CN"/>
        </w:rPr>
      </w:pPr>
      <w:r>
        <w:rPr>
          <w:rFonts w:hint="eastAsia" w:ascii="仿宋_GB2312" w:hAnsi="仿宋" w:eastAsia="仿宋_GB2312"/>
          <w:sz w:val="32"/>
          <w:szCs w:val="32"/>
          <w:lang w:eastAsia="zh-CN"/>
        </w:rPr>
        <w:t>包含有民政中心敬老院、救助站、未保中心。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民政中心：养老院为养老服务中心，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救助站为：社会流浪乞讨救助中心，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未保中心：是未成年人保护救助站。</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bookmarkStart w:id="20" w:name="_Toc15377204"/>
      <w:bookmarkStart w:id="21" w:name="_Toc15396602"/>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2020年度部门决算情况说明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11"/>
          <w:rFonts w:hint="eastAsia" w:ascii="黑体" w:hAnsi="黑体" w:eastAsia="黑体"/>
          <w:b w:val="0"/>
        </w:rPr>
        <w:t>入支出决算总体情况说明</w:t>
      </w:r>
      <w:bookmarkEnd w:id="22"/>
      <w:bookmarkEnd w:id="23"/>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2020年度收、支总计</w:t>
      </w:r>
      <w:r>
        <w:rPr>
          <w:rFonts w:hint="eastAsia" w:ascii="仿宋_GB2312" w:hAnsi="仿宋_GB2312" w:eastAsia="仿宋_GB2312" w:cs="仿宋_GB2312"/>
          <w:b w:val="0"/>
          <w:bCs w:val="0"/>
          <w:color w:val="000000"/>
          <w:sz w:val="32"/>
          <w:szCs w:val="32"/>
          <w:lang w:val="en-US" w:eastAsia="zh-CN"/>
        </w:rPr>
        <w:t>1145.2</w:t>
      </w:r>
      <w:r>
        <w:rPr>
          <w:rFonts w:hint="eastAsia" w:ascii="仿宋_GB2312" w:hAnsi="仿宋_GB2312" w:eastAsia="仿宋_GB2312" w:cs="仿宋_GB2312"/>
          <w:b w:val="0"/>
          <w:bCs w:val="0"/>
          <w:color w:val="000000"/>
          <w:sz w:val="32"/>
          <w:szCs w:val="32"/>
        </w:rPr>
        <w:t>万元。与2019年相比，收、支总计各增加</w:t>
      </w:r>
      <w:r>
        <w:rPr>
          <w:rFonts w:hint="eastAsia" w:ascii="仿宋_GB2312" w:hAnsi="仿宋_GB2312" w:eastAsia="仿宋_GB2312" w:cs="仿宋_GB2312"/>
          <w:b w:val="0"/>
          <w:bCs w:val="0"/>
          <w:color w:val="000000"/>
          <w:sz w:val="32"/>
          <w:szCs w:val="32"/>
          <w:lang w:val="en-US" w:eastAsia="zh-CN"/>
        </w:rPr>
        <w:t>56.83</w:t>
      </w:r>
      <w:r>
        <w:rPr>
          <w:rFonts w:hint="eastAsia" w:ascii="仿宋_GB2312" w:hAnsi="仿宋_GB2312" w:eastAsia="仿宋_GB2312" w:cs="仿宋_GB2312"/>
          <w:b w:val="0"/>
          <w:bCs w:val="0"/>
          <w:color w:val="000000"/>
          <w:sz w:val="32"/>
          <w:szCs w:val="32"/>
        </w:rPr>
        <w:t>万元，增长</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%。主要变动原因是</w:t>
      </w:r>
      <w:r>
        <w:rPr>
          <w:rFonts w:hint="eastAsia" w:ascii="仿宋_GB2312" w:hAnsi="仿宋_GB2312" w:eastAsia="仿宋_GB2312" w:cs="仿宋_GB2312"/>
          <w:b w:val="0"/>
          <w:bCs w:val="0"/>
          <w:color w:val="000000"/>
          <w:sz w:val="32"/>
          <w:szCs w:val="32"/>
          <w:lang w:eastAsia="zh-CN"/>
        </w:rPr>
        <w:t>项目支出增长。</w:t>
      </w:r>
    </w:p>
    <w:p>
      <w:pPr>
        <w:pStyle w:val="12"/>
        <w:pageBreakBefore w:val="0"/>
        <w:numPr>
          <w:ilvl w:val="0"/>
          <w:numId w:val="0"/>
        </w:numPr>
        <w:kinsoku/>
        <w:wordWrap/>
        <w:overflowPunct/>
        <w:topLinePunct w:val="0"/>
        <w:bidi w:val="0"/>
        <w:spacing w:line="600" w:lineRule="exact"/>
        <w:ind w:left="640" w:leftChars="0"/>
        <w:textAlignment w:val="auto"/>
        <w:outlineLvl w:val="1"/>
        <w:rPr>
          <w:rStyle w:val="11"/>
          <w:rFonts w:ascii="黑体" w:hAnsi="黑体" w:eastAsia="黑体"/>
          <w:b w:val="0"/>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11"/>
          <w:rFonts w:hint="eastAsia" w:ascii="黑体" w:hAnsi="黑体" w:eastAsia="黑体"/>
          <w:b w:val="0"/>
        </w:rPr>
        <w:t>入决算情况说明</w:t>
      </w:r>
      <w:bookmarkEnd w:id="24"/>
      <w:bookmarkEnd w:id="25"/>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 w:hAnsi="仿宋" w:eastAsia="仿宋" w:cs="仿宋"/>
          <w:b w:val="0"/>
          <w:bCs/>
          <w:sz w:val="32"/>
          <w:szCs w:val="32"/>
          <w:lang w:val="en-US" w:eastAsia="zh-CN"/>
        </w:rPr>
        <w:t>2020年总收入1145.2万元，其中</w:t>
      </w:r>
      <w:r>
        <w:rPr>
          <w:rFonts w:hint="eastAsia" w:ascii="仿宋_GB2312" w:hAnsi="仿宋" w:eastAsia="仿宋_GB2312"/>
          <w:sz w:val="32"/>
          <w:szCs w:val="32"/>
          <w:lang w:val="en-US" w:eastAsia="zh-CN"/>
        </w:rPr>
        <w:t>财政拨款收入812万元，</w:t>
      </w:r>
      <w:r>
        <w:rPr>
          <w:rFonts w:hint="eastAsia" w:ascii="仿宋" w:hAnsi="仿宋" w:eastAsia="仿宋" w:cs="仿宋"/>
          <w:b w:val="0"/>
          <w:bCs/>
          <w:sz w:val="32"/>
          <w:szCs w:val="32"/>
          <w:lang w:val="en-US" w:eastAsia="zh-CN"/>
        </w:rPr>
        <w:t>其他收入合计312.57万元。2020年总支出1145.2万元，其中</w:t>
      </w:r>
      <w:r>
        <w:rPr>
          <w:rFonts w:hint="eastAsia" w:ascii="仿宋_GB2312" w:hAnsi="仿宋" w:eastAsia="仿宋_GB2312"/>
          <w:sz w:val="32"/>
          <w:szCs w:val="32"/>
          <w:lang w:val="en-US" w:eastAsia="zh-CN"/>
        </w:rPr>
        <w:t>财政拨款支出805.73万元，其他支出339.47万元。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社会福利事业：  收入499.61万元。支出472.7万元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其他社会福利支出：收入79.51万元，</w:t>
      </w:r>
      <w:r>
        <w:rPr>
          <w:rFonts w:hint="eastAsia" w:ascii="仿宋" w:hAnsi="仿宋" w:eastAsia="仿宋" w:cs="仿宋"/>
          <w:b w:val="0"/>
          <w:bCs/>
          <w:sz w:val="32"/>
          <w:szCs w:val="32"/>
          <w:lang w:val="en-US" w:eastAsia="zh-CN"/>
        </w:rPr>
        <w:t>年初结余结转362.59万元</w:t>
      </w:r>
      <w:r>
        <w:rPr>
          <w:rFonts w:hint="eastAsia" w:ascii="仿宋_GB2312" w:hAnsi="仿宋" w:eastAsia="仿宋_GB2312"/>
          <w:sz w:val="32"/>
          <w:szCs w:val="32"/>
          <w:lang w:val="en-US" w:eastAsia="zh-CN"/>
        </w:rPr>
        <w:t>。支出415.19万元。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流浪乞讨支出：收入149.74万元。支出149.74万元。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人员经费类支出：收入54.74万元，支出54.74万元。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日常公用类支出：收入1.02万元，支出1.02万元。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项目类支出：收入1036.64万元，支出1036.64万元。</w:t>
      </w:r>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（注：数据来源于财决01表）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11"/>
          <w:rFonts w:hint="eastAsia" w:ascii="黑体" w:hAnsi="黑体" w:eastAsia="黑体"/>
          <w:b w:val="0"/>
        </w:rPr>
        <w:t>出决算情况说明</w:t>
      </w:r>
      <w:bookmarkEnd w:id="26"/>
      <w:bookmarkEnd w:id="27"/>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2020年本年支出合计</w:t>
      </w:r>
      <w:r>
        <w:rPr>
          <w:rFonts w:hint="eastAsia" w:ascii="仿宋_GB2312" w:hAnsi="仿宋_GB2312" w:eastAsia="仿宋_GB2312" w:cs="仿宋_GB2312"/>
          <w:b w:val="0"/>
          <w:bCs w:val="0"/>
          <w:color w:val="000000"/>
          <w:sz w:val="32"/>
          <w:szCs w:val="32"/>
          <w:lang w:val="en-US" w:eastAsia="zh-CN"/>
        </w:rPr>
        <w:t>1145.2</w:t>
      </w:r>
      <w:r>
        <w:rPr>
          <w:rFonts w:hint="eastAsia" w:ascii="仿宋_GB2312" w:hAnsi="仿宋_GB2312" w:eastAsia="仿宋_GB2312" w:cs="仿宋_GB2312"/>
          <w:b w:val="0"/>
          <w:bCs w:val="0"/>
          <w:color w:val="000000"/>
          <w:sz w:val="32"/>
          <w:szCs w:val="32"/>
        </w:rPr>
        <w:t>万元，其中：基本支出</w:t>
      </w:r>
      <w:r>
        <w:rPr>
          <w:rFonts w:hint="eastAsia" w:ascii="仿宋_GB2312" w:hAnsi="仿宋_GB2312" w:eastAsia="仿宋_GB2312" w:cs="仿宋_GB2312"/>
          <w:b w:val="0"/>
          <w:bCs w:val="0"/>
          <w:color w:val="000000"/>
          <w:sz w:val="32"/>
          <w:szCs w:val="32"/>
          <w:lang w:val="en-US" w:eastAsia="zh-CN"/>
        </w:rPr>
        <w:t>54.74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%；项目支出</w:t>
      </w:r>
      <w:r>
        <w:rPr>
          <w:rFonts w:hint="eastAsia" w:ascii="仿宋_GB2312" w:hAnsi="仿宋_GB2312" w:eastAsia="仿宋_GB2312" w:cs="仿宋_GB2312"/>
          <w:b w:val="0"/>
          <w:bCs w:val="0"/>
          <w:color w:val="000000"/>
          <w:sz w:val="32"/>
          <w:szCs w:val="32"/>
          <w:lang w:val="en-US" w:eastAsia="zh-CN"/>
        </w:rPr>
        <w:t>1090.46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95</w:t>
      </w:r>
      <w:r>
        <w:rPr>
          <w:rFonts w:hint="eastAsia" w:ascii="仿宋_GB2312" w:hAnsi="仿宋_GB2312" w:eastAsia="仿宋_GB2312" w:cs="仿宋_GB2312"/>
          <w:b w:val="0"/>
          <w:bCs w:val="0"/>
          <w:color w:val="000000"/>
          <w:sz w:val="32"/>
          <w:szCs w:val="32"/>
        </w:rPr>
        <w:t>%；上缴上级支出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%；经营支出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%；对附属单位补助支出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（注：数据来源于财决04表）</w:t>
      </w:r>
    </w:p>
    <w:p>
      <w:pPr>
        <w:pageBreakBefore w:val="0"/>
        <w:kinsoku/>
        <w:wordWrap/>
        <w:overflowPunct/>
        <w:topLinePunct w:val="0"/>
        <w:bidi w:val="0"/>
        <w:spacing w:line="600" w:lineRule="exact"/>
        <w:ind w:firstLine="640" w:firstLineChars="200"/>
        <w:textAlignment w:val="auto"/>
        <w:outlineLvl w:val="1"/>
        <w:rPr>
          <w:rStyle w:val="11"/>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11"/>
          <w:rFonts w:hint="eastAsia" w:ascii="黑体" w:hAnsi="黑体" w:eastAsia="黑体"/>
          <w:b w:val="0"/>
        </w:rPr>
        <w:t>政拨款收入支出决算总体情况说明</w:t>
      </w:r>
      <w:bookmarkEnd w:id="28"/>
      <w:bookmarkEnd w:id="29"/>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2020年财政拨款收</w:t>
      </w:r>
      <w:r>
        <w:rPr>
          <w:rFonts w:hint="eastAsia" w:ascii="仿宋_GB2312" w:hAnsi="仿宋_GB2312" w:eastAsia="仿宋_GB2312" w:cs="仿宋_GB2312"/>
          <w:b w:val="0"/>
          <w:bCs w:val="0"/>
          <w:color w:val="000000"/>
          <w:sz w:val="32"/>
          <w:szCs w:val="32"/>
          <w:lang w:eastAsia="zh-CN"/>
        </w:rPr>
        <w:t>、支</w:t>
      </w:r>
      <w:r>
        <w:rPr>
          <w:rFonts w:hint="eastAsia" w:ascii="仿宋_GB2312" w:hAnsi="仿宋_GB2312" w:eastAsia="仿宋_GB2312" w:cs="仿宋_GB2312"/>
          <w:b w:val="0"/>
          <w:bCs w:val="0"/>
          <w:color w:val="000000"/>
          <w:sz w:val="32"/>
          <w:szCs w:val="32"/>
        </w:rPr>
        <w:t>总计</w:t>
      </w:r>
      <w:r>
        <w:rPr>
          <w:rFonts w:hint="eastAsia" w:ascii="仿宋_GB2312" w:hAnsi="仿宋_GB2312" w:eastAsia="仿宋_GB2312" w:cs="仿宋_GB2312"/>
          <w:b w:val="0"/>
          <w:bCs w:val="0"/>
          <w:color w:val="000000"/>
          <w:sz w:val="32"/>
          <w:szCs w:val="32"/>
          <w:lang w:val="en-US" w:eastAsia="zh-CN"/>
        </w:rPr>
        <w:t>812</w:t>
      </w:r>
      <w:r>
        <w:rPr>
          <w:rFonts w:hint="eastAsia" w:ascii="仿宋_GB2312" w:hAnsi="仿宋_GB2312" w:eastAsia="仿宋_GB2312" w:cs="仿宋_GB2312"/>
          <w:b w:val="0"/>
          <w:bCs w:val="0"/>
          <w:color w:val="000000"/>
          <w:sz w:val="32"/>
          <w:szCs w:val="32"/>
        </w:rPr>
        <w:t>万元。与2019年相比，财政拨款收</w:t>
      </w:r>
      <w:r>
        <w:rPr>
          <w:rFonts w:hint="eastAsia" w:ascii="仿宋_GB2312" w:hAnsi="仿宋_GB2312" w:eastAsia="仿宋_GB2312" w:cs="仿宋_GB2312"/>
          <w:b w:val="0"/>
          <w:bCs w:val="0"/>
          <w:color w:val="000000"/>
          <w:sz w:val="32"/>
          <w:szCs w:val="32"/>
          <w:lang w:eastAsia="zh-CN"/>
        </w:rPr>
        <w:t>增长</w:t>
      </w:r>
      <w:r>
        <w:rPr>
          <w:rFonts w:hint="eastAsia" w:ascii="仿宋_GB2312" w:hAnsi="仿宋_GB2312" w:eastAsia="仿宋_GB2312" w:cs="仿宋_GB2312"/>
          <w:b w:val="0"/>
          <w:bCs w:val="0"/>
          <w:color w:val="000000"/>
          <w:sz w:val="32"/>
          <w:szCs w:val="32"/>
          <w:lang w:val="en-US" w:eastAsia="zh-CN"/>
        </w:rPr>
        <w:t>116.77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增长</w:t>
      </w: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，支增长</w:t>
      </w:r>
      <w:r>
        <w:rPr>
          <w:rFonts w:hint="eastAsia" w:ascii="仿宋_GB2312" w:hAnsi="仿宋_GB2312" w:eastAsia="仿宋_GB2312" w:cs="仿宋_GB2312"/>
          <w:b w:val="0"/>
          <w:bCs w:val="0"/>
          <w:color w:val="000000"/>
          <w:sz w:val="32"/>
          <w:szCs w:val="32"/>
          <w:lang w:val="en-US" w:eastAsia="zh-CN"/>
        </w:rPr>
        <w:t>164.55万元，增长25%</w:t>
      </w:r>
      <w:r>
        <w:rPr>
          <w:rFonts w:hint="eastAsia" w:ascii="仿宋_GB2312" w:hAnsi="仿宋_GB2312" w:eastAsia="仿宋_GB2312" w:cs="仿宋_GB2312"/>
          <w:b w:val="0"/>
          <w:bCs w:val="0"/>
          <w:color w:val="000000"/>
          <w:sz w:val="32"/>
          <w:szCs w:val="32"/>
        </w:rPr>
        <w:t>。主要变动原因是</w:t>
      </w:r>
      <w:r>
        <w:rPr>
          <w:rFonts w:hint="eastAsia" w:ascii="仿宋_GB2312" w:hAnsi="仿宋_GB2312" w:eastAsia="仿宋_GB2312" w:cs="仿宋_GB2312"/>
          <w:b w:val="0"/>
          <w:bCs w:val="0"/>
          <w:color w:val="000000"/>
          <w:sz w:val="32"/>
          <w:szCs w:val="32"/>
          <w:lang w:val="en-US" w:eastAsia="zh-CN"/>
        </w:rPr>
        <w:t>2019年</w:t>
      </w:r>
      <w:r>
        <w:rPr>
          <w:rFonts w:hint="eastAsia" w:ascii="仿宋" w:hAnsi="仿宋" w:eastAsia="仿宋" w:cs="仿宋"/>
          <w:b w:val="0"/>
          <w:bCs/>
          <w:sz w:val="32"/>
          <w:szCs w:val="32"/>
          <w:lang w:val="en-US" w:eastAsia="zh-CN"/>
        </w:rPr>
        <w:t>年末结余结转362.59万元。</w:t>
      </w:r>
      <w:r>
        <w:rPr>
          <w:rFonts w:hint="eastAsia" w:ascii="仿宋_GB2312" w:hAnsi="仿宋_GB2312" w:eastAsia="仿宋_GB2312" w:cs="仿宋_GB2312"/>
          <w:b w:val="0"/>
          <w:bCs w:val="0"/>
          <w:color w:val="000000"/>
          <w:sz w:val="32"/>
          <w:szCs w:val="32"/>
        </w:rPr>
        <w:t>（注：除国有资本经营预算外，数据来源于财决Z01-1表，口径为“总计”数+国有资本经营预算。）</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ageBreakBefore w:val="0"/>
        <w:kinsoku/>
        <w:wordWrap/>
        <w:overflowPunct/>
        <w:topLinePunct w:val="0"/>
        <w:bidi w:val="0"/>
        <w:spacing w:line="600" w:lineRule="exact"/>
        <w:ind w:firstLine="640" w:firstLineChars="200"/>
        <w:textAlignment w:val="auto"/>
        <w:outlineLvl w:val="1"/>
        <w:rPr>
          <w:rStyle w:val="11"/>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1"/>
          <w:rFonts w:hint="eastAsia" w:ascii="黑体" w:hAnsi="黑体" w:eastAsia="黑体"/>
          <w:b w:val="0"/>
        </w:rPr>
        <w:t>般公共预算财政拨款支出决算情况说明</w:t>
      </w:r>
      <w:bookmarkEnd w:id="30"/>
      <w:bookmarkEnd w:id="31"/>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2" w:name="_Toc15377210"/>
      <w:r>
        <w:rPr>
          <w:rFonts w:hint="eastAsia" w:ascii="楷体_GB2312" w:hAnsi="楷体_GB2312" w:eastAsia="楷体_GB2312" w:cs="楷体_GB2312"/>
          <w:b w:val="0"/>
          <w:bCs w:val="0"/>
          <w:color w:val="000000"/>
          <w:sz w:val="32"/>
          <w:szCs w:val="32"/>
        </w:rPr>
        <w:t>（一）一般公共预算财政拨款支出决算总体情况</w:t>
      </w:r>
      <w:bookmarkEnd w:id="32"/>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754.66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65</w:t>
      </w:r>
      <w:r>
        <w:rPr>
          <w:rFonts w:hint="eastAsia" w:ascii="仿宋_GB2312" w:hAnsi="仿宋_GB2312" w:eastAsia="仿宋_GB2312" w:cs="仿宋_GB2312"/>
          <w:color w:val="000000"/>
          <w:sz w:val="32"/>
          <w:szCs w:val="32"/>
        </w:rPr>
        <w:t>%。与2019年相比，一般公共预算财政拨款增加</w:t>
      </w:r>
      <w:r>
        <w:rPr>
          <w:rFonts w:hint="eastAsia" w:ascii="仿宋_GB2312" w:hAnsi="仿宋_GB2312" w:eastAsia="仿宋_GB2312" w:cs="仿宋_GB2312"/>
          <w:color w:val="000000"/>
          <w:sz w:val="32"/>
          <w:szCs w:val="32"/>
          <w:lang w:val="en-US" w:eastAsia="zh-CN"/>
        </w:rPr>
        <w:t>176.45</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b w:val="0"/>
          <w:bCs w:val="0"/>
          <w:color w:val="000000"/>
          <w:sz w:val="32"/>
          <w:szCs w:val="32"/>
          <w:lang w:val="en-US" w:eastAsia="zh-CN"/>
        </w:rPr>
        <w:t>2019年</w:t>
      </w:r>
      <w:r>
        <w:rPr>
          <w:rFonts w:hint="eastAsia" w:ascii="仿宋" w:hAnsi="仿宋" w:eastAsia="仿宋" w:cs="仿宋"/>
          <w:b w:val="0"/>
          <w:bCs/>
          <w:sz w:val="32"/>
          <w:szCs w:val="32"/>
          <w:lang w:val="en-US" w:eastAsia="zh-CN"/>
        </w:rPr>
        <w:t>年末结余结转362.59万元在2020年支付。</w:t>
      </w:r>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3" w:name="_Toc15377211"/>
      <w:r>
        <w:rPr>
          <w:rFonts w:hint="eastAsia" w:ascii="楷体_GB2312" w:hAnsi="楷体_GB2312" w:eastAsia="楷体_GB2312" w:cs="楷体_GB2312"/>
          <w:b w:val="0"/>
          <w:bCs w:val="0"/>
          <w:color w:val="000000"/>
          <w:sz w:val="32"/>
          <w:szCs w:val="32"/>
        </w:rPr>
        <w:t>（二）一般公共预算财政拨款支出决算结构情况</w:t>
      </w:r>
      <w:bookmarkEnd w:id="33"/>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2020年一般公共预算财政拨款支出</w:t>
      </w:r>
      <w:r>
        <w:rPr>
          <w:rFonts w:hint="eastAsia" w:ascii="仿宋_GB2312" w:hAnsi="仿宋_GB2312" w:eastAsia="仿宋_GB2312" w:cs="仿宋_GB2312"/>
          <w:b w:val="0"/>
          <w:bCs w:val="0"/>
          <w:color w:val="000000"/>
          <w:sz w:val="32"/>
          <w:szCs w:val="32"/>
          <w:lang w:val="en-US" w:eastAsia="zh-CN"/>
        </w:rPr>
        <w:t>754.66</w:t>
      </w:r>
      <w:r>
        <w:rPr>
          <w:rFonts w:hint="eastAsia" w:ascii="仿宋_GB2312" w:hAnsi="仿宋_GB2312" w:eastAsia="仿宋_GB2312" w:cs="仿宋_GB2312"/>
          <w:b w:val="0"/>
          <w:bCs w:val="0"/>
          <w:color w:val="000000"/>
          <w:sz w:val="32"/>
          <w:szCs w:val="32"/>
        </w:rPr>
        <w:t>万元，主要用于以下方面:一般公共服务（类）支出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%；教育支出（类）</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%；科学技术（类）支出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%；文化旅游体育与传媒（类）支出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753.25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99</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sz w:val="32"/>
          <w:szCs w:val="32"/>
          <w:lang w:val="en-US" w:eastAsia="zh-CN"/>
        </w:rPr>
        <w:t>0.31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0.1</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0.9</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4" w:name="_Toc15377212"/>
      <w:r>
        <w:rPr>
          <w:rFonts w:hint="eastAsia" w:ascii="楷体_GB2312" w:hAnsi="楷体_GB2312" w:eastAsia="楷体_GB2312" w:cs="楷体_GB2312"/>
          <w:b w:val="0"/>
          <w:bCs/>
          <w:color w:val="000000"/>
          <w:sz w:val="32"/>
          <w:szCs w:val="32"/>
        </w:rPr>
        <w:t>（三）一般公共预算财政拨款支出决算具体情况</w:t>
      </w:r>
      <w:bookmarkEnd w:id="34"/>
    </w:p>
    <w:p>
      <w:pPr>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color w:val="000000"/>
          <w:sz w:val="32"/>
          <w:szCs w:val="32"/>
          <w:highlight w:val="none"/>
        </w:rPr>
      </w:pPr>
      <w:bookmarkStart w:id="35" w:name="_Toc15377213"/>
      <w:bookmarkStart w:id="36" w:name="_Toc15378460"/>
      <w:bookmarkStart w:id="37" w:name="_Toc15377444"/>
      <w:r>
        <w:rPr>
          <w:rFonts w:hint="eastAsia" w:ascii="仿宋_GB2312" w:hAnsi="仿宋_GB2312" w:eastAsia="仿宋_GB2312" w:cs="仿宋_GB2312"/>
          <w:b w:val="0"/>
          <w:bCs/>
          <w:color w:val="000000"/>
          <w:sz w:val="32"/>
          <w:szCs w:val="32"/>
          <w:highlight w:val="none"/>
        </w:rPr>
        <w:t>2020年一般公共预算支出决算数为</w:t>
      </w:r>
      <w:r>
        <w:rPr>
          <w:rFonts w:hint="eastAsia" w:ascii="仿宋_GB2312" w:hAnsi="仿宋_GB2312" w:eastAsia="仿宋_GB2312" w:cs="仿宋_GB2312"/>
          <w:b w:val="0"/>
          <w:bCs/>
          <w:color w:val="000000"/>
          <w:sz w:val="32"/>
          <w:szCs w:val="32"/>
          <w:highlight w:val="none"/>
          <w:lang w:val="en-US" w:eastAsia="zh-CN"/>
        </w:rPr>
        <w:t>754.66</w:t>
      </w:r>
      <w:r>
        <w:rPr>
          <w:rFonts w:hint="eastAsia" w:ascii="仿宋_GB2312" w:hAnsi="仿宋_GB2312" w:eastAsia="仿宋_GB2312" w:cs="仿宋_GB2312"/>
          <w:b w:val="0"/>
          <w:bCs/>
          <w:color w:val="000000"/>
          <w:sz w:val="32"/>
          <w:szCs w:val="32"/>
          <w:highlight w:val="none"/>
        </w:rPr>
        <w:t>，</w:t>
      </w:r>
      <w:r>
        <w:rPr>
          <w:rStyle w:val="9"/>
          <w:rFonts w:hint="eastAsia" w:ascii="仿宋_GB2312" w:hAnsi="仿宋_GB2312" w:eastAsia="仿宋_GB2312" w:cs="仿宋_GB2312"/>
          <w:b w:val="0"/>
          <w:bCs/>
          <w:color w:val="000000"/>
          <w:sz w:val="32"/>
          <w:szCs w:val="32"/>
          <w:highlight w:val="none"/>
        </w:rPr>
        <w:t>完成预算</w:t>
      </w:r>
      <w:r>
        <w:rPr>
          <w:rStyle w:val="9"/>
          <w:rFonts w:hint="eastAsia" w:ascii="仿宋_GB2312" w:hAnsi="仿宋_GB2312" w:eastAsia="仿宋_GB2312" w:cs="仿宋_GB2312"/>
          <w:b w:val="0"/>
          <w:bCs/>
          <w:color w:val="000000"/>
          <w:sz w:val="32"/>
          <w:szCs w:val="32"/>
          <w:highlight w:val="none"/>
          <w:lang w:val="en-US" w:eastAsia="zh-CN"/>
        </w:rPr>
        <w:t>100</w:t>
      </w:r>
      <w:r>
        <w:rPr>
          <w:rStyle w:val="9"/>
          <w:rFonts w:hint="eastAsia" w:ascii="仿宋_GB2312" w:hAnsi="仿宋_GB2312" w:eastAsia="仿宋_GB2312" w:cs="仿宋_GB2312"/>
          <w:b w:val="0"/>
          <w:bCs/>
          <w:color w:val="000000"/>
          <w:sz w:val="32"/>
          <w:szCs w:val="32"/>
          <w:highlight w:val="none"/>
        </w:rPr>
        <w:t>%。其中：</w:t>
      </w:r>
      <w:bookmarkEnd w:id="35"/>
      <w:bookmarkEnd w:id="36"/>
      <w:bookmarkEnd w:id="37"/>
    </w:p>
    <w:p>
      <w:pPr>
        <w:pageBreakBefore w:val="0"/>
        <w:numPr>
          <w:ilvl w:val="0"/>
          <w:numId w:val="2"/>
        </w:numPr>
        <w:kinsoku/>
        <w:wordWrap/>
        <w:overflowPunct/>
        <w:topLinePunct w:val="0"/>
        <w:bidi w:val="0"/>
        <w:spacing w:line="600" w:lineRule="exact"/>
        <w:ind w:firstLine="640" w:firstLineChars="200"/>
        <w:textAlignment w:val="auto"/>
        <w:rPr>
          <w:rStyle w:val="9"/>
          <w:rFonts w:hint="eastAsia" w:ascii="仿宋_GB2312" w:hAnsi="仿宋_GB2312" w:eastAsia="仿宋_GB2312" w:cs="仿宋_GB2312"/>
          <w:b w:val="0"/>
          <w:bCs/>
          <w:color w:val="000000"/>
          <w:sz w:val="32"/>
          <w:szCs w:val="32"/>
          <w:highlight w:val="none"/>
        </w:rPr>
      </w:pPr>
      <w:r>
        <w:rPr>
          <w:rStyle w:val="9"/>
          <w:rFonts w:hint="eastAsia" w:ascii="仿宋_GB2312" w:hAnsi="仿宋_GB2312" w:eastAsia="仿宋_GB2312" w:cs="仿宋_GB2312"/>
          <w:b w:val="0"/>
          <w:bCs/>
          <w:color w:val="000000"/>
          <w:sz w:val="32"/>
          <w:szCs w:val="32"/>
          <w:highlight w:val="none"/>
        </w:rPr>
        <w:t>社会保障和就业</w:t>
      </w:r>
      <w:r>
        <w:rPr>
          <w:rStyle w:val="9"/>
          <w:rFonts w:hint="eastAsia" w:ascii="仿宋_GB2312" w:hAnsi="仿宋_GB2312" w:eastAsia="仿宋_GB2312" w:cs="仿宋_GB2312"/>
          <w:b w:val="0"/>
          <w:bCs/>
          <w:color w:val="000000"/>
          <w:sz w:val="32"/>
          <w:szCs w:val="32"/>
          <w:highlight w:val="none"/>
          <w:lang w:val="en-US" w:eastAsia="zh-CN"/>
        </w:rPr>
        <w:t>208</w:t>
      </w:r>
      <w:r>
        <w:rPr>
          <w:rStyle w:val="9"/>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2080505--机关事业单位基本养老保险缴费</w:t>
      </w:r>
      <w:r>
        <w:rPr>
          <w:rStyle w:val="9"/>
          <w:rFonts w:hint="eastAsia" w:ascii="仿宋_GB2312" w:hAnsi="仿宋_GB2312" w:eastAsia="仿宋_GB2312" w:cs="仿宋_GB2312"/>
          <w:b w:val="0"/>
          <w:bCs/>
          <w:color w:val="000000"/>
          <w:sz w:val="32"/>
          <w:szCs w:val="32"/>
          <w:highlight w:val="none"/>
        </w:rPr>
        <w:t>支出</w:t>
      </w:r>
      <w:r>
        <w:rPr>
          <w:rStyle w:val="9"/>
          <w:rFonts w:hint="eastAsia" w:ascii="仿宋_GB2312" w:hAnsi="仿宋_GB2312" w:eastAsia="仿宋_GB2312" w:cs="仿宋_GB2312"/>
          <w:b w:val="0"/>
          <w:bCs/>
          <w:color w:val="000000"/>
          <w:sz w:val="32"/>
          <w:szCs w:val="32"/>
          <w:highlight w:val="none"/>
          <w:lang w:val="en-US" w:eastAsia="zh-CN"/>
        </w:rPr>
        <w:t>0.82万元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2080506--机关事业单位职业年金缴费支出0.41万元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2081005--社会福利事业单位支出187.04万元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2081099--其他社会福利支出415.19万元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2082002--流浪其他人员救助支出149.74万元</w:t>
      </w:r>
    </w:p>
    <w:p>
      <w:pPr>
        <w:pageBreakBefore w:val="0"/>
        <w:numPr>
          <w:ilvl w:val="0"/>
          <w:numId w:val="0"/>
        </w:numPr>
        <w:kinsoku/>
        <w:wordWrap/>
        <w:overflowPunct/>
        <w:topLinePunct w:val="0"/>
        <w:bidi w:val="0"/>
        <w:spacing w:line="600" w:lineRule="exact"/>
        <w:ind w:firstLine="320" w:firstLineChars="100"/>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2089901--其他社会保障和就业支出0.04万元</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合计决算数753.25万元。完成预算100%。</w:t>
      </w:r>
    </w:p>
    <w:p>
      <w:pPr>
        <w:pageBreakBefore w:val="0"/>
        <w:numPr>
          <w:ilvl w:val="0"/>
          <w:numId w:val="0"/>
        </w:numPr>
        <w:kinsoku/>
        <w:wordWrap/>
        <w:overflowPunct/>
        <w:topLinePunct w:val="0"/>
        <w:bidi w:val="0"/>
        <w:spacing w:line="600" w:lineRule="exact"/>
        <w:ind w:firstLine="640" w:firstLineChars="200"/>
        <w:textAlignment w:val="auto"/>
        <w:rPr>
          <w:rStyle w:val="9"/>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2.</w:t>
      </w:r>
      <w:r>
        <w:rPr>
          <w:rFonts w:hint="eastAsia" w:ascii="仿宋_GB2312" w:hAnsi="仿宋_GB2312" w:eastAsia="仿宋_GB2312" w:cs="仿宋_GB2312"/>
          <w:b w:val="0"/>
          <w:bCs/>
          <w:color w:val="000000"/>
          <w:sz w:val="32"/>
          <w:szCs w:val="32"/>
          <w:highlight w:val="none"/>
        </w:rPr>
        <w:t>卫生健康</w:t>
      </w:r>
      <w:r>
        <w:rPr>
          <w:rStyle w:val="9"/>
          <w:rFonts w:hint="eastAsia" w:ascii="仿宋_GB2312" w:hAnsi="仿宋_GB2312" w:eastAsia="仿宋_GB2312" w:cs="仿宋_GB2312"/>
          <w:b w:val="0"/>
          <w:bCs/>
          <w:color w:val="000000"/>
          <w:sz w:val="32"/>
          <w:szCs w:val="32"/>
          <w:highlight w:val="none"/>
          <w:lang w:val="en-US" w:eastAsia="zh-CN"/>
        </w:rPr>
        <w:t>2101102</w:t>
      </w:r>
      <w:r>
        <w:rPr>
          <w:rStyle w:val="9"/>
          <w:rFonts w:hint="eastAsia" w:ascii="仿宋_GB2312" w:hAnsi="仿宋_GB2312" w:eastAsia="仿宋_GB2312" w:cs="仿宋_GB2312"/>
          <w:b w:val="0"/>
          <w:bCs/>
          <w:color w:val="000000"/>
          <w:sz w:val="32"/>
          <w:szCs w:val="32"/>
          <w:highlight w:val="none"/>
        </w:rPr>
        <w:t>:支出决算为</w:t>
      </w:r>
      <w:r>
        <w:rPr>
          <w:rStyle w:val="9"/>
          <w:rFonts w:hint="eastAsia" w:ascii="仿宋_GB2312" w:hAnsi="仿宋_GB2312" w:eastAsia="仿宋_GB2312" w:cs="仿宋_GB2312"/>
          <w:b w:val="0"/>
          <w:bCs/>
          <w:color w:val="000000"/>
          <w:sz w:val="32"/>
          <w:szCs w:val="32"/>
          <w:highlight w:val="none"/>
          <w:lang w:val="en-US" w:eastAsia="zh-CN"/>
        </w:rPr>
        <w:t>0.31</w:t>
      </w:r>
      <w:r>
        <w:rPr>
          <w:rStyle w:val="9"/>
          <w:rFonts w:hint="eastAsia" w:ascii="仿宋_GB2312" w:hAnsi="仿宋_GB2312" w:eastAsia="仿宋_GB2312" w:cs="仿宋_GB2312"/>
          <w:b w:val="0"/>
          <w:bCs/>
          <w:color w:val="000000"/>
          <w:sz w:val="32"/>
          <w:szCs w:val="32"/>
          <w:highlight w:val="none"/>
        </w:rPr>
        <w:t>万元，完成预算</w:t>
      </w:r>
      <w:r>
        <w:rPr>
          <w:rStyle w:val="9"/>
          <w:rFonts w:hint="eastAsia" w:ascii="仿宋_GB2312" w:hAnsi="仿宋_GB2312" w:eastAsia="仿宋_GB2312" w:cs="仿宋_GB2312"/>
          <w:b w:val="0"/>
          <w:bCs/>
          <w:color w:val="000000"/>
          <w:sz w:val="32"/>
          <w:szCs w:val="32"/>
          <w:highlight w:val="none"/>
          <w:lang w:val="en-US" w:eastAsia="zh-CN"/>
        </w:rPr>
        <w:t>100</w:t>
      </w:r>
      <w:r>
        <w:rPr>
          <w:rStyle w:val="9"/>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600" w:lineRule="exact"/>
        <w:ind w:left="210" w:leftChars="0"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3.住房保障支出2210201支出决算数为1.1万元。完成100%</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p>
    <w:p>
      <w:pPr>
        <w:pageBreakBefore w:val="0"/>
        <w:tabs>
          <w:tab w:val="right" w:pos="8306"/>
        </w:tabs>
        <w:kinsoku/>
        <w:wordWrap/>
        <w:overflowPunct/>
        <w:topLinePunct w:val="0"/>
        <w:bidi w:val="0"/>
        <w:spacing w:line="600" w:lineRule="exact"/>
        <w:ind w:firstLine="640"/>
        <w:textAlignment w:val="auto"/>
        <w:outlineLvl w:val="1"/>
        <w:rPr>
          <w:rStyle w:val="11"/>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1"/>
          <w:rFonts w:hint="eastAsia" w:ascii="黑体" w:hAnsi="黑体" w:eastAsia="黑体"/>
          <w:b w:val="0"/>
        </w:rPr>
        <w:t>般公共预算财政拨款基本支出决算情况说明</w:t>
      </w:r>
      <w:bookmarkEnd w:id="38"/>
      <w:bookmarkEnd w:id="39"/>
      <w:r>
        <w:rPr>
          <w:rStyle w:val="11"/>
          <w:rFonts w:ascii="黑体" w:hAnsi="黑体" w:eastAsia="黑体"/>
          <w:b w:val="0"/>
        </w:rPr>
        <w:tab/>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2020年一般公共预算财政拨款基本支出</w:t>
      </w:r>
      <w:r>
        <w:rPr>
          <w:rFonts w:hint="eastAsia" w:ascii="仿宋_GB2312" w:hAnsi="仿宋_GB2312" w:eastAsia="仿宋_GB2312" w:cs="仿宋_GB2312"/>
          <w:b w:val="0"/>
          <w:bCs w:val="0"/>
          <w:color w:val="000000"/>
          <w:sz w:val="32"/>
          <w:szCs w:val="32"/>
          <w:lang w:val="en-US" w:eastAsia="zh-CN"/>
        </w:rPr>
        <w:t>54.74</w:t>
      </w:r>
      <w:r>
        <w:rPr>
          <w:rFonts w:hint="eastAsia" w:ascii="仿宋_GB2312" w:hAnsi="仿宋_GB2312" w:eastAsia="仿宋_GB2312" w:cs="仿宋_GB2312"/>
          <w:b w:val="0"/>
          <w:bCs w:val="0"/>
          <w:color w:val="000000"/>
          <w:sz w:val="32"/>
          <w:szCs w:val="32"/>
        </w:rPr>
        <w:t>万元，其中：</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szCs w:val="32"/>
          <w:lang w:val="en-US" w:eastAsia="zh-CN"/>
        </w:rPr>
        <w:t>53.72</w:t>
      </w:r>
      <w:r>
        <w:rPr>
          <w:rFonts w:hint="eastAsia" w:ascii="仿宋_GB2312" w:hAnsi="仿宋_GB2312" w:eastAsia="仿宋_GB2312" w:cs="仿宋_GB2312"/>
          <w:b w:val="0"/>
          <w:bCs w:val="0"/>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rPr>
        <w:t>　　日常公用经费</w:t>
      </w:r>
      <w:r>
        <w:rPr>
          <w:rFonts w:hint="eastAsia" w:ascii="仿宋_GB2312" w:hAnsi="仿宋_GB2312" w:eastAsia="仿宋_GB2312" w:cs="仿宋_GB2312"/>
          <w:b w:val="0"/>
          <w:bCs w:val="0"/>
          <w:color w:val="000000"/>
          <w:sz w:val="32"/>
          <w:szCs w:val="32"/>
          <w:lang w:val="en-US" w:eastAsia="zh-CN"/>
        </w:rPr>
        <w:t>1.02</w:t>
      </w:r>
      <w:r>
        <w:rPr>
          <w:rFonts w:hint="eastAsia" w:ascii="仿宋_GB2312" w:hAnsi="仿宋_GB2312" w:eastAsia="仿宋_GB2312" w:cs="仿宋_GB2312"/>
          <w:b w:val="0"/>
          <w:bCs w:val="0"/>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（注：数据来源于财决07表，根据本部门实际支出情况罗列全部经济分类科目。）</w:t>
      </w:r>
    </w:p>
    <w:p>
      <w:pPr>
        <w:pageBreakBefore w:val="0"/>
        <w:kinsoku/>
        <w:wordWrap/>
        <w:overflowPunct/>
        <w:topLinePunct w:val="0"/>
        <w:bidi w:val="0"/>
        <w:spacing w:line="600" w:lineRule="exact"/>
        <w:ind w:firstLine="640"/>
        <w:textAlignment w:val="auto"/>
        <w:outlineLvl w:val="1"/>
        <w:rPr>
          <w:rStyle w:val="11"/>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11"/>
          <w:rFonts w:hint="eastAsia" w:ascii="黑体" w:hAnsi="黑体" w:eastAsia="黑体"/>
        </w:rPr>
        <w:t>“</w:t>
      </w:r>
      <w:r>
        <w:rPr>
          <w:rStyle w:val="11"/>
          <w:rFonts w:hint="eastAsia" w:ascii="黑体" w:hAnsi="黑体" w:eastAsia="黑体"/>
          <w:b w:val="0"/>
        </w:rPr>
        <w:t>三公”经费财政拨款支出决算情况说明</w:t>
      </w:r>
      <w:bookmarkEnd w:id="40"/>
      <w:bookmarkEnd w:id="41"/>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2" w:name="_Toc15377216"/>
      <w:r>
        <w:rPr>
          <w:rFonts w:hint="eastAsia" w:ascii="楷体_GB2312" w:hAnsi="楷体_GB2312" w:eastAsia="楷体_GB2312" w:cs="楷体_GB2312"/>
          <w:b w:val="0"/>
          <w:bCs/>
          <w:color w:val="000000"/>
          <w:sz w:val="32"/>
          <w:szCs w:val="32"/>
        </w:rPr>
        <w:t>（一）“三公”经费财政拨款支出决算总体情况说明</w:t>
      </w:r>
      <w:bookmarkEnd w:id="42"/>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2020年“三公”经费财政拨款支出决算为</w:t>
      </w:r>
      <w:r>
        <w:rPr>
          <w:rFonts w:hint="eastAsia" w:ascii="仿宋_GB2312" w:hAnsi="仿宋_GB2312" w:eastAsia="仿宋_GB2312" w:cs="仿宋_GB2312"/>
          <w:b w:val="0"/>
          <w:bCs w:val="0"/>
          <w:color w:val="000000"/>
          <w:sz w:val="32"/>
          <w:szCs w:val="32"/>
          <w:lang w:val="en-US" w:eastAsia="zh-CN"/>
        </w:rPr>
        <w:t>6.36</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3" w:name="_Toc15377217"/>
      <w:r>
        <w:rPr>
          <w:rFonts w:hint="eastAsia" w:ascii="楷体_GB2312" w:hAnsi="楷体_GB2312" w:eastAsia="楷体_GB2312" w:cs="楷体_GB2312"/>
          <w:b w:val="0"/>
          <w:bCs/>
          <w:color w:val="000000"/>
          <w:sz w:val="32"/>
          <w:szCs w:val="32"/>
        </w:rPr>
        <w:t>（二）“三公”经费财政拨款支出决算具体情况说明</w:t>
      </w:r>
      <w:bookmarkEnd w:id="43"/>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2020年“三公”经费财政拨款支出决算中，因公出国（境）费支出决算</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%；公务用车购置及运行维护费支出决算</w:t>
      </w:r>
      <w:r>
        <w:rPr>
          <w:rFonts w:hint="eastAsia" w:ascii="仿宋_GB2312" w:hAnsi="仿宋_GB2312" w:eastAsia="仿宋_GB2312" w:cs="仿宋_GB2312"/>
          <w:b w:val="0"/>
          <w:bCs w:val="0"/>
          <w:color w:val="000000"/>
          <w:sz w:val="32"/>
          <w:szCs w:val="32"/>
          <w:lang w:val="en-US" w:eastAsia="zh-CN"/>
        </w:rPr>
        <w:t>6.21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97</w:t>
      </w:r>
      <w:r>
        <w:rPr>
          <w:rFonts w:hint="eastAsia" w:ascii="仿宋_GB2312" w:hAnsi="仿宋_GB2312" w:eastAsia="仿宋_GB2312" w:cs="仿宋_GB2312"/>
          <w:b w:val="0"/>
          <w:bCs w:val="0"/>
          <w:color w:val="000000"/>
          <w:sz w:val="32"/>
          <w:szCs w:val="32"/>
        </w:rPr>
        <w:t>%；公务接待费支出决算</w:t>
      </w:r>
      <w:r>
        <w:rPr>
          <w:rFonts w:hint="eastAsia" w:ascii="仿宋_GB2312" w:hAnsi="仿宋_GB2312" w:eastAsia="仿宋_GB2312" w:cs="仿宋_GB2312"/>
          <w:b w:val="0"/>
          <w:bCs w:val="0"/>
          <w:color w:val="000000"/>
          <w:sz w:val="32"/>
          <w:szCs w:val="32"/>
          <w:lang w:val="en-US" w:eastAsia="zh-CN"/>
        </w:rPr>
        <w:t>0.15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w:t>
      </w:r>
    </w:p>
    <w:p>
      <w:pPr>
        <w:pageBreakBefore w:val="0"/>
        <w:numPr>
          <w:ilvl w:val="0"/>
          <w:numId w:val="3"/>
        </w:numPr>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因公出国（境）经费支出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0</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全年安排因公出国（境）团组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次，出国（境）</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人。因公出国（境）支出决算比2018年增加/减少</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万元，增长/下降</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6.21</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100</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公务用车购置及运行维护费支出决算比2018年减少</w:t>
      </w:r>
      <w:r>
        <w:rPr>
          <w:rFonts w:hint="eastAsia" w:ascii="仿宋_GB2312" w:hAnsi="仿宋_GB2312" w:eastAsia="仿宋_GB2312" w:cs="仿宋_GB2312"/>
          <w:b w:val="0"/>
          <w:bCs w:val="0"/>
          <w:color w:val="000000"/>
          <w:sz w:val="32"/>
          <w:szCs w:val="32"/>
          <w:lang w:val="en-US" w:eastAsia="zh-CN"/>
        </w:rPr>
        <w:t>3.11</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34</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公务车辆减少</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其中：公务用车购置支出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万元。全年按规定更新购置公务用车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万元，载客汽车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万元，主要用于…。截至2020年12月底，单位共有公务用车</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辆、越野车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辆、载客汽车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6.21</w:t>
      </w:r>
      <w:r>
        <w:rPr>
          <w:rFonts w:hint="eastAsia" w:ascii="仿宋_GB2312" w:hAnsi="仿宋_GB2312" w:eastAsia="仿宋_GB2312" w:cs="仿宋_GB2312"/>
          <w:b w:val="0"/>
          <w:bCs w:val="0"/>
          <w:color w:val="000000"/>
          <w:sz w:val="32"/>
          <w:szCs w:val="32"/>
        </w:rPr>
        <w:t>万元。主要用</w:t>
      </w:r>
      <w:r>
        <w:rPr>
          <w:rFonts w:hint="eastAsia" w:ascii="仿宋_GB2312" w:hAnsi="仿宋_GB2312" w:eastAsia="仿宋_GB2312" w:cs="仿宋_GB2312"/>
          <w:b w:val="0"/>
          <w:bCs w:val="0"/>
          <w:color w:val="000000"/>
          <w:sz w:val="32"/>
          <w:szCs w:val="32"/>
          <w:lang w:eastAsia="zh-CN"/>
        </w:rPr>
        <w:t>于开会、出差、救助、护送</w:t>
      </w:r>
      <w:r>
        <w:rPr>
          <w:rFonts w:hint="eastAsia" w:ascii="仿宋_GB2312" w:hAnsi="仿宋_GB2312" w:eastAsia="仿宋_GB2312" w:cs="仿宋_GB2312"/>
          <w:b w:val="0"/>
          <w:bCs w:val="0"/>
          <w:color w:val="000000"/>
          <w:sz w:val="32"/>
          <w:szCs w:val="32"/>
        </w:rPr>
        <w:t>等所需的公务用车燃料费、维修费、过路过桥费、保险费等支出。</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0.15</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100</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公务接待费支出决算比2019年增加</w:t>
      </w:r>
      <w:r>
        <w:rPr>
          <w:rFonts w:hint="eastAsia" w:ascii="仿宋_GB2312" w:hAnsi="仿宋_GB2312" w:eastAsia="仿宋_GB2312" w:cs="仿宋_GB2312"/>
          <w:b w:val="0"/>
          <w:bCs w:val="0"/>
          <w:color w:val="000000"/>
          <w:sz w:val="32"/>
          <w:szCs w:val="32"/>
          <w:lang w:val="en-US" w:eastAsia="zh-CN"/>
        </w:rPr>
        <w:t>0.1</w:t>
      </w:r>
      <w:r>
        <w:rPr>
          <w:rFonts w:hint="eastAsia" w:ascii="仿宋_GB2312" w:hAnsi="仿宋_GB2312" w:eastAsia="仿宋_GB2312" w:cs="仿宋_GB2312"/>
          <w:b w:val="0"/>
          <w:bCs w:val="0"/>
          <w:color w:val="000000"/>
          <w:sz w:val="32"/>
          <w:szCs w:val="32"/>
        </w:rPr>
        <w:t>万元，增长</w:t>
      </w:r>
      <w:r>
        <w:rPr>
          <w:rFonts w:hint="eastAsia" w:ascii="仿宋_GB2312" w:hAnsi="仿宋_GB2312" w:eastAsia="仿宋_GB2312" w:cs="仿宋_GB2312"/>
          <w:b w:val="0"/>
          <w:bCs w:val="0"/>
          <w:color w:val="000000"/>
          <w:sz w:val="32"/>
          <w:szCs w:val="32"/>
          <w:lang w:val="en-US" w:eastAsia="zh-CN"/>
        </w:rPr>
        <w:t>200</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来访增加</w:t>
      </w:r>
      <w:r>
        <w:rPr>
          <w:rFonts w:hint="eastAsia" w:ascii="仿宋_GB2312" w:hAnsi="仿宋_GB2312" w:eastAsia="仿宋_GB2312" w:cs="仿宋_GB2312"/>
          <w:b w:val="0"/>
          <w:bCs w:val="0"/>
          <w:color w:val="000000"/>
          <w:sz w:val="32"/>
          <w:szCs w:val="32"/>
        </w:rPr>
        <w:t>。其中：</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0.15</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用餐费</w:t>
      </w:r>
      <w:r>
        <w:rPr>
          <w:rFonts w:hint="eastAsia" w:ascii="仿宋_GB2312" w:hAnsi="仿宋_GB2312" w:eastAsia="仿宋_GB2312" w:cs="仿宋_GB2312"/>
          <w:b w:val="0"/>
          <w:bCs w:val="0"/>
          <w:color w:val="000000"/>
          <w:sz w:val="32"/>
          <w:szCs w:val="32"/>
        </w:rPr>
        <w:t>(执行公务、开展业务活动开支的交通费、住宿费、用餐费等)。国内公务接待</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26</w:t>
      </w:r>
      <w:r>
        <w:rPr>
          <w:rFonts w:hint="eastAsia" w:ascii="仿宋_GB2312" w:hAnsi="仿宋_GB2312" w:eastAsia="仿宋_GB2312" w:cs="仿宋_GB2312"/>
          <w:b w:val="0"/>
          <w:bCs w:val="0"/>
          <w:color w:val="000000"/>
          <w:sz w:val="32"/>
          <w:szCs w:val="32"/>
        </w:rPr>
        <w:t>人次，共计支出</w:t>
      </w:r>
      <w:r>
        <w:rPr>
          <w:rFonts w:hint="eastAsia" w:ascii="仿宋_GB2312" w:hAnsi="仿宋_GB2312" w:eastAsia="仿宋_GB2312" w:cs="仿宋_GB2312"/>
          <w:b w:val="0"/>
          <w:bCs w:val="0"/>
          <w:color w:val="000000"/>
          <w:sz w:val="32"/>
          <w:szCs w:val="32"/>
          <w:lang w:val="en-US" w:eastAsia="zh-CN"/>
        </w:rPr>
        <w:t>0.15</w:t>
      </w:r>
      <w:r>
        <w:rPr>
          <w:rFonts w:hint="eastAsia" w:ascii="仿宋_GB2312" w:hAnsi="仿宋_GB2312" w:eastAsia="仿宋_GB2312" w:cs="仿宋_GB2312"/>
          <w:b w:val="0"/>
          <w:bCs w:val="0"/>
          <w:color w:val="000000"/>
          <w:sz w:val="32"/>
          <w:szCs w:val="32"/>
        </w:rPr>
        <w:t>万元，具体内容包括：</w:t>
      </w:r>
      <w:r>
        <w:rPr>
          <w:rFonts w:hint="eastAsia" w:ascii="仿宋_GB2312" w:hAnsi="仿宋_GB2312" w:eastAsia="仿宋_GB2312" w:cs="仿宋_GB2312"/>
          <w:b w:val="0"/>
          <w:bCs w:val="0"/>
          <w:color w:val="000000"/>
          <w:sz w:val="32"/>
          <w:szCs w:val="32"/>
          <w:lang w:eastAsia="zh-CN"/>
        </w:rPr>
        <w:t>接待安徽省砀山县、乐山救助站来访用餐</w:t>
      </w:r>
      <w:r>
        <w:rPr>
          <w:rFonts w:hint="eastAsia" w:ascii="仿宋_GB2312" w:hAnsi="仿宋_GB2312" w:eastAsia="仿宋_GB2312" w:cs="仿宋_GB2312"/>
          <w:b w:val="0"/>
          <w:bCs w:val="0"/>
          <w:color w:val="000000"/>
          <w:sz w:val="32"/>
          <w:szCs w:val="32"/>
          <w:lang w:val="en-US" w:eastAsia="zh-CN"/>
        </w:rPr>
        <w:t>480元，接待三台县救助站护送用餐300元，接待夹江县救助站来访学习用餐费470元，接待河南省救助服务中心护送用餐费</w:t>
      </w:r>
      <w:r>
        <w:rPr>
          <w:rFonts w:hint="eastAsia" w:ascii="仿宋_GB2312" w:hAnsi="仿宋_GB2312" w:eastAsia="仿宋_GB2312" w:cs="仿宋_GB2312"/>
          <w:b w:val="0"/>
          <w:bCs w:val="0"/>
          <w:color w:val="000000"/>
          <w:sz w:val="32"/>
          <w:szCs w:val="32"/>
        </w:rPr>
        <w:t>（接待具体项目、金额）。</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外事接待支出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万元，外事接待</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人，共计支出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万元，主要用于接待…（具体项目）。主要用于……</w:t>
      </w:r>
    </w:p>
    <w:p>
      <w:pPr>
        <w:pageBreakBefore w:val="0"/>
        <w:kinsoku/>
        <w:wordWrap/>
        <w:overflowPunct/>
        <w:topLinePunct w:val="0"/>
        <w:bidi w:val="0"/>
        <w:spacing w:line="600" w:lineRule="exact"/>
        <w:ind w:firstLine="640"/>
        <w:textAlignment w:val="auto"/>
        <w:outlineLvl w:val="1"/>
        <w:rPr>
          <w:rStyle w:val="11"/>
          <w:rFonts w:ascii="黑体" w:hAnsi="黑体" w:eastAsia="黑体"/>
        </w:rPr>
      </w:pPr>
      <w:bookmarkStart w:id="44" w:name="_Toc15396610"/>
      <w:bookmarkStart w:id="45" w:name="_Toc15377218"/>
      <w:r>
        <w:rPr>
          <w:rFonts w:hint="eastAsia" w:ascii="黑体" w:eastAsia="黑体"/>
          <w:color w:val="000000"/>
          <w:sz w:val="32"/>
          <w:szCs w:val="32"/>
        </w:rPr>
        <w:t>八、</w:t>
      </w:r>
      <w:r>
        <w:rPr>
          <w:rStyle w:val="11"/>
          <w:rFonts w:hint="eastAsia" w:ascii="黑体" w:hAnsi="黑体" w:eastAsia="黑体"/>
          <w:b w:val="0"/>
        </w:rPr>
        <w:t>政府性基金预算支出决算情况说明</w:t>
      </w:r>
      <w:bookmarkEnd w:id="44"/>
      <w:bookmarkEnd w:id="45"/>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51.07</w:t>
      </w:r>
      <w:r>
        <w:rPr>
          <w:rFonts w:hint="eastAsia" w:ascii="仿宋_GB2312" w:eastAsia="仿宋_GB2312"/>
          <w:color w:val="000000"/>
          <w:sz w:val="32"/>
          <w:szCs w:val="32"/>
        </w:rPr>
        <w:t>万元。</w:t>
      </w:r>
    </w:p>
    <w:p>
      <w:pPr>
        <w:pageBreakBefore w:val="0"/>
        <w:numPr>
          <w:ilvl w:val="0"/>
          <w:numId w:val="4"/>
        </w:numPr>
        <w:kinsoku/>
        <w:wordWrap/>
        <w:overflowPunct/>
        <w:topLinePunct w:val="0"/>
        <w:bidi w:val="0"/>
        <w:spacing w:line="600" w:lineRule="exact"/>
        <w:ind w:firstLine="640"/>
        <w:textAlignment w:val="auto"/>
        <w:outlineLvl w:val="1"/>
        <w:rPr>
          <w:rStyle w:val="11"/>
          <w:rFonts w:ascii="黑体" w:hAnsi="黑体" w:eastAsia="黑体"/>
          <w:b w:val="0"/>
        </w:rPr>
      </w:pPr>
      <w:bookmarkStart w:id="46" w:name="_Toc15396611"/>
      <w:bookmarkStart w:id="47" w:name="_Toc15377219"/>
      <w:r>
        <w:rPr>
          <w:rStyle w:val="11"/>
          <w:rFonts w:hint="eastAsia" w:ascii="黑体" w:hAnsi="黑体" w:eastAsia="黑体"/>
          <w:b w:val="0"/>
        </w:rPr>
        <w:t>国有资本经营预算支出决算情况说明</w:t>
      </w:r>
      <w:bookmarkEnd w:id="46"/>
      <w:bookmarkEnd w:id="47"/>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600" w:lineRule="exact"/>
        <w:ind w:firstLine="800" w:firstLineChars="250"/>
        <w:textAlignment w:val="auto"/>
        <w:outlineLvl w:val="1"/>
        <w:rPr>
          <w:rStyle w:val="11"/>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11"/>
          <w:rFonts w:hint="eastAsia" w:ascii="黑体" w:hAnsi="黑体" w:eastAsia="黑体"/>
        </w:rPr>
        <w:t>、</w:t>
      </w:r>
      <w:r>
        <w:rPr>
          <w:rStyle w:val="11"/>
          <w:rFonts w:hint="eastAsia" w:ascii="黑体" w:hAnsi="黑体" w:eastAsia="黑体"/>
          <w:b w:val="0"/>
        </w:rPr>
        <w:t>其他重要事项的情况说明</w:t>
      </w:r>
      <w:bookmarkEnd w:id="48"/>
      <w:bookmarkEnd w:id="49"/>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50" w:name="_Toc15377222"/>
      <w:r>
        <w:rPr>
          <w:rFonts w:hint="eastAsia" w:ascii="楷体_GB2312" w:hAnsi="楷体_GB2312" w:eastAsia="楷体_GB2312" w:cs="楷体_GB2312"/>
          <w:b w:val="0"/>
          <w:bCs/>
          <w:color w:val="000000"/>
          <w:sz w:val="32"/>
          <w:szCs w:val="32"/>
        </w:rPr>
        <w:t>（一）机关运行经费支出情况</w:t>
      </w:r>
      <w:bookmarkEnd w:id="50"/>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2020年，机关运行经费支出</w:t>
      </w:r>
      <w:r>
        <w:rPr>
          <w:rFonts w:hint="eastAsia" w:ascii="仿宋_GB2312" w:hAnsi="仿宋_GB2312" w:eastAsia="仿宋_GB2312" w:cs="仿宋_GB2312"/>
          <w:b w:val="0"/>
          <w:bCs w:val="0"/>
          <w:color w:val="000000"/>
          <w:sz w:val="32"/>
          <w:szCs w:val="32"/>
          <w:lang w:val="en-US" w:eastAsia="zh-CN"/>
        </w:rPr>
        <w:t>125</w:t>
      </w:r>
      <w:r>
        <w:rPr>
          <w:rFonts w:hint="eastAsia" w:ascii="仿宋_GB2312" w:hAnsi="仿宋_GB2312" w:eastAsia="仿宋_GB2312" w:cs="仿宋_GB2312"/>
          <w:b w:val="0"/>
          <w:bCs w:val="0"/>
          <w:color w:val="000000"/>
          <w:sz w:val="32"/>
          <w:szCs w:val="32"/>
        </w:rPr>
        <w:t>万元，比2019年增加/减少</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万元，增长/下降</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%（或与2019年决算数持平）。（注：数据来源于财决附03表）</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1" w:name="_Toc15377223"/>
      <w:r>
        <w:rPr>
          <w:rFonts w:hint="eastAsia" w:ascii="楷体_GB2312" w:hAnsi="楷体_GB2312" w:eastAsia="楷体_GB2312" w:cs="楷体_GB2312"/>
          <w:b w:val="0"/>
          <w:bCs/>
          <w:color w:val="000000"/>
          <w:sz w:val="32"/>
          <w:szCs w:val="32"/>
        </w:rPr>
        <w:t>（二）政府采购支出情况</w:t>
      </w:r>
      <w:bookmarkEnd w:id="51"/>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2020年，政府采购支出总额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万元，其中：政府采购货物支出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万元、政府采购工程支出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万元、政府采购服务支出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万元。主要用于…（具体工作）。授予中小企业合同金额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%，其中：授予小微企业合同金额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（注：数据来源于财决附03表）</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2" w:name="_Toc15377224"/>
      <w:r>
        <w:rPr>
          <w:rFonts w:hint="eastAsia" w:ascii="楷体_GB2312" w:hAnsi="楷体_GB2312" w:eastAsia="楷体_GB2312" w:cs="楷体_GB2312"/>
          <w:b w:val="0"/>
          <w:bCs/>
          <w:color w:val="000000"/>
          <w:sz w:val="32"/>
          <w:szCs w:val="32"/>
        </w:rPr>
        <w:t>（三）国有资产占有使用情况</w:t>
      </w:r>
      <w:bookmarkEnd w:id="52"/>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截至2020年12月31日，共有车辆</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辆，其中：主要领导干部用车</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辆、机要通信用车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辆、应急保障用车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辆、其他用车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辆……其他用车主要是用于</w:t>
      </w:r>
      <w:r>
        <w:rPr>
          <w:rFonts w:hint="eastAsia" w:ascii="仿宋_GB2312" w:hAnsi="仿宋_GB2312" w:eastAsia="仿宋_GB2312" w:cs="仿宋_GB2312"/>
          <w:b w:val="0"/>
          <w:bCs w:val="0"/>
          <w:color w:val="000000"/>
          <w:sz w:val="32"/>
          <w:szCs w:val="32"/>
          <w:lang w:eastAsia="zh-CN"/>
        </w:rPr>
        <w:t>流浪乞讨救助</w:t>
      </w:r>
      <w:r>
        <w:rPr>
          <w:rFonts w:hint="eastAsia" w:ascii="仿宋_GB2312" w:hAnsi="仿宋_GB2312" w:eastAsia="仿宋_GB2312" w:cs="仿宋_GB2312"/>
          <w:b w:val="0"/>
          <w:bCs w:val="0"/>
          <w:color w:val="000000"/>
          <w:sz w:val="32"/>
          <w:szCs w:val="32"/>
        </w:rPr>
        <w:t>……单价50万元以上通用设备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台（套），单价100万元以上专用设备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台（套）。（注：数据来源财决附03表，按部门决算报表填报数据罗列车辆情况。）</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（四）预算绩效管理情况</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_GB2312" w:eastAsia="仿宋_GB2312" w:cs="仿宋_GB2312"/>
          <w:sz w:val="32"/>
          <w:szCs w:val="32"/>
          <w:lang w:eastAsia="zh-CN"/>
        </w:rPr>
        <w:t>我单位重点项目申请资金</w:t>
      </w:r>
      <w:r>
        <w:rPr>
          <w:rFonts w:hint="eastAsia" w:ascii="仿宋_GB2312" w:hAnsi="仿宋_GB2312" w:eastAsia="仿宋_GB2312" w:cs="仿宋_GB2312"/>
          <w:sz w:val="32"/>
          <w:szCs w:val="32"/>
          <w:lang w:val="en-US" w:eastAsia="zh-CN"/>
        </w:rPr>
        <w:t>100%，进度使用情况100%</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及时性100%，满意度100%。</w:t>
      </w:r>
    </w:p>
    <w:p>
      <w:pPr>
        <w:pageBreakBefore w:val="0"/>
        <w:numPr>
          <w:ilvl w:val="0"/>
          <w:numId w:val="5"/>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本部门在2020年度部门决算中反映</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pageBreakBefore w:val="0"/>
        <w:numPr>
          <w:ilvl w:val="0"/>
          <w:numId w:val="5"/>
        </w:numPr>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项目项目绩效目标完成情况综述。项目全年预算数</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人员工资、保险等正常开支，促进了机构运转正常，提高服务质量，让老人更满意。</w:t>
      </w:r>
      <w:r>
        <w:rPr>
          <w:rFonts w:hint="eastAsia" w:ascii="仿宋_GB2312" w:hAnsi="仿宋_GB2312" w:eastAsia="仿宋_GB2312" w:cs="仿宋_GB2312"/>
          <w:sz w:val="32"/>
          <w:szCs w:val="32"/>
        </w:rPr>
        <w:t>（支持、促进、提高……）了(按照项目总体目标简要描述项目成效），发现的主要问题：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tbl>
      <w:tblPr>
        <w:tblStyle w:val="7"/>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峨眉山市民政中心</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120万元</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120万元</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保障机构正常运转，提升服务质量，提升满意度</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机构正常运转、人员经费正常开支，提升了服务质量与满意度</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人员工资及保险</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人员基本保障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p>
            <w:pPr>
              <w:widowControl/>
              <w:jc w:val="both"/>
              <w:textAlignment w:val="center"/>
              <w:rPr>
                <w:rFonts w:hint="default" w:ascii="仿宋_GB2312" w:hAnsi="仿宋_GB2312" w:eastAsia="仿宋_GB2312" w:cs="仿宋_GB2312"/>
                <w:color w:val="000000"/>
                <w:sz w:val="24"/>
                <w:lang w:val="en-US" w:eastAsia="zh-CN"/>
              </w:rPr>
            </w:pP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水电气设施设备正常</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服务质量提升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57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满意诶提升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bl>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w:t>
      </w:r>
      <w:r>
        <w:rPr>
          <w:rFonts w:hint="eastAsia" w:ascii="仿宋_GB2312" w:hAnsi="仿宋_GB2312" w:eastAsia="仿宋_GB2312" w:cs="仿宋_GB2312"/>
          <w:sz w:val="32"/>
          <w:szCs w:val="32"/>
          <w:lang w:eastAsia="zh-CN"/>
        </w:rPr>
        <w:t>峨眉山市民政中心</w:t>
      </w:r>
      <w:r>
        <w:rPr>
          <w:rFonts w:hint="eastAsia" w:ascii="仿宋_GB2312" w:hAnsi="仿宋_GB2312" w:eastAsia="仿宋_GB2312" w:cs="仿宋_GB2312"/>
          <w:sz w:val="32"/>
          <w:szCs w:val="32"/>
        </w:rPr>
        <w:t>2020年部门整体支出绩效评价报告》见附件（附件1）。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峨眉山市民政中心</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绩效评价报告》见附件（附件2）。（非涉密部门均需公开部门整体支出评价报告，部门自行组织的绩效评价情况根据部门实际公开，若未组织项目绩效评价，则只需说明部门整体支出绩效评价情况）</w:t>
      </w:r>
    </w:p>
    <w:p>
      <w:pPr>
        <w:keepNext w:val="0"/>
        <w:keepLines w:val="0"/>
        <w:pageBreakBefore w:val="0"/>
        <w:widowControl/>
        <w:kinsoku/>
        <w:wordWrap/>
        <w:overflowPunct/>
        <w:topLinePunct w:val="0"/>
        <w:bidi w:val="0"/>
        <w:snapToGrid/>
        <w:spacing w:line="600" w:lineRule="exact"/>
        <w:jc w:val="center"/>
        <w:textAlignment w:val="auto"/>
        <w:rPr>
          <w:rStyle w:val="10"/>
          <w:rFonts w:hint="eastAsia" w:ascii="方正小标宋_GBK" w:hAnsi="方正小标宋_GBK" w:eastAsia="方正小标宋_GBK" w:cs="方正小标宋_GBK"/>
          <w:b w:val="0"/>
          <w:bCs/>
          <w:sz w:val="44"/>
          <w:szCs w:val="44"/>
        </w:rPr>
      </w:pPr>
      <w:r>
        <w:rPr>
          <w:rFonts w:ascii="仿宋_GB2312" w:eastAsia="仿宋_GB2312"/>
          <w:b/>
          <w:color w:val="000000"/>
          <w:sz w:val="32"/>
          <w:szCs w:val="32"/>
        </w:rPr>
        <w:br w:type="page"/>
      </w:r>
      <w:bookmarkStart w:id="53" w:name="_Toc15396613"/>
      <w:bookmarkStart w:id="54" w:name="_Toc15377225"/>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10"/>
          <w:rFonts w:hint="eastAsia" w:ascii="方正小标宋_GBK" w:hAnsi="方正小标宋_GBK" w:eastAsia="方正小标宋_GBK" w:cs="方正小标宋_GBK"/>
          <w:b w:val="0"/>
          <w:bCs/>
          <w:sz w:val="44"/>
          <w:szCs w:val="44"/>
        </w:rPr>
        <w:t>词解释</w:t>
      </w:r>
      <w:bookmarkEnd w:id="53"/>
      <w:bookmarkEnd w:id="54"/>
    </w:p>
    <w:p>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事业收入：指事业单位开展专业业务活动及辅助活动取得的收入。如…（二级预算单位事业收入情况）等。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参保、精准扶贫、社会代养老人生活服务费</w:t>
      </w:r>
      <w:r>
        <w:rPr>
          <w:rFonts w:hint="eastAsia" w:ascii="仿宋_GB2312" w:eastAsia="仿宋_GB2312"/>
          <w:sz w:val="32"/>
          <w:szCs w:val="32"/>
        </w:rPr>
        <w:t>。</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pStyle w:val="13"/>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cs="仿宋_GB2312"/>
          <w:color w:val="000000"/>
          <w:sz w:val="32"/>
          <w:szCs w:val="32"/>
        </w:rPr>
        <w:t>社会保障和就业支出：</w:t>
      </w:r>
      <w:r>
        <w:rPr>
          <w:rFonts w:hint="eastAsia" w:ascii="仿宋_GB2312" w:eastAsia="仿宋_GB2312"/>
          <w:sz w:val="32"/>
          <w:szCs w:val="32"/>
        </w:rPr>
        <w:t xml:space="preserve"> </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2080505--机关事业单位基本养老保险缴费支出：在职人人员养老保险缴费支出。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2080506--机关事业单位职业年金缴费支出：在职人人员职业年金缴费支出。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2081005--社会福利事业单位：民政中心敬老院工资、福利、保险及运行经费，养老服务生活支出。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2081099--其他社会福利支出：敬老院床位升级改造、大型修缮等其他用于养老服务支出。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2082002--流浪乞讨人员救助支出：民政中心救助站用于流浪机构基本运行、流浪乞讨人员救助、未保儿童关爱保护保障支出。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2101102--事业单位医疗：在职人员医疗保险缴费支出。</w:t>
      </w:r>
    </w:p>
    <w:p>
      <w:pPr>
        <w:pStyle w:val="13"/>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2120802--土地开发支出：用于养老服务保障建设。</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2210201--住房公积金：在职人员住房公积金缴费支出。</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（解释本部门决算报表中全部功能分类科目至项级，请参照《2020年政府收支分类科目》增减内容。）</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二十七、</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二十八、</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二十九、</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三十一、</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三十二、</w:t>
      </w:r>
      <w:r>
        <w:rPr>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（名词解释部分请根据各部门实际列支情况罗列，并根据本部门职责职能增减名词解释内容。）</w:t>
      </w:r>
    </w:p>
    <w:p>
      <w:pPr>
        <w:keepNext w:val="0"/>
        <w:keepLines w:val="0"/>
        <w:pageBreakBefore w:val="0"/>
        <w:kinsoku/>
        <w:wordWrap/>
        <w:overflowPunct/>
        <w:topLinePunct w:val="0"/>
        <w:autoSpaceDE/>
        <w:autoSpaceDN/>
        <w:bidi w:val="0"/>
        <w:snapToGrid/>
        <w:spacing w:line="600" w:lineRule="exact"/>
        <w:jc w:val="center"/>
        <w:textAlignment w:val="auto"/>
        <w:outlineLvl w:val="0"/>
        <w:rPr>
          <w:rFonts w:ascii="宋体"/>
          <w:b/>
          <w:color w:val="000000"/>
          <w:sz w:val="44"/>
          <w:szCs w:val="44"/>
        </w:rPr>
      </w:pPr>
      <w:bookmarkStart w:id="55" w:name="_Toc15377226"/>
      <w:r>
        <w:rPr>
          <w:rFonts w:ascii="宋体"/>
          <w:b/>
          <w:color w:val="000000"/>
          <w:sz w:val="44"/>
          <w:szCs w:val="44"/>
        </w:rPr>
        <w:br w:type="page"/>
      </w:r>
      <w:bookmarkStart w:id="56" w:name="_Toc15396614"/>
    </w:p>
    <w:p>
      <w:pPr>
        <w:keepNext w:val="0"/>
        <w:keepLines w:val="0"/>
        <w:pageBreakBefore w:val="0"/>
        <w:kinsoku/>
        <w:wordWrap/>
        <w:overflowPunct/>
        <w:topLinePunct w:val="0"/>
        <w:autoSpaceDE/>
        <w:autoSpaceDN/>
        <w:bidi w:val="0"/>
        <w:snapToGrid/>
        <w:spacing w:line="600" w:lineRule="exact"/>
        <w:jc w:val="both"/>
        <w:textAlignment w:val="auto"/>
        <w:outlineLvl w:val="0"/>
        <w:rPr>
          <w:rFonts w:hint="default" w:ascii="宋体" w:eastAsia="宋体"/>
          <w:b/>
          <w:color w:val="000000"/>
          <w:sz w:val="44"/>
          <w:szCs w:val="44"/>
          <w:lang w:val="en-US" w:eastAsia="zh-CN"/>
        </w:rPr>
      </w:pPr>
      <w:r>
        <w:rPr>
          <w:rFonts w:hint="eastAsia" w:ascii="宋体"/>
          <w:b/>
          <w:color w:val="000000"/>
          <w:sz w:val="44"/>
          <w:szCs w:val="44"/>
          <w:lang w:eastAsia="zh-CN"/>
        </w:rPr>
        <w:t>附件</w:t>
      </w:r>
      <w:r>
        <w:rPr>
          <w:rFonts w:hint="eastAsia" w:ascii="宋体"/>
          <w:b/>
          <w:color w:val="000000"/>
          <w:sz w:val="44"/>
          <w:szCs w:val="44"/>
          <w:lang w:val="en-US" w:eastAsia="zh-CN"/>
        </w:rPr>
        <w:t>1</w:t>
      </w:r>
    </w:p>
    <w:p>
      <w:pPr>
        <w:keepNext w:val="0"/>
        <w:keepLines w:val="0"/>
        <w:pageBreakBefore w:val="0"/>
        <w:kinsoku/>
        <w:wordWrap/>
        <w:overflowPunct/>
        <w:topLinePunct w:val="0"/>
        <w:autoSpaceDE/>
        <w:autoSpaceDN/>
        <w:bidi w:val="0"/>
        <w:snapToGrid/>
        <w:spacing w:line="600" w:lineRule="exact"/>
        <w:jc w:val="center"/>
        <w:textAlignment w:val="auto"/>
        <w:outlineLvl w:val="0"/>
        <w:rPr>
          <w:rFonts w:ascii="宋体"/>
          <w:b/>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Style w:val="10"/>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000000"/>
          <w:sz w:val="44"/>
          <w:szCs w:val="44"/>
        </w:rPr>
        <w:t>第</w:t>
      </w:r>
      <w:r>
        <w:rPr>
          <w:rStyle w:val="10"/>
          <w:rFonts w:hint="eastAsia" w:ascii="方正小标宋_GBK" w:hAnsi="方正小标宋_GBK" w:eastAsia="方正小标宋_GBK" w:cs="方正小标宋_GBK"/>
          <w:b w:val="0"/>
          <w:bCs w:val="0"/>
        </w:rPr>
        <w:t>四部分 附件</w:t>
      </w:r>
      <w:bookmarkEnd w:id="56"/>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峨眉山市民政中心</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keepNext w:val="0"/>
        <w:keepLines w:val="0"/>
        <w:pageBreakBefore w:val="0"/>
        <w:widowControl/>
        <w:kinsoku/>
        <w:wordWrap/>
        <w:overflowPunct/>
        <w:topLinePunct w:val="0"/>
        <w:autoSpaceDE/>
        <w:autoSpaceDN/>
        <w:bidi w:val="0"/>
        <w:spacing w:line="600" w:lineRule="exact"/>
        <w:ind w:firstLine="640" w:firstLineChars="200"/>
        <w:contextualSpacing/>
        <w:jc w:val="center"/>
        <w:textAlignment w:val="auto"/>
        <w:rPr>
          <w:rFonts w:ascii="仿宋_GB2312" w:hAnsi="宋体" w:eastAsia="仿宋_GB2312"/>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numPr>
          <w:ilvl w:val="0"/>
          <w:numId w:val="0"/>
        </w:numPr>
        <w:snapToGrid w:val="0"/>
        <w:spacing w:line="520" w:lineRule="exact"/>
        <w:ind w:firstLine="960" w:firstLineChars="300"/>
        <w:rPr>
          <w:rFonts w:hint="eastAsia" w:ascii="仿宋_GB2312" w:hAnsi="仿宋" w:eastAsia="仿宋_GB2312"/>
          <w:sz w:val="32"/>
          <w:szCs w:val="32"/>
          <w:lang w:eastAsia="zh-CN"/>
        </w:rPr>
      </w:pPr>
      <w:r>
        <w:rPr>
          <w:rFonts w:hint="eastAsia" w:ascii="仿宋_GB2312" w:hAnsi="仿宋" w:eastAsia="仿宋_GB2312"/>
          <w:sz w:val="32"/>
          <w:szCs w:val="32"/>
          <w:lang w:eastAsia="zh-CN"/>
        </w:rPr>
        <w:t>包含有民政中心敬老院、救助站、未保中心。</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民政中心：养老院为养老服务中心，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救助站为：社会流浪乞讨救助中心，</w:t>
      </w:r>
    </w:p>
    <w:p>
      <w:pPr>
        <w:keepNext w:val="0"/>
        <w:keepLines w:val="0"/>
        <w:pageBreakBefore w:val="0"/>
        <w:widowControl/>
        <w:kinsoku/>
        <w:wordWrap/>
        <w:overflowPunct/>
        <w:topLinePunct w:val="0"/>
        <w:autoSpaceDE/>
        <w:autoSpaceDN/>
        <w:bidi w:val="0"/>
        <w:adjustRightInd w:val="0"/>
        <w:snapToGrid w:val="0"/>
        <w:spacing w:line="600" w:lineRule="exact"/>
        <w:ind w:firstLine="2560" w:firstLineChars="8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仿宋_GB2312" w:hAnsi="仿宋" w:eastAsia="仿宋_GB2312"/>
          <w:sz w:val="32"/>
          <w:szCs w:val="32"/>
          <w:lang w:val="en-US" w:eastAsia="zh-CN"/>
        </w:rPr>
        <w:t>未保中心：是未成年人保护救助站。</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firstLine="2240" w:firstLineChars="700"/>
        <w:contextualSpacing/>
        <w:jc w:val="left"/>
        <w:textAlignment w:val="auto"/>
        <w:rPr>
          <w:rFonts w:hint="default"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工作人员共计62人。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napToGrid w:val="0"/>
        <w:spacing w:line="520" w:lineRule="exact"/>
        <w:ind w:firstLine="320" w:firstLineChars="100"/>
        <w:rPr>
          <w:rFonts w:hint="eastAsia" w:ascii="仿宋_GB2312" w:hAnsi="仿宋" w:eastAsia="仿宋_GB2312"/>
          <w:sz w:val="32"/>
          <w:szCs w:val="32"/>
          <w:lang w:val="zh-CN" w:eastAsia="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仿宋_GB2312" w:hAnsi="仿宋" w:eastAsia="仿宋_GB2312"/>
          <w:sz w:val="32"/>
          <w:szCs w:val="32"/>
          <w:lang w:val="zh-CN" w:eastAsia="zh-CN"/>
        </w:rPr>
        <w:t>一）部门财政资金收入情况</w:t>
      </w:r>
    </w:p>
    <w:p>
      <w:pPr>
        <w:snapToGrid w:val="0"/>
        <w:spacing w:line="520" w:lineRule="exact"/>
        <w:ind w:firstLine="960" w:firstLineChars="300"/>
        <w:rPr>
          <w:rFonts w:hint="default" w:ascii="仿宋_GB2312" w:hAnsi="仿宋" w:eastAsia="仿宋_GB2312"/>
          <w:sz w:val="32"/>
          <w:szCs w:val="32"/>
          <w:lang w:val="en-US" w:eastAsia="zh-CN"/>
        </w:rPr>
      </w:pPr>
      <w:r>
        <w:rPr>
          <w:rFonts w:hint="eastAsia" w:ascii="仿宋_GB2312" w:hAnsi="仿宋" w:eastAsia="仿宋_GB2312"/>
          <w:sz w:val="32"/>
          <w:szCs w:val="32"/>
          <w:lang w:val="zh-CN" w:eastAsia="zh-CN"/>
        </w:rPr>
        <w:t>管护人员工作、保险及机构运行经费项目预算金额</w:t>
      </w:r>
      <w:r>
        <w:rPr>
          <w:rFonts w:hint="eastAsia" w:ascii="仿宋_GB2312" w:hAnsi="仿宋" w:eastAsia="仿宋_GB2312"/>
          <w:sz w:val="32"/>
          <w:szCs w:val="32"/>
          <w:lang w:val="en-US" w:eastAsia="zh-CN"/>
        </w:rPr>
        <w:t>120万元，计划申报120万元，1月31日、2月29日、4月24日、7月31日、9月30日分别申报运行项目资金19万、21万、30万、20万、30万。财政拨款120万元。</w:t>
      </w:r>
    </w:p>
    <w:p>
      <w:pPr>
        <w:snapToGrid w:val="0"/>
        <w:spacing w:line="520" w:lineRule="exact"/>
        <w:ind w:firstLine="2560" w:firstLineChars="800"/>
        <w:rPr>
          <w:rFonts w:hint="eastAsia" w:ascii="仿宋_GB2312" w:hAnsi="仿宋" w:eastAsia="仿宋_GB2312"/>
          <w:sz w:val="32"/>
          <w:szCs w:val="32"/>
          <w:lang w:val="zh-CN" w:eastAsia="zh-CN"/>
        </w:rPr>
      </w:pPr>
    </w:p>
    <w:p>
      <w:pPr>
        <w:snapToGrid w:val="0"/>
        <w:spacing w:line="520" w:lineRule="exact"/>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（二）部门财政资金支出情况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zh-CN" w:eastAsia="zh-CN"/>
        </w:rPr>
        <w:t>管护人员工作、保险及机构运行经费项目预算金额</w:t>
      </w:r>
      <w:r>
        <w:rPr>
          <w:rFonts w:hint="eastAsia" w:ascii="仿宋_GB2312" w:hAnsi="仿宋" w:eastAsia="仿宋_GB2312"/>
          <w:sz w:val="32"/>
          <w:szCs w:val="32"/>
          <w:lang w:val="en-US" w:eastAsia="zh-CN"/>
        </w:rPr>
        <w:t>120万元，计划申报120万元，财政拨款120万元，资金及时到位120万元，截止2020年12月31日，资金使用120万元，使用率100%。项目计划完成度100%。主要用于人员工资、保险及机构运行使用。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zh-CN" w:eastAsia="zh-CN"/>
        </w:rPr>
        <w:t>管护人员工作、保险及机构运行经费项目预算金额</w:t>
      </w:r>
      <w:r>
        <w:rPr>
          <w:rFonts w:hint="eastAsia" w:ascii="仿宋_GB2312" w:hAnsi="仿宋" w:eastAsia="仿宋_GB2312"/>
          <w:sz w:val="32"/>
          <w:szCs w:val="32"/>
          <w:lang w:val="en-US" w:eastAsia="zh-CN"/>
        </w:rPr>
        <w:t>120万元，用于人员经费保障、机构基本运行、各设施设备正常运行、工作正常开展的前提下提升对老人的服务质量，提高老人满意度。截止2020年12月31日，该项目资金正常申报使用，按计划分批合理支付。使用率100%。项目计划完成度100%。无违规记录。</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zh-CN" w:eastAsia="zh-CN"/>
        </w:rPr>
        <w:t>根据峨眉山市人民政府</w:t>
      </w:r>
      <w:r>
        <w:rPr>
          <w:rFonts w:hint="eastAsia" w:ascii="仿宋_GB2312" w:hAnsi="仿宋" w:eastAsia="仿宋_GB2312"/>
          <w:sz w:val="32"/>
          <w:szCs w:val="32"/>
          <w:lang w:val="en-US" w:eastAsia="zh-CN"/>
        </w:rPr>
        <w:t>2012年3月30日下达的《关于中心敬老院和民政福利院有关问题的决定》峨府定【2012】20号文件为依据，有本级财政正式下达指标分配财政专项资金，该项目财政预算120万元，实际支出120万元。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项目政策依据充分，目标明确，组织实施有序，对单位工作开展起到积极作用。</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sz w:val="32"/>
          <w:szCs w:val="32"/>
          <w:lang w:val="zh-CN" w:eastAsia="zh-CN"/>
        </w:rPr>
      </w:pP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仿宋_GB2312" w:hAnsi="仿宋" w:eastAsia="仿宋_GB2312"/>
          <w:sz w:val="32"/>
          <w:szCs w:val="32"/>
          <w:lang w:val="zh-CN" w:eastAsia="zh-CN"/>
        </w:rPr>
        <w:t>预算绩效项目管理目标欠细软</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完善绩效目标，填报全面预算管理。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_GB2312" w:hAnsi="仿宋" w:eastAsia="仿宋_GB2312"/>
          <w:sz w:val="32"/>
          <w:szCs w:val="32"/>
          <w:lang w:val="zh-CN" w:eastAsia="zh-C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zh-CN" w:eastAsia="zh-CN"/>
        </w:rPr>
        <w:t>管护人员工作、保险及机构运行经费</w:t>
      </w:r>
      <w:r>
        <w:rPr>
          <w:rFonts w:hint="eastAsia" w:ascii="方正小标宋_GBK" w:hAnsi="方正小标宋_GBK" w:eastAsia="方正小标宋_GBK" w:cs="方正小标宋_GBK"/>
          <w:b w:val="0"/>
          <w:bCs w:val="0"/>
          <w:color w:val="000000"/>
          <w:kern w:val="0"/>
          <w:sz w:val="44"/>
          <w:szCs w:val="44"/>
          <w:lang w:val="zh-CN"/>
        </w:rPr>
        <w:t>项目</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项目主管部门为峨眉山市民政局，在该项目中主要负责指导、监督、和统筹管理。</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宋体" w:eastAsia="仿宋_GB2312"/>
          <w:sz w:val="32"/>
          <w:szCs w:val="32"/>
          <w:lang w:val="zh-CN"/>
        </w:rPr>
        <w:t>项目依据</w:t>
      </w:r>
      <w:r>
        <w:rPr>
          <w:rFonts w:hint="eastAsia" w:ascii="仿宋_GB2312" w:hAnsi="仿宋" w:eastAsia="仿宋_GB2312"/>
          <w:sz w:val="32"/>
          <w:szCs w:val="32"/>
          <w:lang w:val="zh-CN" w:eastAsia="zh-CN"/>
        </w:rPr>
        <w:t>峨眉山市人民政府</w:t>
      </w:r>
      <w:r>
        <w:rPr>
          <w:rFonts w:hint="eastAsia" w:ascii="仿宋_GB2312" w:hAnsi="仿宋" w:eastAsia="仿宋_GB2312"/>
          <w:sz w:val="32"/>
          <w:szCs w:val="32"/>
          <w:lang w:val="en-US" w:eastAsia="zh-CN"/>
        </w:rPr>
        <w:t>2012年3月30日下达的《关于中心敬老院和民政福利院有关问题的决定》峨府定【2012】20号文件为依据，有本级财政正式下达指标分配财政专项资金。</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仿宋_GB2312" w:hAnsi="宋体" w:eastAsia="仿宋_GB2312"/>
          <w:sz w:val="32"/>
          <w:szCs w:val="32"/>
          <w:lang w:val="zh-CN"/>
        </w:rPr>
      </w:pP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该项目决策依据充分，设立经过严格评估论证，程序严密，制度完善，主要用于单位工作正常运转</w:t>
      </w:r>
      <w:r>
        <w:rPr>
          <w:rFonts w:hint="eastAsia" w:ascii="仿宋_GB2312" w:hAnsi="仿宋" w:eastAsia="仿宋_GB2312"/>
          <w:sz w:val="32"/>
          <w:szCs w:val="32"/>
          <w:lang w:val="en-US" w:eastAsia="zh-CN"/>
        </w:rPr>
        <w:t>。</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分配合理，使用合规，主要分配人员工资及保险及机构基本正常运行。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该项目主要用于人员经费保障、机构基本运行、各设施设备正常运行。</w:t>
      </w:r>
    </w:p>
    <w:p>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仿宋" w:eastAsia="仿宋_GB2312"/>
          <w:sz w:val="32"/>
          <w:szCs w:val="32"/>
          <w:lang w:val="en-US" w:eastAsia="zh-CN"/>
        </w:rPr>
        <w:t>该项目主要用于对人员经费保障、机构基本运行、各设施设备正常运行、工作正常开展的前提下提升对老人的服务质量，提高老人满意度</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eastAsia="仿宋_GB2312"/>
          <w:sz w:val="32"/>
          <w:szCs w:val="32"/>
          <w:lang w:val="zh-CN"/>
        </w:rPr>
      </w:pPr>
    </w:p>
    <w:p>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该醒目申报内容属实、申报目标合理可行。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snapToGrid w:val="0"/>
        <w:spacing w:line="520" w:lineRule="exact"/>
        <w:ind w:firstLine="960" w:firstLineChars="3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计划申报120万元，1月31日、2月29日、4月24日、7月31日、9月30日分别申报运行项目资金19万、21万、30万、20万、30万。财政拨款批复总计120万元。</w:t>
      </w:r>
    </w:p>
    <w:p>
      <w:pPr>
        <w:snapToGrid w:val="0"/>
        <w:spacing w:line="520" w:lineRule="exact"/>
        <w:ind w:firstLine="2560" w:firstLineChars="800"/>
        <w:rPr>
          <w:rFonts w:hint="eastAsia" w:ascii="仿宋_GB2312" w:hAnsi="仿宋" w:eastAsia="仿宋_GB2312"/>
          <w:sz w:val="32"/>
          <w:szCs w:val="32"/>
          <w:lang w:val="zh-CN"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r>
        <w:rPr>
          <w:rFonts w:hint="eastAsia" w:ascii="仿宋_GB2312" w:hAnsi="仿宋" w:eastAsia="仿宋_GB2312"/>
          <w:sz w:val="32"/>
          <w:szCs w:val="32"/>
          <w:lang w:val="en-US" w:eastAsia="zh-CN"/>
        </w:rPr>
        <w:t>1月31日、2月29日、4月24日、7月31日、9月30日分别申报运行项目资金19万、21万、30万、20万、30万。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宋体" w:eastAsia="仿宋_GB2312"/>
          <w:sz w:val="32"/>
          <w:szCs w:val="32"/>
          <w:lang w:val="zh-CN"/>
        </w:rPr>
      </w:pPr>
      <w:r>
        <w:rPr>
          <w:rFonts w:hint="eastAsia" w:ascii="仿宋_GB2312" w:hAnsi="仿宋" w:eastAsia="仿宋_GB2312"/>
          <w:sz w:val="32"/>
          <w:szCs w:val="32"/>
          <w:lang w:val="en-US" w:eastAsia="zh-CN"/>
        </w:rPr>
        <w:t>1月31日、2月29日、4月24日、7月31日、9月30日分别申报运行项目资金19万、21万、30万、20万、30万。资金按时到位。</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该项目资金使用安全、规范、有效，支付进度</w:t>
      </w:r>
      <w:r>
        <w:rPr>
          <w:rFonts w:hint="eastAsia" w:ascii="仿宋_GB2312" w:hAnsi="宋体" w:eastAsia="仿宋_GB2312"/>
          <w:sz w:val="32"/>
          <w:szCs w:val="32"/>
          <w:lang w:val="en-US" w:eastAsia="zh-CN"/>
        </w:rPr>
        <w:t>100%，支付依据充分，合规合理。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该项目实施依据充分，财务管理制度健全，严格执行财务管理制度，账务处理及时，会计核算合规合理。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说明项目主管部门为加强项目管理所采取的监管手段、监管程序、监管工作开展情况及实现的效果等。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对于该项目组织成立监督小组对项目全程实施全面监督、监管。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项目完成数量</w:t>
      </w:r>
      <w:r>
        <w:rPr>
          <w:rFonts w:hint="eastAsia" w:ascii="仿宋_GB2312" w:hAnsi="宋体" w:eastAsia="仿宋_GB2312"/>
          <w:sz w:val="32"/>
          <w:szCs w:val="32"/>
          <w:lang w:val="en-US" w:eastAsia="zh-CN"/>
        </w:rPr>
        <w:t>1个，质量100%，时效100%，完成计划目标100%，分配合理，使用合规，执行有效。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该项目的完成，不仅保障了基本运行，且切实有效提升了服务质量，从而让服务对象更加满意。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宋体" w:eastAsia="仿宋_GB2312"/>
          <w:sz w:val="32"/>
          <w:szCs w:val="32"/>
          <w:lang w:val="zh-CN"/>
        </w:rPr>
        <w:t>该项目执行程序严密，严格使用专项资金，依据</w:t>
      </w:r>
      <w:r>
        <w:rPr>
          <w:rFonts w:hint="eastAsia" w:ascii="仿宋_GB2312" w:hAnsi="仿宋" w:eastAsia="仿宋_GB2312"/>
          <w:sz w:val="32"/>
          <w:szCs w:val="32"/>
          <w:lang w:val="zh-CN" w:eastAsia="zh-CN"/>
        </w:rPr>
        <w:t>峨眉山市人民政府</w:t>
      </w:r>
      <w:r>
        <w:rPr>
          <w:rFonts w:hint="eastAsia" w:ascii="仿宋_GB2312" w:hAnsi="仿宋" w:eastAsia="仿宋_GB2312"/>
          <w:sz w:val="32"/>
          <w:szCs w:val="32"/>
          <w:lang w:val="en-US" w:eastAsia="zh-CN"/>
        </w:rPr>
        <w:t>2012年3月30日下达的《关于中心敬老院和民政福利院有关问题的决定》峨府定【2012】20号文件为依据，有本级财政正式下达指标分配财政专项资金。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规划合理且财务制度健全，分配合理，使用合规。</w:t>
      </w:r>
    </w:p>
    <w:p>
      <w:pPr>
        <w:keepNext w:val="0"/>
        <w:keepLines w:val="0"/>
        <w:pageBreakBefore w:val="0"/>
        <w:numPr>
          <w:ilvl w:val="0"/>
          <w:numId w:val="9"/>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仿宋_GB2312" w:hAnsi="仿宋" w:eastAsia="仿宋_GB2312"/>
          <w:sz w:val="32"/>
          <w:szCs w:val="32"/>
          <w:lang w:val="zh-CN" w:eastAsia="zh-CN"/>
        </w:rPr>
        <w:t>预算绩效项目管理目标欠细软</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宋体" w:eastAsia="楷体_GB2312"/>
          <w:b w:val="0"/>
          <w:bCs/>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sz w:val="32"/>
          <w:szCs w:val="32"/>
          <w:lang w:val="zh-CN"/>
        </w:rPr>
      </w:pPr>
      <w:r>
        <w:rPr>
          <w:rFonts w:ascii="仿宋_GB2312" w:hAnsi="宋体" w:eastAsia="仿宋_GB2312"/>
          <w:sz w:val="32"/>
          <w:szCs w:val="32"/>
          <w:lang w:val="zh-CN"/>
        </w:rPr>
        <w:tab/>
      </w: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完善项目填报制度，填报全面预算管理。</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600" w:lineRule="exact"/>
        <w:jc w:val="left"/>
        <w:textAlignment w:val="auto"/>
        <w:rPr>
          <w:rStyle w:val="10"/>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Style w:val="10"/>
          <w:rFonts w:ascii="黑体" w:hAnsi="黑体" w:eastAsia="黑体"/>
          <w:b w:val="0"/>
        </w:rPr>
        <w:br w:type="page"/>
      </w:r>
      <w:bookmarkStart w:id="57" w:name="_Toc15396618"/>
      <w:r>
        <w:rPr>
          <w:rFonts w:hint="eastAsia" w:ascii="方正小标宋_GBK" w:hAnsi="方正小标宋_GBK" w:eastAsia="方正小标宋_GBK" w:cs="方正小标宋_GBK"/>
          <w:sz w:val="44"/>
          <w:szCs w:val="44"/>
        </w:rPr>
        <w:t>第五部分 附表</w:t>
      </w:r>
      <w:bookmarkEnd w:id="55"/>
      <w:bookmarkEnd w:id="5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8" w:name="_Toc15396619"/>
      <w:r>
        <w:rPr>
          <w:rFonts w:hint="eastAsia" w:ascii="仿宋_GB2312" w:hAnsi="仿宋_GB2312" w:eastAsia="仿宋_GB2312" w:cs="仿宋_GB2312"/>
          <w:sz w:val="32"/>
          <w:szCs w:val="32"/>
        </w:rPr>
        <w:t>一、收入支出决算总表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十三、国有资本经营预算财政拨款支出决算表</w:t>
      </w:r>
      <w:bookmarkEnd w:id="70"/>
    </w:p>
    <w:p/>
    <w:sectPr>
      <w:headerReference r:id="rId3" w:type="default"/>
      <w:footerReference r:id="rId4" w:type="default"/>
      <w:pgSz w:w="11906" w:h="16838"/>
      <w:pgMar w:top="2041" w:right="1469" w:bottom="1587" w:left="1469"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81305"/>
                      </a:xfrm>
                      <a:prstGeom prst="rect">
                        <a:avLst/>
                      </a:prstGeom>
                      <a:noFill/>
                      <a:ln>
                        <a:noFill/>
                      </a:ln>
                    </wps:spPr>
                    <wps:txbx>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0.5pt;height:22.15pt;width:81.7pt;mso-position-horizontal:outside;mso-position-horizontal-relative:margin;z-index:251658240;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5zm81gAAAAcBAAAPAAAAAAAAAAEA&#10;IAAAACIAAABkcnMvZG93bnJldi54bWxQSwECFAAUAAAACACHTuJA5rRP/58BAAAkAwAADgAAAAAA&#10;AAABACAAAAAlAQAAZHJzL2Uyb0RvYy54bWxQSwUGAAAAAAYABgBZAQAANgUAAAAA&#10;">
              <v:fill on="f" focussize="0,0"/>
              <v:stroke on="f"/>
              <v:imagedata o:title=""/>
              <o:lock v:ext="edit" aspectratio="f"/>
              <v:textbox inset="0mm,0mm,0mm,0mm">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6ECA814"/>
    <w:multiLevelType w:val="singleLevel"/>
    <w:tmpl w:val="D6ECA814"/>
    <w:lvl w:ilvl="0" w:tentative="0">
      <w:start w:val="2"/>
      <w:numFmt w:val="chineseCounting"/>
      <w:suff w:val="nothing"/>
      <w:lvlText w:val="（%1）"/>
      <w:lvlJc w:val="left"/>
      <w:rPr>
        <w:rFonts w:hint="eastAsia"/>
      </w:rPr>
    </w:lvl>
  </w:abstractNum>
  <w:abstractNum w:abstractNumId="2">
    <w:nsid w:val="0157CB19"/>
    <w:multiLevelType w:val="singleLevel"/>
    <w:tmpl w:val="0157CB19"/>
    <w:lvl w:ilvl="0" w:tentative="0">
      <w:start w:val="2"/>
      <w:numFmt w:val="chineseCounting"/>
      <w:suff w:val="nothing"/>
      <w:lvlText w:val="（%1）"/>
      <w:lvlJc w:val="left"/>
      <w:rPr>
        <w:rFonts w:hint="eastAsia"/>
      </w:rPr>
    </w:lvl>
  </w:abstractNum>
  <w:abstractNum w:abstractNumId="3">
    <w:nsid w:val="06F6151D"/>
    <w:multiLevelType w:val="singleLevel"/>
    <w:tmpl w:val="06F6151D"/>
    <w:lvl w:ilvl="0" w:tentative="0">
      <w:start w:val="3"/>
      <w:numFmt w:val="chineseCounting"/>
      <w:suff w:val="nothing"/>
      <w:lvlText w:val="（%1）"/>
      <w:lvlJc w:val="left"/>
      <w:rPr>
        <w:rFonts w:hint="eastAsia"/>
      </w:rPr>
    </w:lvl>
  </w:abstractNum>
  <w:abstractNum w:abstractNumId="4">
    <w:nsid w:val="1167F545"/>
    <w:multiLevelType w:val="singleLevel"/>
    <w:tmpl w:val="1167F545"/>
    <w:lvl w:ilvl="0" w:tentative="0">
      <w:start w:val="1"/>
      <w:numFmt w:val="decimal"/>
      <w:suff w:val="nothing"/>
      <w:lvlText w:val="%1．"/>
      <w:lvlJc w:val="left"/>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6FC1DFBF"/>
    <w:multiLevelType w:val="singleLevel"/>
    <w:tmpl w:val="6FC1DFBF"/>
    <w:lvl w:ilvl="0" w:tentative="0">
      <w:start w:val="1"/>
      <w:numFmt w:val="decimal"/>
      <w:suff w:val="nothing"/>
      <w:lvlText w:val="%1．"/>
      <w:lvlJc w:val="left"/>
    </w:lvl>
  </w:abstractNum>
  <w:abstractNum w:abstractNumId="7">
    <w:nsid w:val="727BBDB0"/>
    <w:multiLevelType w:val="singleLevel"/>
    <w:tmpl w:val="727BBDB0"/>
    <w:lvl w:ilvl="0" w:tentative="0">
      <w:start w:val="2"/>
      <w:numFmt w:val="chineseCounting"/>
      <w:suff w:val="nothing"/>
      <w:lvlText w:val="（%1）"/>
      <w:lvlJc w:val="left"/>
      <w:rPr>
        <w:rFonts w:hint="eastAsia"/>
      </w:rPr>
    </w:lvl>
  </w:abstractNum>
  <w:abstractNum w:abstractNumId="8">
    <w:nsid w:val="7BDC925A"/>
    <w:multiLevelType w:val="singleLevel"/>
    <w:tmpl w:val="7BDC925A"/>
    <w:lvl w:ilvl="0" w:tentative="0">
      <w:start w:val="1"/>
      <w:numFmt w:val="decimal"/>
      <w:suff w:val="nothing"/>
      <w:lvlText w:val="%1．"/>
      <w:lvlJc w:val="left"/>
    </w:lvl>
  </w:abstractNum>
  <w:num w:numId="1">
    <w:abstractNumId w:val="5"/>
  </w:num>
  <w:num w:numId="2">
    <w:abstractNumId w:val="4"/>
  </w:num>
  <w:num w:numId="3">
    <w:abstractNumId w:val="8"/>
  </w:num>
  <w:num w:numId="4">
    <w:abstractNumId w:val="0"/>
  </w:num>
  <w:num w:numId="5">
    <w:abstractNumId w:val="6"/>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F27DF"/>
    <w:rsid w:val="079E5DBC"/>
    <w:rsid w:val="3C7D607B"/>
    <w:rsid w:val="44B72EE5"/>
    <w:rsid w:val="4A8629B5"/>
    <w:rsid w:val="51603A96"/>
    <w:rsid w:val="542E7689"/>
    <w:rsid w:val="54527617"/>
    <w:rsid w:val="57A13332"/>
    <w:rsid w:val="59ED42BF"/>
    <w:rsid w:val="5EBF27DF"/>
    <w:rsid w:val="7DED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9">
    <w:name w:val="Strong"/>
    <w:qFormat/>
    <w:uiPriority w:val="99"/>
    <w:rPr>
      <w:rFonts w:cs="Times New Roman"/>
      <w:b/>
    </w:rPr>
  </w:style>
  <w:style w:type="character" w:customStyle="1" w:styleId="10">
    <w:name w:val="标题 1 字符"/>
    <w:link w:val="2"/>
    <w:qFormat/>
    <w:locked/>
    <w:uiPriority w:val="9"/>
    <w:rPr>
      <w:b/>
      <w:bCs/>
      <w:kern w:val="44"/>
      <w:sz w:val="44"/>
      <w:szCs w:val="44"/>
    </w:rPr>
  </w:style>
  <w:style w:type="character" w:customStyle="1" w:styleId="11">
    <w:name w:val="标题 2 字符"/>
    <w:link w:val="3"/>
    <w:qFormat/>
    <w:locked/>
    <w:uiPriority w:val="9"/>
    <w:rPr>
      <w:rFonts w:ascii="Cambria" w:hAnsi="Cambria"/>
      <w:b/>
      <w:bCs/>
      <w:sz w:val="32"/>
      <w:szCs w:val="32"/>
    </w:rPr>
  </w:style>
  <w:style w:type="paragraph" w:customStyle="1"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2021-10-25T08:00:00Z</dcterms:created>
  <dc:creator>Administrator</dc:creator>
  <cp:lastModifiedBy>Administrator</cp:lastModifiedBy>
  <dcterms:modified xsi:type="dcterms:W3CDTF">2021-10-26T06:51:38Z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