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425"/>
      <w:bookmarkStart w:id="3" w:name="_Toc15396597"/>
      <w:bookmarkStart w:id="4" w:name="_Toc15396475"/>
      <w:bookmarkStart w:id="5" w:name="_Toc15377193"/>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598"/>
      <w:bookmarkStart w:id="7" w:name="_Toc15377426"/>
      <w:bookmarkStart w:id="8" w:name="_Toc15378442"/>
      <w:bookmarkStart w:id="9" w:name="_Toc15377194"/>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峨眉山市殡仪馆</w:t>
      </w:r>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rPr>
        <w:t>决算</w:t>
      </w:r>
      <w:bookmarkEnd w:id="6"/>
      <w:bookmarkEnd w:id="7"/>
      <w:bookmarkEnd w:id="8"/>
      <w:bookmarkEnd w:id="9"/>
      <w:bookmarkEnd w:id="10"/>
      <w:bookmarkEnd w:id="11"/>
      <w:r>
        <w:rPr>
          <w:rFonts w:hint="eastAsia" w:ascii="方正小标宋简体" w:hAnsi="宋体" w:eastAsia="方正小标宋简体"/>
          <w:color w:val="000000"/>
          <w:sz w:val="72"/>
          <w:szCs w:val="72"/>
          <w:lang w:eastAsia="zh-CN"/>
        </w:rPr>
        <w:t>编制说明</w:t>
      </w:r>
    </w:p>
    <w:p>
      <w:pPr>
        <w:widowControl/>
        <w:spacing w:line="440" w:lineRule="exact"/>
        <w:jc w:val="left"/>
        <w:rPr>
          <w:rFonts w:ascii="仿宋" w:hAnsi="仿宋" w:eastAsia="仿宋"/>
          <w:bCs/>
          <w:kern w:val="44"/>
          <w:sz w:val="24"/>
        </w:rPr>
      </w:pPr>
      <w:r>
        <w:rPr>
          <w:rFonts w:ascii="方正小标宋简体" w:hAnsi="宋体" w:eastAsia="方正小标宋简体"/>
          <w:color w:val="000000"/>
          <w:sz w:val="36"/>
          <w:szCs w:val="36"/>
        </w:rPr>
        <w:br w:type="page"/>
      </w:r>
      <w:bookmarkStart w:id="12" w:name="_Toc15377196"/>
      <w:bookmarkStart w:id="13" w:name="_Toc15396599"/>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lang w:eastAsia="zh-CN"/>
        </w:rPr>
        <w:t>殡仪馆</w:t>
      </w:r>
      <w:r>
        <w:rPr>
          <w:rStyle w:val="24"/>
          <w:rFonts w:hint="eastAsia" w:ascii="黑体" w:hAnsi="黑体" w:eastAsia="黑体"/>
          <w:b w:val="0"/>
          <w:bCs w:val="0"/>
        </w:rPr>
        <w:t>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ind w:firstLine="627" w:firstLineChars="196"/>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_GB2312" w:hAnsi="仿宋" w:eastAsia="仿宋_GB2312"/>
          <w:bCs/>
          <w:sz w:val="32"/>
          <w:szCs w:val="32"/>
        </w:rPr>
        <w:t>峨眉山市殡仪馆</w:t>
      </w:r>
      <w:r>
        <w:rPr>
          <w:rFonts w:hint="eastAsia" w:ascii="仿宋_GB2312" w:hAnsi="仿宋" w:eastAsia="仿宋_GB2312"/>
          <w:bCs/>
          <w:sz w:val="32"/>
          <w:szCs w:val="32"/>
          <w:lang w:eastAsia="zh-CN"/>
        </w:rPr>
        <w:t>隶属于民政局下属全额拨款事业单位，</w:t>
      </w:r>
      <w:r>
        <w:rPr>
          <w:rFonts w:hint="eastAsia" w:ascii="仿宋_GB2312" w:hAnsi="仿宋" w:eastAsia="仿宋_GB2312"/>
          <w:bCs/>
          <w:sz w:val="32"/>
          <w:szCs w:val="32"/>
        </w:rPr>
        <w:t>原位于桂花桥镇彭桥村，于2018年9月2日搬迁至双福镇净居村，是峨眉山市从事殡葬服务的社会公益性事业单位，</w:t>
      </w:r>
      <w:r>
        <w:rPr>
          <w:rFonts w:hint="eastAsia" w:ascii="仿宋_GB2312" w:hAnsi="仿宋" w:eastAsia="仿宋_GB2312"/>
          <w:bCs/>
          <w:sz w:val="32"/>
          <w:szCs w:val="32"/>
          <w:lang w:eastAsia="zh-CN"/>
        </w:rPr>
        <w:t>负责管理殡葬事宜，推进殡葬改革，提供殡仪服务。在编职工</w:t>
      </w:r>
      <w:r>
        <w:rPr>
          <w:rFonts w:hint="eastAsia" w:ascii="仿宋_GB2312" w:hAnsi="仿宋" w:eastAsia="仿宋_GB2312"/>
          <w:bCs/>
          <w:sz w:val="32"/>
          <w:szCs w:val="32"/>
          <w:lang w:val="en-US" w:eastAsia="zh-CN"/>
        </w:rPr>
        <w:t>14人（其中领导职数2人），会议纪要3人，长聘人员3人。</w:t>
      </w:r>
      <w:r>
        <w:rPr>
          <w:rFonts w:hint="eastAsia" w:ascii="仿宋_GB2312" w:hAnsi="仿宋" w:eastAsia="仿宋_GB2312"/>
          <w:bCs/>
          <w:sz w:val="32"/>
          <w:szCs w:val="32"/>
        </w:rPr>
        <w:t>一直担负着峨眉、夹江、沙湾、峨边、金口河等各地区县的火化和遗体接运任务，火化遗体3</w:t>
      </w:r>
      <w:r>
        <w:rPr>
          <w:rFonts w:hint="eastAsia" w:hAnsi="仿宋"/>
          <w:bCs/>
          <w:sz w:val="32"/>
          <w:szCs w:val="32"/>
          <w:lang w:val="en-US" w:eastAsia="zh-CN"/>
        </w:rPr>
        <w:t>775</w:t>
      </w:r>
      <w:r>
        <w:rPr>
          <w:rFonts w:hint="eastAsia" w:ascii="仿宋_GB2312" w:hAnsi="仿宋" w:eastAsia="仿宋_GB2312"/>
          <w:bCs/>
          <w:sz w:val="32"/>
          <w:szCs w:val="32"/>
        </w:rPr>
        <w:t>具。</w:t>
      </w:r>
      <w:bookmarkEnd w:id="16"/>
      <w:bookmarkEnd w:id="17"/>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18"/>
      <w:bookmarkEnd w:id="19"/>
    </w:p>
    <w:p>
      <w:pPr>
        <w:pStyle w:val="5"/>
        <w:adjustRightInd w:val="0"/>
        <w:snapToGrid w:val="0"/>
        <w:spacing w:before="93" w:line="600" w:lineRule="exact"/>
        <w:ind w:firstLine="672" w:firstLineChars="210"/>
        <w:outlineLvl w:val="2"/>
        <w:rPr>
          <w:rFonts w:hint="default" w:ascii="仿宋" w:hAnsi="仿宋" w:eastAsia="仿宋"/>
          <w:bCs/>
          <w:color w:val="000000"/>
          <w:sz w:val="32"/>
          <w:szCs w:val="32"/>
          <w:lang w:val="en-US" w:eastAsia="zh-CN"/>
        </w:rPr>
      </w:pPr>
      <w:r>
        <w:rPr>
          <w:rFonts w:hint="eastAsia" w:ascii="仿宋_GB2312" w:hAnsi="仿宋" w:eastAsia="仿宋_GB2312"/>
          <w:bCs/>
          <w:sz w:val="32"/>
          <w:szCs w:val="32"/>
        </w:rPr>
        <w:t>按年初收入预算</w:t>
      </w:r>
      <w:r>
        <w:rPr>
          <w:rFonts w:hint="eastAsia" w:hAnsi="仿宋"/>
          <w:bCs/>
          <w:sz w:val="32"/>
          <w:szCs w:val="32"/>
          <w:lang w:val="en-US" w:eastAsia="zh-CN"/>
        </w:rPr>
        <w:t>200</w:t>
      </w:r>
      <w:r>
        <w:rPr>
          <w:rFonts w:hint="eastAsia" w:ascii="仿宋_GB2312" w:hAnsi="仿宋" w:eastAsia="仿宋_GB2312"/>
          <w:bCs/>
          <w:sz w:val="32"/>
          <w:szCs w:val="32"/>
        </w:rPr>
        <w:t>万(</w:t>
      </w:r>
      <w:r>
        <w:rPr>
          <w:rFonts w:hint="eastAsia" w:ascii="仿宋_GB2312" w:hAnsi="仿宋" w:eastAsia="仿宋_GB2312"/>
          <w:bCs/>
          <w:sz w:val="32"/>
          <w:szCs w:val="32"/>
          <w:lang w:eastAsia="zh-CN"/>
        </w:rPr>
        <w:t>实际</w:t>
      </w:r>
      <w:r>
        <w:rPr>
          <w:rFonts w:hint="eastAsia" w:ascii="仿宋_GB2312" w:hAnsi="仿宋" w:eastAsia="仿宋_GB2312"/>
          <w:bCs/>
          <w:sz w:val="32"/>
          <w:szCs w:val="32"/>
        </w:rPr>
        <w:t>上缴财政</w:t>
      </w:r>
      <w:r>
        <w:rPr>
          <w:rFonts w:hint="eastAsia" w:ascii="仿宋_GB2312" w:hAnsi="仿宋" w:eastAsia="仿宋_GB2312"/>
          <w:bCs/>
          <w:sz w:val="32"/>
          <w:szCs w:val="32"/>
          <w:lang w:val="en-US" w:eastAsia="zh-CN"/>
        </w:rPr>
        <w:t>392</w:t>
      </w:r>
      <w:r>
        <w:rPr>
          <w:rFonts w:hint="eastAsia" w:ascii="仿宋_GB2312" w:hAnsi="仿宋" w:eastAsia="仿宋_GB2312"/>
          <w:bCs/>
          <w:sz w:val="32"/>
          <w:szCs w:val="32"/>
        </w:rPr>
        <w:t>万元</w:t>
      </w:r>
      <w:r>
        <w:rPr>
          <w:rFonts w:hint="eastAsia" w:ascii="仿宋_GB2312" w:hAnsi="仿宋" w:eastAsia="仿宋_GB2312"/>
          <w:bCs/>
          <w:sz w:val="32"/>
          <w:szCs w:val="32"/>
          <w:lang w:eastAsia="zh-CN"/>
        </w:rPr>
        <w:t>，其中</w:t>
      </w:r>
      <w:r>
        <w:rPr>
          <w:rFonts w:hint="eastAsia" w:ascii="仿宋_GB2312" w:hAnsi="仿宋" w:eastAsia="仿宋_GB2312"/>
          <w:bCs/>
          <w:sz w:val="32"/>
          <w:szCs w:val="32"/>
          <w:lang w:val="en-US" w:eastAsia="zh-CN"/>
        </w:rPr>
        <w:t>1</w:t>
      </w:r>
      <w:r>
        <w:rPr>
          <w:rFonts w:hint="eastAsia" w:hAnsi="仿宋"/>
          <w:bCs/>
          <w:sz w:val="32"/>
          <w:szCs w:val="32"/>
          <w:lang w:val="en-US" w:eastAsia="zh-CN"/>
        </w:rPr>
        <w:t>0</w:t>
      </w:r>
      <w:r>
        <w:rPr>
          <w:rFonts w:hint="eastAsia" w:ascii="仿宋_GB2312" w:hAnsi="仿宋" w:eastAsia="仿宋_GB2312"/>
          <w:bCs/>
          <w:sz w:val="32"/>
          <w:szCs w:val="32"/>
          <w:lang w:val="en-US" w:eastAsia="zh-CN"/>
        </w:rPr>
        <w:t>0万元为201</w:t>
      </w:r>
      <w:r>
        <w:rPr>
          <w:rFonts w:hint="eastAsia" w:hAnsi="仿宋"/>
          <w:bCs/>
          <w:sz w:val="32"/>
          <w:szCs w:val="32"/>
          <w:lang w:val="en-US" w:eastAsia="zh-CN"/>
        </w:rPr>
        <w:t>8</w:t>
      </w:r>
      <w:r>
        <w:rPr>
          <w:rFonts w:hint="eastAsia" w:ascii="仿宋_GB2312" w:hAnsi="仿宋" w:eastAsia="仿宋_GB2312"/>
          <w:bCs/>
          <w:sz w:val="32"/>
          <w:szCs w:val="32"/>
          <w:lang w:val="en-US" w:eastAsia="zh-CN"/>
        </w:rPr>
        <w:t>年剩余未缴财政收入</w:t>
      </w:r>
      <w:r>
        <w:rPr>
          <w:rFonts w:hint="eastAsia" w:ascii="仿宋_GB2312" w:hAnsi="仿宋" w:eastAsia="仿宋_GB2312"/>
          <w:bCs/>
          <w:sz w:val="32"/>
          <w:szCs w:val="32"/>
        </w:rPr>
        <w:t>)，火化遗体</w:t>
      </w:r>
      <w:r>
        <w:rPr>
          <w:rFonts w:hint="eastAsia" w:hAnsi="仿宋"/>
          <w:bCs/>
          <w:sz w:val="32"/>
          <w:szCs w:val="32"/>
          <w:lang w:val="en-US" w:eastAsia="zh-CN"/>
        </w:rPr>
        <w:t>3775</w:t>
      </w:r>
      <w:r>
        <w:rPr>
          <w:rFonts w:hint="eastAsia" w:ascii="仿宋_GB2312" w:hAnsi="仿宋" w:eastAsia="仿宋_GB2312"/>
          <w:bCs/>
          <w:sz w:val="32"/>
          <w:szCs w:val="32"/>
        </w:rPr>
        <w:t>具</w:t>
      </w:r>
      <w:r>
        <w:rPr>
          <w:rFonts w:hint="eastAsia" w:hAnsi="仿宋"/>
          <w:bCs/>
          <w:sz w:val="32"/>
          <w:szCs w:val="32"/>
          <w:lang w:eastAsia="zh-CN"/>
        </w:rPr>
        <w:t>，接运遗体</w:t>
      </w:r>
      <w:r>
        <w:rPr>
          <w:rFonts w:hint="eastAsia" w:hAnsi="仿宋"/>
          <w:bCs/>
          <w:sz w:val="32"/>
          <w:szCs w:val="32"/>
          <w:lang w:val="en-US" w:eastAsia="zh-CN"/>
        </w:rPr>
        <w:t>650具</w:t>
      </w:r>
      <w:r>
        <w:rPr>
          <w:rFonts w:hint="eastAsia" w:ascii="仿宋_GB2312" w:hAnsi="仿宋" w:eastAsia="仿宋_GB2312"/>
          <w:bCs/>
          <w:sz w:val="32"/>
          <w:szCs w:val="32"/>
        </w:rPr>
        <w:t>。年底决算,财政补助收入</w:t>
      </w:r>
      <w:r>
        <w:rPr>
          <w:rFonts w:hint="eastAsia" w:ascii="仿宋_GB2312" w:hAnsi="仿宋" w:eastAsia="仿宋_GB2312"/>
          <w:bCs/>
          <w:sz w:val="32"/>
          <w:szCs w:val="32"/>
          <w:lang w:val="en-US" w:eastAsia="zh-CN"/>
        </w:rPr>
        <w:t>480</w:t>
      </w:r>
      <w:r>
        <w:rPr>
          <w:rFonts w:hint="eastAsia" w:hAnsi="仿宋"/>
          <w:bCs/>
          <w:sz w:val="32"/>
          <w:szCs w:val="32"/>
          <w:lang w:val="en-US" w:eastAsia="zh-CN"/>
        </w:rPr>
        <w:t>.39</w:t>
      </w:r>
      <w:r>
        <w:rPr>
          <w:rFonts w:hint="eastAsia" w:ascii="仿宋_GB2312" w:hAnsi="仿宋" w:eastAsia="仿宋_GB2312"/>
          <w:bCs/>
          <w:sz w:val="32"/>
          <w:szCs w:val="32"/>
        </w:rPr>
        <w:t>万元（其中</w:t>
      </w:r>
      <w:r>
        <w:rPr>
          <w:rFonts w:hint="eastAsia" w:hAnsi="仿宋"/>
          <w:bCs/>
          <w:sz w:val="32"/>
          <w:szCs w:val="32"/>
          <w:lang w:val="en-US" w:eastAsia="zh-CN"/>
        </w:rPr>
        <w:t>14</w:t>
      </w:r>
      <w:r>
        <w:rPr>
          <w:rFonts w:hint="eastAsia" w:ascii="仿宋_GB2312" w:hAnsi="仿宋" w:eastAsia="仿宋_GB2312"/>
          <w:bCs/>
          <w:sz w:val="32"/>
          <w:szCs w:val="32"/>
        </w:rPr>
        <w:t>万为无名尸</w:t>
      </w:r>
      <w:r>
        <w:rPr>
          <w:rFonts w:hint="eastAsia" w:ascii="仿宋_GB2312" w:hAnsi="仿宋" w:eastAsia="仿宋_GB2312"/>
          <w:bCs/>
          <w:sz w:val="32"/>
          <w:szCs w:val="32"/>
          <w:lang w:eastAsia="zh-CN"/>
        </w:rPr>
        <w:t>特困人员火化费、劳务绩效补偿</w:t>
      </w:r>
      <w:r>
        <w:rPr>
          <w:rFonts w:hint="eastAsia" w:hAnsi="仿宋"/>
          <w:bCs/>
          <w:sz w:val="32"/>
          <w:szCs w:val="32"/>
          <w:lang w:val="en-US" w:eastAsia="zh-CN"/>
        </w:rPr>
        <w:t>94</w:t>
      </w:r>
      <w:r>
        <w:rPr>
          <w:rFonts w:hint="eastAsia" w:ascii="仿宋_GB2312" w:hAnsi="仿宋" w:eastAsia="仿宋_GB2312"/>
          <w:bCs/>
          <w:sz w:val="32"/>
          <w:szCs w:val="32"/>
          <w:lang w:val="en-US" w:eastAsia="zh-CN"/>
        </w:rPr>
        <w:t>万元</w:t>
      </w:r>
      <w:r>
        <w:rPr>
          <w:rFonts w:hint="eastAsia" w:ascii="仿宋_GB2312" w:hAnsi="仿宋" w:eastAsia="仿宋_GB2312"/>
          <w:bCs/>
          <w:sz w:val="32"/>
          <w:szCs w:val="32"/>
        </w:rPr>
        <w:t>）</w:t>
      </w:r>
      <w:r>
        <w:rPr>
          <w:rFonts w:hint="eastAsia" w:ascii="仿宋_GB2312" w:hAnsi="仿宋" w:eastAsia="仿宋_GB2312"/>
          <w:bCs/>
          <w:sz w:val="32"/>
          <w:szCs w:val="32"/>
          <w:lang w:eastAsia="zh-CN"/>
        </w:rPr>
        <w:t>。按会议纪要文件精神，殡葬收费上缴收入全额返还作为基本殡葬运转成本，</w:t>
      </w:r>
      <w:r>
        <w:rPr>
          <w:rFonts w:hint="eastAsia" w:ascii="仿宋_GB2312" w:hAnsi="仿宋" w:eastAsia="仿宋_GB2312"/>
          <w:bCs/>
          <w:sz w:val="32"/>
          <w:szCs w:val="32"/>
        </w:rPr>
        <w:t>财政实拔</w:t>
      </w:r>
      <w:r>
        <w:rPr>
          <w:rFonts w:hint="eastAsia" w:ascii="仿宋_GB2312" w:hAnsi="仿宋" w:eastAsia="仿宋_GB2312"/>
          <w:bCs/>
          <w:sz w:val="32"/>
          <w:szCs w:val="32"/>
          <w:lang w:eastAsia="zh-CN"/>
        </w:rPr>
        <w:t>生产成本</w:t>
      </w:r>
      <w:r>
        <w:rPr>
          <w:rFonts w:hint="eastAsia" w:hAnsi="仿宋"/>
          <w:bCs/>
          <w:sz w:val="32"/>
          <w:szCs w:val="32"/>
          <w:lang w:val="en-US" w:eastAsia="zh-CN"/>
        </w:rPr>
        <w:t>212</w:t>
      </w:r>
      <w:r>
        <w:rPr>
          <w:rFonts w:hint="eastAsia" w:ascii="仿宋_GB2312" w:hAnsi="仿宋" w:eastAsia="仿宋_GB2312"/>
          <w:bCs/>
          <w:sz w:val="32"/>
          <w:szCs w:val="32"/>
        </w:rPr>
        <w:t>万元,以收定支差额</w:t>
      </w:r>
      <w:r>
        <w:rPr>
          <w:rFonts w:hint="eastAsia" w:hAnsi="仿宋"/>
          <w:bCs/>
          <w:sz w:val="32"/>
          <w:szCs w:val="32"/>
          <w:lang w:val="en-US" w:eastAsia="zh-CN"/>
        </w:rPr>
        <w:t>180</w:t>
      </w:r>
      <w:r>
        <w:rPr>
          <w:rFonts w:hint="eastAsia" w:ascii="仿宋_GB2312" w:hAnsi="仿宋" w:eastAsia="仿宋_GB2312"/>
          <w:bCs/>
          <w:sz w:val="32"/>
          <w:szCs w:val="32"/>
        </w:rPr>
        <w:t>万元。</w:t>
      </w: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hint="eastAsia" w:ascii="仿宋" w:hAnsi="仿宋" w:eastAsia="仿宋"/>
          <w:color w:val="000000"/>
          <w:sz w:val="32"/>
          <w:szCs w:val="32"/>
          <w:lang w:eastAsia="zh-CN"/>
        </w:rPr>
      </w:pPr>
      <w:r>
        <w:rPr>
          <w:rFonts w:hint="eastAsia" w:ascii="仿宋" w:hAnsi="仿宋" w:eastAsia="仿宋"/>
          <w:sz w:val="32"/>
          <w:szCs w:val="32"/>
          <w:lang w:eastAsia="zh-CN"/>
        </w:rPr>
        <w:t>殡仪馆为民政局</w:t>
      </w:r>
      <w:r>
        <w:rPr>
          <w:rFonts w:hint="eastAsia" w:ascii="仿宋" w:hAnsi="仿宋" w:eastAsia="仿宋"/>
          <w:sz w:val="32"/>
          <w:szCs w:val="32"/>
        </w:rPr>
        <w:t>下属二级</w:t>
      </w:r>
      <w:r>
        <w:rPr>
          <w:rFonts w:hint="eastAsia" w:ascii="仿宋" w:hAnsi="仿宋" w:eastAsia="仿宋"/>
          <w:sz w:val="32"/>
          <w:szCs w:val="32"/>
          <w:lang w:eastAsia="zh-CN"/>
        </w:rPr>
        <w:t>事业</w:t>
      </w:r>
      <w:r>
        <w:rPr>
          <w:rFonts w:hint="eastAsia" w:ascii="仿宋" w:hAnsi="仿宋" w:eastAsia="仿宋"/>
          <w:sz w:val="32"/>
          <w:szCs w:val="32"/>
        </w:rPr>
        <w:t>单位</w:t>
      </w:r>
      <w:r>
        <w:rPr>
          <w:rFonts w:hint="eastAsia" w:ascii="仿宋" w:hAnsi="仿宋" w:eastAsia="仿宋"/>
          <w:sz w:val="32"/>
          <w:szCs w:val="32"/>
          <w:lang w:eastAsia="zh-CN"/>
        </w:rPr>
        <w:t>，纳入四川省峨眉山市</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年度决算编制范围</w:t>
      </w:r>
      <w:r>
        <w:rPr>
          <w:rFonts w:hint="eastAsia" w:ascii="仿宋" w:hAnsi="仿宋" w:eastAsia="仿宋"/>
          <w:color w:val="000000"/>
          <w:sz w:val="32"/>
          <w:szCs w:val="32"/>
          <w:lang w:eastAsia="zh-CN"/>
        </w:rPr>
        <w:t>。</w:t>
      </w:r>
    </w:p>
    <w:p>
      <w:pPr>
        <w:widowControl/>
        <w:jc w:val="left"/>
        <w:rPr>
          <w:rFonts w:hint="eastAsia" w:ascii="黑体" w:hAnsi="黑体" w:eastAsia="黑体"/>
          <w:b w:val="0"/>
          <w:color w:val="000000"/>
        </w:rPr>
      </w:pPr>
      <w:bookmarkStart w:id="22" w:name="_Toc15377204"/>
      <w:bookmarkStart w:id="23" w:name="_Toc15396602"/>
    </w:p>
    <w:p>
      <w:pPr>
        <w:widowControl/>
        <w:ind w:firstLine="440" w:firstLineChars="100"/>
        <w:jc w:val="left"/>
        <w:rPr>
          <w:rFonts w:hint="eastAsia" w:ascii="黑体" w:hAnsi="黑体" w:eastAsia="黑体"/>
          <w:b w:val="0"/>
          <w:color w:val="000000"/>
          <w:sz w:val="44"/>
          <w:szCs w:val="44"/>
        </w:rPr>
      </w:pPr>
    </w:p>
    <w:p>
      <w:pPr>
        <w:widowControl/>
        <w:ind w:firstLine="440" w:firstLineChars="100"/>
        <w:jc w:val="left"/>
        <w:rPr>
          <w:rStyle w:val="24"/>
          <w:rFonts w:ascii="黑体" w:hAnsi="黑体" w:eastAsia="黑体"/>
          <w:b w:val="0"/>
          <w:bCs w:val="0"/>
        </w:rPr>
      </w:pPr>
      <w:r>
        <w:rPr>
          <w:rFonts w:hint="eastAsia" w:ascii="黑体" w:hAnsi="黑体" w:eastAsia="黑体"/>
          <w:b w:val="0"/>
          <w:color w:val="000000"/>
          <w:sz w:val="44"/>
          <w:szCs w:val="44"/>
        </w:rPr>
        <w:t>第二部分</w:t>
      </w:r>
      <w:r>
        <w:rPr>
          <w:rFonts w:hint="eastAsia" w:ascii="黑体" w:hAnsi="黑体" w:eastAsia="黑体"/>
          <w:color w:val="000000"/>
        </w:rPr>
        <w:t xml:space="preserve"> </w:t>
      </w:r>
      <w:r>
        <w:rPr>
          <w:rStyle w:val="24"/>
          <w:rFonts w:hint="eastAsia" w:ascii="黑体" w:hAnsi="黑体" w:eastAsia="黑体"/>
          <w:b w:val="0"/>
          <w:bCs w:val="0"/>
        </w:rPr>
        <w:t>20</w:t>
      </w:r>
      <w:r>
        <w:rPr>
          <w:rStyle w:val="24"/>
          <w:rFonts w:hint="eastAsia" w:ascii="黑体" w:hAnsi="黑体" w:eastAsia="黑体"/>
          <w:b w:val="0"/>
          <w:bCs w:val="0"/>
          <w:lang w:val="en-US" w:eastAsia="zh-CN"/>
        </w:rPr>
        <w:t>20</w:t>
      </w:r>
      <w:r>
        <w:rPr>
          <w:rStyle w:val="24"/>
          <w:rFonts w:hint="eastAsia" w:ascii="黑体" w:hAnsi="黑体" w:eastAsia="黑体"/>
          <w:b w:val="0"/>
          <w:bCs w:val="0"/>
        </w:rPr>
        <w:t>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napToGrid w:val="0"/>
        <w:spacing w:line="520" w:lineRule="exact"/>
        <w:ind w:firstLine="640" w:firstLineChars="200"/>
        <w:rPr>
          <w:rFonts w:ascii="仿宋_GB2312" w:eastAsia="仿宋_GB2312"/>
          <w:color w:val="000000"/>
          <w:sz w:val="32"/>
          <w:szCs w:val="32"/>
        </w:rPr>
      </w:pPr>
      <w:r>
        <w:rPr>
          <w:rFonts w:hint="eastAsia" w:ascii="仿宋_GB2312" w:hAnsi="仿宋" w:eastAsia="仿宋_GB2312"/>
          <w:sz w:val="32"/>
          <w:szCs w:val="32"/>
          <w:lang w:val="en-US" w:eastAsia="zh-CN"/>
        </w:rPr>
        <w:t>2020年收入480.39万元（其中年初结转1.72万元），支出482.11万元，预算资金安排到位，与2019年相比增减不大，2019年收入480.46万元（其中年初结转0.83万元），支出478.74万元。与2019年相比，2020年收入减少0.07万元，下降0%；支出增加3.37万元，上升1%。</w:t>
      </w: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480.39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480.39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482.11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268.85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55.77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213.26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44.23</w:t>
      </w:r>
      <w:r>
        <w:rPr>
          <w:rFonts w:ascii="仿宋" w:hAnsi="仿宋" w:eastAsia="仿宋"/>
          <w:color w:val="000000"/>
          <w:sz w:val="32"/>
          <w:szCs w:val="32"/>
        </w:rPr>
        <w:t>%</w:t>
      </w:r>
      <w:r>
        <w:rPr>
          <w:rFonts w:hint="eastAsia" w:ascii="仿宋" w:hAnsi="仿宋" w:eastAsia="仿宋"/>
          <w:color w:val="000000"/>
          <w:sz w:val="32"/>
          <w:szCs w:val="32"/>
          <w:lang w:eastAsia="zh-CN"/>
        </w:rPr>
        <w:t>，年终结转</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lang w:eastAsia="zh-CN"/>
        </w:rPr>
        <w:t>。</w:t>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napToGrid w:val="0"/>
        <w:spacing w:line="520" w:lineRule="exact"/>
        <w:ind w:firstLine="640" w:firstLineChars="200"/>
        <w:rPr>
          <w:rFonts w:ascii="仿宋" w:hAnsi="仿宋" w:eastAsia="仿宋"/>
          <w:b/>
          <w:color w:val="00B050"/>
          <w:sz w:val="32"/>
          <w:szCs w:val="32"/>
        </w:rPr>
      </w:pPr>
      <w:r>
        <w:rPr>
          <w:rFonts w:hint="eastAsia" w:ascii="仿宋_GB2312" w:hAnsi="仿宋" w:eastAsia="仿宋_GB2312"/>
          <w:sz w:val="32"/>
          <w:szCs w:val="32"/>
          <w:lang w:val="en-US" w:eastAsia="zh-CN"/>
        </w:rPr>
        <w:t>2020年财政拨款收入480.39万元，支出482.11万元，预算资金安排到位，与2019年相比增减不大，2019年财政拨款收入480.46万元，支出478.74万元。与2019年相比，2020年收入减少0.07万元，基本持平；支出增加3.37万元，上升1%，也基本持平。</w:t>
      </w: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napToGrid w:val="0"/>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480.39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0.07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482.11</w:t>
      </w:r>
      <w:r>
        <w:rPr>
          <w:rFonts w:hint="eastAsia" w:ascii="仿宋" w:hAnsi="仿宋" w:eastAsia="仿宋"/>
          <w:color w:val="000000" w:themeColor="text1"/>
          <w:sz w:val="32"/>
          <w:szCs w:val="32"/>
          <w14:textFill>
            <w14:solidFill>
              <w14:schemeClr w14:val="tx1"/>
            </w14:solidFill>
          </w14:textFill>
        </w:rPr>
        <w:t>元，主要用于以下</w:t>
      </w:r>
      <w:r>
        <w:rPr>
          <w:rFonts w:hint="eastAsia" w:ascii="仿宋" w:hAnsi="仿宋" w:eastAsia="仿宋"/>
          <w:color w:val="000000" w:themeColor="text1"/>
          <w:sz w:val="32"/>
          <w:szCs w:val="32"/>
          <w:lang w:eastAsia="zh-CN"/>
          <w14:textFill>
            <w14:solidFill>
              <w14:schemeClr w14:val="tx1"/>
            </w14:solidFill>
          </w14:textFill>
        </w:rPr>
        <w:t>三个</w:t>
      </w:r>
      <w:r>
        <w:rPr>
          <w:rFonts w:hint="eastAsia" w:ascii="仿宋" w:hAnsi="仿宋" w:eastAsia="仿宋"/>
          <w:color w:val="000000" w:themeColor="text1"/>
          <w:sz w:val="32"/>
          <w:szCs w:val="32"/>
          <w14:textFill>
            <w14:solidFill>
              <w14:schemeClr w14:val="tx1"/>
            </w14:solidFill>
          </w14:textFill>
        </w:rPr>
        <w:t>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459.58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95.33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5.33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17.2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3.57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b/>
          <w:color w:val="00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482.11万元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支出情况</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lang w:val="en-US" w:eastAsia="zh-CN"/>
          <w14:textFill>
            <w14:solidFill>
              <w14:schemeClr w14:val="tx1"/>
            </w14:solidFill>
          </w14:textFill>
        </w:rPr>
        <w:t>459.58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1</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2080505机关事业单位基本养老保险缴费支出决算为13.56万元，完成预算100%。</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（2）2080506机关事业单位职业年金缴费支出决算数为6.78万元，完成预算100%。</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（3）2080899其他优抚支出决算数为0.70万元，完成预算100%。</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（4）2081004殡葬支出决算数为436.82万元，完成预算100%。</w:t>
      </w:r>
    </w:p>
    <w:p>
      <w:p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bCs w:val="0"/>
          <w:color w:val="000000"/>
          <w:sz w:val="32"/>
          <w:szCs w:val="32"/>
          <w:lang w:val="en-US" w:eastAsia="zh-CN"/>
        </w:rPr>
        <w:t>2、卫生健康支出情况</w:t>
      </w:r>
      <w:r>
        <w:rPr>
          <w:rStyle w:val="14"/>
          <w:rFonts w:hint="eastAsia" w:ascii="仿宋" w:hAnsi="仿宋" w:eastAsia="仿宋"/>
          <w:b w:val="0"/>
          <w:bCs/>
          <w:color w:val="000000"/>
          <w:sz w:val="32"/>
          <w:szCs w:val="32"/>
          <w:lang w:val="en-US" w:eastAsia="zh-CN"/>
        </w:rPr>
        <w:t>：2101102事业单位医疗支出决算数为5.33万元，完成预算100%。</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
          <w:bCs w:val="0"/>
          <w:color w:val="000000"/>
          <w:sz w:val="32"/>
          <w:szCs w:val="32"/>
          <w:lang w:val="en-US" w:eastAsia="zh-CN"/>
        </w:rPr>
        <w:t>3、住房保障支出情况</w:t>
      </w:r>
      <w:r>
        <w:rPr>
          <w:rStyle w:val="14"/>
          <w:rFonts w:hint="eastAsia" w:ascii="仿宋" w:hAnsi="仿宋" w:eastAsia="仿宋"/>
          <w:b w:val="0"/>
          <w:bCs/>
          <w:color w:val="000000"/>
          <w:sz w:val="32"/>
          <w:szCs w:val="32"/>
          <w:lang w:val="en-US" w:eastAsia="zh-CN"/>
        </w:rPr>
        <w:t>：2210201住房公积金支出决算数为17.2万元，完成预算100%。</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268.85</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254.57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万元，主要包括：基本工资、津贴补贴、奖金、伙食补助费、绩效工资、机关事业单位基本养老保险缴费、职业年金缴费、其他社会保障缴费、其他工资福利支出、退休</w:t>
      </w:r>
      <w:r>
        <w:rPr>
          <w:rFonts w:hint="eastAsia" w:ascii="仿宋" w:hAnsi="仿宋" w:eastAsia="仿宋"/>
          <w:color w:val="000000"/>
          <w:sz w:val="32"/>
          <w:szCs w:val="32"/>
          <w:lang w:eastAsia="zh-CN"/>
        </w:rPr>
        <w:t>生活补助</w:t>
      </w:r>
      <w:r>
        <w:rPr>
          <w:rFonts w:hint="eastAsia" w:ascii="仿宋" w:hAnsi="仿宋" w:eastAsia="仿宋"/>
          <w:color w:val="000000"/>
          <w:sz w:val="32"/>
          <w:szCs w:val="32"/>
        </w:rPr>
        <w:t>费、医疗费补助、奖励金、住房公积金、其他对个人和家庭的补助支出等。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14.28</w:t>
      </w:r>
      <w:r>
        <w:rPr>
          <w:rFonts w:hint="eastAsia" w:ascii="仿宋" w:hAnsi="仿宋" w:eastAsia="仿宋"/>
          <w:color w:val="000000"/>
          <w:sz w:val="32"/>
          <w:szCs w:val="32"/>
        </w:rPr>
        <w:t>万元，主要包括：办公费、水费、电费、差旅费、培训费、公务接待费、工会经费、福利费、等。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26.28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年“三公”经费财政拨款支出决算中，公务用车购置及运行维护费支出决算</w:t>
      </w:r>
      <w:r>
        <w:rPr>
          <w:rFonts w:hint="eastAsia" w:ascii="仿宋" w:hAnsi="仿宋" w:eastAsia="仿宋"/>
          <w:color w:val="000000"/>
          <w:sz w:val="32"/>
          <w:szCs w:val="32"/>
          <w:lang w:val="en-US" w:eastAsia="zh-CN"/>
        </w:rPr>
        <w:t>25.33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96.39</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3.61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hint="default"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25.33</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2.63</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2020年火化炉烟道受灾进水维修，接运遗体少。</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辆、 </w:t>
      </w:r>
      <w:r>
        <w:rPr>
          <w:rFonts w:hint="eastAsia" w:ascii="仿宋_GB2312" w:eastAsia="仿宋_GB2312"/>
          <w:color w:val="000000"/>
          <w:sz w:val="32"/>
          <w:szCs w:val="32"/>
          <w:lang w:eastAsia="zh-CN"/>
        </w:rPr>
        <w:t>殡葬特种</w:t>
      </w:r>
      <w:r>
        <w:rPr>
          <w:rFonts w:hint="eastAsia" w:ascii="仿宋_GB2312" w:eastAsia="仿宋_GB2312"/>
          <w:color w:val="000000"/>
          <w:sz w:val="32"/>
          <w:szCs w:val="32"/>
        </w:rPr>
        <w:t>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25.33万元，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殡葬车接运遗体、接送丧属</w:t>
      </w:r>
      <w:r>
        <w:rPr>
          <w:rFonts w:hint="eastAsia" w:ascii="仿宋_GB2312" w:eastAsia="仿宋_GB2312"/>
          <w:color w:val="000000"/>
          <w:sz w:val="32"/>
          <w:szCs w:val="32"/>
        </w:rPr>
        <w:t>等所需的公务用车燃料费、维修费、过路过桥费、保险费等支出。</w:t>
      </w:r>
    </w:p>
    <w:p>
      <w:pPr>
        <w:numPr>
          <w:ilvl w:val="0"/>
          <w:numId w:val="2"/>
        </w:numPr>
        <w:spacing w:line="600" w:lineRule="exact"/>
        <w:ind w:firstLine="640"/>
        <w:rPr>
          <w:rFonts w:ascii="黑体" w:eastAsia="黑体"/>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0.95</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0.47</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单位搬迁后，其他同行参观学习多。</w:t>
      </w:r>
      <w:bookmarkStart w:id="46" w:name="_Toc15377218"/>
      <w:bookmarkStart w:id="47" w:name="_Toc15396610"/>
    </w:p>
    <w:bookmarkEnd w:id="46"/>
    <w:bookmarkEnd w:id="47"/>
    <w:p>
      <w:pPr>
        <w:spacing w:line="600" w:lineRule="exact"/>
        <w:ind w:firstLine="803" w:firstLineChars="250"/>
        <w:outlineLvl w:val="1"/>
        <w:rPr>
          <w:rFonts w:ascii="仿宋" w:hAnsi="仿宋" w:eastAsia="仿宋"/>
          <w:b/>
          <w:color w:val="FF0000"/>
          <w:sz w:val="32"/>
          <w:szCs w:val="32"/>
        </w:rPr>
      </w:pPr>
      <w:bookmarkStart w:id="48" w:name="_Toc15377221"/>
      <w:bookmarkStart w:id="49" w:name="_Toc15396612"/>
      <w:r>
        <w:rPr>
          <w:rStyle w:val="25"/>
          <w:rFonts w:hint="eastAsia" w:ascii="黑体" w:hAnsi="黑体" w:eastAsia="黑体"/>
          <w:lang w:eastAsia="zh-CN"/>
        </w:rPr>
        <w:t>八</w:t>
      </w:r>
      <w:r>
        <w:rPr>
          <w:rStyle w:val="25"/>
          <w:rFonts w:hint="eastAsia" w:ascii="黑体" w:hAnsi="黑体" w:eastAsia="黑体"/>
        </w:rPr>
        <w:t>、</w:t>
      </w:r>
      <w:r>
        <w:rPr>
          <w:rStyle w:val="25"/>
          <w:rFonts w:hint="eastAsia" w:ascii="黑体" w:hAnsi="黑体" w:eastAsia="黑体"/>
          <w:b w:val="0"/>
        </w:rPr>
        <w:t>其他重要事项的情况说明</w:t>
      </w:r>
      <w:bookmarkEnd w:id="48"/>
      <w:bookmarkEnd w:id="49"/>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3"/>
      <w:r>
        <w:rPr>
          <w:rFonts w:hint="eastAsia" w:ascii="仿宋" w:hAnsi="仿宋" w:eastAsia="仿宋"/>
          <w:b/>
          <w:color w:val="000000"/>
          <w:sz w:val="32"/>
          <w:szCs w:val="32"/>
        </w:rPr>
        <w:t>（</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）政府采购支出情况</w:t>
      </w:r>
      <w:bookmarkEnd w:id="5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峨眉山市</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42.70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21.63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，主要用于印制火化证和购买卫生袋纸板所用</w:t>
      </w:r>
      <w:r>
        <w:rPr>
          <w:rFonts w:hint="eastAsia" w:ascii="仿宋_GB2312" w:eastAsia="仿宋_GB2312"/>
          <w:color w:val="000000"/>
          <w:sz w:val="32"/>
          <w:szCs w:val="32"/>
        </w:rPr>
        <w:t>、政府采购服务支出</w:t>
      </w:r>
      <w:r>
        <w:rPr>
          <w:rFonts w:hint="eastAsia" w:ascii="仿宋_GB2312" w:eastAsia="仿宋_GB2312"/>
          <w:color w:val="000000"/>
          <w:sz w:val="32"/>
          <w:szCs w:val="32"/>
          <w:lang w:val="en-US" w:eastAsia="zh-CN"/>
        </w:rPr>
        <w:t>21.07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殡葬车维修费和火化炉维修所用</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21.63</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50.66%</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21.07</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49.34</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4"/>
      <w:r>
        <w:rPr>
          <w:rFonts w:hint="eastAsia" w:ascii="仿宋" w:hAnsi="仿宋" w:eastAsia="仿宋"/>
          <w:b/>
          <w:color w:val="000000"/>
          <w:sz w:val="32"/>
          <w:szCs w:val="32"/>
        </w:rPr>
        <w:t>（</w:t>
      </w:r>
      <w:r>
        <w:rPr>
          <w:rFonts w:hint="eastAsia" w:ascii="仿宋" w:hAnsi="仿宋" w:eastAsia="仿宋"/>
          <w:b/>
          <w:color w:val="000000"/>
          <w:sz w:val="32"/>
          <w:szCs w:val="32"/>
          <w:lang w:eastAsia="zh-CN"/>
        </w:rPr>
        <w:t>二</w:t>
      </w:r>
      <w:r>
        <w:rPr>
          <w:rFonts w:hint="eastAsia" w:ascii="仿宋" w:hAnsi="仿宋" w:eastAsia="仿宋"/>
          <w:b/>
          <w:color w:val="000000"/>
          <w:sz w:val="32"/>
          <w:szCs w:val="32"/>
        </w:rPr>
        <w:t>）国有资产占有使用情况</w:t>
      </w:r>
      <w:bookmarkEnd w:id="51"/>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殡仪馆</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辆，其中：主应急保障用车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eastAsia="仿宋_GB2312"/>
          <w:color w:val="000000" w:themeColor="text1"/>
          <w:sz w:val="32"/>
          <w:szCs w:val="32"/>
          <w:lang w:eastAsia="zh-CN"/>
          <w14:textFill>
            <w14:solidFill>
              <w14:schemeClr w14:val="tx1"/>
            </w14:solidFill>
          </w14:textFill>
        </w:rPr>
        <w:t>遗体接运和接送丧属。</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w:t>
      </w:r>
      <w:r>
        <w:rPr>
          <w:rFonts w:hint="eastAsia" w:ascii="仿宋" w:hAnsi="仿宋" w:eastAsia="仿宋"/>
          <w:b/>
          <w:color w:val="000000"/>
          <w:sz w:val="32"/>
          <w:szCs w:val="32"/>
          <w:lang w:eastAsia="zh-CN"/>
        </w:rPr>
        <w:t>三</w:t>
      </w:r>
      <w:r>
        <w:rPr>
          <w:rFonts w:hint="eastAsia" w:ascii="仿宋" w:hAnsi="仿宋" w:eastAsia="仿宋"/>
          <w:b/>
          <w:color w:val="000000"/>
          <w:sz w:val="32"/>
          <w:szCs w:val="32"/>
        </w:rPr>
        <w:t>）预算绩效管理情况。</w:t>
      </w:r>
    </w:p>
    <w:p>
      <w:pPr>
        <w:spacing w:line="600" w:lineRule="atLeast"/>
        <w:ind w:firstLine="640" w:firstLineChars="200"/>
        <w:rPr>
          <w:rFonts w:hint="eastAsia" w:ascii="楷体_GB2312" w:hAnsi="楷体_GB2312" w:eastAsia="楷体_GB2312" w:cs="楷体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600" w:lineRule="atLeast"/>
        <w:ind w:firstLine="640" w:firstLineChars="200"/>
        <w:rPr>
          <w:rFonts w:hint="eastAsia" w:ascii="仿宋_GB2312" w:eastAsia="仿宋_GB2312"/>
          <w:color w:val="000000"/>
          <w:sz w:val="32"/>
          <w:szCs w:val="32"/>
        </w:rPr>
      </w:pPr>
      <w:r>
        <w:rPr>
          <w:rFonts w:hint="eastAsia" w:ascii="仿宋_GB2312" w:hAnsi="仿宋_GB2312" w:eastAsia="仿宋_GB2312" w:cs="仿宋_GB2312"/>
          <w:sz w:val="32"/>
          <w:szCs w:val="32"/>
        </w:rPr>
        <w:t>根据预算绩效管理要求，</w:t>
      </w:r>
      <w:r>
        <w:rPr>
          <w:rFonts w:hint="eastAsia" w:ascii="仿宋_GB2312" w:eastAsia="仿宋_GB2312"/>
          <w:sz w:val="32"/>
          <w:szCs w:val="32"/>
        </w:rPr>
        <w:t>本</w:t>
      </w:r>
      <w:r>
        <w:rPr>
          <w:rFonts w:hint="eastAsia" w:ascii="仿宋_GB2312" w:eastAsia="仿宋_GB2312"/>
          <w:sz w:val="32"/>
          <w:szCs w:val="32"/>
          <w:lang w:eastAsia="zh-CN"/>
        </w:rPr>
        <w:t>单位</w:t>
      </w:r>
      <w:r>
        <w:rPr>
          <w:rFonts w:hint="eastAsia" w:ascii="仿宋_GB2312" w:eastAsia="仿宋_GB2312"/>
          <w:sz w:val="32"/>
          <w:szCs w:val="32"/>
        </w:rPr>
        <w:t>对20</w:t>
      </w:r>
      <w:r>
        <w:rPr>
          <w:rFonts w:hint="eastAsia" w:ascii="仿宋_GB2312" w:eastAsia="仿宋_GB2312"/>
          <w:sz w:val="32"/>
          <w:szCs w:val="32"/>
          <w:lang w:val="en-US" w:eastAsia="zh-CN"/>
        </w:rPr>
        <w:t>20</w:t>
      </w:r>
      <w:r>
        <w:rPr>
          <w:rFonts w:hint="eastAsia" w:ascii="仿宋_GB2312" w:eastAsia="仿宋_GB2312"/>
          <w:sz w:val="32"/>
          <w:szCs w:val="32"/>
        </w:rPr>
        <w:t>年一般公共预算项目支出开展了绩效目标管理，共编制绩效目标</w:t>
      </w:r>
      <w:r>
        <w:rPr>
          <w:rFonts w:hint="eastAsia" w:ascii="仿宋_GB2312" w:eastAsia="仿宋_GB2312"/>
          <w:sz w:val="32"/>
          <w:szCs w:val="32"/>
          <w:lang w:val="en-US" w:eastAsia="zh-CN"/>
        </w:rPr>
        <w:t>3</w:t>
      </w:r>
      <w:r>
        <w:rPr>
          <w:rFonts w:hint="eastAsia" w:ascii="仿宋_GB2312" w:eastAsia="仿宋_GB2312"/>
          <w:sz w:val="32"/>
          <w:szCs w:val="32"/>
        </w:rPr>
        <w:t>个。20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color w:val="000000"/>
          <w:sz w:val="32"/>
          <w:szCs w:val="32"/>
        </w:rPr>
        <w:t>开展了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个项目的绩效自评，具体如下：</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rPr>
        <w:t>1</w:t>
      </w:r>
      <w:r>
        <w:rPr>
          <w:rFonts w:hint="eastAsia" w:ascii="仿宋_GB2312" w:eastAsia="仿宋_GB2312"/>
          <w:color w:val="000000"/>
          <w:sz w:val="32"/>
          <w:szCs w:val="32"/>
          <w:lang w:eastAsia="zh-CN"/>
        </w:rPr>
        <w:t>）生产性成本</w:t>
      </w:r>
      <w:r>
        <w:rPr>
          <w:rFonts w:hint="eastAsia" w:ascii="仿宋_GB2312" w:hAnsi="仿宋" w:eastAsia="仿宋_GB2312"/>
          <w:sz w:val="32"/>
          <w:szCs w:val="32"/>
          <w:lang w:val="en-US" w:eastAsia="zh-CN"/>
        </w:rPr>
        <w:t>本年初预算180万元，实际申请经费105万元，因火化炉维修未产生生产性成本</w:t>
      </w:r>
      <w:r>
        <w:rPr>
          <w:rFonts w:hint="eastAsia" w:ascii="仿宋_GB2312" w:eastAsia="仿宋_GB2312"/>
          <w:color w:val="000000"/>
          <w:sz w:val="32"/>
          <w:szCs w:val="32"/>
          <w:lang w:eastAsia="zh-CN"/>
        </w:rPr>
        <w:t>，自评得分</w:t>
      </w:r>
      <w:r>
        <w:rPr>
          <w:rFonts w:hint="eastAsia" w:ascii="仿宋_GB2312" w:eastAsia="仿宋_GB2312"/>
          <w:color w:val="000000"/>
          <w:sz w:val="32"/>
          <w:szCs w:val="32"/>
          <w:lang w:val="en-US" w:eastAsia="zh-CN"/>
        </w:rPr>
        <w:t>98分。</w:t>
      </w:r>
    </w:p>
    <w:p>
      <w:pPr>
        <w:spacing w:line="58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w:t>
      </w:r>
      <w:r>
        <w:rPr>
          <w:rFonts w:hint="eastAsia" w:ascii="仿宋_GB2312" w:hAnsi="仿宋" w:eastAsia="仿宋_GB2312"/>
          <w:sz w:val="32"/>
          <w:szCs w:val="32"/>
          <w:lang w:val="en-US" w:eastAsia="zh-CN"/>
        </w:rPr>
        <w:t>无名尸年初预算20万元，实际产生经费14万元</w:t>
      </w:r>
      <w:r>
        <w:rPr>
          <w:rFonts w:hint="eastAsia" w:ascii="仿宋_GB2312" w:eastAsia="仿宋_GB2312"/>
          <w:color w:val="000000"/>
          <w:sz w:val="32"/>
          <w:szCs w:val="32"/>
          <w:lang w:val="en-US" w:eastAsia="zh-CN"/>
        </w:rPr>
        <w:t>，自评得分100分，配合政府完成各类特殊遗体火化和处置工作。</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hAnsi="仿宋" w:eastAsia="仿宋_GB2312"/>
          <w:sz w:val="32"/>
          <w:szCs w:val="32"/>
          <w:lang w:eastAsia="zh-CN"/>
        </w:rPr>
        <w:t>劳务绩效补偿是企业支付殡仪馆参与延伸服务给予绩效提成，年初预算</w:t>
      </w:r>
      <w:r>
        <w:rPr>
          <w:rFonts w:hint="eastAsia" w:ascii="仿宋_GB2312" w:hAnsi="仿宋" w:eastAsia="仿宋_GB2312"/>
          <w:sz w:val="32"/>
          <w:szCs w:val="32"/>
          <w:lang w:val="en-US" w:eastAsia="zh-CN"/>
        </w:rPr>
        <w:t>100万元，实际发生劳务绩效补偿94万元</w:t>
      </w:r>
      <w:r>
        <w:rPr>
          <w:rFonts w:hint="eastAsia" w:ascii="仿宋_GB2312" w:eastAsia="仿宋_GB2312"/>
          <w:color w:val="000000"/>
          <w:sz w:val="32"/>
          <w:szCs w:val="32"/>
        </w:rPr>
        <w:t>，自评得分</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分。</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36"/>
                <w:szCs w:val="36"/>
              </w:rPr>
            </w:pPr>
            <w:r>
              <w:rPr>
                <w:rFonts w:hint="eastAsia" w:ascii="仿宋" w:hAnsi="仿宋" w:eastAsia="仿宋" w:cs="仿宋"/>
                <w:b/>
                <w:bCs/>
                <w:color w:val="000000"/>
                <w:kern w:val="0"/>
                <w:sz w:val="36"/>
                <w:szCs w:val="36"/>
                <w:lang w:bidi="ar"/>
              </w:rPr>
              <w:t>项目绩效目标完成情况表</w:t>
            </w:r>
            <w:r>
              <w:rPr>
                <w:rFonts w:hint="eastAsia" w:ascii="仿宋" w:hAnsi="仿宋" w:eastAsia="仿宋" w:cs="仿宋"/>
                <w:b/>
                <w:bCs/>
                <w:color w:val="000000"/>
                <w:kern w:val="0"/>
                <w:sz w:val="36"/>
                <w:szCs w:val="36"/>
                <w:lang w:bidi="ar"/>
              </w:rPr>
              <w:br w:type="textWrapping"/>
            </w:r>
            <w:r>
              <w:rPr>
                <w:rFonts w:hint="eastAsia" w:ascii="仿宋" w:hAnsi="仿宋" w:eastAsia="仿宋" w:cs="仿宋"/>
                <w:color w:val="000000"/>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生产性成本</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峨眉山市殡仪馆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105万元</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接运遗体</w:t>
            </w:r>
            <w:r>
              <w:rPr>
                <w:rFonts w:hint="eastAsia" w:ascii="仿宋" w:hAnsi="仿宋" w:eastAsia="仿宋" w:cs="仿宋"/>
                <w:color w:val="000000"/>
                <w:sz w:val="24"/>
                <w:lang w:val="en-US" w:eastAsia="zh-CN"/>
              </w:rPr>
              <w:t>650具，火化遗体3100具</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完成接运遗体</w:t>
            </w:r>
            <w:r>
              <w:rPr>
                <w:rFonts w:hint="eastAsia" w:ascii="仿宋" w:hAnsi="仿宋" w:eastAsia="仿宋" w:cs="仿宋"/>
                <w:color w:val="000000"/>
                <w:sz w:val="24"/>
                <w:lang w:val="en-US" w:eastAsia="zh-CN"/>
              </w:rPr>
              <w:t>650具，火化遗体3775具</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接运遗体、火化遗体</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接运遗体</w:t>
            </w:r>
            <w:r>
              <w:rPr>
                <w:rFonts w:hint="eastAsia" w:ascii="仿宋" w:hAnsi="仿宋" w:eastAsia="仿宋" w:cs="仿宋"/>
                <w:color w:val="000000"/>
                <w:sz w:val="24"/>
                <w:lang w:val="en-US" w:eastAsia="zh-CN"/>
              </w:rPr>
              <w:t>650具，火化3100具</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接运遗体</w:t>
            </w:r>
            <w:r>
              <w:rPr>
                <w:rFonts w:hint="eastAsia" w:ascii="仿宋" w:hAnsi="仿宋" w:eastAsia="仿宋" w:cs="仿宋"/>
                <w:color w:val="000000"/>
                <w:sz w:val="24"/>
                <w:lang w:val="en-US" w:eastAsia="zh-CN"/>
              </w:rPr>
              <w:t>650具，火化3775具</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完成接运和火化遗体</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完成接运遗体</w:t>
            </w:r>
            <w:r>
              <w:rPr>
                <w:rFonts w:hint="eastAsia" w:ascii="仿宋" w:hAnsi="仿宋" w:eastAsia="仿宋" w:cs="仿宋"/>
                <w:color w:val="000000"/>
                <w:sz w:val="24"/>
                <w:lang w:val="en-US" w:eastAsia="zh-CN"/>
              </w:rPr>
              <w:t>650具火化遗体3100具</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完成接运遗体</w:t>
            </w:r>
            <w:r>
              <w:rPr>
                <w:rFonts w:hint="eastAsia" w:ascii="仿宋" w:hAnsi="仿宋" w:eastAsia="仿宋" w:cs="仿宋"/>
                <w:color w:val="000000"/>
                <w:sz w:val="24"/>
                <w:lang w:val="en-US" w:eastAsia="zh-CN"/>
              </w:rPr>
              <w:t>650具火化遗体3775具</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一年内</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按物价核定标准</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油耗考核</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严格考核</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惠民殡葬，公益事业</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有效保障</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群众满意度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得到社会和群众满意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36"/>
                <w:szCs w:val="36"/>
              </w:rPr>
            </w:pPr>
            <w:r>
              <w:rPr>
                <w:rFonts w:hint="eastAsia" w:ascii="仿宋" w:hAnsi="仿宋" w:eastAsia="仿宋" w:cs="仿宋"/>
                <w:b/>
                <w:bCs/>
                <w:color w:val="000000"/>
                <w:kern w:val="0"/>
                <w:sz w:val="36"/>
                <w:szCs w:val="36"/>
                <w:lang w:bidi="ar"/>
              </w:rPr>
              <w:t>项目绩效目标完成情况表</w:t>
            </w:r>
            <w:r>
              <w:rPr>
                <w:rFonts w:hint="eastAsia" w:ascii="仿宋" w:hAnsi="仿宋" w:eastAsia="仿宋" w:cs="仿宋"/>
                <w:b/>
                <w:bCs/>
                <w:color w:val="000000"/>
                <w:kern w:val="0"/>
                <w:sz w:val="36"/>
                <w:szCs w:val="36"/>
                <w:lang w:bidi="ar"/>
              </w:rPr>
              <w:br w:type="textWrapping"/>
            </w:r>
            <w:r>
              <w:rPr>
                <w:rFonts w:hint="eastAsia" w:ascii="仿宋" w:hAnsi="仿宋" w:eastAsia="仿宋" w:cs="仿宋"/>
                <w:color w:val="000000"/>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无名尸、特困人员火化经费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峨眉山市殡仪馆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14万元</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配合政府完成火化无名尸、特困人员</w:t>
            </w:r>
            <w:r>
              <w:rPr>
                <w:rFonts w:hint="eastAsia" w:ascii="仿宋" w:hAnsi="仿宋" w:eastAsia="仿宋" w:cs="仿宋"/>
                <w:color w:val="000000"/>
                <w:sz w:val="24"/>
                <w:lang w:val="en-US" w:eastAsia="zh-CN"/>
              </w:rPr>
              <w:t>30具，经费20万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完成火化</w:t>
            </w:r>
            <w:r>
              <w:rPr>
                <w:rFonts w:hint="eastAsia" w:ascii="仿宋" w:hAnsi="仿宋" w:eastAsia="仿宋" w:cs="仿宋"/>
                <w:color w:val="000000"/>
                <w:sz w:val="24"/>
                <w:lang w:val="en-US" w:eastAsia="zh-CN"/>
              </w:rPr>
              <w:t>30具，实际挂账经费14万元</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火化特困、无名遗体</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火化</w:t>
            </w:r>
            <w:r>
              <w:rPr>
                <w:rFonts w:hint="eastAsia" w:ascii="仿宋" w:hAnsi="仿宋" w:eastAsia="仿宋" w:cs="仿宋"/>
                <w:color w:val="000000"/>
                <w:sz w:val="24"/>
                <w:lang w:val="en-US" w:eastAsia="zh-CN"/>
              </w:rPr>
              <w:t>30具，挂账费用20万元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火化</w:t>
            </w:r>
            <w:r>
              <w:rPr>
                <w:rFonts w:hint="eastAsia" w:ascii="仿宋" w:hAnsi="仿宋" w:eastAsia="仿宋" w:cs="仿宋"/>
                <w:color w:val="000000"/>
                <w:sz w:val="24"/>
                <w:lang w:val="en-US" w:eastAsia="zh-CN"/>
              </w:rPr>
              <w:t>30具，挂账费用14万元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完成接运和火化遗体</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完成接运遗体</w:t>
            </w:r>
            <w:r>
              <w:rPr>
                <w:rFonts w:hint="eastAsia" w:ascii="仿宋" w:hAnsi="仿宋" w:eastAsia="仿宋" w:cs="仿宋"/>
                <w:color w:val="000000"/>
                <w:sz w:val="24"/>
                <w:lang w:val="en-US" w:eastAsia="zh-CN"/>
              </w:rPr>
              <w:t>650具火化遗体3100具</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完成接运遗体</w:t>
            </w:r>
            <w:r>
              <w:rPr>
                <w:rFonts w:hint="eastAsia" w:ascii="仿宋" w:hAnsi="仿宋" w:eastAsia="仿宋" w:cs="仿宋"/>
                <w:color w:val="000000"/>
                <w:sz w:val="24"/>
                <w:lang w:val="en-US" w:eastAsia="zh-CN"/>
              </w:rPr>
              <w:t>650具火化遗体3775具</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一年内</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按物价核定标准</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惠民殡葬</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惠民殡葬</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惠民殡葬，公益事业</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有效保障</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群众满意度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得到社会和群众满意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36"/>
                <w:szCs w:val="36"/>
              </w:rPr>
            </w:pPr>
            <w:r>
              <w:rPr>
                <w:rFonts w:hint="eastAsia" w:ascii="仿宋" w:hAnsi="仿宋" w:eastAsia="仿宋" w:cs="仿宋"/>
                <w:b/>
                <w:bCs/>
                <w:color w:val="000000"/>
                <w:kern w:val="0"/>
                <w:sz w:val="36"/>
                <w:szCs w:val="36"/>
                <w:lang w:bidi="ar"/>
              </w:rPr>
              <w:t>项目绩效目标完成情况表</w:t>
            </w:r>
            <w:r>
              <w:rPr>
                <w:rFonts w:hint="eastAsia" w:ascii="仿宋" w:hAnsi="仿宋" w:eastAsia="仿宋" w:cs="仿宋"/>
                <w:b/>
                <w:bCs/>
                <w:color w:val="000000"/>
                <w:kern w:val="0"/>
                <w:sz w:val="36"/>
                <w:szCs w:val="36"/>
                <w:lang w:bidi="ar"/>
              </w:rPr>
              <w:br w:type="textWrapping"/>
            </w:r>
            <w:r>
              <w:rPr>
                <w:rFonts w:hint="eastAsia" w:ascii="仿宋" w:hAnsi="仿宋" w:eastAsia="仿宋" w:cs="仿宋"/>
                <w:color w:val="000000"/>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劳务绩效补偿</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峨眉山市殡仪馆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94万元</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配合企业做好延伸服务，领取</w:t>
            </w:r>
            <w:r>
              <w:rPr>
                <w:rFonts w:hint="eastAsia" w:ascii="仿宋" w:hAnsi="仿宋" w:eastAsia="仿宋" w:cs="仿宋"/>
                <w:color w:val="000000"/>
                <w:sz w:val="24"/>
                <w:lang w:val="en-US" w:eastAsia="zh-CN"/>
              </w:rPr>
              <w:t>2.5倍绩效</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配合企业做好延伸服务，领取</w:t>
            </w:r>
            <w:r>
              <w:rPr>
                <w:rFonts w:hint="eastAsia" w:ascii="仿宋" w:hAnsi="仿宋" w:eastAsia="仿宋" w:cs="仿宋"/>
                <w:color w:val="000000"/>
                <w:sz w:val="24"/>
                <w:lang w:val="en-US" w:eastAsia="zh-CN"/>
              </w:rPr>
              <w:t>2.5倍绩效</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职工参与，领取</w:t>
            </w:r>
            <w:r>
              <w:rPr>
                <w:rFonts w:hint="eastAsia" w:ascii="仿宋" w:hAnsi="仿宋" w:eastAsia="仿宋" w:cs="仿宋"/>
                <w:color w:val="000000"/>
                <w:sz w:val="24"/>
                <w:lang w:val="en-US" w:eastAsia="zh-CN"/>
              </w:rPr>
              <w:t>2.5倍绩效</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实际产生</w:t>
            </w:r>
            <w:r>
              <w:rPr>
                <w:rFonts w:hint="eastAsia" w:ascii="仿宋" w:hAnsi="仿宋" w:eastAsia="仿宋" w:cs="仿宋"/>
                <w:color w:val="000000"/>
                <w:sz w:val="24"/>
                <w:lang w:val="en-US" w:eastAsia="zh-CN"/>
              </w:rPr>
              <w:t>94万元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认真配合企业，参与延伸</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配合好完成延伸服务</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配合好完成延伸服务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一年内</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按期完成目标任务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上缴基本收入扣除生产运转成本后结余和企业计提</w:t>
            </w:r>
            <w:r>
              <w:rPr>
                <w:rFonts w:hint="eastAsia" w:ascii="仿宋" w:hAnsi="仿宋" w:eastAsia="仿宋" w:cs="仿宋"/>
                <w:color w:val="000000"/>
                <w:sz w:val="24"/>
                <w:lang w:val="en-US" w:eastAsia="zh-CN"/>
              </w:rPr>
              <w:t>8%绩效收入</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100万元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94万元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配合企业满足群众需求</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有效保障</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有效保障</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群众满意度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职工和群众满意</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r>
    </w:tbl>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lang w:eastAsia="zh-CN"/>
        </w:rPr>
        <w:t>单位</w:t>
      </w:r>
      <w:r>
        <w:rPr>
          <w:rFonts w:hint="eastAsia" w:ascii="楷体_GB2312" w:hAnsi="楷体_GB2312" w:eastAsia="楷体_GB2312" w:cs="楷体_GB2312"/>
          <w:sz w:val="32"/>
          <w:szCs w:val="32"/>
        </w:rPr>
        <w:t>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峨眉山市殡仪馆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eastAsia="仿宋_GB2312"/>
          <w:color w:val="000000"/>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自行组织对</w:t>
      </w:r>
      <w:r>
        <w:rPr>
          <w:rFonts w:hint="eastAsia" w:ascii="仿宋_GB2312" w:hAnsi="仿宋_GB2312" w:eastAsia="仿宋_GB2312" w:cs="仿宋_GB2312"/>
          <w:sz w:val="32"/>
          <w:szCs w:val="32"/>
          <w:lang w:eastAsia="zh-CN"/>
        </w:rPr>
        <w:t>生产性成本</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生产性成本</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p>
    <w:p>
      <w:pPr>
        <w:numPr>
          <w:ilvl w:val="0"/>
          <w:numId w:val="3"/>
        </w:numPr>
        <w:spacing w:line="600" w:lineRule="exact"/>
        <w:ind w:firstLine="660" w:firstLineChars="150"/>
        <w:jc w:val="both"/>
        <w:outlineLvl w:val="0"/>
        <w:rPr>
          <w:rStyle w:val="24"/>
          <w:rFonts w:ascii="黑体" w:hAnsi="黑体" w:eastAsia="黑体"/>
          <w:b w:val="0"/>
        </w:rPr>
      </w:pPr>
      <w:bookmarkStart w:id="52" w:name="_Toc15396613"/>
      <w:bookmarkStart w:id="53" w:name="_Toc15377225"/>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名</w:t>
      </w:r>
      <w:r>
        <w:rPr>
          <w:rStyle w:val="24"/>
          <w:rFonts w:hint="eastAsia" w:ascii="黑体" w:hAnsi="黑体" w:eastAsia="黑体"/>
          <w:b w:val="0"/>
        </w:rPr>
        <w:t>词解释</w:t>
      </w:r>
      <w:bookmarkEnd w:id="52"/>
      <w:bookmarkEnd w:id="53"/>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hint="eastAsia" w:ascii="仿宋_GB2312" w:eastAsia="仿宋_GB2312"/>
          <w:b/>
          <w:bCs/>
          <w:color w:val="000000"/>
          <w:sz w:val="32"/>
          <w:szCs w:val="32"/>
          <w:lang w:eastAsia="zh-CN"/>
        </w:rPr>
      </w:pPr>
      <w:r>
        <w:rPr>
          <w:rFonts w:hint="eastAsia" w:ascii="仿宋_GB2312" w:eastAsia="仿宋_GB2312"/>
          <w:color w:val="000000"/>
          <w:sz w:val="32"/>
          <w:szCs w:val="32"/>
          <w:lang w:val="en-US" w:eastAsia="zh-CN"/>
        </w:rPr>
        <w:t>9、</w:t>
      </w:r>
      <w:r>
        <w:rPr>
          <w:rFonts w:hint="eastAsia" w:ascii="仿宋_GB2312" w:eastAsia="仿宋_GB2312"/>
          <w:b/>
          <w:bCs/>
          <w:color w:val="000000"/>
          <w:sz w:val="32"/>
          <w:szCs w:val="32"/>
        </w:rPr>
        <w:t>社会保障和就业</w:t>
      </w:r>
      <w:r>
        <w:rPr>
          <w:rFonts w:hint="eastAsia" w:ascii="仿宋_GB2312" w:eastAsia="仿宋_GB2312"/>
          <w:b/>
          <w:bCs/>
          <w:color w:val="000000"/>
          <w:sz w:val="32"/>
          <w:szCs w:val="32"/>
          <w:lang w:eastAsia="zh-CN"/>
        </w:rPr>
        <w:t>支出</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1</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lang w:val="en-US" w:eastAsia="zh-CN"/>
        </w:rPr>
        <w:t>2080505机关事业单位基本养老保险缴费支出：用于事业人员养老保险缴费。</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（2）2080506机关事业单位职业年金缴费支出：用于事业人员职业年金缴费。</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（3）2080899其他优抚支出：用于遗属生活补贴。</w:t>
      </w:r>
    </w:p>
    <w:p>
      <w:pPr>
        <w:spacing w:line="600" w:lineRule="exact"/>
        <w:ind w:firstLine="640"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val="0"/>
          <w:bCs/>
          <w:color w:val="000000"/>
          <w:sz w:val="32"/>
          <w:szCs w:val="32"/>
          <w:lang w:val="en-US" w:eastAsia="zh-CN"/>
        </w:rPr>
        <w:t>（4）2081004殡葬支出：用于全体职工工资支出，事业人员工伤保险支出，编外人员各类保险支出、日常经费支出和各类生产成本支出。</w:t>
      </w:r>
    </w:p>
    <w:p>
      <w:pPr>
        <w:spacing w:line="600" w:lineRule="exact"/>
        <w:ind w:firstLine="643" w:firstLineChars="200"/>
        <w:rPr>
          <w:rStyle w:val="14"/>
          <w:rFonts w:hint="eastAsia" w:ascii="仿宋" w:hAnsi="仿宋" w:eastAsia="仿宋"/>
          <w:b w:val="0"/>
          <w:bCs/>
          <w:color w:val="000000"/>
          <w:sz w:val="32"/>
          <w:szCs w:val="32"/>
          <w:lang w:val="en-US" w:eastAsia="zh-CN"/>
        </w:rPr>
      </w:pPr>
      <w:r>
        <w:rPr>
          <w:rStyle w:val="14"/>
          <w:rFonts w:hint="eastAsia" w:ascii="仿宋" w:hAnsi="仿宋" w:eastAsia="仿宋"/>
          <w:b/>
          <w:bCs w:val="0"/>
          <w:color w:val="000000"/>
          <w:sz w:val="32"/>
          <w:szCs w:val="32"/>
          <w:lang w:val="en-US" w:eastAsia="zh-CN"/>
        </w:rPr>
        <w:t>10、卫生健康支出</w:t>
      </w:r>
      <w:r>
        <w:rPr>
          <w:rStyle w:val="14"/>
          <w:rFonts w:hint="eastAsia" w:ascii="仿宋" w:hAnsi="仿宋" w:eastAsia="仿宋"/>
          <w:b w:val="0"/>
          <w:bCs/>
          <w:color w:val="000000"/>
          <w:sz w:val="32"/>
          <w:szCs w:val="32"/>
          <w:lang w:val="en-US" w:eastAsia="zh-CN"/>
        </w:rPr>
        <w:t>：2101102事业单位医疗支出：用于事业人员医疗保险支出。</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
          <w:bCs w:val="0"/>
          <w:color w:val="000000"/>
          <w:sz w:val="32"/>
          <w:szCs w:val="32"/>
          <w:lang w:val="en-US" w:eastAsia="zh-CN"/>
        </w:rPr>
        <w:t>11、住房保障支出</w:t>
      </w:r>
      <w:r>
        <w:rPr>
          <w:rStyle w:val="14"/>
          <w:rFonts w:hint="eastAsia" w:ascii="仿宋" w:hAnsi="仿宋" w:eastAsia="仿宋"/>
          <w:b w:val="0"/>
          <w:bCs/>
          <w:color w:val="000000"/>
          <w:sz w:val="32"/>
          <w:szCs w:val="32"/>
          <w:lang w:val="en-US" w:eastAsia="zh-CN"/>
        </w:rPr>
        <w:t>：2210201住房公积金支出：用于事业人员住房公积金支出。</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widowControl/>
        <w:jc w:val="left"/>
        <w:rPr>
          <w:rStyle w:val="24"/>
          <w:rFonts w:ascii="黑体" w:hAnsi="黑体" w:eastAsia="黑体"/>
          <w:b w:val="0"/>
        </w:rPr>
      </w:pPr>
      <w:bookmarkStart w:id="54" w:name="_Toc15377226"/>
      <w:r>
        <w:rPr>
          <w:rFonts w:ascii="宋体"/>
          <w:b/>
          <w:color w:val="000000"/>
          <w:sz w:val="44"/>
          <w:szCs w:val="44"/>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30"/>
          <w:rFonts w:ascii="黑体" w:hAnsi="黑体" w:eastAsia="黑体"/>
          <w:b w:val="0"/>
        </w:rPr>
      </w:pPr>
      <w:bookmarkStart w:id="55" w:name="_Toc15396614"/>
      <w:bookmarkStart w:id="56" w:name="_Toc15396618"/>
      <w:r>
        <w:rPr>
          <w:rFonts w:hint="eastAsia" w:ascii="黑体" w:hAnsi="黑体" w:eastAsia="黑体"/>
          <w:color w:val="000000"/>
          <w:sz w:val="44"/>
          <w:szCs w:val="44"/>
        </w:rPr>
        <w:t>第</w:t>
      </w:r>
      <w:r>
        <w:rPr>
          <w:rStyle w:val="30"/>
          <w:rFonts w:hint="eastAsia" w:ascii="黑体" w:hAnsi="黑体" w:eastAsia="黑体"/>
          <w:b w:val="0"/>
        </w:rPr>
        <w:t>四部分</w:t>
      </w:r>
      <w:r>
        <w:rPr>
          <w:rStyle w:val="30"/>
          <w:rFonts w:ascii="黑体" w:hAnsi="黑体" w:eastAsia="黑体"/>
          <w:b w:val="0"/>
        </w:rPr>
        <w:t xml:space="preserve"> </w:t>
      </w:r>
      <w:r>
        <w:rPr>
          <w:rStyle w:val="30"/>
          <w:rFonts w:hint="eastAsia" w:ascii="黑体" w:hAnsi="黑体" w:eastAsia="黑体"/>
          <w:b w:val="0"/>
        </w:rPr>
        <w:t>附件</w:t>
      </w:r>
      <w:bookmarkEnd w:id="55"/>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峨眉山市殡仪馆</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我单位根据峨眉山财政局关于《开展2020年财政支出绩效评价工作的通知》（峨财通[2020]36号）文件要求，结合实际</w:t>
      </w:r>
      <w:r>
        <w:rPr>
          <w:rFonts w:hint="eastAsia" w:ascii="仿宋_GB2312" w:hAnsi="仿宋_GB2312" w:eastAsia="仿宋_GB2312" w:cs="仿宋_GB2312"/>
          <w:kern w:val="0"/>
          <w:sz w:val="32"/>
          <w:szCs w:val="32"/>
          <w:shd w:val="clear" w:color="auto" w:fill="FFFFFF"/>
        </w:rPr>
        <w:t>，对</w:t>
      </w:r>
      <w:r>
        <w:rPr>
          <w:rFonts w:hint="eastAsia" w:ascii="仿宋_GB2312" w:hAnsi="仿宋_GB2312" w:eastAsia="仿宋_GB2312" w:cs="仿宋_GB2312"/>
          <w:kern w:val="0"/>
          <w:sz w:val="32"/>
          <w:szCs w:val="32"/>
        </w:rPr>
        <w:t>我单位部门预算支出绩效组织实施了自评。现将我单位绩效自评结果报告如下：</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仿宋" w:eastAsia="仿宋_GB2312"/>
          <w:bCs/>
          <w:sz w:val="32"/>
          <w:szCs w:val="32"/>
          <w:lang w:eastAsia="zh-CN"/>
        </w:rPr>
      </w:pPr>
      <w:r>
        <w:rPr>
          <w:rFonts w:hint="eastAsia" w:ascii="仿宋_GB2312" w:hAnsi="仿宋" w:eastAsia="仿宋_GB2312"/>
          <w:bCs/>
          <w:sz w:val="32"/>
          <w:szCs w:val="32"/>
        </w:rPr>
        <w:t>峨眉山市殡仪馆</w:t>
      </w:r>
      <w:r>
        <w:rPr>
          <w:rFonts w:hint="eastAsia" w:ascii="仿宋_GB2312" w:hAnsi="仿宋" w:eastAsia="仿宋_GB2312"/>
          <w:bCs/>
          <w:sz w:val="32"/>
          <w:szCs w:val="32"/>
          <w:lang w:eastAsia="zh-CN"/>
        </w:rPr>
        <w:t>隶属于民政局下属全额拨款事业单位，</w:t>
      </w:r>
      <w:r>
        <w:rPr>
          <w:rFonts w:hint="eastAsia" w:ascii="仿宋_GB2312" w:hAnsi="仿宋" w:eastAsia="仿宋_GB2312"/>
          <w:bCs/>
          <w:sz w:val="32"/>
          <w:szCs w:val="32"/>
        </w:rPr>
        <w:t>原位于桂花桥镇彭桥村，于2018年9月2日搬迁至双福镇净居村，是峨眉山市从事殡葬服务的社会公益性事业单位，</w:t>
      </w:r>
      <w:r>
        <w:rPr>
          <w:rFonts w:hint="eastAsia" w:ascii="仿宋_GB2312" w:hAnsi="仿宋" w:eastAsia="仿宋_GB2312"/>
          <w:bCs/>
          <w:sz w:val="32"/>
          <w:szCs w:val="32"/>
          <w:lang w:eastAsia="zh-CN"/>
        </w:rPr>
        <w:t>负责管理殡葬事宜，推进殡葬改革，提供殡仪服务。殡仪馆主要有后勤部、业务部和生产部。</w:t>
      </w:r>
    </w:p>
    <w:p>
      <w:pPr>
        <w:widowControl/>
        <w:numPr>
          <w:ilvl w:val="0"/>
          <w:numId w:val="4"/>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widowControl/>
        <w:numPr>
          <w:numId w:val="0"/>
        </w:numPr>
        <w:adjustRightInd w:val="0"/>
        <w:snapToGrid w:val="0"/>
        <w:spacing w:line="580" w:lineRule="exact"/>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 xml:space="preserve">    殡仪馆搬迁后只负责基本殡葬服务，主要包括遗体火化、遗体接运、基本冷藏、骨灰存放、卫生袋、卫生纸板等。</w:t>
      </w:r>
    </w:p>
    <w:p>
      <w:pPr>
        <w:widowControl/>
        <w:numPr>
          <w:ilvl w:val="0"/>
          <w:numId w:val="4"/>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widowControl/>
        <w:numPr>
          <w:numId w:val="0"/>
        </w:numPr>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rPr>
      </w:pPr>
      <w:r>
        <w:rPr>
          <w:rFonts w:hint="eastAsia" w:ascii="仿宋_GB2312" w:hAnsi="仿宋" w:eastAsia="仿宋_GB2312"/>
          <w:bCs/>
          <w:sz w:val="32"/>
          <w:szCs w:val="32"/>
          <w:lang w:eastAsia="zh-CN"/>
        </w:rPr>
        <w:t>有在编职工</w:t>
      </w:r>
      <w:r>
        <w:rPr>
          <w:rFonts w:hint="eastAsia" w:ascii="仿宋_GB2312" w:hAnsi="仿宋" w:eastAsia="仿宋_GB2312"/>
          <w:bCs/>
          <w:sz w:val="32"/>
          <w:szCs w:val="32"/>
          <w:lang w:val="en-US" w:eastAsia="zh-CN"/>
        </w:rPr>
        <w:t>14人（其中领导职数2人），会议纪要3人，长聘人员3人；退休职工11人。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600" w:lineRule="exact"/>
        <w:ind w:firstLine="640" w:firstLineChars="200"/>
        <w:outlineLvl w:val="1"/>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600" w:lineRule="exact"/>
        <w:ind w:firstLine="640" w:firstLineChars="200"/>
        <w:outlineLvl w:val="1"/>
        <w:rPr>
          <w:rFonts w:ascii="仿宋_GB2312" w:hAnsi="宋体" w:eastAsia="仿宋_GB2312" w:cs="宋体"/>
          <w:color w:val="000000"/>
          <w:kern w:val="0"/>
          <w:sz w:val="32"/>
          <w:szCs w:val="32"/>
          <w:shd w:val="clear" w:color="auto" w:fill="FFFFFF"/>
          <w:lang w:val="zh-CN"/>
        </w:rPr>
      </w:pPr>
      <w:r>
        <w:rPr>
          <w:rFonts w:hint="eastAsia" w:ascii="仿宋" w:hAnsi="仿宋" w:eastAsia="仿宋"/>
          <w:color w:val="000000"/>
          <w:sz w:val="32"/>
          <w:szCs w:val="32"/>
          <w:lang w:eastAsia="zh-CN"/>
        </w:rPr>
        <w:t>我单位</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决算</w:t>
      </w:r>
      <w:r>
        <w:rPr>
          <w:rFonts w:hint="eastAsia" w:ascii="仿宋" w:hAnsi="仿宋" w:eastAsia="仿宋"/>
          <w:color w:val="000000"/>
          <w:sz w:val="32"/>
          <w:szCs w:val="32"/>
        </w:rPr>
        <w:t>收入合计</w:t>
      </w:r>
      <w:r>
        <w:rPr>
          <w:rFonts w:hint="eastAsia" w:ascii="仿宋" w:hAnsi="仿宋" w:eastAsia="仿宋"/>
          <w:color w:val="000000"/>
          <w:sz w:val="32"/>
          <w:szCs w:val="32"/>
          <w:lang w:val="en-US" w:eastAsia="zh-CN"/>
        </w:rPr>
        <w:t>480.39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480.39</w:t>
      </w:r>
      <w:r>
        <w:rPr>
          <w:rFonts w:hint="eastAsia" w:ascii="仿宋" w:hAnsi="仿宋" w:eastAsia="仿宋"/>
          <w:color w:val="000000"/>
          <w:sz w:val="32"/>
          <w:szCs w:val="32"/>
        </w:rPr>
        <w:t>万元。</w:t>
      </w:r>
    </w:p>
    <w:p>
      <w:pPr>
        <w:numPr>
          <w:ilvl w:val="0"/>
          <w:numId w:val="5"/>
        </w:numPr>
        <w:spacing w:line="60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numPr>
          <w:numId w:val="0"/>
        </w:numPr>
        <w:spacing w:line="60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 w:hAnsi="仿宋" w:eastAsia="仿宋"/>
          <w:color w:val="000000"/>
          <w:sz w:val="32"/>
          <w:szCs w:val="32"/>
          <w:lang w:eastAsia="zh-CN"/>
        </w:rPr>
        <w:t>我单位</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决算</w:t>
      </w:r>
      <w:r>
        <w:rPr>
          <w:rFonts w:hint="eastAsia" w:ascii="仿宋" w:hAnsi="仿宋" w:eastAsia="仿宋"/>
          <w:color w:val="000000"/>
          <w:sz w:val="32"/>
          <w:szCs w:val="32"/>
        </w:rPr>
        <w:t>支出合计</w:t>
      </w:r>
      <w:r>
        <w:rPr>
          <w:rFonts w:hint="eastAsia" w:ascii="仿宋" w:hAnsi="仿宋" w:eastAsia="仿宋"/>
          <w:color w:val="000000"/>
          <w:sz w:val="32"/>
          <w:szCs w:val="32"/>
          <w:lang w:val="en-US" w:eastAsia="zh-CN"/>
        </w:rPr>
        <w:t>482.11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268.85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55.77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213.26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44.23</w:t>
      </w:r>
      <w:r>
        <w:rPr>
          <w:rFonts w:ascii="仿宋" w:hAnsi="仿宋" w:eastAsia="仿宋"/>
          <w:color w:val="000000"/>
          <w:sz w:val="32"/>
          <w:szCs w:val="32"/>
        </w:rPr>
        <w:t>%</w:t>
      </w:r>
      <w:r>
        <w:rPr>
          <w:rFonts w:hint="eastAsia" w:ascii="仿宋" w:hAnsi="仿宋" w:eastAsia="仿宋"/>
          <w:color w:val="000000"/>
          <w:sz w:val="32"/>
          <w:szCs w:val="32"/>
          <w:lang w:eastAsia="zh-CN"/>
        </w:rPr>
        <w:t>，年终结转</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lang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sz w:val="32"/>
          <w:szCs w:val="32"/>
        </w:rPr>
        <w:t>我单位严格按照财政部门的要求和实现编制预决算、填报绩效目标表；2020年收入预算为</w:t>
      </w:r>
      <w:r>
        <w:rPr>
          <w:rFonts w:hint="eastAsia" w:ascii="仿宋_GB2312" w:hAnsi="宋体" w:eastAsia="仿宋_GB2312" w:cs="宋体"/>
          <w:sz w:val="32"/>
          <w:szCs w:val="32"/>
          <w:lang w:val="en-US" w:eastAsia="zh-CN"/>
        </w:rPr>
        <w:t>554</w:t>
      </w:r>
      <w:r>
        <w:rPr>
          <w:rFonts w:hint="eastAsia" w:ascii="仿宋_GB2312" w:hAnsi="宋体" w:eastAsia="仿宋_GB2312" w:cs="宋体"/>
          <w:sz w:val="32"/>
          <w:szCs w:val="32"/>
        </w:rPr>
        <w:t>万元，其中公共财政预算收入</w:t>
      </w:r>
      <w:r>
        <w:rPr>
          <w:rFonts w:hint="eastAsia" w:ascii="仿宋_GB2312" w:hAnsi="宋体" w:eastAsia="仿宋_GB2312" w:cs="宋体"/>
          <w:sz w:val="32"/>
          <w:szCs w:val="32"/>
          <w:lang w:val="en-US" w:eastAsia="zh-CN"/>
        </w:rPr>
        <w:t>554</w:t>
      </w:r>
      <w:r>
        <w:rPr>
          <w:rFonts w:hint="eastAsia" w:ascii="仿宋_GB2312" w:hAnsi="宋体" w:eastAsia="仿宋_GB2312" w:cs="宋体"/>
          <w:sz w:val="32"/>
          <w:szCs w:val="32"/>
        </w:rPr>
        <w:t>万元。支出预算</w:t>
      </w:r>
      <w:r>
        <w:rPr>
          <w:rFonts w:hint="eastAsia" w:ascii="仿宋_GB2312" w:hAnsi="宋体" w:eastAsia="仿宋_GB2312" w:cs="宋体"/>
          <w:sz w:val="32"/>
          <w:szCs w:val="32"/>
          <w:lang w:val="en-US" w:eastAsia="zh-CN"/>
        </w:rPr>
        <w:t>554</w:t>
      </w:r>
      <w:r>
        <w:rPr>
          <w:rFonts w:hint="eastAsia" w:ascii="仿宋_GB2312" w:hAnsi="宋体" w:eastAsia="仿宋_GB2312" w:cs="宋体"/>
          <w:sz w:val="32"/>
          <w:szCs w:val="32"/>
        </w:rPr>
        <w:t>万元，其中基本支出预算</w:t>
      </w:r>
      <w:r>
        <w:rPr>
          <w:rFonts w:hint="eastAsia" w:ascii="仿宋_GB2312" w:hAnsi="宋体" w:eastAsia="仿宋_GB2312" w:cs="宋体"/>
          <w:sz w:val="32"/>
          <w:szCs w:val="32"/>
          <w:lang w:val="en-US" w:eastAsia="zh-CN"/>
        </w:rPr>
        <w:t>226</w:t>
      </w:r>
      <w:r>
        <w:rPr>
          <w:rFonts w:hint="eastAsia" w:ascii="仿宋_GB2312" w:hAnsi="宋体" w:eastAsia="仿宋_GB2312" w:cs="宋体"/>
          <w:sz w:val="32"/>
          <w:szCs w:val="32"/>
        </w:rPr>
        <w:t>万元，项目预支出预算</w:t>
      </w:r>
      <w:r>
        <w:rPr>
          <w:rFonts w:hint="eastAsia" w:ascii="仿宋_GB2312" w:hAnsi="宋体" w:eastAsia="仿宋_GB2312" w:cs="宋体"/>
          <w:sz w:val="32"/>
          <w:szCs w:val="32"/>
          <w:lang w:val="en-US" w:eastAsia="zh-CN"/>
        </w:rPr>
        <w:t>328</w:t>
      </w:r>
      <w:r>
        <w:rPr>
          <w:rFonts w:hint="eastAsia" w:ascii="仿宋_GB2312" w:hAnsi="宋体" w:eastAsia="仿宋_GB2312" w:cs="宋体"/>
          <w:sz w:val="32"/>
          <w:szCs w:val="32"/>
        </w:rPr>
        <w:t>万元。决算支出</w:t>
      </w:r>
      <w:r>
        <w:rPr>
          <w:rFonts w:hint="eastAsia" w:ascii="仿宋_GB2312" w:hAnsi="宋体" w:eastAsia="仿宋_GB2312" w:cs="宋体"/>
          <w:sz w:val="32"/>
          <w:szCs w:val="32"/>
          <w:lang w:val="en-US" w:eastAsia="zh-CN"/>
        </w:rPr>
        <w:t>482</w:t>
      </w:r>
      <w:r>
        <w:rPr>
          <w:rFonts w:hint="eastAsia" w:ascii="仿宋_GB2312" w:hAnsi="宋体" w:eastAsia="仿宋_GB2312" w:cs="宋体"/>
          <w:sz w:val="32"/>
          <w:szCs w:val="32"/>
        </w:rPr>
        <w:t>万元，其中基本支出</w:t>
      </w:r>
      <w:r>
        <w:rPr>
          <w:rFonts w:hint="eastAsia" w:ascii="仿宋_GB2312" w:hAnsi="宋体" w:eastAsia="仿宋_GB2312" w:cs="宋体"/>
          <w:sz w:val="32"/>
          <w:szCs w:val="32"/>
          <w:lang w:val="en-US" w:eastAsia="zh-CN"/>
        </w:rPr>
        <w:t>269</w:t>
      </w:r>
      <w:r>
        <w:rPr>
          <w:rFonts w:hint="eastAsia" w:ascii="仿宋_GB2312" w:hAnsi="宋体" w:eastAsia="仿宋_GB2312" w:cs="宋体"/>
          <w:sz w:val="32"/>
          <w:szCs w:val="32"/>
        </w:rPr>
        <w:t>万元，项目支出</w:t>
      </w:r>
      <w:r>
        <w:rPr>
          <w:rFonts w:hint="eastAsia" w:ascii="仿宋_GB2312" w:hAnsi="宋体" w:eastAsia="仿宋_GB2312" w:cs="宋体"/>
          <w:sz w:val="32"/>
          <w:szCs w:val="32"/>
          <w:lang w:val="en-US" w:eastAsia="zh-CN"/>
        </w:rPr>
        <w:t>213</w:t>
      </w:r>
      <w:r>
        <w:rPr>
          <w:rFonts w:hint="eastAsia" w:ascii="仿宋_GB2312" w:hAnsi="宋体" w:eastAsia="仿宋_GB2312" w:cs="宋体"/>
          <w:sz w:val="32"/>
          <w:szCs w:val="32"/>
        </w:rPr>
        <w:t>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napToGrid w:val="0"/>
        <w:spacing w:line="588" w:lineRule="exact"/>
        <w:ind w:firstLine="800" w:firstLineChars="250"/>
        <w:rPr>
          <w:rFonts w:hint="eastAsia" w:ascii="仿宋_GB2312" w:hAnsi="仿宋" w:eastAsia="仿宋_GB2312"/>
          <w:sz w:val="32"/>
          <w:szCs w:val="32"/>
        </w:rPr>
      </w:pPr>
      <w:r>
        <w:rPr>
          <w:rFonts w:hint="eastAsia" w:ascii="仿宋_GB2312" w:hAnsi="宋体" w:eastAsia="仿宋_GB2312" w:cs="宋体"/>
          <w:sz w:val="32"/>
          <w:szCs w:val="32"/>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2020年预算收入</w:t>
      </w:r>
      <w:r>
        <w:rPr>
          <w:rFonts w:hint="eastAsia" w:ascii="仿宋_GB2312" w:hAnsi="宋体" w:eastAsia="仿宋_GB2312" w:cs="宋体"/>
          <w:sz w:val="32"/>
          <w:szCs w:val="32"/>
          <w:lang w:val="en-US" w:eastAsia="zh-CN"/>
        </w:rPr>
        <w:t>554</w:t>
      </w:r>
      <w:r>
        <w:rPr>
          <w:rFonts w:hint="eastAsia" w:ascii="仿宋_GB2312" w:hAnsi="宋体" w:eastAsia="仿宋_GB2312" w:cs="宋体"/>
          <w:sz w:val="32"/>
          <w:szCs w:val="32"/>
        </w:rPr>
        <w:t>万元,</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482</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lang w:eastAsia="zh-CN"/>
        </w:rPr>
        <w:t>因汛期火化炉停炉维修，期间未火化遗体，未产生生产成本，</w:t>
      </w:r>
      <w:r>
        <w:rPr>
          <w:rFonts w:hint="eastAsia" w:ascii="仿宋_GB2312" w:hAnsi="仿宋" w:eastAsia="仿宋_GB2312"/>
          <w:sz w:val="32"/>
          <w:szCs w:val="32"/>
        </w:rPr>
        <w:t>执行比例</w:t>
      </w:r>
      <w:r>
        <w:rPr>
          <w:rFonts w:hint="eastAsia" w:ascii="仿宋_GB2312" w:hAnsi="仿宋" w:eastAsia="仿宋_GB2312"/>
          <w:sz w:val="32"/>
          <w:szCs w:val="32"/>
          <w:lang w:val="en-US" w:eastAsia="zh-CN"/>
        </w:rPr>
        <w:t>87</w:t>
      </w:r>
      <w:r>
        <w:rPr>
          <w:rFonts w:ascii="仿宋_GB2312" w:hAnsi="仿宋" w:eastAsia="仿宋_GB2312"/>
          <w:sz w:val="32"/>
          <w:szCs w:val="32"/>
        </w:rPr>
        <w:t>%</w:t>
      </w:r>
      <w:r>
        <w:rPr>
          <w:rFonts w:hint="eastAsia" w:ascii="仿宋_GB2312" w:hAnsi="仿宋" w:eastAsia="仿宋_GB2312"/>
          <w:sz w:val="32"/>
          <w:szCs w:val="32"/>
        </w:rPr>
        <w:t>,全年支出执行良好。</w:t>
      </w:r>
    </w:p>
    <w:p>
      <w:pPr>
        <w:widowControl/>
        <w:spacing w:line="48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所有项目资金的管理都按照相关规定执行，实行专款专用。财政本级专项资金主要管理如下：我单位根据财政部门的要求制定方案并上报财政，实际拨付时按照要求准备资料向同级财政申请拨付。</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根据《峨眉山市财政局关于开展2020年财政支出绩效评价工作的通知》（峨财通[2020]36号）文件精神</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馆</w:t>
      </w:r>
      <w:r>
        <w:rPr>
          <w:rFonts w:hint="eastAsia" w:ascii="仿宋_GB2312" w:hAnsi="仿宋_GB2312" w:eastAsia="仿宋_GB2312" w:cs="仿宋_GB2312"/>
          <w:kern w:val="0"/>
          <w:sz w:val="32"/>
          <w:szCs w:val="32"/>
        </w:rPr>
        <w:t>成立了绩效评价工作领导小组，负责绩效评价工作的组织领导和具体实施。评价小组采取座谈等方式听取情况，检查基本支出、项目支出有关账目，收集整理支出相关资料，并根据各</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报送的绩效自评材料进行分析，形成评价结论。</w:t>
      </w:r>
    </w:p>
    <w:p>
      <w:pPr>
        <w:widowControl/>
        <w:shd w:val="clear" w:color="auto" w:fill="FFFFFF"/>
        <w:adjustRightInd w:val="0"/>
        <w:snapToGrid w:val="0"/>
        <w:spacing w:line="540" w:lineRule="exact"/>
        <w:ind w:firstLine="555"/>
        <w:jc w:val="left"/>
        <w:outlineLvl w:val="0"/>
        <w:rPr>
          <w:rFonts w:hint="eastAsia" w:ascii="仿宋_GB2312" w:hAnsi="仿宋" w:eastAsia="仿宋_GB2312"/>
          <w:sz w:val="32"/>
          <w:szCs w:val="32"/>
        </w:rPr>
      </w:pPr>
      <w:r>
        <w:rPr>
          <w:rFonts w:hint="eastAsia" w:ascii="仿宋_GB2312" w:hAnsi="仿宋_GB2312" w:eastAsia="仿宋_GB2312" w:cs="仿宋_GB2312"/>
          <w:kern w:val="0"/>
          <w:sz w:val="32"/>
          <w:szCs w:val="32"/>
        </w:rPr>
        <w:t>通过绩效评价梳理出的问题，将通过座谈的形式传达给相关领导和</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负责人，以便完善。</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kern w:val="0"/>
          <w:sz w:val="32"/>
          <w:szCs w:val="32"/>
        </w:rPr>
        <w:t>我单位部门支出绩效评价得分9</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主要是生产性成本，因汛期火化炉停炉维修，未产生成本，因此生产成本未按预算资金全部支出。</w:t>
      </w:r>
    </w:p>
    <w:p>
      <w:pPr>
        <w:widowControl/>
        <w:numPr>
          <w:ilvl w:val="0"/>
          <w:numId w:val="5"/>
        </w:numPr>
        <w:shd w:val="clear" w:color="auto" w:fill="FFFFFF"/>
        <w:adjustRightInd w:val="0"/>
        <w:snapToGrid w:val="0"/>
        <w:spacing w:before="100" w:beforeAutospacing="1" w:after="100" w:afterAutospacing="1" w:line="500" w:lineRule="exact"/>
        <w:ind w:left="0" w:leftChars="0" w:firstLine="640" w:firstLineChars="20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widowControl/>
        <w:numPr>
          <w:numId w:val="0"/>
        </w:numPr>
        <w:shd w:val="clear" w:color="auto" w:fill="FFFFFF"/>
        <w:adjustRightInd w:val="0"/>
        <w:snapToGrid w:val="0"/>
        <w:spacing w:before="100" w:beforeAutospacing="1" w:after="100" w:afterAutospacing="1" w:line="500" w:lineRule="exact"/>
        <w:ind w:leftChars="200" w:firstLine="640" w:firstLineChars="200"/>
        <w:jc w:val="left"/>
        <w:rPr>
          <w:rFonts w:ascii="仿宋_GB2312" w:eastAsia="仿宋_GB2312" w:cs="宋体"/>
          <w:kern w:val="0"/>
          <w:sz w:val="32"/>
          <w:szCs w:val="32"/>
        </w:rPr>
      </w:pPr>
      <w:r>
        <w:rPr>
          <w:rFonts w:hint="eastAsia" w:ascii="仿宋_GB2312" w:hAnsi="宋体" w:eastAsia="仿宋_GB2312" w:cs="宋体"/>
          <w:sz w:val="32"/>
          <w:szCs w:val="32"/>
        </w:rPr>
        <w:t>1、</w:t>
      </w:r>
      <w:r>
        <w:rPr>
          <w:rFonts w:hint="eastAsia" w:ascii="仿宋_GB2312" w:hAnsi="宋体" w:eastAsia="仿宋_GB2312" w:cs="宋体"/>
          <w:kern w:val="0"/>
          <w:sz w:val="32"/>
          <w:szCs w:val="32"/>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0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kern w:val="0"/>
          <w:sz w:val="32"/>
          <w:szCs w:val="32"/>
        </w:rPr>
        <w:t>2、部门支出相关的规章制度还不够完善。</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shd w:val="clear" w:color="auto" w:fill="FFFFFF"/>
        <w:adjustRightInd w:val="0"/>
        <w:snapToGrid w:val="0"/>
        <w:spacing w:before="100" w:beforeAutospacing="1" w:after="100" w:afterAutospacing="1" w:line="500" w:lineRule="exact"/>
        <w:ind w:firstLine="640"/>
        <w:jc w:val="left"/>
        <w:rPr>
          <w:rFonts w:ascii="仿宋_GB2312" w:eastAsia="仿宋_GB2312" w:cs="宋体"/>
          <w:kern w:val="0"/>
          <w:sz w:val="32"/>
          <w:szCs w:val="32"/>
        </w:rPr>
      </w:pPr>
      <w:r>
        <w:rPr>
          <w:rFonts w:hint="eastAsia" w:ascii="仿宋_GB2312" w:hAnsi="宋体" w:eastAsia="仿宋_GB2312" w:cs="宋体"/>
          <w:kern w:val="0"/>
          <w:sz w:val="32"/>
          <w:szCs w:val="32"/>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00" w:lineRule="exact"/>
        <w:ind w:firstLine="640"/>
        <w:jc w:val="left"/>
        <w:rPr>
          <w:rFonts w:ascii="仿宋_GB2312" w:eastAsia="仿宋_GB2312" w:cs="宋体"/>
          <w:kern w:val="0"/>
          <w:sz w:val="32"/>
          <w:szCs w:val="32"/>
        </w:rPr>
      </w:pPr>
      <w:r>
        <w:rPr>
          <w:rFonts w:hint="eastAsia" w:ascii="仿宋_GB2312" w:hAnsi="宋体" w:eastAsia="仿宋_GB2312" w:cs="宋体"/>
          <w:kern w:val="0"/>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00" w:lineRule="exact"/>
        <w:ind w:firstLine="640"/>
        <w:jc w:val="left"/>
        <w:rPr>
          <w:rFonts w:ascii="仿宋_GB2312" w:eastAsia="仿宋_GB2312" w:cs="宋体"/>
          <w:kern w:val="0"/>
          <w:sz w:val="32"/>
          <w:szCs w:val="32"/>
        </w:rPr>
      </w:pPr>
      <w:r>
        <w:rPr>
          <w:rFonts w:hint="eastAsia" w:ascii="仿宋_GB2312" w:hAnsi="宋体" w:eastAsia="仿宋_GB2312" w:cs="宋体"/>
          <w:kern w:val="0"/>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00" w:lineRule="exact"/>
        <w:ind w:firstLine="640"/>
        <w:jc w:val="left"/>
        <w:rPr>
          <w:rFonts w:ascii="仿宋_GB2312" w:eastAsia="仿宋_GB2312" w:cs="宋体"/>
          <w:kern w:val="0"/>
          <w:sz w:val="32"/>
          <w:szCs w:val="32"/>
        </w:rPr>
      </w:pPr>
      <w:r>
        <w:rPr>
          <w:rFonts w:hint="eastAsia" w:ascii="仿宋_GB2312" w:hAnsi="宋体" w:eastAsia="仿宋_GB2312" w:cs="宋体"/>
          <w:kern w:val="0"/>
          <w:sz w:val="32"/>
          <w:szCs w:val="32"/>
        </w:rPr>
        <w:t>3、完善资产管理，抓好公用经费控制。严格编制政府采购年初预算和计划，规范各类资产的购置审批制度、资产和收入管理制度、资产采购制度、使用管理制度、资产处置和报废审批制度、资产管理岗位职责制度等，加强单位内部的资产管理工作。严格把关公用经费使用，进一步细化公用经费的管理，合理压缩公用经费支出，坚持保运转，不代账原则。</w:t>
      </w:r>
    </w:p>
    <w:p>
      <w:pPr>
        <w:widowControl/>
        <w:shd w:val="clear" w:color="auto" w:fill="FFFFFF"/>
        <w:adjustRightInd w:val="0"/>
        <w:snapToGrid w:val="0"/>
        <w:spacing w:before="100" w:beforeAutospacing="1" w:after="100" w:afterAutospacing="1" w:line="500" w:lineRule="exact"/>
        <w:ind w:firstLine="480"/>
        <w:jc w:val="left"/>
        <w:rPr>
          <w:rFonts w:ascii="仿宋_GB2312" w:eastAsia="仿宋_GB2312" w:cs="宋体"/>
          <w:kern w:val="0"/>
          <w:sz w:val="32"/>
          <w:szCs w:val="32"/>
        </w:rPr>
      </w:pPr>
      <w:r>
        <w:rPr>
          <w:rFonts w:hint="eastAsia" w:ascii="仿宋_GB2312" w:hAnsi="宋体" w:eastAsia="仿宋_GB2312" w:cs="宋体"/>
          <w:kern w:val="0"/>
          <w:sz w:val="32"/>
          <w:szCs w:val="32"/>
        </w:rPr>
        <w:t>4、对相关人员加强培训，特别是针对《预算法》、《行政事业单位会计制度》等学习培训，规范部门预算收支核算，切实提高部门预算收支管理水平。</w:t>
      </w: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eastAsia="zh-CN"/>
        </w:rPr>
        <w:t>生产性成本</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根据市财政局《关于开展2020年财政支出绩效评价工作的通知》（峨财通〔2020〕36号）文件要求，我</w:t>
      </w:r>
      <w:r>
        <w:rPr>
          <w:rFonts w:hint="eastAsia" w:ascii="仿宋_GB2312" w:hAnsi="宋体" w:eastAsia="仿宋_GB2312"/>
          <w:sz w:val="32"/>
          <w:szCs w:val="32"/>
          <w:lang w:eastAsia="zh-CN"/>
        </w:rPr>
        <w:t>馆</w:t>
      </w:r>
      <w:r>
        <w:rPr>
          <w:rFonts w:hint="eastAsia" w:ascii="仿宋_GB2312" w:hAnsi="宋体" w:eastAsia="仿宋_GB2312"/>
          <w:sz w:val="32"/>
          <w:szCs w:val="32"/>
        </w:rPr>
        <w:t>开展了</w:t>
      </w:r>
      <w:r>
        <w:rPr>
          <w:rFonts w:hint="eastAsia" w:ascii="仿宋_GB2312" w:hAnsi="宋体" w:eastAsia="仿宋_GB2312"/>
          <w:sz w:val="32"/>
          <w:szCs w:val="32"/>
          <w:lang w:val="en-US" w:eastAsia="zh-CN"/>
        </w:rPr>
        <w:t>2020</w:t>
      </w:r>
      <w:r>
        <w:rPr>
          <w:rFonts w:hint="eastAsia" w:ascii="仿宋_GB2312" w:hAnsi="宋体" w:eastAsia="仿宋_GB2312"/>
          <w:sz w:val="32"/>
          <w:szCs w:val="32"/>
        </w:rPr>
        <w:t>年</w:t>
      </w:r>
      <w:r>
        <w:rPr>
          <w:rFonts w:hint="eastAsia" w:ascii="仿宋_GB2312" w:hAnsi="宋体" w:eastAsia="仿宋_GB2312"/>
          <w:sz w:val="32"/>
          <w:szCs w:val="32"/>
          <w:lang w:eastAsia="zh-CN"/>
        </w:rPr>
        <w:t>生产性成本</w:t>
      </w:r>
      <w:r>
        <w:rPr>
          <w:rFonts w:hint="eastAsia" w:ascii="仿宋_GB2312" w:hAnsi="宋体" w:eastAsia="仿宋_GB2312"/>
          <w:sz w:val="32"/>
          <w:szCs w:val="32"/>
        </w:rPr>
        <w:t>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峨眉山市殡仪馆生产性成本主要指完成基本殡葬所需要的柴油、汽油、劳保用品、消毒用品、车辆运行费等生产性支出。按预算接运遗体数、遗体火化数预算支出。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生产性成本主要根据实际工作需要，对所需物品进行定人定岗考核，如：柴油方面，对火化遗体的考核，按生产厂家要求，普通炉火化，每具遗体按</w:t>
      </w:r>
      <w:r>
        <w:rPr>
          <w:rFonts w:hint="eastAsia" w:ascii="仿宋_GB2312" w:hAnsi="宋体" w:eastAsia="仿宋_GB2312"/>
          <w:sz w:val="32"/>
          <w:szCs w:val="32"/>
          <w:lang w:val="en-US" w:eastAsia="zh-CN"/>
        </w:rPr>
        <w:t>15L、拣灰炉按26L进行油耗考核；汽油方面，主要对车辆的考核，按100公里16L进行油耗考核。该项目的实施，使殡葬工作得以正常进行。</w:t>
      </w:r>
    </w:p>
    <w:p>
      <w:pPr>
        <w:adjustRightInd w:val="0"/>
        <w:snapToGrid w:val="0"/>
        <w:spacing w:line="600" w:lineRule="exact"/>
        <w:ind w:firstLine="720"/>
        <w:rPr>
          <w:rFonts w:ascii="仿宋_GB2312" w:hAnsi="宋体" w:eastAsia="仿宋_GB2312"/>
          <w:sz w:val="32"/>
          <w:szCs w:val="32"/>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该项目属于惠民殡葬保障类项目，申报的内容和具体实施的内容相符，申报目标合理可行，具有较强的社会意义。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该项目资金完全按规定流程合理申报，批复及时。</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w:t>
      </w:r>
      <w:r>
        <w:rPr>
          <w:rFonts w:hint="eastAsia" w:ascii="仿宋_GB2312" w:hAnsi="宋体" w:eastAsia="仿宋_GB2312"/>
          <w:sz w:val="32"/>
          <w:szCs w:val="32"/>
          <w:lang w:val="zh-CN"/>
        </w:rPr>
        <w:t>资金计划及时到位。2020年，该项目预算资金</w:t>
      </w:r>
      <w:r>
        <w:rPr>
          <w:rFonts w:hint="eastAsia" w:ascii="仿宋_GB2312" w:hAnsi="宋体" w:eastAsia="仿宋_GB2312"/>
          <w:sz w:val="32"/>
          <w:szCs w:val="32"/>
          <w:lang w:val="en-US" w:eastAsia="zh-CN"/>
        </w:rPr>
        <w:t>180</w:t>
      </w:r>
      <w:r>
        <w:rPr>
          <w:rFonts w:hint="eastAsia" w:ascii="仿宋_GB2312" w:hAnsi="宋体" w:eastAsia="仿宋_GB2312"/>
          <w:sz w:val="32"/>
          <w:szCs w:val="32"/>
          <w:lang w:val="zh-CN"/>
        </w:rPr>
        <w:t>万元，因火化炉停炉维修，实际只申报资金</w:t>
      </w:r>
      <w:r>
        <w:rPr>
          <w:rFonts w:hint="eastAsia" w:ascii="仿宋_GB2312" w:hAnsi="宋体" w:eastAsia="仿宋_GB2312"/>
          <w:sz w:val="32"/>
          <w:szCs w:val="32"/>
          <w:lang w:val="en-US" w:eastAsia="zh-CN"/>
        </w:rPr>
        <w:t>105万</w:t>
      </w:r>
      <w:r>
        <w:rPr>
          <w:rFonts w:hint="eastAsia" w:ascii="仿宋_GB2312" w:hAnsi="宋体" w:eastAsia="仿宋_GB2312"/>
          <w:sz w:val="32"/>
          <w:szCs w:val="32"/>
          <w:lang w:val="zh-CN"/>
        </w:rPr>
        <w:t>。拨付时间绩效目标完成率100%，拨付资金额度完成率100%。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w:t>
      </w:r>
      <w:r>
        <w:rPr>
          <w:rFonts w:hint="eastAsia" w:ascii="仿宋_GB2312" w:hAnsi="宋体" w:eastAsia="仿宋_GB2312"/>
          <w:sz w:val="32"/>
          <w:szCs w:val="32"/>
          <w:lang w:val="zh-CN"/>
        </w:rPr>
        <w:t>资金使用。2020年，该项目实际使用资金</w:t>
      </w:r>
      <w:r>
        <w:rPr>
          <w:rFonts w:hint="eastAsia" w:ascii="仿宋_GB2312" w:hAnsi="宋体" w:eastAsia="仿宋_GB2312"/>
          <w:sz w:val="32"/>
          <w:szCs w:val="32"/>
          <w:lang w:val="en-US" w:eastAsia="zh-CN"/>
        </w:rPr>
        <w:t>105</w:t>
      </w:r>
      <w:r>
        <w:rPr>
          <w:rFonts w:hint="eastAsia" w:ascii="仿宋_GB2312" w:hAnsi="宋体" w:eastAsia="仿宋_GB2312"/>
          <w:sz w:val="32"/>
          <w:szCs w:val="32"/>
          <w:lang w:val="zh-CN"/>
        </w:rPr>
        <w:t>万元，全额用于</w:t>
      </w:r>
      <w:r>
        <w:rPr>
          <w:rFonts w:hint="eastAsia" w:ascii="仿宋_GB2312" w:hAnsi="宋体" w:eastAsia="仿宋_GB2312"/>
          <w:sz w:val="32"/>
          <w:szCs w:val="32"/>
          <w:lang w:eastAsia="zh-CN"/>
        </w:rPr>
        <w:t>基本殡葬</w:t>
      </w:r>
      <w:r>
        <w:rPr>
          <w:rFonts w:hint="eastAsia" w:ascii="仿宋_GB2312" w:hAnsi="宋体" w:eastAsia="仿宋_GB2312"/>
          <w:sz w:val="32"/>
          <w:szCs w:val="32"/>
          <w:lang w:val="zh-CN"/>
        </w:rPr>
        <w:t>。项目开支范围、标准及支付进度、支付依据均合规合法，资金支付与预算相符。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殡仪馆财务账务体系统一管理和使用，收入支出严格按照《会计法》、《殡仪馆财务管理制度》、《殡仪馆财务内部控制制度》等财务管理制度执行。通过金算盘软件进行账务处理，支出票据统一审核。项目资金的管理使用严格执行财务管理制度，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殡仪馆</w:t>
      </w:r>
      <w:r>
        <w:rPr>
          <w:rFonts w:hint="eastAsia" w:ascii="仿宋_GB2312" w:eastAsia="仿宋_GB2312"/>
          <w:sz w:val="32"/>
          <w:szCs w:val="32"/>
        </w:rPr>
        <w:t>严格按要求使用</w:t>
      </w:r>
      <w:r>
        <w:rPr>
          <w:rFonts w:hint="eastAsia" w:ascii="仿宋_GB2312" w:eastAsia="仿宋_GB2312"/>
          <w:sz w:val="32"/>
          <w:szCs w:val="32"/>
          <w:lang w:eastAsia="zh-CN"/>
        </w:rPr>
        <w:t>生产性成本</w:t>
      </w:r>
      <w:r>
        <w:rPr>
          <w:rFonts w:hint="eastAsia" w:ascii="仿宋_GB2312" w:eastAsia="仿宋_GB2312"/>
          <w:sz w:val="32"/>
          <w:szCs w:val="32"/>
        </w:rPr>
        <w:t>经费，根据项目资金管理制度和</w:t>
      </w:r>
      <w:r>
        <w:rPr>
          <w:rFonts w:hint="eastAsia" w:ascii="仿宋_GB2312" w:eastAsia="仿宋_GB2312"/>
          <w:sz w:val="32"/>
          <w:szCs w:val="32"/>
          <w:lang w:eastAsia="zh-CN"/>
        </w:rPr>
        <w:t>殡仪馆</w:t>
      </w:r>
      <w:r>
        <w:rPr>
          <w:rFonts w:hint="eastAsia" w:ascii="仿宋_GB2312" w:eastAsia="仿宋_GB2312"/>
          <w:sz w:val="32"/>
          <w:szCs w:val="32"/>
        </w:rPr>
        <w:t>财务管理制度按时完成支付。</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该项目对照预算，截止2020年12月31日，下达预算指标</w:t>
      </w:r>
      <w:r>
        <w:rPr>
          <w:rFonts w:hint="eastAsia" w:ascii="仿宋_GB2312" w:eastAsia="仿宋_GB2312"/>
          <w:sz w:val="32"/>
          <w:szCs w:val="32"/>
          <w:lang w:val="en-US" w:eastAsia="zh-CN"/>
        </w:rPr>
        <w:t>105</w:t>
      </w:r>
      <w:r>
        <w:rPr>
          <w:rFonts w:hint="eastAsia" w:ascii="仿宋_GB2312" w:eastAsia="仿宋_GB2312"/>
          <w:sz w:val="32"/>
          <w:szCs w:val="32"/>
        </w:rPr>
        <w:t>万元，</w:t>
      </w:r>
      <w:r>
        <w:rPr>
          <w:rFonts w:hint="eastAsia" w:ascii="仿宋_GB2312" w:hAnsi="宋体" w:eastAsia="仿宋_GB2312"/>
          <w:sz w:val="32"/>
          <w:szCs w:val="32"/>
          <w:lang w:val="zh-CN"/>
        </w:rPr>
        <w:t>全年使用资金</w:t>
      </w:r>
      <w:r>
        <w:rPr>
          <w:rFonts w:hint="eastAsia" w:ascii="仿宋_GB2312" w:hAnsi="宋体" w:eastAsia="仿宋_GB2312"/>
          <w:sz w:val="32"/>
          <w:szCs w:val="32"/>
          <w:lang w:val="en-US" w:eastAsia="zh-CN"/>
        </w:rPr>
        <w:t>105</w:t>
      </w:r>
      <w:r>
        <w:rPr>
          <w:rFonts w:hint="eastAsia" w:ascii="仿宋_GB2312" w:hAnsi="宋体" w:eastAsia="仿宋_GB2312"/>
          <w:sz w:val="32"/>
          <w:szCs w:val="32"/>
          <w:lang w:val="zh-CN"/>
        </w:rPr>
        <w:t>万元</w:t>
      </w:r>
      <w:bookmarkStart w:id="70" w:name="_GoBack"/>
      <w:bookmarkEnd w:id="70"/>
      <w:r>
        <w:rPr>
          <w:rFonts w:hint="eastAsia" w:ascii="仿宋_GB2312" w:hAnsi="宋体" w:eastAsia="仿宋_GB2312"/>
          <w:sz w:val="32"/>
          <w:szCs w:val="32"/>
          <w:lang w:val="zh-CN"/>
        </w:rPr>
        <w:t>。资金拨付进度、拨付总额达到预期安排，项目完成情况较好，完成率100%。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6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rPr>
        <w:t>该项目的实施</w:t>
      </w:r>
      <w:r>
        <w:rPr>
          <w:rFonts w:hint="eastAsia" w:ascii="仿宋_GB2312" w:hAnsi="宋体" w:eastAsia="仿宋_GB2312"/>
          <w:sz w:val="32"/>
          <w:szCs w:val="32"/>
          <w:lang w:eastAsia="zh-CN"/>
        </w:rPr>
        <w:t>全面</w:t>
      </w:r>
      <w:r>
        <w:rPr>
          <w:rFonts w:hint="eastAsia" w:ascii="仿宋_GB2312" w:hAnsi="宋体" w:eastAsia="仿宋_GB2312"/>
          <w:sz w:val="32"/>
          <w:szCs w:val="32"/>
        </w:rPr>
        <w:t>，</w:t>
      </w:r>
      <w:r>
        <w:rPr>
          <w:rFonts w:hint="eastAsia" w:ascii="仿宋_GB2312" w:hAnsi="宋体" w:eastAsia="仿宋_GB2312"/>
          <w:sz w:val="32"/>
          <w:szCs w:val="32"/>
          <w:lang w:eastAsia="zh-CN"/>
        </w:rPr>
        <w:t>保障了殡葬工作的正常开展。有效保障了绿色惠民殡葬的全面实施，得到社会和群众的好评，满意度</w:t>
      </w:r>
      <w:r>
        <w:rPr>
          <w:rFonts w:hint="eastAsia" w:ascii="仿宋_GB2312" w:hAnsi="宋体" w:eastAsia="仿宋_GB2312"/>
          <w:sz w:val="32"/>
          <w:szCs w:val="32"/>
          <w:lang w:val="en-US" w:eastAsia="zh-CN"/>
        </w:rPr>
        <w:t>100%。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该项目有效保障了惠民殡葬的全面实施。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因火化炉问题，维修无资金，影响殡葬工作正常开展。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600" w:lineRule="exact"/>
        <w:ind w:firstLine="640" w:firstLineChars="200"/>
        <w:jc w:val="both"/>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殡仪馆火化设备问题已向民政局和市领导做专题汇报和相关报告，希望上级部门尽快落实。</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Fonts w:hint="eastAsia" w:ascii="黑体" w:hAnsi="黑体" w:eastAsia="黑体"/>
          <w:color w:val="000000"/>
          <w:sz w:val="44"/>
          <w:szCs w:val="44"/>
          <w:lang w:eastAsia="zh-CN"/>
        </w:rPr>
        <w:t>五</w:t>
      </w:r>
      <w:r>
        <w:rPr>
          <w:rStyle w:val="24"/>
          <w:rFonts w:hint="eastAsia" w:ascii="黑体" w:hAnsi="黑体" w:eastAsia="黑体"/>
          <w:b w:val="0"/>
        </w:rPr>
        <w:t>部分 附表</w:t>
      </w:r>
      <w:bookmarkEnd w:id="54"/>
      <w:bookmarkEnd w:id="56"/>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7"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7"/>
    </w:p>
    <w:p>
      <w:pPr>
        <w:pStyle w:val="3"/>
        <w:rPr>
          <w:rFonts w:ascii="仿宋" w:hAnsi="仿宋" w:eastAsia="仿宋"/>
          <w:color w:val="000000"/>
        </w:rPr>
      </w:pPr>
      <w:bookmarkStart w:id="58"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8"/>
    </w:p>
    <w:p>
      <w:pPr>
        <w:pStyle w:val="3"/>
        <w:rPr>
          <w:rFonts w:ascii="仿宋" w:hAnsi="仿宋" w:eastAsia="仿宋"/>
          <w:color w:val="000000"/>
        </w:rPr>
      </w:pPr>
      <w:bookmarkStart w:id="59"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9"/>
    </w:p>
    <w:p>
      <w:pPr>
        <w:pStyle w:val="3"/>
        <w:rPr>
          <w:rFonts w:ascii="仿宋" w:hAnsi="仿宋" w:eastAsia="仿宋"/>
          <w:b w:val="0"/>
          <w:color w:val="000000"/>
        </w:rPr>
      </w:pPr>
      <w:bookmarkStart w:id="60"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0"/>
    </w:p>
    <w:p>
      <w:pPr>
        <w:pStyle w:val="3"/>
        <w:rPr>
          <w:rStyle w:val="25"/>
          <w:rFonts w:ascii="仿宋" w:hAnsi="仿宋" w:eastAsia="仿宋"/>
          <w:b w:val="0"/>
          <w:bCs w:val="0"/>
        </w:rPr>
      </w:pPr>
      <w:bookmarkStart w:id="61"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1"/>
      <w:bookmarkStart w:id="62"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2"/>
    </w:p>
    <w:p>
      <w:pPr>
        <w:pStyle w:val="3"/>
        <w:rPr>
          <w:rFonts w:ascii="仿宋" w:hAnsi="仿宋" w:eastAsia="仿宋"/>
          <w:color w:val="000000"/>
        </w:rPr>
      </w:pPr>
      <w:bookmarkStart w:id="63"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3"/>
    </w:p>
    <w:p>
      <w:pPr>
        <w:pStyle w:val="3"/>
        <w:rPr>
          <w:rFonts w:ascii="仿宋" w:hAnsi="仿宋" w:eastAsia="仿宋"/>
          <w:color w:val="000000"/>
        </w:rPr>
      </w:pPr>
      <w:bookmarkStart w:id="64"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4"/>
    </w:p>
    <w:p>
      <w:pPr>
        <w:pStyle w:val="3"/>
        <w:rPr>
          <w:rFonts w:ascii="仿宋" w:hAnsi="仿宋" w:eastAsia="仿宋"/>
          <w:color w:val="000000"/>
        </w:rPr>
      </w:pPr>
      <w:bookmarkStart w:id="65"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5"/>
    </w:p>
    <w:p>
      <w:pPr>
        <w:pStyle w:val="3"/>
        <w:rPr>
          <w:rFonts w:ascii="仿宋" w:hAnsi="仿宋" w:eastAsia="仿宋"/>
          <w:color w:val="000000"/>
        </w:rPr>
      </w:pPr>
      <w:bookmarkStart w:id="66"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6"/>
    </w:p>
    <w:p>
      <w:pPr>
        <w:pStyle w:val="3"/>
        <w:rPr>
          <w:rFonts w:ascii="仿宋" w:hAnsi="仿宋" w:eastAsia="仿宋"/>
          <w:color w:val="000000"/>
        </w:rPr>
      </w:pPr>
      <w:bookmarkStart w:id="67"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7"/>
    </w:p>
    <w:p>
      <w:pPr>
        <w:pStyle w:val="3"/>
        <w:rPr>
          <w:rFonts w:ascii="仿宋" w:hAnsi="仿宋" w:eastAsia="仿宋"/>
          <w:color w:val="000000"/>
        </w:rPr>
      </w:pPr>
      <w:bookmarkStart w:id="68"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8"/>
    </w:p>
    <w:p>
      <w:pPr>
        <w:pStyle w:val="3"/>
        <w:rPr>
          <w:rFonts w:ascii="仿宋" w:hAnsi="仿宋" w:eastAsia="仿宋"/>
          <w:color w:val="000000" w:themeColor="text1"/>
          <w14:textFill>
            <w14:solidFill>
              <w14:schemeClr w14:val="tx1"/>
            </w14:solidFill>
          </w14:textFill>
        </w:rPr>
      </w:pPr>
      <w:bookmarkStart w:id="69"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F978F1"/>
    <w:multiLevelType w:val="singleLevel"/>
    <w:tmpl w:val="9AF978F1"/>
    <w:lvl w:ilvl="0" w:tentative="0">
      <w:start w:val="2"/>
      <w:numFmt w:val="chineseCounting"/>
      <w:suff w:val="nothing"/>
      <w:lvlText w:val="（%1）"/>
      <w:lvlJc w:val="left"/>
      <w:rPr>
        <w:rFonts w:hint="eastAsia"/>
      </w:rPr>
    </w:lvl>
  </w:abstractNum>
  <w:abstractNum w:abstractNumId="1">
    <w:nsid w:val="C5E00050"/>
    <w:multiLevelType w:val="singleLevel"/>
    <w:tmpl w:val="C5E00050"/>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E958DB6"/>
    <w:multiLevelType w:val="singleLevel"/>
    <w:tmpl w:val="1E958DB6"/>
    <w:lvl w:ilvl="0" w:tentative="0">
      <w:start w:val="3"/>
      <w:numFmt w:val="decimal"/>
      <w:lvlText w:val="%1."/>
      <w:lvlJc w:val="left"/>
      <w:pPr>
        <w:tabs>
          <w:tab w:val="left" w:pos="312"/>
        </w:tabs>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F85CF3"/>
    <w:rsid w:val="0A064DB1"/>
    <w:rsid w:val="0DD569E9"/>
    <w:rsid w:val="0EC70B12"/>
    <w:rsid w:val="10C055FF"/>
    <w:rsid w:val="135B378E"/>
    <w:rsid w:val="16AB7DC1"/>
    <w:rsid w:val="16BB723D"/>
    <w:rsid w:val="1F7A7D9C"/>
    <w:rsid w:val="2150749B"/>
    <w:rsid w:val="240371BF"/>
    <w:rsid w:val="24635869"/>
    <w:rsid w:val="27BE64E7"/>
    <w:rsid w:val="29FD04D3"/>
    <w:rsid w:val="319F7F4E"/>
    <w:rsid w:val="34801060"/>
    <w:rsid w:val="3D502E2F"/>
    <w:rsid w:val="3E1A3D5D"/>
    <w:rsid w:val="3FAD7C2C"/>
    <w:rsid w:val="478B0E36"/>
    <w:rsid w:val="48984AE5"/>
    <w:rsid w:val="49F75C98"/>
    <w:rsid w:val="4AE93245"/>
    <w:rsid w:val="4ECE2238"/>
    <w:rsid w:val="55571BA2"/>
    <w:rsid w:val="570054B7"/>
    <w:rsid w:val="5AEA6E38"/>
    <w:rsid w:val="6C663611"/>
    <w:rsid w:val="72734D90"/>
    <w:rsid w:val="7C0C4F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标题 1 字符"/>
    <w:link w:val="2"/>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2021-10-27T00:40:51Z</cp:lastPrinted>
  <dcterms:modified xsi:type="dcterms:W3CDTF">2021-10-27T02:49:25Z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