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r>
        <w:rPr>
          <w:rFonts w:hint="eastAsia" w:ascii="方正小标宋简体" w:hAnsi="宋体" w:eastAsia="方正小标宋简体"/>
          <w:color w:val="000000"/>
          <w:sz w:val="30"/>
          <w:szCs w:val="30"/>
        </w:rPr>
        <w:t>附件</w:t>
      </w:r>
      <w:r>
        <w:rPr>
          <w:rFonts w:ascii="方正小标宋简体" w:hAnsi="宋体" w:eastAsia="方正小标宋简体"/>
          <w:color w:val="000000"/>
          <w:sz w:val="30"/>
          <w:szCs w:val="30"/>
        </w:rPr>
        <w:t>3</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96475"/>
      <w:bookmarkStart w:id="2" w:name="_Toc15377425"/>
      <w:bookmarkStart w:id="3" w:name="_Toc15377193"/>
      <w:bookmarkStart w:id="4" w:name="_Toc15396597"/>
      <w:bookmarkStart w:id="5" w:name="_Toc15378441"/>
      <w:r>
        <w:rPr>
          <w:rFonts w:ascii="黑体" w:hAnsi="黑体" w:eastAsia="黑体"/>
          <w:color w:val="000000"/>
          <w:sz w:val="52"/>
          <w:szCs w:val="52"/>
        </w:rPr>
        <w:t>2020</w:t>
      </w:r>
      <w:r>
        <w:rPr>
          <w:rFonts w:hint="eastAsia" w:ascii="方正小标宋简体" w:hAnsi="宋体" w:eastAsia="方正小标宋简体"/>
          <w:color w:val="000000"/>
          <w:sz w:val="52"/>
          <w:szCs w:val="52"/>
        </w:rPr>
        <w:t>年度</w:t>
      </w:r>
      <w:bookmarkEnd w:id="0"/>
      <w:bookmarkEnd w:id="1"/>
      <w:bookmarkEnd w:id="2"/>
      <w:bookmarkEnd w:id="3"/>
      <w:bookmarkEnd w:id="4"/>
      <w:bookmarkEnd w:id="5"/>
      <w:bookmarkStart w:id="6" w:name="_Toc15396476"/>
      <w:bookmarkStart w:id="7" w:name="_Toc15378442"/>
      <w:bookmarkStart w:id="8" w:name="_Toc15377426"/>
      <w:bookmarkStart w:id="9" w:name="_Toc15306268"/>
      <w:bookmarkStart w:id="10" w:name="_Toc15396598"/>
      <w:bookmarkStart w:id="11" w:name="_Toc15377194"/>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峨眉山市城乡建设服务中心</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0"/>
      </w:pPr>
      <w:r>
        <w:rPr>
          <w:rFonts w:hint="eastAsia"/>
        </w:rPr>
        <w:t>公开时间：</w:t>
      </w:r>
      <w:r>
        <w:rPr>
          <w:color w:val="FF0000"/>
        </w:rPr>
        <w:t>2021</w:t>
      </w:r>
      <w:r>
        <w:rPr>
          <w:rFonts w:hint="eastAsia"/>
          <w:color w:val="FF0000"/>
        </w:rPr>
        <w:t>年</w:t>
      </w:r>
      <w:r>
        <w:rPr>
          <w:rFonts w:hint="eastAsia"/>
          <w:color w:val="FF0000"/>
          <w:lang w:val="en-US" w:eastAsia="zh-CN"/>
        </w:rPr>
        <w:t>10</w:t>
      </w:r>
      <w:r>
        <w:rPr>
          <w:rFonts w:hint="eastAsia"/>
          <w:color w:val="FF0000"/>
        </w:rPr>
        <w:t>月</w:t>
      </w:r>
      <w:r>
        <w:rPr>
          <w:rFonts w:hint="eastAsia"/>
          <w:color w:val="FF0000"/>
          <w:lang w:val="en-US" w:eastAsia="zh-CN"/>
        </w:rPr>
        <w:t>25</w:t>
      </w:r>
      <w:r>
        <w:rPr>
          <w:rFonts w:hint="eastAsia"/>
          <w:color w:val="FF0000"/>
        </w:rPr>
        <w:t>日</w:t>
      </w:r>
    </w:p>
    <w:p/>
    <w:p>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hint="eastAsia"/>
          <w:sz w:val="24"/>
          <w:lang w:val="en-US" w:eastAsia="zh-CN"/>
        </w:rPr>
      </w:pPr>
      <w:r>
        <w:rPr>
          <w:rFonts w:hint="eastAsia"/>
          <w:sz w:val="24"/>
        </w:rPr>
        <w:t>一、基本职能及主要工作</w:t>
      </w:r>
      <w:r>
        <w:rPr>
          <w:rFonts w:hint="eastAsia"/>
          <w:sz w:val="24"/>
          <w:lang w:val="en-US" w:eastAsia="zh-CN"/>
        </w:rPr>
        <w:t>(4)</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二、机构设置</w:t>
      </w:r>
      <w:r>
        <w:rPr>
          <w:rFonts w:hint="eastAsia"/>
          <w:sz w:val="24"/>
          <w:lang w:val="en-US" w:eastAsia="zh-CN"/>
        </w:rPr>
        <w:t>(4)</w:t>
      </w:r>
      <w:bookmarkStart w:id="73" w:name="_GoBack"/>
      <w:bookmarkEnd w:id="73"/>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一、收入支出决算总体情况说明</w:t>
      </w:r>
      <w:r>
        <w:rPr>
          <w:rFonts w:hint="eastAsia"/>
          <w:sz w:val="24"/>
          <w:lang w:val="en-US" w:eastAsia="zh-CN"/>
        </w:rPr>
        <w:t>(5)</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二、收入决算情况说明</w:t>
      </w:r>
      <w:r>
        <w:rPr>
          <w:rFonts w:hint="eastAsia"/>
          <w:sz w:val="24"/>
          <w:lang w:val="en-US" w:eastAsia="zh-CN"/>
        </w:rPr>
        <w:t>(5-6)</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三、支出决算情况说明</w:t>
      </w:r>
      <w:r>
        <w:rPr>
          <w:rFonts w:hint="eastAsia"/>
          <w:sz w:val="24"/>
          <w:lang w:val="en-US" w:eastAsia="zh-CN"/>
        </w:rPr>
        <w:t>(6-7)</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四、财政拨款收入支出决算总体情况说明</w:t>
      </w:r>
      <w:r>
        <w:rPr>
          <w:rFonts w:hint="eastAsia"/>
          <w:sz w:val="24"/>
          <w:lang w:val="en-US" w:eastAsia="zh-CN"/>
        </w:rPr>
        <w:t>(7-8)</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五、一般公共预算财政拨款支出决算情况说明</w:t>
      </w:r>
      <w:r>
        <w:rPr>
          <w:rFonts w:hint="eastAsia"/>
          <w:sz w:val="24"/>
          <w:lang w:val="en-US" w:eastAsia="zh-CN"/>
        </w:rPr>
        <w:t>(8-11)</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六、一般公共预算财政拨款基本支出决算情况说明</w:t>
      </w:r>
      <w:r>
        <w:rPr>
          <w:rFonts w:hint="eastAsia"/>
          <w:sz w:val="24"/>
          <w:lang w:val="en-US" w:eastAsia="zh-CN"/>
        </w:rPr>
        <w:t>(11-12)</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(12-14)</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八、政府性基金预算支出决算情况说明</w:t>
      </w:r>
      <w:r>
        <w:rPr>
          <w:rFonts w:hint="eastAsia"/>
          <w:sz w:val="24"/>
          <w:lang w:val="en-US" w:eastAsia="zh-CN"/>
        </w:rPr>
        <w:t>(14)</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w:t>
      </w:r>
      <w:r>
        <w:rPr>
          <w:rFonts w:hint="eastAsia"/>
          <w:sz w:val="24"/>
        </w:rPr>
        <w:t>国有资本经营预算支出决算情况说明</w:t>
      </w:r>
      <w:r>
        <w:rPr>
          <w:rFonts w:hint="eastAsia"/>
          <w:sz w:val="24"/>
          <w:lang w:val="en-US" w:eastAsia="zh-CN"/>
        </w:rPr>
        <w:t>(14)</w:t>
      </w:r>
    </w:p>
    <w:p>
      <w:pPr>
        <w:adjustRightInd w:val="0"/>
        <w:snapToGrid w:val="0"/>
        <w:spacing w:line="440" w:lineRule="exact"/>
        <w:ind w:firstLine="480" w:firstLineChars="200"/>
        <w:jc w:val="left"/>
        <w:rPr>
          <w:rFonts w:hint="default" w:ascii="仿宋" w:hAnsi="仿宋" w:eastAsia="仿宋"/>
          <w:sz w:val="24"/>
          <w:lang w:val="en-US" w:eastAsia="zh-CN"/>
        </w:rPr>
      </w:pPr>
      <w:r>
        <w:rPr>
          <w:rStyle w:val="15"/>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(14-18)</w:t>
      </w:r>
    </w:p>
    <w:p>
      <w:pPr>
        <w:pStyle w:val="10"/>
        <w:adjustRightInd w:val="0"/>
        <w:snapToGrid w:val="0"/>
        <w:spacing w:before="0" w:line="440" w:lineRule="exact"/>
        <w:jc w:val="left"/>
        <w:rPr>
          <w:rFonts w:hint="default"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(18-21)</w:t>
      </w:r>
    </w:p>
    <w:p>
      <w:pPr>
        <w:pStyle w:val="10"/>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附件</w:t>
      </w:r>
      <w:r>
        <w:rPr>
          <w:sz w:val="24"/>
        </w:rPr>
        <w:t>1</w:t>
      </w:r>
      <w:r>
        <w:rPr>
          <w:rFonts w:hint="eastAsia"/>
          <w:sz w:val="24"/>
          <w:lang w:val="en-US" w:eastAsia="zh-CN"/>
        </w:rPr>
        <w:t>(22-23)</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附件</w:t>
      </w:r>
      <w:r>
        <w:rPr>
          <w:sz w:val="24"/>
        </w:rPr>
        <w:t>2</w:t>
      </w:r>
      <w:r>
        <w:rPr>
          <w:rFonts w:hint="eastAsia"/>
          <w:sz w:val="24"/>
          <w:lang w:val="en-US" w:eastAsia="zh-CN"/>
        </w:rPr>
        <w:t>(24-27)</w:t>
      </w:r>
    </w:p>
    <w:p>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十三、国有资本经营预算财政拨款收入支出决算表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十四、国有资本经营预算财政拨款支出决算表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注：请部门根据实际注明页码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0"/>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0"/>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1"/>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1"/>
          <w:rFonts w:hint="eastAsia" w:ascii="黑体" w:hAnsi="黑体" w:eastAsia="黑体"/>
          <w:b w:val="0"/>
          <w:bCs w:val="0"/>
        </w:rPr>
        <w:t>本职能及主要工作</w:t>
      </w:r>
      <w:bookmarkEnd w:id="14"/>
      <w:bookmarkEnd w:id="15"/>
    </w:p>
    <w:p>
      <w:pPr>
        <w:spacing w:line="520" w:lineRule="exact"/>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（一）主要职能。（职能参照省政府批准的三定方案）</w:t>
      </w:r>
      <w:bookmarkEnd w:id="16"/>
      <w:bookmarkEnd w:id="17"/>
    </w:p>
    <w:p>
      <w:pPr>
        <w:spacing w:line="520" w:lineRule="exact"/>
        <w:ind w:firstLine="640" w:firstLineChars="200"/>
        <w:rPr>
          <w:rFonts w:ascii="仿宋_GB2312" w:hAnsi="仿宋_GB2312" w:eastAsia="仿宋_GB2312"/>
          <w:sz w:val="32"/>
          <w:lang w:val="zh-CN"/>
        </w:rPr>
      </w:pPr>
      <w:r>
        <w:rPr>
          <w:rFonts w:hint="eastAsia" w:ascii="仿宋_GB2312" w:hAnsi="仿宋_GB2312" w:eastAsia="仿宋_GB2312"/>
          <w:sz w:val="32"/>
          <w:lang w:val="zh-CN"/>
        </w:rPr>
        <w:t>城乡建设服务中心主要承担城乡建设服务相关事务性工作。（1）承担城镇道路、桥涵及其设施建设的技术服务和管养维护工作；承担作为业主和接管的安置房遗留问题处置相关事务性工作。（2）承担杆管线迁改、新建服务工作。（3）承担城镇公共照明设施、景观亮化工程的建设、运行、维护和用电安全相关工作。（4）承担全市城乡建设档案的建立、收集、保管、利用、开发等相关工作。（5）完成上级交办的其他任务。</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p>
    <w:p>
      <w:pPr>
        <w:pStyle w:val="2"/>
        <w:adjustRightInd w:val="0"/>
        <w:snapToGrid w:val="0"/>
        <w:spacing w:before="93" w:line="600" w:lineRule="exact"/>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8"/>
      <w:bookmarkEnd w:id="19"/>
    </w:p>
    <w:p>
      <w:pPr>
        <w:spacing w:line="520" w:lineRule="exact"/>
        <w:ind w:firstLine="640"/>
        <w:rPr>
          <w:rFonts w:ascii="仿宋_GB2312" w:hAnsi="仿宋_GB2312" w:eastAsia="仿宋_GB2312"/>
          <w:color w:val="000000"/>
          <w:kern w:val="0"/>
          <w:sz w:val="32"/>
          <w:lang w:val="zh-CN"/>
        </w:rPr>
      </w:pPr>
      <w:r>
        <w:rPr>
          <w:rFonts w:hint="eastAsia" w:ascii="仿宋_GB2312" w:hAnsi="仿宋_GB2312" w:eastAsia="仿宋_GB2312"/>
          <w:color w:val="000000"/>
          <w:kern w:val="0"/>
          <w:sz w:val="32"/>
          <w:lang w:val="zh-CN"/>
        </w:rPr>
        <w:t>做好城市基础设施建设，抓好市政道路、安置房等管理维护；抓好城镇公共照明设施、景观亮化工程的建设、运行、维护等相关工作；做好全市城乡建设档案的建立、收集、保管等相关工作；干好杆管线迁改、新建服务工作；圆满完成市委、市政府交办的其他任务。</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p>
    <w:p>
      <w:pPr>
        <w:pStyle w:val="4"/>
        <w:rPr>
          <w:rStyle w:val="21"/>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1"/>
          <w:rFonts w:hint="eastAsia" w:ascii="黑体" w:hAnsi="黑体" w:eastAsia="黑体"/>
          <w:b w:val="0"/>
          <w:bCs w:val="0"/>
        </w:rPr>
        <w:t>构设置</w:t>
      </w:r>
      <w:bookmarkEnd w:id="20"/>
      <w:bookmarkEnd w:id="21"/>
    </w:p>
    <w:p>
      <w:pPr>
        <w:rPr>
          <w:sz w:val="28"/>
          <w:szCs w:val="28"/>
        </w:rPr>
      </w:pPr>
      <w:bookmarkStart w:id="22" w:name="_Toc15396602"/>
      <w:bookmarkStart w:id="23" w:name="_Toc15377204"/>
      <w:r>
        <w:rPr>
          <w:rFonts w:hint="eastAsia"/>
          <w:sz w:val="28"/>
          <w:szCs w:val="28"/>
        </w:rPr>
        <w:t>本单位是由住建局主管，财政拨款独立预算单位，无下属单位。</w:t>
      </w:r>
    </w:p>
    <w:p>
      <w:pPr>
        <w:pStyle w:val="3"/>
        <w:ind w:right="440"/>
        <w:jc w:val="right"/>
        <w:rPr>
          <w:rStyle w:val="20"/>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0"/>
          <w:rFonts w:ascii="黑体" w:hAnsi="黑体" w:eastAsia="黑体"/>
          <w:b w:val="0"/>
          <w:bCs w:val="0"/>
        </w:rPr>
        <w:t>2020</w:t>
      </w:r>
      <w:r>
        <w:rPr>
          <w:rStyle w:val="20"/>
          <w:rFonts w:hint="eastAsia" w:ascii="黑体" w:hAnsi="黑体" w:eastAsia="黑体"/>
          <w:b w:val="0"/>
          <w:bCs w:val="0"/>
        </w:rPr>
        <w:t>年度部门决算情况说明</w:t>
      </w:r>
      <w:bookmarkEnd w:id="22"/>
      <w:bookmarkEnd w:id="23"/>
    </w:p>
    <w:p/>
    <w:p>
      <w:pPr>
        <w:pStyle w:val="17"/>
        <w:numPr>
          <w:ilvl w:val="0"/>
          <w:numId w:val="1"/>
        </w:numPr>
        <w:spacing w:line="600" w:lineRule="exact"/>
        <w:ind w:firstLineChars="0"/>
        <w:outlineLvl w:val="1"/>
        <w:rPr>
          <w:rStyle w:val="21"/>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1"/>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年度收、支总计35212.15万元。与</w:t>
      </w:r>
      <w:r>
        <w:rPr>
          <w:rFonts w:ascii="仿宋" w:hAnsi="仿宋" w:eastAsia="仿宋"/>
          <w:color w:val="000000"/>
          <w:sz w:val="32"/>
          <w:szCs w:val="32"/>
        </w:rPr>
        <w:t>2019</w:t>
      </w:r>
      <w:r>
        <w:rPr>
          <w:rFonts w:hint="eastAsia" w:ascii="仿宋" w:hAnsi="仿宋" w:eastAsia="仿宋"/>
          <w:color w:val="000000"/>
          <w:sz w:val="32"/>
          <w:szCs w:val="32"/>
        </w:rPr>
        <w:t>年相比，收、支总计各减少36923.67万元，下降51.19</w:t>
      </w:r>
      <w:r>
        <w:rPr>
          <w:rFonts w:ascii="仿宋" w:hAnsi="仿宋" w:eastAsia="仿宋"/>
          <w:color w:val="000000"/>
          <w:sz w:val="32"/>
          <w:szCs w:val="32"/>
        </w:rPr>
        <w:t>%</w:t>
      </w:r>
      <w:r>
        <w:rPr>
          <w:rFonts w:hint="eastAsia" w:ascii="仿宋" w:hAnsi="仿宋" w:eastAsia="仿宋"/>
          <w:color w:val="000000"/>
          <w:sz w:val="32"/>
          <w:szCs w:val="32"/>
        </w:rPr>
        <w:t>。主要变动原因是工程款拨付减少，日常开支励行节俭。（图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jc w:val="left"/>
        <w:rPr>
          <w:rFonts w:hint="eastAsia" w:ascii="仿宋_GB2312" w:eastAsia="仿宋_GB2312"/>
          <w:color w:val="000000"/>
          <w:sz w:val="32"/>
          <w:szCs w:val="32"/>
        </w:rPr>
      </w:pPr>
      <w:r>
        <w:rPr>
          <w:rFonts w:ascii="仿宋_GB2312" w:eastAsia="仿宋_GB2312"/>
          <w:color w:val="000000"/>
          <w:sz w:val="32"/>
          <w:szCs w:val="32"/>
        </w:rPr>
        <w:drawing>
          <wp:inline distT="0" distB="0" distL="0" distR="0">
            <wp:extent cx="5276850" cy="2857500"/>
            <wp:effectExtent l="1905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7"/>
        <w:numPr>
          <w:ilvl w:val="0"/>
          <w:numId w:val="1"/>
        </w:numPr>
        <w:spacing w:line="600" w:lineRule="exact"/>
        <w:ind w:firstLineChars="0"/>
        <w:outlineLvl w:val="1"/>
        <w:rPr>
          <w:rStyle w:val="21"/>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1"/>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年本年收入合计35211.62万元，其中：一般公共预算财政拨款收入16020.89万元，占45.5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；政府性基金预算财政拨款收入19190.74万元，占54.5</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01</w:t>
      </w:r>
      <w:r>
        <w:rPr>
          <w:rFonts w:hint="eastAsia" w:ascii="仿宋" w:hAnsi="仿宋" w:eastAsia="仿宋"/>
          <w:b/>
          <w:color w:val="FF0000"/>
          <w:sz w:val="32"/>
          <w:szCs w:val="32"/>
        </w:rPr>
        <w:t>表）</w:t>
      </w:r>
    </w:p>
    <w:p>
      <w:pPr>
        <w:outlineLvl w:val="1"/>
        <w:rPr>
          <w:rFonts w:hint="eastAsia" w:ascii="仿宋" w:hAnsi="仿宋" w:eastAsia="仿宋"/>
          <w:color w:val="000000"/>
          <w:sz w:val="32"/>
          <w:szCs w:val="32"/>
        </w:rPr>
      </w:pPr>
      <w:r>
        <w:rPr>
          <w:rFonts w:ascii="仿宋" w:hAnsi="仿宋" w:eastAsia="仿宋"/>
          <w:color w:val="000000"/>
          <w:sz w:val="32"/>
          <w:szCs w:val="32"/>
        </w:rPr>
        <w:drawing>
          <wp:inline distT="0" distB="0" distL="0" distR="0">
            <wp:extent cx="5274310" cy="2933700"/>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p>
    <w:p>
      <w:pPr>
        <w:pStyle w:val="17"/>
        <w:numPr>
          <w:ilvl w:val="0"/>
          <w:numId w:val="1"/>
        </w:numPr>
        <w:spacing w:line="600" w:lineRule="exact"/>
        <w:ind w:firstLineChars="0"/>
        <w:outlineLvl w:val="1"/>
        <w:rPr>
          <w:rStyle w:val="21"/>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1"/>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年本年支出合计35212.15万元，其中：基本支出863.91万元，占2.45</w:t>
      </w:r>
      <w:r>
        <w:rPr>
          <w:rFonts w:ascii="仿宋" w:hAnsi="仿宋" w:eastAsia="仿宋"/>
          <w:color w:val="000000"/>
          <w:sz w:val="32"/>
          <w:szCs w:val="32"/>
        </w:rPr>
        <w:t>%</w:t>
      </w:r>
      <w:r>
        <w:rPr>
          <w:rFonts w:hint="eastAsia" w:ascii="仿宋" w:hAnsi="仿宋" w:eastAsia="仿宋"/>
          <w:color w:val="000000"/>
          <w:sz w:val="32"/>
          <w:szCs w:val="32"/>
        </w:rPr>
        <w:t>；项目支出34348.25万元，占97.55</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shd w:val="pct10" w:color="auto" w:fill="FFFFFF"/>
        </w:rPr>
      </w:pPr>
      <w:r>
        <w:rPr>
          <w:rFonts w:hint="eastAsia" w:ascii="仿宋" w:hAnsi="仿宋" w:eastAsia="仿宋"/>
          <w:b/>
          <w:color w:val="FF0000"/>
          <w:sz w:val="32"/>
          <w:szCs w:val="32"/>
        </w:rPr>
        <w:t>（注：数据来源于财决</w:t>
      </w:r>
      <w:r>
        <w:rPr>
          <w:rFonts w:ascii="仿宋" w:hAnsi="仿宋" w:eastAsia="仿宋"/>
          <w:b/>
          <w:color w:val="FF0000"/>
          <w:sz w:val="32"/>
          <w:szCs w:val="32"/>
        </w:rPr>
        <w:t>04</w:t>
      </w:r>
      <w:r>
        <w:rPr>
          <w:rFonts w:hint="eastAsia" w:ascii="仿宋" w:hAnsi="仿宋" w:eastAsia="仿宋"/>
          <w:b/>
          <w:color w:val="FF0000"/>
          <w:sz w:val="32"/>
          <w:szCs w:val="32"/>
        </w:rPr>
        <w:t>表）</w:t>
      </w:r>
    </w:p>
    <w:p>
      <w:pPr>
        <w:rPr>
          <w:rFonts w:ascii="仿宋" w:hAnsi="仿宋" w:eastAsia="仿宋"/>
          <w:color w:val="000000"/>
          <w:sz w:val="32"/>
          <w:szCs w:val="32"/>
          <w:shd w:val="pct10" w:color="auto" w:fill="FFFFFF"/>
        </w:rPr>
      </w:pPr>
      <w:r>
        <w:rPr>
          <w:rFonts w:ascii="仿宋" w:hAnsi="仿宋" w:eastAsia="仿宋"/>
          <w:color w:val="000000"/>
          <w:sz w:val="32"/>
          <w:szCs w:val="32"/>
          <w:shd w:val="pct10" w:color="auto" w:fill="FFFFFF"/>
        </w:rPr>
        <w:drawing>
          <wp:inline distT="0" distB="0" distL="0" distR="0">
            <wp:extent cx="5181600" cy="2971800"/>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1"/>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1"/>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年财政拨款收、支总计35212.15万元。与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年相比，财政拨款收、支总计各减少36923.67万元，下降51.19</w:t>
      </w:r>
      <w:r>
        <w:rPr>
          <w:rFonts w:ascii="仿宋" w:hAnsi="仿宋" w:eastAsia="仿宋"/>
          <w:color w:val="000000"/>
          <w:sz w:val="32"/>
          <w:szCs w:val="32"/>
        </w:rPr>
        <w:t>%</w:t>
      </w:r>
      <w:r>
        <w:rPr>
          <w:rFonts w:hint="eastAsia" w:ascii="仿宋" w:hAnsi="仿宋" w:eastAsia="仿宋"/>
          <w:color w:val="000000"/>
          <w:sz w:val="32"/>
          <w:szCs w:val="32"/>
        </w:rPr>
        <w:t>。主要变动原因是工程款拨付减少，日常开支励行节俭。</w:t>
      </w: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pPr>
        <w:rPr>
          <w:rFonts w:ascii="仿宋" w:hAnsi="仿宋" w:eastAsia="仿宋"/>
          <w:color w:val="000000"/>
          <w:sz w:val="32"/>
          <w:szCs w:val="32"/>
        </w:rPr>
      </w:pPr>
      <w:r>
        <w:rPr>
          <w:rFonts w:ascii="仿宋" w:hAnsi="仿宋" w:eastAsia="仿宋"/>
          <w:color w:val="000000"/>
          <w:sz w:val="32"/>
          <w:szCs w:val="32"/>
        </w:rPr>
        <w:drawing>
          <wp:inline distT="0" distB="0" distL="0" distR="0">
            <wp:extent cx="5276850" cy="3238500"/>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21"/>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1"/>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年一般公共预算财政拨款支出16021.42万元，占本年支出合计的45.51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年相比，一般公共预算财政拨款减少38212.02万元，下降75.17</w:t>
      </w:r>
      <w:r>
        <w:rPr>
          <w:rFonts w:ascii="仿宋" w:hAnsi="仿宋" w:eastAsia="仿宋"/>
          <w:color w:val="000000"/>
          <w:sz w:val="32"/>
          <w:szCs w:val="32"/>
        </w:rPr>
        <w:t>%</w:t>
      </w:r>
      <w:r>
        <w:rPr>
          <w:rFonts w:hint="eastAsia" w:ascii="仿宋" w:hAnsi="仿宋" w:eastAsia="仿宋"/>
          <w:color w:val="000000"/>
          <w:sz w:val="32"/>
          <w:szCs w:val="32"/>
        </w:rPr>
        <w:t>。主要变动原因是工程款拨付减少，日常开支励行节俭。</w:t>
      </w:r>
    </w:p>
    <w:p>
      <w:pPr>
        <w:rPr>
          <w:rFonts w:hint="eastAsia" w:ascii="仿宋" w:hAnsi="仿宋" w:eastAsia="仿宋"/>
          <w:color w:val="000000"/>
          <w:sz w:val="32"/>
          <w:szCs w:val="32"/>
        </w:rPr>
      </w:pPr>
      <w:r>
        <w:rPr>
          <w:rFonts w:ascii="仿宋" w:hAnsi="仿宋" w:eastAsia="仿宋"/>
          <w:color w:val="000000"/>
          <w:sz w:val="32"/>
          <w:szCs w:val="32"/>
        </w:rPr>
        <w:drawing>
          <wp:inline distT="0" distB="0" distL="0" distR="0">
            <wp:extent cx="5276850" cy="3162300"/>
            <wp:effectExtent l="1905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年一般公共预算财政拨款支出16021.42万元，主要用于以下方面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支出573.14万元，占3.58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教育（类）支出</w:t>
      </w:r>
      <w:r>
        <w:rPr>
          <w:rFonts w:hint="eastAsia" w:ascii="仿宋" w:hAnsi="仿宋" w:eastAsia="仿宋"/>
          <w:color w:val="000000"/>
          <w:sz w:val="32"/>
          <w:szCs w:val="32"/>
        </w:rPr>
        <w:t>2650万元，占16.54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支出62.41万元，占0.39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15.10万元，占0.09</w:t>
      </w:r>
      <w:r>
        <w:rPr>
          <w:rFonts w:ascii="仿宋" w:hAnsi="仿宋" w:eastAsia="仿宋"/>
          <w:color w:val="000000"/>
          <w:sz w:val="32"/>
          <w:szCs w:val="32"/>
        </w:rPr>
        <w:t>%</w:t>
      </w:r>
      <w:r>
        <w:rPr>
          <w:rFonts w:hint="eastAsia" w:ascii="仿宋" w:hAnsi="仿宋" w:eastAsia="仿宋"/>
          <w:color w:val="000000"/>
          <w:sz w:val="32"/>
          <w:szCs w:val="32"/>
        </w:rPr>
        <w:t>；住房保障支出49.46万元，占0.31</w:t>
      </w:r>
      <w:r>
        <w:rPr>
          <w:rFonts w:ascii="仿宋" w:hAnsi="仿宋" w:eastAsia="仿宋"/>
          <w:color w:val="000000"/>
          <w:sz w:val="32"/>
          <w:szCs w:val="32"/>
        </w:rPr>
        <w:t>%</w:t>
      </w:r>
      <w:r>
        <w:rPr>
          <w:rFonts w:hint="eastAsia" w:ascii="仿宋" w:hAnsi="仿宋" w:eastAsia="仿宋"/>
          <w:color w:val="000000"/>
          <w:sz w:val="32"/>
          <w:szCs w:val="32"/>
        </w:rPr>
        <w:t>；城乡社区支出12671.31万元，占79.09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pPr>
        <w:jc w:val="center"/>
        <w:rPr>
          <w:rFonts w:ascii="仿宋" w:hAnsi="仿宋" w:eastAsia="仿宋"/>
          <w:color w:val="000000"/>
          <w:sz w:val="32"/>
          <w:szCs w:val="32"/>
        </w:rPr>
      </w:pPr>
      <w:r>
        <w:rPr>
          <w:rFonts w:ascii="仿宋" w:hAnsi="仿宋" w:eastAsia="仿宋"/>
          <w:color w:val="000000"/>
          <w:sz w:val="32"/>
          <w:szCs w:val="32"/>
        </w:rPr>
        <w:drawing>
          <wp:inline distT="0" distB="0" distL="0" distR="0">
            <wp:extent cx="5124450" cy="3409950"/>
            <wp:effectExtent l="19050" t="0" r="1905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FF0000"/>
          <w:sz w:val="32"/>
          <w:szCs w:val="32"/>
        </w:rPr>
      </w:pPr>
      <w:bookmarkStart w:id="37" w:name="_Toc15378460"/>
      <w:bookmarkStart w:id="38" w:name="_Toc15377213"/>
      <w:bookmarkStart w:id="39" w:name="_Toc15377444"/>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年一般公共预算支出决算数为16021.42万元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一般公共服务（类）政府办公厅（室）及相关机构事务（款）</w:t>
      </w:r>
      <w:r>
        <w:rPr>
          <w:rStyle w:val="14"/>
          <w:rFonts w:hint="eastAsia" w:ascii="仿宋" w:hAnsi="仿宋" w:eastAsia="仿宋"/>
          <w:b w:val="0"/>
          <w:bCs/>
          <w:color w:val="000000"/>
          <w:sz w:val="32"/>
          <w:szCs w:val="32"/>
        </w:rPr>
        <w:t>事业运行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支出决算为573.14万元，完成预算100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教育支出（类）教育费附加安排的支出（款）其他教育费附加安排的支出：</w:t>
      </w:r>
      <w:r>
        <w:rPr>
          <w:rStyle w:val="14"/>
          <w:rFonts w:hint="eastAsia" w:ascii="仿宋" w:hAnsi="仿宋" w:eastAsia="仿宋"/>
          <w:b w:val="0"/>
          <w:bCs/>
          <w:color w:val="000000"/>
          <w:sz w:val="32"/>
          <w:szCs w:val="32"/>
        </w:rPr>
        <w:t>支出决算数为2650万元，完成预算100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社会保障和就业（类）行政事业单位养老支出（款）机关事业单位基本养老保险缴费支出 （项）</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w:t>
      </w:r>
      <w:r>
        <w:rPr>
          <w:rStyle w:val="14"/>
          <w:rFonts w:hint="eastAsia" w:ascii="仿宋" w:hAnsi="仿宋" w:eastAsia="仿宋"/>
          <w:b w:val="0"/>
          <w:bCs/>
          <w:color w:val="000000"/>
          <w:sz w:val="32"/>
          <w:szCs w:val="32"/>
        </w:rPr>
        <w:t>支出决算为38.88万元，完成预算100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4.</w:t>
      </w:r>
      <w:r>
        <w:rPr>
          <w:rStyle w:val="14"/>
          <w:rFonts w:hint="eastAsia" w:ascii="仿宋" w:hAnsi="仿宋" w:eastAsia="仿宋"/>
          <w:bCs/>
          <w:color w:val="000000"/>
          <w:sz w:val="32"/>
          <w:szCs w:val="32"/>
        </w:rPr>
        <w:t>社会保障和就业（类）行政事业单位养老支出（款）</w:t>
      </w:r>
      <w:r>
        <w:rPr>
          <w:rStyle w:val="14"/>
          <w:rFonts w:hint="eastAsia" w:ascii="仿宋" w:hAnsi="仿宋" w:eastAsia="仿宋"/>
          <w:b w:val="0"/>
          <w:bCs/>
          <w:color w:val="000000"/>
          <w:sz w:val="32"/>
          <w:szCs w:val="32"/>
        </w:rPr>
        <w:t>机关事业单位职业年金缴费支出（项）支出决算数为21.49万元，完成预算100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5.社会保障和就业（类）其他社会保障就业支出（款）其他社会保障和就业支出（项）：支出决算数为2.03万元，完成预算100%。</w:t>
      </w:r>
    </w:p>
    <w:p>
      <w:pPr>
        <w:spacing w:line="600" w:lineRule="exact"/>
        <w:ind w:firstLine="640" w:firstLineChars="200"/>
        <w:rPr>
          <w:rFonts w:ascii="仿宋" w:hAnsi="仿宋" w:eastAsia="仿宋"/>
          <w:b/>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卫生健康支出</w:t>
      </w:r>
      <w:r>
        <w:rPr>
          <w:rStyle w:val="14"/>
          <w:rFonts w:hint="eastAsia" w:ascii="仿宋" w:hAnsi="仿宋" w:eastAsia="仿宋"/>
          <w:bCs/>
          <w:color w:val="000000"/>
          <w:sz w:val="32"/>
          <w:szCs w:val="32"/>
        </w:rPr>
        <w:t>（类）行政事业单位医疗（款）事业单位医疗（项）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支出决算为15.1万元，完成预算100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7.城乡社区支出（类）城乡社区管理事务（款）  其他城乡社区管理事务支出（项）决算数为12671.31万元，完成预算100%。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8.住房保障支出（类）住房改革支出（款）住房公积金支出（项）决算数为49.46万元，完成预算100%。</w:t>
      </w:r>
    </w:p>
    <w:p>
      <w:pPr>
        <w:spacing w:line="600" w:lineRule="exact"/>
        <w:ind w:firstLine="640"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1"/>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1"/>
          <w:rFonts w:hint="eastAsia" w:ascii="黑体" w:hAnsi="黑体" w:eastAsia="黑体"/>
          <w:b w:val="0"/>
        </w:rPr>
        <w:t>般公共预算财政拨款基本支出决算情况说明</w:t>
      </w:r>
      <w:bookmarkEnd w:id="40"/>
      <w:bookmarkEnd w:id="41"/>
      <w:r>
        <w:rPr>
          <w:rStyle w:val="21"/>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年一般公共预算财政拨款基本支出863.91万元，其中：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810.78万元，主要包括：基本工资138.09万元、津贴补贴134.53万元、伙食补助费16.5万元、绩效工资228.71万元、机关事业单位基本养老保险缴费38.88万元、职业年金缴费21.49万元、职工基本医疗保险缴费15.10万元、其他社会保障缴费2.03万元、其他工资福利支出163.80万元、生活补助2万元、奖励金0.17万元、住房公积金49.46万元等。</w:t>
      </w:r>
      <w:r>
        <w:rPr>
          <w:rFonts w:ascii="仿宋" w:hAnsi="仿宋" w:eastAsia="仿宋"/>
          <w:color w:val="000000"/>
          <w:sz w:val="32"/>
          <w:szCs w:val="32"/>
        </w:rPr>
        <w:br w:type="textWrapping"/>
      </w:r>
      <w:r>
        <w:rPr>
          <w:rFonts w:hint="eastAsia" w:ascii="仿宋" w:hAnsi="仿宋" w:eastAsia="仿宋"/>
          <w:color w:val="000000"/>
          <w:sz w:val="32"/>
          <w:szCs w:val="32"/>
        </w:rPr>
        <w:t>　　日常公用经费53.13万元，主要包括：办公费21.16万元、咨询费2.00万元、水费0.69万元、电费1.55万元、邮电费4.42万元、差旅费3.7万元、劳务费1.06万元、工会经费12.70万元、公务用车运行维护费5.44万元、其他交通费0.10万元、其他商品和服务支出0.30万元等。</w:t>
      </w:r>
    </w:p>
    <w:p>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pPr>
        <w:spacing w:line="600" w:lineRule="exact"/>
        <w:ind w:firstLine="640"/>
        <w:rPr>
          <w:rFonts w:ascii="仿宋" w:hAnsi="仿宋" w:eastAsia="仿宋"/>
          <w:b/>
          <w:color w:val="FF0000"/>
          <w:sz w:val="32"/>
          <w:szCs w:val="32"/>
        </w:rPr>
      </w:pPr>
    </w:p>
    <w:p>
      <w:pPr>
        <w:spacing w:line="600" w:lineRule="exact"/>
        <w:ind w:firstLine="640"/>
        <w:outlineLvl w:val="1"/>
        <w:rPr>
          <w:rStyle w:val="21"/>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1"/>
          <w:rFonts w:hint="eastAsia" w:ascii="黑体" w:hAnsi="黑体" w:eastAsia="黑体"/>
        </w:rPr>
        <w:t>“</w:t>
      </w:r>
      <w:r>
        <w:rPr>
          <w:rStyle w:val="21"/>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年“三公”经费财政拨款支出决算为5.89万元，完成预算100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；公务用车购置及运行维护费支出决算5.89万元，占100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ind w:firstLine="641"/>
        <w:rPr>
          <w:rFonts w:hint="eastAsia" w:ascii="仿宋" w:hAnsi="仿宋" w:eastAsia="仿宋"/>
          <w:color w:val="000000"/>
          <w:sz w:val="32"/>
          <w:szCs w:val="32"/>
        </w:rPr>
      </w:pPr>
      <w:r>
        <w:rPr>
          <w:rFonts w:ascii="仿宋" w:hAnsi="仿宋" w:eastAsia="仿宋"/>
          <w:color w:val="000000"/>
          <w:sz w:val="32"/>
          <w:szCs w:val="32"/>
        </w:rPr>
        <w:drawing>
          <wp:inline distT="0" distB="0" distL="0" distR="0">
            <wp:extent cx="4560570" cy="2771775"/>
            <wp:effectExtent l="19050" t="0" r="11269"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5.89万元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9年减少3.21万元，下降35.27</w:t>
      </w:r>
      <w:r>
        <w:rPr>
          <w:rFonts w:ascii="仿宋_GB2312" w:eastAsia="仿宋_GB2312"/>
          <w:color w:val="000000"/>
          <w:sz w:val="32"/>
          <w:szCs w:val="32"/>
        </w:rPr>
        <w:t>%</w:t>
      </w:r>
      <w:r>
        <w:rPr>
          <w:rFonts w:hint="eastAsia" w:ascii="仿宋_GB2312" w:eastAsia="仿宋_GB2312"/>
          <w:color w:val="000000"/>
          <w:sz w:val="32"/>
          <w:szCs w:val="32"/>
        </w:rPr>
        <w:t>。主要原因是公车改革，励行节俭。</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月底，单位共有公务用车2辆，其中：轿车2辆。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5.89万元。主要用于本单位工作所需的公务用车燃料费、维修费、过路过桥费、保险费等支出。</w:t>
      </w:r>
    </w:p>
    <w:p>
      <w:pPr>
        <w:numPr>
          <w:ilvl w:val="0"/>
          <w:numId w:val="2"/>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2"/>
        </w:num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。国内公务接待0批次，0人次（不包括陪同人员），共计支出0万元，具体内容包括：…（接待具体项目、金额）。</w:t>
      </w:r>
    </w:p>
    <w:p>
      <w:pPr>
        <w:spacing w:line="600" w:lineRule="exact"/>
        <w:ind w:firstLine="640"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万元，外事接待0批次，0人，共计支出0万元，主要用于接待</w:t>
      </w:r>
      <w:r>
        <w:rPr>
          <w:rFonts w:ascii="仿宋_GB2312" w:eastAsia="仿宋_GB2312"/>
          <w:color w:val="000000"/>
          <w:sz w:val="32"/>
          <w:szCs w:val="32"/>
        </w:rPr>
        <w:t>…</w:t>
      </w:r>
      <w:r>
        <w:rPr>
          <w:rFonts w:hint="eastAsia" w:ascii="仿宋_GB2312" w:eastAsia="仿宋_GB2312"/>
          <w:color w:val="000000"/>
          <w:sz w:val="32"/>
          <w:szCs w:val="32"/>
        </w:rPr>
        <w:t>（具体项目）。主要用于……</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1"/>
          <w:rFonts w:ascii="黑体" w:hAnsi="黑体" w:eastAsia="黑体"/>
        </w:rPr>
      </w:pPr>
      <w:r>
        <w:rPr>
          <w:rFonts w:hint="eastAsia" w:ascii="黑体" w:eastAsia="黑体"/>
          <w:color w:val="000000"/>
          <w:sz w:val="32"/>
          <w:szCs w:val="32"/>
        </w:rPr>
        <w:t>八、</w:t>
      </w:r>
      <w:r>
        <w:rPr>
          <w:rStyle w:val="21"/>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年政府性基金预算拨款支出19190.74万元。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1"/>
          <w:rFonts w:ascii="黑体" w:hAnsi="黑体" w:eastAsia="黑体"/>
          <w:b w:val="0"/>
        </w:rPr>
      </w:pPr>
      <w:bookmarkStart w:id="48" w:name="_Toc15377219"/>
      <w:bookmarkStart w:id="49" w:name="_Toc15396611"/>
      <w:r>
        <w:rPr>
          <w:rStyle w:val="21"/>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1"/>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1"/>
          <w:rFonts w:hint="eastAsia" w:ascii="黑体" w:hAnsi="黑体" w:eastAsia="黑体"/>
        </w:rPr>
        <w:t>、</w:t>
      </w:r>
      <w:r>
        <w:rPr>
          <w:rStyle w:val="21"/>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年，本单位机关运行经费支出0万元，比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2019</w:t>
      </w:r>
      <w:r>
        <w:rPr>
          <w:rFonts w:hint="eastAsia" w:ascii="仿宋_GB2312" w:eastAsia="仿宋_GB2312"/>
          <w:color w:val="000000"/>
          <w:sz w:val="32"/>
          <w:szCs w:val="32"/>
        </w:rPr>
        <w:t>年决算数持平）。</w:t>
      </w: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年，本单位政府采购支出总额0万元，其中：政府采购货物支出0万元、政府采购工程支出0万元、政府采购服务支出0万元。主要用于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日，峨眉山市城乡建设服务中心共有车辆29辆，其中：主要领导干部用车2辆、机要通信用车0辆、应急保障用车0辆、其他用车27辆……其他用车主要是用于</w:t>
      </w:r>
      <w:r>
        <w:rPr>
          <w:rFonts w:hint="eastAsia" w:ascii="仿宋_GB2312" w:eastAsia="仿宋_GB2312"/>
          <w:color w:val="000000" w:themeColor="text1"/>
          <w:sz w:val="32"/>
          <w:szCs w:val="32"/>
        </w:rPr>
        <w:t>工具车，亮化高空作业车等，</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根据预算绩效管理要求，本部门（单位）在年初预算编制阶段，组织对8个项目（项目名称）开展了预算事前绩效评估，对8个项目编制了绩效目标，预算执行过程中，选取0个项目开展绩效监控。。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年部门整体支出开展绩效自评，从评价情况来看部门整体运行正常，工作正常开展，群众满意。</w:t>
      </w:r>
    </w:p>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本部门在2020年度部门决算中反映“运行经费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“聘用人员劳务费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“路灯维护费”等8个项目绩效目标实际完成情况。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（1）运行费项目绩效目标完成情况综述。项目全年预算数97.86万元，通过项目实施，保障日常工作正常开展，单位正常运转。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（2）聘用人员劳务费项目绩效目标完成情况综述。项目全年预算数197.95万元，执行数为197.95万元，完成预算的100%。通过项目实施，保障了聘用人员劳务费正常发放，保险、公积金等正常运转。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（3）路灯维护费项目绩效目标完成情况综述。项目全年预算数488.14万元，执行数为488.14万元，完成预算的100%。通过项目实施，保障了全市路灯的维护，日常零星抢修，路灯的正常亮化。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（4）路灯电费项目绩效目标完成情况综述。项目全年预算数1304.82万元，执行数为1304.82万元，完成预算的100%。通过项目实施，保障了城区及各乡镇路灯电费的及时缴纳，路灯的正常亮化。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（5）车辆燃修及保险项目绩效目标完成情况综述。项目全年预算数39.29万元，执行数为39.29万元，完成预算的100%。通过项目实施，保障了亮化工作车及高空作业车的管理和维护，保证城乡亮化工作的正常开展。</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pStyle w:val="2"/>
        <w:spacing w:before="93"/>
        <w:rPr>
          <w:rFonts w:hAnsi="仿宋_GB2312" w:cs="仿宋_GB2312"/>
          <w:sz w:val="32"/>
          <w:szCs w:val="32"/>
        </w:rPr>
      </w:pPr>
    </w:p>
    <w:p>
      <w:pPr>
        <w:pStyle w:val="2"/>
        <w:spacing w:before="93"/>
        <w:rPr>
          <w:rFonts w:hAnsi="仿宋_GB2312" w:cs="仿宋_GB2312"/>
          <w:sz w:val="32"/>
          <w:szCs w:val="32"/>
        </w:rPr>
      </w:pPr>
    </w:p>
    <w:p>
      <w:pPr>
        <w:pStyle w:val="2"/>
        <w:spacing w:before="93"/>
        <w:rPr>
          <w:rFonts w:hAnsi="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pPr>
            <w:r>
              <w:rPr>
                <w:rFonts w:hint="eastAsia"/>
              </w:rPr>
              <w:t>城乡建设服务中心项目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峨眉山市城乡建设服务中心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4971.61万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4971.61万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4971.61万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1275"/>
              </w:tabs>
              <w:jc w:val="left"/>
              <w:textAlignment w:val="center"/>
              <w:rPr>
                <w:rFonts w:ascii="宋体" w:cs="宋体"/>
                <w:color w:val="000000"/>
                <w:sz w:val="24"/>
              </w:rPr>
            </w:pPr>
            <w:r>
              <w:rPr>
                <w:rFonts w:hint="eastAsia" w:ascii="宋体" w:cs="宋体"/>
                <w:color w:val="000000"/>
                <w:sz w:val="24"/>
              </w:rPr>
              <w:tab/>
            </w:r>
            <w:r>
              <w:rPr>
                <w:rFonts w:hint="eastAsia" w:ascii="宋体" w:hAnsi="宋体" w:cs="宋体"/>
                <w:color w:val="000000"/>
                <w:sz w:val="24"/>
              </w:rPr>
              <w:t>根据市委市政府工作安排，组织实施城市道路、拆迁安置房、杆管线迁改等建设工作，维护和管理城市亮化、杆管线等市政施放。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646"/>
              </w:tabs>
              <w:jc w:val="left"/>
              <w:textAlignment w:val="center"/>
              <w:rPr>
                <w:rFonts w:ascii="宋体" w:cs="宋体"/>
                <w:color w:val="000000"/>
                <w:sz w:val="24"/>
              </w:rPr>
            </w:pPr>
            <w:r>
              <w:rPr>
                <w:rFonts w:hint="eastAsia" w:ascii="宋体" w:cs="宋体"/>
                <w:color w:val="000000"/>
                <w:sz w:val="24"/>
              </w:rPr>
              <w:tab/>
            </w:r>
            <w:r>
              <w:rPr>
                <w:rFonts w:hint="eastAsia" w:ascii="宋体" w:hAnsi="宋体" w:cs="宋体"/>
                <w:color w:val="000000"/>
                <w:sz w:val="24"/>
              </w:rPr>
              <w:t>根据市委市政府工作安排，组织实施城市道路、拆迁安置房、杆管线迁改等建设工作，维护和管理城市亮化、杆管线等市政施放。</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各股室正常运转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保障日常工作的正常开展，单位运转正常</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保障日常工作的正常开展，单位运转正常</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时效指标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各项目按期完成率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各项目按期完成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每月及时开展工作</w:t>
            </w:r>
          </w:p>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每月及时开展工作</w:t>
            </w:r>
          </w:p>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pPr>
            <w:r>
              <w:rPr>
                <w:rFonts w:hint="eastAsia"/>
              </w:rPr>
              <w:t>安置房维修工作</w:t>
            </w:r>
          </w:p>
          <w:p>
            <w:pPr>
              <w:pStyle w:val="2"/>
              <w:spacing w:before="93"/>
              <w:rPr>
                <w:rFonts w:ascii="宋体" w:cs="宋体"/>
                <w:color w:val="00000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房屋280套、门市710个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已完成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药博园PPP项目建设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总投资约3.5亿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项目正常有序开展</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杆管线迁改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完成8个项目杆管线迁改，总投资约2120万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项目正常有序开展</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各项目质量有保障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合格率</w:t>
            </w:r>
            <w:r>
              <w:rPr>
                <w:rFonts w:ascii="Arial" w:hAnsi="Arial" w:cs="Arial"/>
                <w:color w:val="000000"/>
                <w:sz w:val="24"/>
              </w:rPr>
              <w:t>≥</w:t>
            </w:r>
            <w:r>
              <w:rPr>
                <w:rFonts w:hint="eastAsia" w:ascii="Arial" w:hAnsi="Arial" w:cs="Arial"/>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合格率</w:t>
            </w:r>
            <w:r>
              <w:rPr>
                <w:rFonts w:ascii="Arial" w:hAnsi="Arial" w:cs="Arial"/>
                <w:color w:val="000000"/>
                <w:sz w:val="24"/>
              </w:rPr>
              <w:t>≥</w:t>
            </w:r>
            <w:r>
              <w:rPr>
                <w:rFonts w:hint="eastAsia" w:ascii="Arial" w:hAnsi="Arial" w:cs="Arial"/>
                <w:color w:val="000000"/>
                <w:sz w:val="24"/>
              </w:rPr>
              <w:t>95%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各项目按期完成率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Arial" w:hAnsi="Arial" w:cs="Arial"/>
                <w:color w:val="000000"/>
                <w:sz w:val="24"/>
              </w:rPr>
              <w:t>≥</w:t>
            </w:r>
            <w:r>
              <w:rPr>
                <w:rFonts w:hint="eastAsia" w:ascii="Arial" w:hAnsi="Arial" w:cs="Arial"/>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Arial" w:hAnsi="Arial" w:cs="Arial"/>
                <w:color w:val="000000"/>
                <w:sz w:val="24"/>
              </w:rPr>
              <w:t>≥</w:t>
            </w:r>
            <w:r>
              <w:rPr>
                <w:rFonts w:hint="eastAsia" w:ascii="Arial" w:hAnsi="Arial" w:cs="Arial"/>
                <w:color w:val="000000"/>
                <w:sz w:val="24"/>
              </w:rPr>
              <w:t>95%</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城市亮化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保证日常工作的正常开展、路灯的正常亮化、群众出行安全、工程的正常推进。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保证日常工作的正常开展、路灯的正常亮化、群众出行安全、工程的正常推进。</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numPr>
          <w:ilvl w:val="0"/>
          <w:numId w:val="4"/>
        </w:numPr>
        <w:spacing w:line="600" w:lineRule="exact"/>
        <w:ind w:firstLine="660" w:firstLineChars="150"/>
        <w:jc w:val="center"/>
        <w:outlineLvl w:val="0"/>
        <w:rPr>
          <w:rStyle w:val="20"/>
          <w:rFonts w:ascii="黑体" w:hAnsi="黑体" w:eastAsia="黑体"/>
          <w:b w:val="0"/>
        </w:rPr>
      </w:pPr>
      <w:bookmarkStart w:id="55" w:name="_Toc15396613"/>
      <w:bookmarkStart w:id="56" w:name="_Toc15377225"/>
      <w:r>
        <w:rPr>
          <w:rStyle w:val="20"/>
          <w:rFonts w:hint="eastAsia" w:ascii="黑体" w:hAnsi="黑体" w:eastAsia="黑体"/>
          <w:b w:val="0"/>
        </w:rPr>
        <w:t>名词解释</w:t>
      </w:r>
      <w:bookmarkEnd w:id="55"/>
      <w:bookmarkEnd w:id="56"/>
    </w:p>
    <w:p>
      <w:pPr>
        <w:pStyle w:val="2"/>
        <w:spacing w:before="93"/>
      </w:pPr>
    </w:p>
    <w:p>
      <w:pPr>
        <w:spacing w:line="600" w:lineRule="exact"/>
        <w:jc w:val="left"/>
        <w:rPr>
          <w:rFonts w:ascii="宋体"/>
          <w:b/>
          <w:color w:val="000000"/>
          <w:sz w:val="44"/>
          <w:szCs w:val="44"/>
        </w:rPr>
      </w:pPr>
    </w:p>
    <w:p>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9.一般公共服务（类）：指事业运行、其他政府办公厅（室）及相关机构事务支出等。</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15.社会保障和就业（类）：指机关事业单位基本养老保险缴费支出、机关事业单位职业年金缴费支出等。</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16.卫生健康（类）：指事业单位医疗支出。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17.城乡社区支出（类）：指  其他城乡社区管理事务支出 </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、其他城乡社区公共设施支出、其他城乡社区支出等。</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18.农林水支出（类）：指其他扶贫支出。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19.住房保障支出（类）：指其他保障性安居工程支出、住房公积金支出。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（解释本部门决算报表中全部功能分类科目至项级，请参照《2019年政府收支分类科目》增减内容。）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0"/>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0"/>
          <w:rFonts w:hint="eastAsia" w:ascii="黑体" w:hAnsi="黑体" w:eastAsia="黑体"/>
          <w:b w:val="0"/>
        </w:rPr>
        <w:t>四部分</w:t>
      </w:r>
      <w:r>
        <w:rPr>
          <w:rStyle w:val="20"/>
          <w:rFonts w:ascii="黑体" w:hAnsi="黑体" w:eastAsia="黑体"/>
          <w:b w:val="0"/>
        </w:rPr>
        <w:t xml:space="preserve"> </w:t>
      </w:r>
      <w:r>
        <w:rPr>
          <w:rStyle w:val="20"/>
          <w:rFonts w:hint="eastAsia" w:ascii="黑体" w:hAnsi="黑体" w:eastAsia="黑体"/>
          <w:b w:val="0"/>
        </w:rPr>
        <w:t>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峨眉山市城乡建设服务中心</w:t>
      </w: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kern w:val="0"/>
          <w:sz w:val="32"/>
          <w:szCs w:val="32"/>
          <w:shd w:val="clear" w:color="auto" w:fill="FFFFFF"/>
          <w:lang w:val="zh-CN"/>
        </w:rPr>
      </w:pPr>
      <w:r>
        <w:rPr>
          <w:rFonts w:hint="eastAsia" w:asciiTheme="minorEastAsia" w:hAnsiTheme="minorEastAsia" w:eastAsiaTheme="minorEastAsia" w:cstheme="minorEastAsia"/>
          <w:kern w:val="0"/>
          <w:sz w:val="32"/>
          <w:szCs w:val="32"/>
          <w:shd w:val="clear" w:color="auto" w:fill="FFFFFF"/>
          <w:lang w:val="zh-CN"/>
        </w:rPr>
        <w:t>（一）我中心为财政拨款事业单位，无下属单位。</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kern w:val="0"/>
          <w:sz w:val="32"/>
          <w:szCs w:val="32"/>
          <w:shd w:val="clear" w:color="auto" w:fill="FFFFFF"/>
          <w:lang w:val="zh-CN"/>
        </w:rPr>
      </w:pPr>
      <w:r>
        <w:rPr>
          <w:rFonts w:hint="eastAsia" w:asciiTheme="minorEastAsia" w:hAnsiTheme="minorEastAsia" w:eastAsiaTheme="minorEastAsia" w:cstheme="minorEastAsia"/>
          <w:kern w:val="0"/>
          <w:sz w:val="32"/>
          <w:szCs w:val="32"/>
          <w:shd w:val="clear" w:color="auto" w:fill="FFFFFF"/>
          <w:lang w:val="zh-CN"/>
        </w:rPr>
        <w:t>（二）机构职能。</w:t>
      </w:r>
    </w:p>
    <w:p>
      <w:pPr>
        <w:ind w:firstLine="1120" w:firstLineChars="400"/>
        <w:rPr>
          <w:rFonts w:ascii="仿宋_GB2312" w:hAnsi="宋体" w:eastAsia="仿宋_GB2312" w:cs="宋体"/>
          <w:color w:val="000000"/>
          <w:kern w:val="0"/>
          <w:sz w:val="32"/>
          <w:szCs w:val="32"/>
          <w:shd w:val="clear" w:color="auto" w:fill="FFFFFF"/>
          <w:lang w:val="zh-CN"/>
        </w:rPr>
      </w:pPr>
      <w:r>
        <w:rPr>
          <w:rFonts w:hint="eastAsia"/>
          <w:sz w:val="28"/>
          <w:szCs w:val="28"/>
        </w:rPr>
        <w:t>承担城乡建设服务相关事务性工作。（1）承担城镇道路、桥涵及其设施建设的技术服务和管养维护工作；承担排水（雨水和生活污水排放、防水排涝）设施建设的技术服务和运行维护工作；承担作为业主和接管的安置房遗留问题处置相关事务性工作。（2）承担农村住房建设通用设计图集的编制、设计及推广工作；承担农村危房改造事务性工作；组织实施农村建筑工匠培训；承担建筑劳务输出服务工作；承担村镇建设试点具体事务性工作。（3）承担杆管线迁改、新建服务工作。（4）承担城镇公共照明设施、景观亮化工程的建设、运行、维护和用电安全相关工作。（5）承担全市城乡建设档案的建立、收集、保管、利用、开发等相关工作。（6）完成上级交办的其他任务。</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（三）人员概况：在编人员</w:t>
      </w:r>
      <w:r>
        <w:rPr>
          <w:rFonts w:hint="eastAsia" w:asciiTheme="minorEastAsia" w:hAnsiTheme="minorEastAsia" w:eastAsiaTheme="minorEastAsia" w:cstheme="minorEastAsia"/>
          <w:color w:val="000000"/>
          <w:kern w:val="0"/>
          <w:sz w:val="32"/>
          <w:szCs w:val="32"/>
          <w:shd w:val="clear" w:color="auto" w:fill="FFFFFF"/>
        </w:rPr>
        <w:t>32人</w:t>
      </w:r>
      <w:r>
        <w:rPr>
          <w:rFonts w:hint="eastAsia" w:asciiTheme="minorEastAsia" w:hAnsiTheme="minorEastAsia" w:eastAsiaTheme="minorEastAsia" w:cstheme="minorEastAsia"/>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（一）部门财政资金收入情况：</w:t>
      </w:r>
      <w:r>
        <w:rPr>
          <w:rFonts w:hint="eastAsia" w:asciiTheme="minorEastAsia" w:hAnsiTheme="minorEastAsia" w:eastAsiaTheme="minorEastAsia" w:cstheme="minorEastAsia"/>
          <w:color w:val="000000"/>
          <w:sz w:val="32"/>
          <w:szCs w:val="32"/>
        </w:rPr>
        <w:t>35211.62万元</w:t>
      </w:r>
      <w:r>
        <w:rPr>
          <w:rFonts w:hint="eastAsia" w:asciiTheme="minorEastAsia" w:hAnsiTheme="minorEastAsia" w:eastAsiaTheme="minorEastAsia" w:cstheme="minorEastAsia"/>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（二）部门财政资金支出情况：</w:t>
      </w:r>
      <w:r>
        <w:rPr>
          <w:rFonts w:hint="eastAsia" w:asciiTheme="minorEastAsia" w:hAnsiTheme="minorEastAsia" w:eastAsiaTheme="minorEastAsia" w:cstheme="minorEastAsia"/>
          <w:color w:val="000000"/>
          <w:sz w:val="32"/>
          <w:szCs w:val="32"/>
        </w:rPr>
        <w:t>35212.15万元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（一）部门预算管理。</w:t>
      </w:r>
    </w:p>
    <w:p>
      <w:pPr>
        <w:spacing w:line="580" w:lineRule="exact"/>
        <w:ind w:firstLine="720"/>
        <w:jc w:val="left"/>
        <w:rPr>
          <w:rFonts w:asciiTheme="minorEastAsia" w:hAnsiTheme="minorEastAsia" w:eastAsiaTheme="minorEastAsia" w:cstheme="minorEastAsia"/>
          <w:color w:val="000000"/>
          <w:kern w:val="0"/>
          <w:sz w:val="32"/>
          <w:lang w:val="zh-CN"/>
        </w:rPr>
      </w:pPr>
      <w:r>
        <w:rPr>
          <w:rFonts w:hint="eastAsia" w:asciiTheme="minorEastAsia" w:hAnsiTheme="minorEastAsia" w:eastAsiaTheme="minorEastAsia" w:cstheme="minorEastAsia"/>
          <w:color w:val="000000"/>
          <w:sz w:val="32"/>
          <w:lang w:val="zh-CN"/>
        </w:rPr>
        <w:t>峨眉山市城乡建设服务中心预算编制</w:t>
      </w:r>
      <w:r>
        <w:rPr>
          <w:rFonts w:hint="eastAsia" w:asciiTheme="minorEastAsia" w:hAnsiTheme="minorEastAsia" w:eastAsiaTheme="minorEastAsia" w:cstheme="minorEastAsia"/>
          <w:sz w:val="32"/>
          <w:lang w:val="zh-CN"/>
        </w:rPr>
        <w:t>按照预算管理有关规定执行，部门预算的编制实行综合预算制度，即全部收入和支出都反映在预算中。</w:t>
      </w:r>
      <w:r>
        <w:rPr>
          <w:rFonts w:hint="eastAsia" w:asciiTheme="minorEastAsia" w:hAnsiTheme="minorEastAsia" w:eastAsiaTheme="minorEastAsia" w:cstheme="minorEastAsia"/>
          <w:color w:val="000000"/>
          <w:kern w:val="0"/>
          <w:sz w:val="32"/>
          <w:lang w:val="zh-CN"/>
        </w:rPr>
        <w:t>决算编制严格按照《会计法》、《政府会计准则》等法律法规编制；绩效目标的填报严格按照《预算法》的相关规定合理进行绩效目标填报。</w:t>
      </w:r>
      <w:r>
        <w:rPr>
          <w:rFonts w:hint="eastAsia" w:asciiTheme="minorEastAsia" w:hAnsiTheme="minorEastAsia" w:eastAsiaTheme="minorEastAsia" w:cstheme="minorEastAsia"/>
          <w:color w:val="000000"/>
          <w:sz w:val="32"/>
          <w:lang w:val="zh-CN"/>
        </w:rPr>
        <w:t>合理安排使用资金，严格控制资金的计划、审批和使用，并按照进度要求及时与财政部门对接，发挥各项资金的最大绩效。</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推进城市基础设施建设，整理城市蜘蛛网，美化城市，为市民出行提供方便，提高市民生活质量，为全市城市建设、旅游发展做出积极贡献。</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四、评价结论及建议</w:t>
      </w:r>
    </w:p>
    <w:p>
      <w:pPr>
        <w:spacing w:line="580" w:lineRule="exact"/>
        <w:ind w:firstLine="720"/>
        <w:jc w:val="left"/>
        <w:rPr>
          <w:rFonts w:asciiTheme="minorEastAsia" w:hAnsiTheme="minorEastAsia" w:eastAsiaTheme="minorEastAsia" w:cstheme="minorEastAsia"/>
          <w:color w:val="000000"/>
          <w:sz w:val="32"/>
          <w:lang w:val="zh-CN"/>
        </w:rPr>
      </w:pPr>
      <w:r>
        <w:rPr>
          <w:rFonts w:hint="eastAsia" w:asciiTheme="minorEastAsia" w:hAnsiTheme="minorEastAsia" w:eastAsiaTheme="minorEastAsia" w:cstheme="minorEastAsia"/>
          <w:color w:val="000000"/>
          <w:kern w:val="0"/>
          <w:sz w:val="32"/>
          <w:szCs w:val="32"/>
          <w:shd w:val="clear" w:color="auto" w:fill="FFFFFF"/>
          <w:lang w:val="zh-CN"/>
        </w:rPr>
        <w:t>（一）评价结论。</w:t>
      </w:r>
      <w:r>
        <w:rPr>
          <w:rFonts w:hint="eastAsia" w:asciiTheme="minorEastAsia" w:hAnsiTheme="minorEastAsia" w:eastAsiaTheme="minorEastAsia" w:cstheme="minorEastAsia"/>
          <w:color w:val="000000"/>
          <w:sz w:val="32"/>
          <w:lang w:val="zh-CN"/>
        </w:rPr>
        <w:t>20</w:t>
      </w:r>
      <w:r>
        <w:rPr>
          <w:rFonts w:hint="eastAsia" w:asciiTheme="minorEastAsia" w:hAnsiTheme="minorEastAsia" w:eastAsiaTheme="minorEastAsia" w:cstheme="minorEastAsia"/>
          <w:color w:val="000000"/>
          <w:sz w:val="32"/>
        </w:rPr>
        <w:t>20</w:t>
      </w:r>
      <w:r>
        <w:rPr>
          <w:rFonts w:hint="eastAsia" w:asciiTheme="minorEastAsia" w:hAnsiTheme="minorEastAsia" w:eastAsiaTheme="minorEastAsia" w:cstheme="minorEastAsia"/>
          <w:color w:val="000000"/>
          <w:sz w:val="32"/>
          <w:lang w:val="zh-CN"/>
        </w:rPr>
        <w:t>年我单位通过部门自评工作，预算绩效打分95分。</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（二）存在问题。</w:t>
      </w:r>
    </w:p>
    <w:p>
      <w:pPr>
        <w:pStyle w:val="2"/>
        <w:spacing w:before="93"/>
        <w:rPr>
          <w:rFonts w:eastAsiaTheme="minorEastAsia"/>
        </w:rPr>
      </w:pPr>
      <w:r>
        <w:rPr>
          <w:rFonts w:hint="eastAsia" w:asciiTheme="minorEastAsia" w:hAnsiTheme="minorEastAsia" w:eastAsiaTheme="minorEastAsia" w:cstheme="minorEastAsia"/>
          <w:color w:val="000000"/>
          <w:sz w:val="32"/>
          <w:szCs w:val="32"/>
          <w:shd w:val="clear" w:color="auto" w:fill="FFFFFF"/>
        </w:rPr>
        <w:t xml:space="preserve">     建设任务重，对项目的自评意识不足。</w:t>
      </w:r>
    </w:p>
    <w:p>
      <w:pPr>
        <w:widowControl/>
        <w:numPr>
          <w:ilvl w:val="0"/>
          <w:numId w:val="5"/>
        </w:numPr>
        <w:adjustRightInd w:val="0"/>
        <w:snapToGrid w:val="0"/>
        <w:spacing w:line="580" w:lineRule="exact"/>
        <w:ind w:firstLine="64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改进建议。</w:t>
      </w:r>
    </w:p>
    <w:p>
      <w:pPr>
        <w:widowControl/>
        <w:numPr>
          <w:ilvl w:val="0"/>
          <w:numId w:val="5"/>
        </w:numPr>
        <w:adjustRightInd w:val="0"/>
        <w:snapToGrid w:val="0"/>
        <w:spacing w:line="580" w:lineRule="exact"/>
        <w:ind w:firstLine="640"/>
        <w:contextualSpacing/>
        <w:jc w:val="left"/>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加强自评意识，促进项目高效运行。</w:t>
      </w:r>
    </w:p>
    <w:p>
      <w:pPr>
        <w:widowControl/>
        <w:adjustRightInd w:val="0"/>
        <w:snapToGrid w:val="0"/>
        <w:spacing w:line="580" w:lineRule="exact"/>
        <w:ind w:left="630"/>
        <w:contextualSpacing/>
        <w:jc w:val="left"/>
        <w:rPr>
          <w:rFonts w:asciiTheme="minorEastAsia" w:hAnsiTheme="minorEastAsia" w:eastAsiaTheme="minorEastAsia" w:cstheme="minorEastAsia"/>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XXX</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0"/>
          <w:rFonts w:ascii="黑体" w:hAnsi="黑体" w:eastAsia="黑体"/>
          <w:b w:val="0"/>
        </w:rPr>
      </w:pPr>
    </w:p>
    <w:p>
      <w:pPr>
        <w:widowControl/>
        <w:jc w:val="left"/>
        <w:rPr>
          <w:rStyle w:val="20"/>
          <w:rFonts w:ascii="黑体" w:hAnsi="黑体" w:eastAsia="黑体"/>
          <w:b w:val="0"/>
        </w:rPr>
      </w:pPr>
      <w:r>
        <w:rPr>
          <w:rStyle w:val="20"/>
          <w:rFonts w:ascii="黑体" w:hAnsi="黑体" w:eastAsia="黑体"/>
          <w:b w:val="0"/>
        </w:rPr>
        <w:br w:type="page"/>
      </w:r>
    </w:p>
    <w:p>
      <w:pPr>
        <w:spacing w:line="600" w:lineRule="exact"/>
        <w:jc w:val="center"/>
        <w:outlineLvl w:val="0"/>
        <w:rPr>
          <w:rStyle w:val="20"/>
          <w:rFonts w:ascii="黑体" w:hAnsi="黑体" w:eastAsia="黑体"/>
          <w:b w:val="0"/>
        </w:rPr>
      </w:pPr>
    </w:p>
    <w:p>
      <w:pPr>
        <w:spacing w:line="600" w:lineRule="exact"/>
        <w:jc w:val="center"/>
        <w:outlineLvl w:val="0"/>
        <w:rPr>
          <w:rStyle w:val="20"/>
          <w:rFonts w:ascii="黑体" w:hAnsi="黑体" w:eastAsia="黑体"/>
          <w:b w:val="0"/>
        </w:rPr>
      </w:pPr>
      <w:bookmarkStart w:id="59" w:name="_Toc15396618"/>
      <w:r>
        <w:rPr>
          <w:rFonts w:hint="eastAsia" w:ascii="黑体" w:hAnsi="黑体" w:eastAsia="黑体"/>
          <w:color w:val="000000"/>
          <w:sz w:val="44"/>
          <w:szCs w:val="44"/>
        </w:rPr>
        <w:t>第</w:t>
      </w:r>
      <w:r>
        <w:rPr>
          <w:rStyle w:val="20"/>
          <w:rFonts w:hint="eastAsia" w:ascii="黑体" w:hAnsi="黑体" w:eastAsia="黑体"/>
          <w:b w:val="0"/>
        </w:rPr>
        <w:t>五部分</w:t>
      </w:r>
      <w:r>
        <w:rPr>
          <w:rStyle w:val="20"/>
          <w:rFonts w:ascii="黑体" w:hAnsi="黑体" w:eastAsia="黑体"/>
          <w:b w:val="0"/>
        </w:rPr>
        <w:t xml:space="preserve"> </w:t>
      </w:r>
      <w:r>
        <w:rPr>
          <w:rStyle w:val="20"/>
          <w:rFonts w:hint="eastAsia" w:ascii="黑体" w:hAnsi="黑体" w:eastAsia="黑体"/>
          <w:b w:val="0"/>
        </w:rPr>
        <w:t>附表</w:t>
      </w:r>
      <w:bookmarkEnd w:id="57"/>
      <w:bookmarkEnd w:id="59"/>
    </w:p>
    <w:p>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1"/>
          <w:rFonts w:hint="eastAsia" w:ascii="仿宋" w:hAnsi="仿宋" w:eastAsia="仿宋"/>
          <w:b w:val="0"/>
          <w:bCs w:val="0"/>
        </w:rPr>
        <w:t>入支出决算总表</w:t>
      </w:r>
      <w:bookmarkEnd w:id="60"/>
    </w:p>
    <w:p>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1"/>
          <w:rFonts w:hint="eastAsia" w:ascii="仿宋" w:hAnsi="仿宋" w:eastAsia="仿宋"/>
          <w:b w:val="0"/>
          <w:bCs w:val="0"/>
        </w:rPr>
        <w:t>入决算表</w:t>
      </w:r>
      <w:bookmarkEnd w:id="61"/>
    </w:p>
    <w:p>
      <w:pPr>
        <w:pStyle w:val="4"/>
        <w:rPr>
          <w:rFonts w:ascii="仿宋" w:hAnsi="仿宋" w:eastAsia="仿宋"/>
          <w:color w:val="000000"/>
        </w:rPr>
      </w:pPr>
      <w:bookmarkStart w:id="62" w:name="_Toc15396621"/>
      <w:r>
        <w:rPr>
          <w:rStyle w:val="21"/>
          <w:rFonts w:hint="eastAsia" w:ascii="仿宋" w:hAnsi="仿宋" w:eastAsia="仿宋"/>
          <w:b w:val="0"/>
          <w:bCs w:val="0"/>
        </w:rPr>
        <w:t>三、</w:t>
      </w:r>
      <w:r>
        <w:rPr>
          <w:rFonts w:hint="eastAsia" w:ascii="仿宋" w:hAnsi="仿宋" w:eastAsia="仿宋"/>
          <w:b w:val="0"/>
          <w:color w:val="000000"/>
        </w:rPr>
        <w:t>支</w:t>
      </w:r>
      <w:r>
        <w:rPr>
          <w:rStyle w:val="21"/>
          <w:rFonts w:hint="eastAsia" w:ascii="仿宋" w:hAnsi="仿宋" w:eastAsia="仿宋"/>
          <w:b w:val="0"/>
          <w:bCs w:val="0"/>
        </w:rPr>
        <w:t>出决算表</w:t>
      </w:r>
      <w:bookmarkEnd w:id="62"/>
    </w:p>
    <w:p>
      <w:pPr>
        <w:pStyle w:val="4"/>
        <w:rPr>
          <w:rFonts w:ascii="仿宋" w:hAnsi="仿宋" w:eastAsia="仿宋"/>
          <w:b w:val="0"/>
          <w:color w:val="000000"/>
        </w:rPr>
      </w:pPr>
      <w:bookmarkStart w:id="63" w:name="_Toc15396622"/>
      <w:r>
        <w:rPr>
          <w:rStyle w:val="21"/>
          <w:rFonts w:hint="eastAsia" w:ascii="仿宋" w:hAnsi="仿宋" w:eastAsia="仿宋"/>
          <w:b w:val="0"/>
          <w:bCs w:val="0"/>
        </w:rPr>
        <w:t>四、</w:t>
      </w:r>
      <w:r>
        <w:rPr>
          <w:rFonts w:hint="eastAsia" w:ascii="仿宋" w:hAnsi="仿宋" w:eastAsia="仿宋"/>
          <w:b w:val="0"/>
          <w:color w:val="000000"/>
        </w:rPr>
        <w:t>财</w:t>
      </w:r>
      <w:r>
        <w:rPr>
          <w:rStyle w:val="21"/>
          <w:rFonts w:hint="eastAsia" w:ascii="仿宋" w:hAnsi="仿宋" w:eastAsia="仿宋"/>
          <w:b w:val="0"/>
          <w:bCs w:val="0"/>
        </w:rPr>
        <w:t>政拨款收入支出决算总表</w:t>
      </w:r>
      <w:bookmarkEnd w:id="63"/>
    </w:p>
    <w:p>
      <w:pPr>
        <w:pStyle w:val="4"/>
        <w:rPr>
          <w:rStyle w:val="21"/>
          <w:rFonts w:ascii="仿宋" w:hAnsi="仿宋" w:eastAsia="仿宋"/>
          <w:b w:val="0"/>
          <w:bCs w:val="0"/>
        </w:rPr>
      </w:pPr>
      <w:bookmarkStart w:id="64" w:name="_Toc15396623"/>
      <w:r>
        <w:rPr>
          <w:rStyle w:val="21"/>
          <w:rFonts w:hint="eastAsia" w:ascii="仿宋" w:hAnsi="仿宋" w:eastAsia="仿宋"/>
          <w:b w:val="0"/>
          <w:bCs w:val="0"/>
        </w:rPr>
        <w:t>五、</w:t>
      </w:r>
      <w:r>
        <w:rPr>
          <w:rFonts w:hint="eastAsia" w:ascii="仿宋" w:hAnsi="仿宋" w:eastAsia="仿宋"/>
          <w:b w:val="0"/>
          <w:color w:val="000000"/>
        </w:rPr>
        <w:t>财</w:t>
      </w:r>
      <w:r>
        <w:rPr>
          <w:rStyle w:val="21"/>
          <w:rFonts w:hint="eastAsia" w:ascii="仿宋" w:hAnsi="仿宋" w:eastAsia="仿宋"/>
          <w:b w:val="0"/>
          <w:bCs w:val="0"/>
        </w:rPr>
        <w:t>政拨款支出决算明细表</w:t>
      </w:r>
      <w:bookmarkEnd w:id="64"/>
      <w:bookmarkStart w:id="65" w:name="_Toc15396624"/>
    </w:p>
    <w:p>
      <w:pPr>
        <w:pStyle w:val="4"/>
        <w:rPr>
          <w:rFonts w:ascii="仿宋" w:hAnsi="仿宋" w:eastAsia="仿宋"/>
          <w:color w:val="000000"/>
        </w:rPr>
      </w:pPr>
      <w:r>
        <w:rPr>
          <w:rStyle w:val="21"/>
          <w:rFonts w:hint="eastAsia" w:ascii="仿宋" w:hAnsi="仿宋" w:eastAsia="仿宋"/>
          <w:b w:val="0"/>
          <w:bCs w:val="0"/>
        </w:rPr>
        <w:t>六、</w:t>
      </w:r>
      <w:r>
        <w:rPr>
          <w:rFonts w:hint="eastAsia" w:ascii="仿宋" w:hAnsi="仿宋" w:eastAsia="仿宋"/>
          <w:b w:val="0"/>
          <w:color w:val="000000"/>
        </w:rPr>
        <w:t>一</w:t>
      </w:r>
      <w:r>
        <w:rPr>
          <w:rStyle w:val="21"/>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15396625"/>
      <w:r>
        <w:rPr>
          <w:rStyle w:val="21"/>
          <w:rFonts w:hint="eastAsia" w:ascii="仿宋" w:hAnsi="仿宋" w:eastAsia="仿宋"/>
          <w:b w:val="0"/>
          <w:bCs w:val="0"/>
        </w:rPr>
        <w:t>七、</w:t>
      </w:r>
      <w:r>
        <w:rPr>
          <w:rFonts w:hint="eastAsia" w:ascii="仿宋" w:hAnsi="仿宋" w:eastAsia="仿宋"/>
          <w:b w:val="0"/>
          <w:color w:val="000000"/>
        </w:rPr>
        <w:t>一</w:t>
      </w:r>
      <w:r>
        <w:rPr>
          <w:rStyle w:val="21"/>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396626"/>
      <w:r>
        <w:rPr>
          <w:rStyle w:val="21"/>
          <w:rFonts w:hint="eastAsia" w:ascii="仿宋" w:hAnsi="仿宋" w:eastAsia="仿宋"/>
          <w:b w:val="0"/>
          <w:bCs w:val="0"/>
        </w:rPr>
        <w:t>八、</w:t>
      </w:r>
      <w:r>
        <w:rPr>
          <w:rFonts w:hint="eastAsia" w:ascii="仿宋" w:hAnsi="仿宋" w:eastAsia="仿宋"/>
          <w:b w:val="0"/>
          <w:color w:val="000000"/>
        </w:rPr>
        <w:t>一</w:t>
      </w:r>
      <w:r>
        <w:rPr>
          <w:rStyle w:val="21"/>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21"/>
          <w:rFonts w:hint="eastAsia" w:ascii="仿宋" w:hAnsi="仿宋" w:eastAsia="仿宋"/>
          <w:b w:val="0"/>
          <w:bCs w:val="0"/>
        </w:rPr>
        <w:t>九、</w:t>
      </w:r>
      <w:r>
        <w:rPr>
          <w:rFonts w:hint="eastAsia" w:ascii="仿宋" w:hAnsi="仿宋" w:eastAsia="仿宋"/>
          <w:b w:val="0"/>
          <w:color w:val="000000"/>
        </w:rPr>
        <w:t>一</w:t>
      </w:r>
      <w:r>
        <w:rPr>
          <w:rStyle w:val="21"/>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21"/>
          <w:rFonts w:hint="eastAsia" w:ascii="仿宋" w:hAnsi="仿宋" w:eastAsia="仿宋"/>
          <w:b w:val="0"/>
          <w:bCs w:val="0"/>
        </w:rPr>
        <w:t>十、</w:t>
      </w:r>
      <w:r>
        <w:rPr>
          <w:rFonts w:hint="eastAsia" w:ascii="仿宋" w:hAnsi="仿宋" w:eastAsia="仿宋"/>
          <w:b w:val="0"/>
          <w:color w:val="000000"/>
        </w:rPr>
        <w:t>一</w:t>
      </w:r>
      <w:r>
        <w:rPr>
          <w:rStyle w:val="21"/>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21"/>
          <w:rFonts w:hint="eastAsia" w:ascii="仿宋" w:hAnsi="仿宋" w:eastAsia="仿宋"/>
          <w:b w:val="0"/>
          <w:bCs w:val="0"/>
        </w:rPr>
        <w:t>十一、</w:t>
      </w:r>
      <w:r>
        <w:rPr>
          <w:rFonts w:hint="eastAsia" w:ascii="仿宋" w:hAnsi="仿宋" w:eastAsia="仿宋"/>
          <w:b w:val="0"/>
          <w:color w:val="000000"/>
        </w:rPr>
        <w:t>政</w:t>
      </w:r>
      <w:r>
        <w:rPr>
          <w:rStyle w:val="21"/>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21"/>
          <w:rFonts w:hint="eastAsia" w:ascii="仿宋" w:hAnsi="仿宋" w:eastAsia="仿宋"/>
          <w:b w:val="0"/>
          <w:bCs w:val="0"/>
        </w:rPr>
        <w:t>十二、</w:t>
      </w:r>
      <w:r>
        <w:rPr>
          <w:rFonts w:hint="eastAsia" w:ascii="仿宋" w:hAnsi="仿宋" w:eastAsia="仿宋"/>
          <w:b w:val="0"/>
          <w:color w:val="000000"/>
        </w:rPr>
        <w:t>政</w:t>
      </w:r>
      <w:r>
        <w:rPr>
          <w:rStyle w:val="21"/>
          <w:rFonts w:hint="eastAsia" w:ascii="仿宋" w:hAnsi="仿宋" w:eastAsia="仿宋"/>
          <w:b w:val="0"/>
          <w:bCs w:val="0"/>
        </w:rPr>
        <w:t>府性基金预算财政拨款“三公”经费支出决算表</w:t>
      </w:r>
      <w:bookmarkEnd w:id="71"/>
    </w:p>
    <w:p>
      <w:pPr>
        <w:pStyle w:val="4"/>
        <w:rPr>
          <w:rStyle w:val="21"/>
          <w:rFonts w:ascii="仿宋" w:hAnsi="仿宋" w:eastAsia="仿宋"/>
          <w:b w:val="0"/>
          <w:bCs w:val="0"/>
        </w:rPr>
      </w:pPr>
      <w:bookmarkStart w:id="72" w:name="_Toc15396631"/>
      <w:r>
        <w:rPr>
          <w:rStyle w:val="21"/>
          <w:rFonts w:hint="eastAsia" w:ascii="仿宋" w:hAnsi="仿宋" w:eastAsia="仿宋"/>
          <w:b w:val="0"/>
          <w:bCs w:val="0"/>
        </w:rPr>
        <w:t>十三、</w:t>
      </w:r>
      <w:r>
        <w:rPr>
          <w:rFonts w:hint="eastAsia" w:ascii="仿宋" w:hAnsi="仿宋" w:eastAsia="仿宋"/>
          <w:b w:val="0"/>
          <w:color w:val="000000"/>
        </w:rPr>
        <w:t>国</w:t>
      </w:r>
      <w:r>
        <w:rPr>
          <w:rStyle w:val="21"/>
          <w:rFonts w:hint="eastAsia" w:ascii="仿宋" w:hAnsi="仿宋" w:eastAsia="仿宋"/>
          <w:b w:val="0"/>
          <w:bCs w:val="0"/>
        </w:rPr>
        <w:t>有资本经营预算财政拨款收入支出决算表</w:t>
      </w:r>
      <w:bookmarkEnd w:id="72"/>
    </w:p>
    <w:p>
      <w:pPr>
        <w:rPr>
          <w:rFonts w:eastAsia="仿宋"/>
        </w:rPr>
      </w:pPr>
      <w:r>
        <w:rPr>
          <w:rStyle w:val="21"/>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7</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6C8AD"/>
    <w:multiLevelType w:val="singleLevel"/>
    <w:tmpl w:val="86F6C8AD"/>
    <w:lvl w:ilvl="0" w:tentative="0">
      <w:start w:val="3"/>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2AF70E8"/>
    <w:multiLevelType w:val="singleLevel"/>
    <w:tmpl w:val="22AF70E8"/>
    <w:lvl w:ilvl="0" w:tentative="0">
      <w:start w:val="3"/>
      <w:numFmt w:val="chineseCounting"/>
      <w:suff w:val="nothing"/>
      <w:lvlText w:val="（%1）"/>
      <w:lvlJc w:val="left"/>
      <w:pPr>
        <w:ind w:left="-10"/>
      </w:pPr>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86F46"/>
    <w:rsid w:val="003A484F"/>
    <w:rsid w:val="003A4883"/>
    <w:rsid w:val="003B0BE0"/>
    <w:rsid w:val="003B0C1B"/>
    <w:rsid w:val="003B688C"/>
    <w:rsid w:val="003C0291"/>
    <w:rsid w:val="003C39AE"/>
    <w:rsid w:val="003C7B60"/>
    <w:rsid w:val="003D0C0F"/>
    <w:rsid w:val="003D1FB2"/>
    <w:rsid w:val="003D66DA"/>
    <w:rsid w:val="003E1310"/>
    <w:rsid w:val="003E6F55"/>
    <w:rsid w:val="004039CC"/>
    <w:rsid w:val="00406254"/>
    <w:rsid w:val="004223DE"/>
    <w:rsid w:val="00434489"/>
    <w:rsid w:val="00437085"/>
    <w:rsid w:val="00443880"/>
    <w:rsid w:val="004464F4"/>
    <w:rsid w:val="00471401"/>
    <w:rsid w:val="00473F31"/>
    <w:rsid w:val="00477987"/>
    <w:rsid w:val="0048263A"/>
    <w:rsid w:val="00487E5D"/>
    <w:rsid w:val="004A711F"/>
    <w:rsid w:val="004B199D"/>
    <w:rsid w:val="004B4690"/>
    <w:rsid w:val="004E0A2D"/>
    <w:rsid w:val="004E206B"/>
    <w:rsid w:val="004E6DF7"/>
    <w:rsid w:val="004F0FBD"/>
    <w:rsid w:val="0050221D"/>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6B7C"/>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F99"/>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47B0"/>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5D1"/>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0EF"/>
    <w:rsid w:val="00EF77C6"/>
    <w:rsid w:val="00F00D6A"/>
    <w:rsid w:val="00F05438"/>
    <w:rsid w:val="00F1361C"/>
    <w:rsid w:val="00F156F0"/>
    <w:rsid w:val="00F160C7"/>
    <w:rsid w:val="00F2408F"/>
    <w:rsid w:val="00F240E9"/>
    <w:rsid w:val="00F36D8F"/>
    <w:rsid w:val="00F417B1"/>
    <w:rsid w:val="00F45853"/>
    <w:rsid w:val="00F569BA"/>
    <w:rsid w:val="00F602DF"/>
    <w:rsid w:val="00F754A1"/>
    <w:rsid w:val="00F81FD9"/>
    <w:rsid w:val="00F841AA"/>
    <w:rsid w:val="00F84A94"/>
    <w:rsid w:val="00F87E96"/>
    <w:rsid w:val="00FA23E8"/>
    <w:rsid w:val="00FD3CC1"/>
    <w:rsid w:val="00FF1E02"/>
    <w:rsid w:val="00FF30B4"/>
    <w:rsid w:val="025115C6"/>
    <w:rsid w:val="03AE1424"/>
    <w:rsid w:val="079E3912"/>
    <w:rsid w:val="0A2032A3"/>
    <w:rsid w:val="0B485513"/>
    <w:rsid w:val="10C055FF"/>
    <w:rsid w:val="118107EC"/>
    <w:rsid w:val="14DC4C88"/>
    <w:rsid w:val="16BB723D"/>
    <w:rsid w:val="16CE56C7"/>
    <w:rsid w:val="19E752A1"/>
    <w:rsid w:val="1D155CEE"/>
    <w:rsid w:val="1F21616D"/>
    <w:rsid w:val="21EB00B2"/>
    <w:rsid w:val="240371BF"/>
    <w:rsid w:val="24761283"/>
    <w:rsid w:val="281D3BB1"/>
    <w:rsid w:val="28B43CCE"/>
    <w:rsid w:val="29FD04D3"/>
    <w:rsid w:val="319F7F4E"/>
    <w:rsid w:val="35CE7B70"/>
    <w:rsid w:val="36CE5BAB"/>
    <w:rsid w:val="36D17E36"/>
    <w:rsid w:val="39AE78AB"/>
    <w:rsid w:val="3A6C1C68"/>
    <w:rsid w:val="3AF26BEA"/>
    <w:rsid w:val="3CAC7BCC"/>
    <w:rsid w:val="3D4C2E5E"/>
    <w:rsid w:val="41E54C76"/>
    <w:rsid w:val="466C6C49"/>
    <w:rsid w:val="4B5A4F09"/>
    <w:rsid w:val="4CA17547"/>
    <w:rsid w:val="4DD41608"/>
    <w:rsid w:val="4DEC2DE9"/>
    <w:rsid w:val="4ECE2238"/>
    <w:rsid w:val="4F9779A8"/>
    <w:rsid w:val="5AD804FB"/>
    <w:rsid w:val="6BBF19DD"/>
    <w:rsid w:val="6C4A05C8"/>
    <w:rsid w:val="6CA74F42"/>
    <w:rsid w:val="6FC74525"/>
    <w:rsid w:val="725A0170"/>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2"/>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24"/>
      <w:szCs w:val="2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4"/>
    <w:semiHidden/>
    <w:unhideWhenUsed/>
    <w:qFormat/>
    <w:uiPriority w:val="99"/>
    <w:rPr>
      <w:sz w:val="18"/>
      <w:szCs w:val="18"/>
    </w:rPr>
  </w:style>
  <w:style w:type="paragraph" w:styleId="8">
    <w:name w:val="footer"/>
    <w:basedOn w:val="1"/>
    <w:link w:val="28"/>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unhideWhenUsed/>
    <w:qFormat/>
    <w:uiPriority w:val="99"/>
    <w:rPr>
      <w:rFonts w:cs="Times New Roman"/>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列出段落1"/>
    <w:basedOn w:val="1"/>
    <w:qFormat/>
    <w:uiPriority w:val="34"/>
    <w:pPr>
      <w:ind w:firstLine="420" w:firstLineChars="200"/>
    </w:p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0">
    <w:name w:val="标题 1 Char"/>
    <w:link w:val="3"/>
    <w:qFormat/>
    <w:locked/>
    <w:uiPriority w:val="9"/>
    <w:rPr>
      <w:rFonts w:ascii="Times New Roman" w:hAnsi="Times New Roman" w:cs="Times New Roman"/>
      <w:b/>
      <w:bCs/>
      <w:kern w:val="44"/>
      <w:sz w:val="44"/>
      <w:szCs w:val="44"/>
    </w:rPr>
  </w:style>
  <w:style w:type="character" w:customStyle="1" w:styleId="21">
    <w:name w:val="标题 2 Char"/>
    <w:link w:val="4"/>
    <w:qFormat/>
    <w:locked/>
    <w:uiPriority w:val="9"/>
    <w:rPr>
      <w:rFonts w:ascii="Cambria" w:hAnsi="Cambria" w:eastAsia="宋体" w:cs="Times New Roman"/>
      <w:b/>
      <w:bCs/>
      <w:kern w:val="2"/>
      <w:sz w:val="32"/>
      <w:szCs w:val="32"/>
    </w:rPr>
  </w:style>
  <w:style w:type="character" w:customStyle="1" w:styleId="22">
    <w:name w:val="标题 3 Char"/>
    <w:link w:val="5"/>
    <w:qFormat/>
    <w:locked/>
    <w:uiPriority w:val="9"/>
    <w:rPr>
      <w:rFonts w:ascii="Times New Roman" w:hAnsi="Times New Roman" w:cs="Times New Roman"/>
      <w:b/>
      <w:bCs/>
      <w:kern w:val="2"/>
      <w:sz w:val="32"/>
      <w:szCs w:val="32"/>
    </w:rPr>
  </w:style>
  <w:style w:type="character" w:customStyle="1" w:styleId="23">
    <w:name w:val="Body Text Char"/>
    <w:link w:val="2"/>
    <w:semiHidden/>
    <w:qFormat/>
    <w:uiPriority w:val="99"/>
    <w:rPr>
      <w:rFonts w:ascii="Times New Roman" w:hAnsi="Times New Roman" w:cs="Times New Roman"/>
      <w:sz w:val="24"/>
      <w:szCs w:val="24"/>
    </w:rPr>
  </w:style>
  <w:style w:type="character" w:customStyle="1" w:styleId="24">
    <w:name w:val="批注框文本 Char"/>
    <w:link w:val="7"/>
    <w:semiHidden/>
    <w:qFormat/>
    <w:locked/>
    <w:uiPriority w:val="99"/>
    <w:rPr>
      <w:rFonts w:ascii="Times New Roman" w:hAnsi="Times New Roman" w:cs="Times New Roman"/>
      <w:kern w:val="2"/>
      <w:sz w:val="18"/>
      <w:szCs w:val="18"/>
    </w:rPr>
  </w:style>
  <w:style w:type="character" w:customStyle="1" w:styleId="25">
    <w:name w:val="Footer Char"/>
    <w:link w:val="8"/>
    <w:semiHidden/>
    <w:qFormat/>
    <w:uiPriority w:val="99"/>
    <w:rPr>
      <w:rFonts w:ascii="Times New Roman" w:hAnsi="Times New Roman" w:cs="Times New Roman"/>
      <w:sz w:val="18"/>
      <w:szCs w:val="18"/>
    </w:rPr>
  </w:style>
  <w:style w:type="character" w:customStyle="1" w:styleId="26">
    <w:name w:val="Header Char"/>
    <w:link w:val="9"/>
    <w:semiHidden/>
    <w:qFormat/>
    <w:uiPriority w:val="99"/>
    <w:rPr>
      <w:rFonts w:ascii="Times New Roman" w:hAnsi="Times New Roman" w:cs="Times New Roman"/>
      <w:sz w:val="18"/>
      <w:szCs w:val="18"/>
    </w:rPr>
  </w:style>
  <w:style w:type="character" w:customStyle="1" w:styleId="27">
    <w:name w:val="页眉 Char"/>
    <w:link w:val="9"/>
    <w:semiHidden/>
    <w:qFormat/>
    <w:locked/>
    <w:uiPriority w:val="99"/>
    <w:rPr>
      <w:sz w:val="18"/>
    </w:rPr>
  </w:style>
  <w:style w:type="character" w:customStyle="1" w:styleId="28">
    <w:name w:val="页脚 Char"/>
    <w:link w:val="8"/>
    <w:qFormat/>
    <w:locked/>
    <w:uiPriority w:val="99"/>
    <w:rPr>
      <w:sz w:val="18"/>
    </w:rPr>
  </w:style>
  <w:style w:type="character" w:customStyle="1" w:styleId="29">
    <w:name w:val="正文文本 Char"/>
    <w:link w:val="2"/>
    <w:qFormat/>
    <w:locked/>
    <w:uiPriority w:val="99"/>
    <w:rPr>
      <w:rFonts w:ascii="仿宋_GB2312" w:hAnsi="Times New Roman"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35268;&#24314;&#23616;\2018&#24180;&#37492;&#22270;&#65288;2018&#65292;&#24050;&#26680;&#65289;&#22478;&#20065;&#24314;&#35774;&#26381;&#21153;&#20013;&#2451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35268;&#24314;&#23616;\2020&#2418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35268;&#24314;&#23616;\2018&#24180;&#37492;&#22270;&#65288;2018&#65292;&#24050;&#26680;&#65289;&#22478;&#20065;&#24314;&#35774;&#26381;&#21153;&#20013;&#24515;.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35268;&#24314;&#23616;\2018&#24180;&#37492;&#22270;&#65288;2018&#65292;&#24050;&#26680;&#65289;&#22478;&#20065;&#24314;&#35774;&#26381;&#21153;&#20013;&#2451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35268;&#24314;&#23616;\2020&#241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173845112136"/>
          <c:y val="0.130094096318648"/>
          <c:w val="0.760512358416987"/>
          <c:h val="0.69594352111995"/>
        </c:manualLayout>
      </c:layout>
      <c:barChart>
        <c:barDir val="col"/>
        <c:grouping val="clustered"/>
        <c:varyColors val="0"/>
        <c:ser>
          <c:idx val="1"/>
          <c:order val="0"/>
          <c:tx>
            <c:strRef>
              <c:f>数3!$B$2</c:f>
              <c:strCache>
                <c:ptCount val="1"/>
                <c:pt idx="0">
                  <c:v>收支总计</c:v>
                </c:pt>
              </c:strCache>
            </c:strRef>
          </c:tx>
          <c:spPr>
            <a:solidFill>
              <a:schemeClr val="accent6">
                <a:lumMod val="40000"/>
                <a:lumOff val="60000"/>
              </a:schemeClr>
            </a:solidFill>
            <a:ln w="12700">
              <a:solidFill>
                <a:srgbClr val="000000"/>
              </a:solidFill>
              <a:prstDash val="solid"/>
            </a:ln>
            <a:scene3d>
              <a:camera prst="orthographicFront"/>
              <a:lightRig rig="threePt" dir="t"/>
            </a:scene3d>
            <a:sp3d>
              <a:bevelT w="165100" prst="coolSlant"/>
            </a:sp3d>
          </c:spPr>
          <c:invertIfNegative val="0"/>
          <c:dLbls>
            <c:dLbl>
              <c:idx val="0"/>
              <c:layout>
                <c:manualLayout>
                  <c:x val="-0.000284450003316372"/>
                  <c:y val="0.09869081364829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98712299951676"/>
                  <c:y val="0.10738757655293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数3!$A$3:$A$4</c:f>
              <c:strCache>
                <c:ptCount val="2"/>
                <c:pt idx="0">
                  <c:v>2019年</c:v>
                </c:pt>
                <c:pt idx="1">
                  <c:v>2020年</c:v>
                </c:pt>
              </c:strCache>
            </c:strRef>
          </c:cat>
          <c:val>
            <c:numRef>
              <c:f>数3!$B$3:$B$4</c:f>
              <c:numCache>
                <c:formatCode>0.00_);[Red]\(0.00\)</c:formatCode>
                <c:ptCount val="2"/>
                <c:pt idx="0">
                  <c:v>72135.82</c:v>
                </c:pt>
                <c:pt idx="1">
                  <c:v>35212.15</c:v>
                </c:pt>
              </c:numCache>
            </c:numRef>
          </c:val>
        </c:ser>
        <c:dLbls>
          <c:showLegendKey val="0"/>
          <c:showVal val="1"/>
          <c:showCatName val="0"/>
          <c:showSerName val="0"/>
          <c:showPercent val="0"/>
          <c:showBubbleSize val="0"/>
        </c:dLbls>
        <c:gapWidth val="130"/>
        <c:overlap val="-100"/>
        <c:axId val="164457088"/>
        <c:axId val="164516224"/>
      </c:barChart>
      <c:lineChart>
        <c:grouping val="standard"/>
        <c:varyColors val="0"/>
        <c:ser>
          <c:idx val="0"/>
          <c:order val="1"/>
          <c:tx>
            <c:strRef>
              <c:f>数3!$C$2</c:f>
              <c:strCache>
                <c:ptCount val="1"/>
                <c:pt idx="0">
                  <c:v>减少比例</c:v>
                </c:pt>
              </c:strCache>
            </c:strRef>
          </c:tx>
          <c:spPr>
            <a:ln w="38100" cap="rnd" cmpd="sng" algn="ctr">
              <a:solidFill>
                <a:srgbClr val="0000FF"/>
              </a:solidFill>
              <a:prstDash val="solid"/>
              <a:round/>
            </a:ln>
          </c:spPr>
          <c:marker>
            <c:symbol val="circle"/>
            <c:size val="12"/>
            <c:spPr>
              <a:solidFill>
                <a:schemeClr val="accent2">
                  <a:lumMod val="60000"/>
                  <a:lumOff val="40000"/>
                </a:schemeClr>
              </a:solidFill>
              <a:ln w="6350" cap="flat" cmpd="sng" algn="ctr">
                <a:solidFill>
                  <a:srgbClr val="000080"/>
                </a:solidFill>
                <a:prstDash val="solid"/>
                <a:round/>
              </a:ln>
            </c:spPr>
          </c:marker>
          <c:dLbls>
            <c:dLbl>
              <c:idx val="0"/>
              <c:layout>
                <c:manualLayout>
                  <c:x val="0.024914089347079"/>
                  <c:y val="-0.010203117619272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4462645905545"/>
                  <c:y val="-0.0027706966907194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数3!$A$3:$A$4</c:f>
              <c:strCache>
                <c:ptCount val="2"/>
                <c:pt idx="0">
                  <c:v>2019年</c:v>
                </c:pt>
                <c:pt idx="1">
                  <c:v>2020年</c:v>
                </c:pt>
              </c:strCache>
            </c:strRef>
          </c:cat>
          <c:val>
            <c:numRef>
              <c:f>数3!$C$3:$C$4</c:f>
              <c:numCache>
                <c:formatCode>0.00_);[Red]\(0.00\)</c:formatCode>
                <c:ptCount val="2"/>
                <c:pt idx="0">
                  <c:v>100</c:v>
                </c:pt>
                <c:pt idx="1">
                  <c:v>48.81</c:v>
                </c:pt>
              </c:numCache>
            </c:numRef>
          </c:val>
          <c:smooth val="0"/>
        </c:ser>
        <c:dLbls>
          <c:showLegendKey val="0"/>
          <c:showVal val="1"/>
          <c:showCatName val="0"/>
          <c:showSerName val="0"/>
          <c:showPercent val="0"/>
          <c:showBubbleSize val="0"/>
        </c:dLbls>
        <c:marker val="1"/>
        <c:smooth val="0"/>
        <c:axId val="164517760"/>
        <c:axId val="165494784"/>
      </c:lineChart>
      <c:catAx>
        <c:axId val="164457088"/>
        <c:scaling>
          <c:orientation val="minMax"/>
        </c:scaling>
        <c:delete val="0"/>
        <c:axPos val="b"/>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4516224"/>
        <c:crosses val="autoZero"/>
        <c:auto val="0"/>
        <c:lblAlgn val="ctr"/>
        <c:lblOffset val="100"/>
        <c:tickLblSkip val="1"/>
        <c:noMultiLvlLbl val="0"/>
      </c:catAx>
      <c:valAx>
        <c:axId val="164516224"/>
        <c:scaling>
          <c:orientation val="minMax"/>
        </c:scaling>
        <c:delete val="0"/>
        <c:axPos val="l"/>
        <c:numFmt formatCode="0.00_);[Red]\(0.00\)"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4457088"/>
        <c:crosses val="autoZero"/>
        <c:crossBetween val="between"/>
      </c:valAx>
      <c:catAx>
        <c:axId val="164517760"/>
        <c:scaling>
          <c:orientation val="minMax"/>
        </c:scaling>
        <c:delete val="1"/>
        <c:axPos val="b"/>
        <c:majorTickMark val="out"/>
        <c:minorTickMark val="none"/>
        <c:tickLblPos val="none"/>
        <c:txPr>
          <a:bodyPr rot="-6000000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5494784"/>
        <c:crosses val="autoZero"/>
        <c:auto val="0"/>
        <c:lblAlgn val="ctr"/>
        <c:lblOffset val="100"/>
        <c:noMultiLvlLbl val="0"/>
      </c:catAx>
      <c:valAx>
        <c:axId val="165494784"/>
        <c:scaling>
          <c:orientation val="minMax"/>
          <c:max val="100"/>
        </c:scaling>
        <c:delete val="0"/>
        <c:axPos val="r"/>
        <c:numFmt formatCode="0.00_);[Red]\(0.00\)"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4517760"/>
        <c:crosses val="max"/>
        <c:crossBetween val="between"/>
      </c:valAx>
      <c:spPr>
        <a:noFill/>
        <a:ln w="25400">
          <a:noFill/>
        </a:ln>
      </c:spPr>
    </c:plotArea>
    <c:legend>
      <c:legendPos val="r"/>
      <c:layout>
        <c:manualLayout>
          <c:xMode val="edge"/>
          <c:yMode val="edge"/>
          <c:x val="0.230488917033697"/>
          <c:y val="0.917041765881287"/>
          <c:w val="0.491999977757018"/>
          <c:h val="0.060749957449858"/>
        </c:manualLayout>
      </c:layout>
      <c:overlay val="0"/>
      <c:spPr>
        <a:solidFill>
          <a:srgbClr val="FFFFFF">
            <a:alpha val="100000"/>
          </a:srgbClr>
        </a:solidFill>
        <a:ln w="3175">
          <a:noFill/>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105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'2020 (2)'!$A$11</c:f>
              <c:strCache>
                <c:ptCount val="1"/>
                <c:pt idx="0">
                  <c:v>收入决算结构图</c:v>
                </c:pt>
              </c:strCache>
            </c:strRef>
          </c:tx>
          <c:explosion val="0"/>
          <c:dPt>
            <c:idx val="0"/>
            <c:bubble3D val="0"/>
          </c:dPt>
          <c:dPt>
            <c:idx val="1"/>
            <c:bubble3D val="0"/>
          </c:dPt>
          <c:dLbls>
            <c:dLbl>
              <c:idx val="0"/>
              <c:layout>
                <c:manualLayout>
                  <c:x val="0.0208700616968334"/>
                  <c:y val="-0.208353395480738"/>
                </c:manualLayout>
              </c:layout>
              <c:dLblPos val="bestFit"/>
              <c:showLegendKey val="0"/>
              <c:showVal val="0"/>
              <c:showCatName val="1"/>
              <c:showSerName val="1"/>
              <c:showPercent val="1"/>
              <c:showBubbleSize val="0"/>
              <c:extLst>
                <c:ext xmlns:c15="http://schemas.microsoft.com/office/drawing/2012/chart" uri="{CE6537A1-D6FC-4f65-9D91-7224C49458BB}">
                  <c15:layout/>
                </c:ext>
              </c:extLst>
            </c:dLbl>
            <c:dLbl>
              <c:idx val="1"/>
              <c:layout>
                <c:manualLayout>
                  <c:x val="-0.0457006510549819"/>
                  <c:y val="-0.271467402781549"/>
                </c:manualLayout>
              </c:layout>
              <c:dLblPos val="bestFit"/>
              <c:showLegendKey val="0"/>
              <c:showVal val="0"/>
              <c:showCatName val="1"/>
              <c:showSerName val="1"/>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1"/>
            <c:showPercent val="1"/>
            <c:showBubbleSize val="0"/>
            <c:showLeaderLines val="1"/>
            <c:extLst>
              <c:ext xmlns:c15="http://schemas.microsoft.com/office/drawing/2012/chart" uri="{CE6537A1-D6FC-4f65-9D91-7224C49458BB}">
                <c15:layout/>
                <c15:showLeaderLines val="1"/>
                <c15:leaderLines/>
              </c:ext>
            </c:extLst>
          </c:dLbls>
          <c:cat>
            <c:strRef>
              <c:f>'2020 (2)'!$B$10:$C$10</c:f>
              <c:strCache>
                <c:ptCount val="2"/>
                <c:pt idx="0">
                  <c:v>一般公共预算财政拨款收入</c:v>
                </c:pt>
                <c:pt idx="1">
                  <c:v>政府性基金预算财政拨款收入</c:v>
                </c:pt>
              </c:strCache>
            </c:strRef>
          </c:cat>
          <c:val>
            <c:numRef>
              <c:f>'2020 (2)'!$B$11:$C$11</c:f>
              <c:numCache>
                <c:formatCode>General</c:formatCode>
                <c:ptCount val="2"/>
                <c:pt idx="0">
                  <c:v>16020.89</c:v>
                </c:pt>
                <c:pt idx="1">
                  <c:v>19190.74</c:v>
                </c:pt>
              </c:numCache>
            </c:numRef>
          </c:val>
        </c:ser>
        <c:dLbls>
          <c:showLegendKey val="0"/>
          <c:showVal val="0"/>
          <c:showCatName val="1"/>
          <c:showSerName val="1"/>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'2020 (2)'!$A$17</c:f>
              <c:strCache>
                <c:ptCount val="1"/>
                <c:pt idx="0">
                  <c:v>支出决算结构图</c:v>
                </c:pt>
              </c:strCache>
            </c:strRef>
          </c:tx>
          <c:explosion val="0"/>
          <c:dPt>
            <c:idx val="0"/>
            <c:bubble3D val="0"/>
          </c:dPt>
          <c:dPt>
            <c:idx val="1"/>
            <c:bubble3D val="0"/>
          </c:dPt>
          <c:dLbls>
            <c:dLbl>
              <c:idx val="0"/>
              <c:layout>
                <c:manualLayout>
                  <c:x val="0.308508568781844"/>
                  <c:y val="0.061442896561006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0.271172417786012"/>
                  <c:y val="-0.665895416919039"/>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'2020 (2)'!$B$16:$C$16</c:f>
              <c:strCache>
                <c:ptCount val="2"/>
                <c:pt idx="0">
                  <c:v>基本支出</c:v>
                </c:pt>
                <c:pt idx="1">
                  <c:v>项目支出</c:v>
                </c:pt>
              </c:strCache>
            </c:strRef>
          </c:cat>
          <c:val>
            <c:numRef>
              <c:f>'2020 (2)'!$B$17:$C$17</c:f>
              <c:numCache>
                <c:formatCode>General</c:formatCode>
                <c:ptCount val="2"/>
                <c:pt idx="0">
                  <c:v>863.91</c:v>
                </c:pt>
                <c:pt idx="1">
                  <c:v>34348.25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507309960924"/>
          <c:y val="0.138558495931139"/>
          <c:w val="0.713291786034572"/>
          <c:h val="0.685652573830893"/>
        </c:manualLayout>
      </c:layout>
      <c:barChart>
        <c:barDir val="col"/>
        <c:grouping val="clustered"/>
        <c:varyColors val="0"/>
        <c:ser>
          <c:idx val="1"/>
          <c:order val="0"/>
          <c:tx>
            <c:strRef>
              <c:f>数3!$B$13</c:f>
              <c:strCache>
                <c:ptCount val="1"/>
                <c:pt idx="0">
                  <c:v>财政拨款收支总计</c:v>
                </c:pt>
              </c:strCache>
            </c:strRef>
          </c:tx>
          <c:spPr>
            <a:solidFill>
              <a:schemeClr val="accent6">
                <a:lumMod val="40000"/>
                <a:lumOff val="60000"/>
              </a:schemeClr>
            </a:solidFill>
            <a:ln w="12700">
              <a:solidFill>
                <a:srgbClr val="000000"/>
              </a:solidFill>
              <a:prstDash val="solid"/>
            </a:ln>
            <a:scene3d>
              <a:camera prst="orthographicFront"/>
              <a:lightRig rig="threePt" dir="t"/>
            </a:scene3d>
            <a:sp3d>
              <a:bevelT w="165100" prst="coolSlant"/>
            </a:sp3d>
          </c:spPr>
          <c:invertIfNegative val="0"/>
          <c:dLbls>
            <c:dLbl>
              <c:idx val="0"/>
              <c:layout>
                <c:manualLayout>
                  <c:x val="-0.00662494240952845"/>
                  <c:y val="0.08265923246908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47679412093715"/>
                  <c:y val="0.084445656035870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数3!$A$14:$A$15</c:f>
              <c:strCache>
                <c:ptCount val="2"/>
                <c:pt idx="0">
                  <c:v>2019年</c:v>
                </c:pt>
                <c:pt idx="1">
                  <c:v>2020年</c:v>
                </c:pt>
              </c:strCache>
            </c:strRef>
          </c:cat>
          <c:val>
            <c:numRef>
              <c:f>数3!$B$14:$B$15</c:f>
              <c:numCache>
                <c:formatCode>0.00_);[Red]\(0.00\)</c:formatCode>
                <c:ptCount val="2"/>
                <c:pt idx="0">
                  <c:v>72135.82</c:v>
                </c:pt>
                <c:pt idx="1">
                  <c:v>35212.15</c:v>
                </c:pt>
              </c:numCache>
            </c:numRef>
          </c:val>
        </c:ser>
        <c:dLbls>
          <c:showLegendKey val="0"/>
          <c:showVal val="1"/>
          <c:showCatName val="0"/>
          <c:showSerName val="0"/>
          <c:showPercent val="0"/>
          <c:showBubbleSize val="0"/>
        </c:dLbls>
        <c:gapWidth val="130"/>
        <c:overlap val="-100"/>
        <c:axId val="168819712"/>
        <c:axId val="169150336"/>
      </c:barChart>
      <c:lineChart>
        <c:grouping val="standard"/>
        <c:varyColors val="0"/>
        <c:ser>
          <c:idx val="0"/>
          <c:order val="1"/>
          <c:tx>
            <c:strRef>
              <c:f>数3!$C$13</c:f>
              <c:strCache>
                <c:ptCount val="1"/>
                <c:pt idx="0">
                  <c:v>减少比例</c:v>
                </c:pt>
              </c:strCache>
            </c:strRef>
          </c:tx>
          <c:spPr>
            <a:ln w="38100" cap="rnd" cmpd="sng" algn="ctr">
              <a:solidFill>
                <a:srgbClr val="0000FF"/>
              </a:solidFill>
              <a:prstDash val="solid"/>
              <a:round/>
            </a:ln>
          </c:spPr>
          <c:marker>
            <c:symbol val="circle"/>
            <c:size val="12"/>
            <c:spPr>
              <a:solidFill>
                <a:schemeClr val="accent2">
                  <a:lumMod val="60000"/>
                  <a:lumOff val="40000"/>
                </a:schemeClr>
              </a:solidFill>
              <a:ln w="6350" cap="flat" cmpd="sng" algn="ctr">
                <a:solidFill>
                  <a:srgbClr val="000080"/>
                </a:solidFill>
                <a:prstDash val="solid"/>
                <a:round/>
              </a:ln>
            </c:spPr>
          </c:marker>
          <c:dLbls>
            <c:dLbl>
              <c:idx val="0"/>
              <c:layout>
                <c:manualLayout>
                  <c:x val="0.00826345057457757"/>
                  <c:y val="-0.020571297209226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63453632942931"/>
                  <c:y val="-0.01266418647027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数3!$A$14:$A$15</c:f>
              <c:strCache>
                <c:ptCount val="2"/>
                <c:pt idx="0">
                  <c:v>2019年</c:v>
                </c:pt>
                <c:pt idx="1">
                  <c:v>2020年</c:v>
                </c:pt>
              </c:strCache>
            </c:strRef>
          </c:cat>
          <c:val>
            <c:numRef>
              <c:f>数3!$C$14:$C$15</c:f>
              <c:numCache>
                <c:formatCode>0.00_);[Red]\(0.00\)</c:formatCode>
                <c:ptCount val="2"/>
                <c:pt idx="0">
                  <c:v>100</c:v>
                </c:pt>
                <c:pt idx="1">
                  <c:v>48.81</c:v>
                </c:pt>
              </c:numCache>
            </c:numRef>
          </c:val>
          <c:smooth val="0"/>
        </c:ser>
        <c:dLbls>
          <c:showLegendKey val="0"/>
          <c:showVal val="1"/>
          <c:showCatName val="0"/>
          <c:showSerName val="0"/>
          <c:showPercent val="0"/>
          <c:showBubbleSize val="0"/>
        </c:dLbls>
        <c:marker val="1"/>
        <c:smooth val="0"/>
        <c:axId val="169151872"/>
        <c:axId val="169190528"/>
      </c:lineChart>
      <c:catAx>
        <c:axId val="16881971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9150336"/>
        <c:crosses val="autoZero"/>
        <c:auto val="0"/>
        <c:lblAlgn val="ctr"/>
        <c:lblOffset val="100"/>
        <c:tickLblSkip val="1"/>
        <c:noMultiLvlLbl val="0"/>
      </c:catAx>
      <c:valAx>
        <c:axId val="169150336"/>
        <c:scaling>
          <c:orientation val="minMax"/>
        </c:scaling>
        <c:delete val="0"/>
        <c:axPos val="l"/>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8819712"/>
        <c:crosses val="autoZero"/>
        <c:crossBetween val="between"/>
      </c:valAx>
      <c:catAx>
        <c:axId val="169151872"/>
        <c:scaling>
          <c:orientation val="minMax"/>
        </c:scaling>
        <c:delete val="1"/>
        <c:axPos val="b"/>
        <c:majorTickMark val="out"/>
        <c:minorTickMark val="none"/>
        <c:tickLblPos val="none"/>
        <c:txPr>
          <a:bodyPr rot="-6000000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9190528"/>
        <c:crosses val="autoZero"/>
        <c:auto val="0"/>
        <c:lblAlgn val="ctr"/>
        <c:lblOffset val="100"/>
        <c:noMultiLvlLbl val="0"/>
      </c:catAx>
      <c:valAx>
        <c:axId val="169190528"/>
        <c:scaling>
          <c:orientation val="minMax"/>
          <c:max val="100"/>
        </c:scaling>
        <c:delete val="0"/>
        <c:axPos val="r"/>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9151872"/>
        <c:crosses val="max"/>
        <c:crossBetween val="between"/>
      </c:valAx>
      <c:spPr>
        <a:noFill/>
        <a:ln w="25400">
          <a:noFill/>
        </a:ln>
      </c:spPr>
    </c:plotArea>
    <c:legend>
      <c:legendPos val="r"/>
      <c:layout>
        <c:manualLayout>
          <c:xMode val="edge"/>
          <c:yMode val="edge"/>
          <c:x val="0.249987770912214"/>
          <c:y val="0.907315736652334"/>
          <c:w val="0.492500006958303"/>
          <c:h val="0.0600000000000001"/>
        </c:manualLayout>
      </c:layout>
      <c:overlay val="0"/>
      <c:spPr>
        <a:solidFill>
          <a:srgbClr val="FFFFFF">
            <a:alpha val="100000"/>
          </a:srgbClr>
        </a:solidFill>
        <a:ln w="3175">
          <a:noFill/>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105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478941034898"/>
          <c:y val="0.153904270030762"/>
          <c:w val="0.7983525067462"/>
          <c:h val="0.644421152929967"/>
        </c:manualLayout>
      </c:layout>
      <c:barChart>
        <c:barDir val="col"/>
        <c:grouping val="clustered"/>
        <c:varyColors val="0"/>
        <c:ser>
          <c:idx val="1"/>
          <c:order val="0"/>
          <c:tx>
            <c:strRef>
              <c:f>数3!$B$19</c:f>
              <c:strCache>
                <c:ptCount val="1"/>
                <c:pt idx="0">
                  <c:v>一般公共预算财政拨款支出总计</c:v>
                </c:pt>
              </c:strCache>
            </c:strRef>
          </c:tx>
          <c:spPr>
            <a:solidFill>
              <a:schemeClr val="accent6">
                <a:lumMod val="40000"/>
                <a:lumOff val="60000"/>
              </a:schemeClr>
            </a:solidFill>
            <a:ln w="12700">
              <a:solidFill>
                <a:srgbClr val="000000"/>
              </a:solidFill>
              <a:prstDash val="solid"/>
            </a:ln>
            <a:scene3d>
              <a:camera prst="orthographicFront"/>
              <a:lightRig rig="threePt" dir="t"/>
            </a:scene3d>
            <a:sp3d>
              <a:bevelT w="165100" prst="coolSlant"/>
            </a:sp3d>
          </c:spPr>
          <c:invertIfNegative val="0"/>
          <c:dLbls>
            <c:dLbl>
              <c:idx val="0"/>
              <c:layout>
                <c:manualLayout>
                  <c:x val="-0.000909254574225153"/>
                  <c:y val="0.1384774080659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15155822128732"/>
                  <c:y val="0.116690091157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数3!$A$20:$A$21</c:f>
              <c:strCache>
                <c:ptCount val="2"/>
                <c:pt idx="0">
                  <c:v>2019年</c:v>
                </c:pt>
                <c:pt idx="1">
                  <c:v>2020年</c:v>
                </c:pt>
              </c:strCache>
            </c:strRef>
          </c:cat>
          <c:val>
            <c:numRef>
              <c:f>数3!$B$20:$B$21</c:f>
              <c:numCache>
                <c:formatCode>0.00_);[Red]\(0.00\)</c:formatCode>
                <c:ptCount val="2"/>
                <c:pt idx="0">
                  <c:v>54233.44</c:v>
                </c:pt>
                <c:pt idx="1">
                  <c:v>16021.42</c:v>
                </c:pt>
              </c:numCache>
            </c:numRef>
          </c:val>
        </c:ser>
        <c:dLbls>
          <c:showLegendKey val="0"/>
          <c:showVal val="1"/>
          <c:showCatName val="0"/>
          <c:showSerName val="0"/>
          <c:showPercent val="0"/>
          <c:showBubbleSize val="0"/>
        </c:dLbls>
        <c:gapWidth val="130"/>
        <c:overlap val="-100"/>
        <c:axId val="169203200"/>
        <c:axId val="169204736"/>
      </c:barChart>
      <c:lineChart>
        <c:grouping val="standard"/>
        <c:varyColors val="0"/>
        <c:ser>
          <c:idx val="0"/>
          <c:order val="1"/>
          <c:tx>
            <c:strRef>
              <c:f>数3!$C$19</c:f>
              <c:strCache>
                <c:ptCount val="1"/>
                <c:pt idx="0">
                  <c:v>减少比例</c:v>
                </c:pt>
              </c:strCache>
            </c:strRef>
          </c:tx>
          <c:spPr>
            <a:ln w="38100" cap="rnd" cmpd="sng" algn="ctr">
              <a:solidFill>
                <a:srgbClr val="0000FF"/>
              </a:solidFill>
              <a:prstDash val="solid"/>
              <a:round/>
            </a:ln>
          </c:spPr>
          <c:marker>
            <c:symbol val="circle"/>
            <c:size val="12"/>
            <c:spPr>
              <a:solidFill>
                <a:schemeClr val="accent2">
                  <a:lumMod val="60000"/>
                  <a:lumOff val="40000"/>
                </a:schemeClr>
              </a:solidFill>
              <a:ln w="6350" cap="flat" cmpd="sng" algn="ctr">
                <a:solidFill>
                  <a:srgbClr val="000080"/>
                </a:solidFill>
                <a:prstDash val="solid"/>
                <a:round/>
              </a:ln>
            </c:spPr>
          </c:marker>
          <c:dLbls>
            <c:dLbl>
              <c:idx val="0"/>
              <c:layout>
                <c:manualLayout>
                  <c:x val="0.0144042185900843"/>
                  <c:y val="-0.01191822004900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05314723746174"/>
                  <c:y val="-0.073661840657014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数3!$A$20:$A$21</c:f>
              <c:strCache>
                <c:ptCount val="2"/>
                <c:pt idx="0">
                  <c:v>2019年</c:v>
                </c:pt>
                <c:pt idx="1">
                  <c:v>2020年</c:v>
                </c:pt>
              </c:strCache>
            </c:strRef>
          </c:cat>
          <c:val>
            <c:numRef>
              <c:f>数3!$C$20:$C$21</c:f>
              <c:numCache>
                <c:formatCode>0.00_);[Red]\(0.00\)</c:formatCode>
                <c:ptCount val="2"/>
                <c:pt idx="0">
                  <c:v>100</c:v>
                </c:pt>
                <c:pt idx="1">
                  <c:v>24.83</c:v>
                </c:pt>
              </c:numCache>
            </c:numRef>
          </c:val>
          <c:smooth val="0"/>
        </c:ser>
        <c:dLbls>
          <c:showLegendKey val="0"/>
          <c:showVal val="1"/>
          <c:showCatName val="0"/>
          <c:showSerName val="0"/>
          <c:showPercent val="0"/>
          <c:showBubbleSize val="0"/>
        </c:dLbls>
        <c:marker val="1"/>
        <c:smooth val="0"/>
        <c:axId val="169210624"/>
        <c:axId val="169212160"/>
      </c:lineChart>
      <c:catAx>
        <c:axId val="16920320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9204736"/>
        <c:crosses val="autoZero"/>
        <c:auto val="0"/>
        <c:lblAlgn val="ctr"/>
        <c:lblOffset val="100"/>
        <c:tickLblSkip val="1"/>
        <c:noMultiLvlLbl val="0"/>
      </c:catAx>
      <c:valAx>
        <c:axId val="169204736"/>
        <c:scaling>
          <c:orientation val="minMax"/>
        </c:scaling>
        <c:delete val="0"/>
        <c:axPos val="l"/>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9203200"/>
        <c:crosses val="autoZero"/>
        <c:crossBetween val="between"/>
      </c:valAx>
      <c:catAx>
        <c:axId val="169210624"/>
        <c:scaling>
          <c:orientation val="minMax"/>
        </c:scaling>
        <c:delete val="1"/>
        <c:axPos val="b"/>
        <c:majorTickMark val="out"/>
        <c:minorTickMark val="none"/>
        <c:tickLblPos val="none"/>
        <c:txPr>
          <a:bodyPr rot="-6000000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9212160"/>
        <c:crosses val="autoZero"/>
        <c:auto val="0"/>
        <c:lblAlgn val="ctr"/>
        <c:lblOffset val="100"/>
        <c:noMultiLvlLbl val="0"/>
      </c:catAx>
      <c:valAx>
        <c:axId val="169212160"/>
        <c:scaling>
          <c:orientation val="minMax"/>
          <c:max val="100"/>
        </c:scaling>
        <c:delete val="0"/>
        <c:axPos val="r"/>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69210624"/>
        <c:crosses val="max"/>
        <c:crossBetween val="between"/>
      </c:valAx>
      <c:spPr>
        <a:noFill/>
        <a:ln w="25400">
          <a:noFill/>
        </a:ln>
      </c:spPr>
    </c:plotArea>
    <c:legend>
      <c:legendPos val="r"/>
      <c:layout>
        <c:manualLayout>
          <c:xMode val="edge"/>
          <c:yMode val="edge"/>
          <c:x val="0.225672961430669"/>
          <c:y val="0.901527867840049"/>
          <c:w val="0.491999977757018"/>
          <c:h val="0.0595000771962329"/>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11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'2020 (2)'!$A$53</c:f>
              <c:strCache>
                <c:ptCount val="1"/>
                <c:pt idx="0">
                  <c:v>2020年一般公共预算财政拨款支出</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314828479933868"/>
                  <c:y val="0.0782814711815161"/>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0.118761506244419"/>
                  <c:y val="0.000207692843769531"/>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0.0547796773416807"/>
                  <c:y val="-0.00496810096847118"/>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3"/>
              <c:layout>
                <c:manualLayout>
                  <c:x val="0.0572093790467379"/>
                  <c:y val="0.146027350998978"/>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0.0539532185252668"/>
                  <c:y val="0.303350823788599"/>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5"/>
              <c:layout>
                <c:manualLayout>
                  <c:x val="-0.1244418701214"/>
                  <c:y val="-0.128793803150706"/>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'2020 (2)'!$B$52:$G$52</c:f>
              <c:strCache>
                <c:ptCount val="6"/>
                <c:pt idx="0">
                  <c:v>一般公共服务（类）支出</c:v>
                </c:pt>
                <c:pt idx="1">
                  <c:v>教育（类）支出</c:v>
                </c:pt>
                <c:pt idx="2">
                  <c:v>社会保障和就业（类）支出</c:v>
                </c:pt>
                <c:pt idx="3">
                  <c:v>卫生健康支出</c:v>
                </c:pt>
                <c:pt idx="4">
                  <c:v>住房保障支出</c:v>
                </c:pt>
                <c:pt idx="5">
                  <c:v>城乡社区支出</c:v>
                </c:pt>
              </c:strCache>
            </c:strRef>
          </c:cat>
          <c:val>
            <c:numRef>
              <c:f>'2020 (2)'!$B$53:$G$53</c:f>
              <c:numCache>
                <c:formatCode>General</c:formatCode>
                <c:ptCount val="6"/>
                <c:pt idx="0">
                  <c:v>573.14</c:v>
                </c:pt>
                <c:pt idx="1">
                  <c:v>2650</c:v>
                </c:pt>
                <c:pt idx="2">
                  <c:v>62.41</c:v>
                </c:pt>
                <c:pt idx="3">
                  <c:v>15.1</c:v>
                </c:pt>
                <c:pt idx="4">
                  <c:v>49.46</c:v>
                </c:pt>
                <c:pt idx="5">
                  <c:v>12671.31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4291557305337"/>
          <c:y val="0.0694444444444445"/>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57430446194226"/>
          <c:y val="0.263310002916302"/>
          <c:w val="0.385139107611549"/>
          <c:h val="0.641898512685916"/>
        </c:manualLayout>
      </c:layout>
      <c:pieChart>
        <c:varyColors val="1"/>
        <c:ser>
          <c:idx val="0"/>
          <c:order val="0"/>
          <c:tx>
            <c:strRef>
              <c:f>'2020 (2)'!$A$73</c:f>
              <c:strCache>
                <c:ptCount val="1"/>
                <c:pt idx="0">
                  <c:v>三公”经费财政拨款支出结构</c:v>
                </c:pt>
              </c:strCache>
            </c:strRef>
          </c:tx>
          <c:explosion val="0"/>
          <c:dPt>
            <c:idx val="0"/>
            <c:bubble3D val="0"/>
          </c:dPt>
          <c:dPt>
            <c:idx val="1"/>
            <c:bubble3D val="0"/>
          </c:dPt>
          <c:dPt>
            <c:idx val="2"/>
            <c:bubble3D val="0"/>
          </c:dPt>
          <c:dLbls>
            <c:dLbl>
              <c:idx val="0"/>
              <c:delete val="1"/>
            </c:dLbl>
            <c:dLbl>
              <c:idx val="1"/>
              <c:layout>
                <c:manualLayout>
                  <c:x val="0.37777668416448"/>
                  <c:y val="-0.1309951881014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公务用车购置及运行维护费支出</a:t>
                    </a:r>
                    <a:r>
                      <a:rPr lang="en-US" altLang="zh-CN"/>
                      <a:t>100%</a:t>
                    </a:r>
                    <a:endParaRPr lang="en-US" altLang="zh-CN"/>
                  </a:p>
                </c:rich>
              </c:tx>
              <c:dLblPos val="bestFi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'2020 (2)'!$B$72:$D$72</c:f>
              <c:strCache>
                <c:ptCount val="3"/>
                <c:pt idx="0">
                  <c:v>因公出国（境）费支出决算</c:v>
                </c:pt>
                <c:pt idx="1">
                  <c:v>公务用车购置及运行维护费支出</c:v>
                </c:pt>
                <c:pt idx="2">
                  <c:v>公务接待费支出决算</c:v>
                </c:pt>
              </c:strCache>
            </c:strRef>
          </c:cat>
          <c:val>
            <c:numRef>
              <c:f>'2020 (2)'!$B$73:$D$73</c:f>
              <c:numCache>
                <c:formatCode>General</c:formatCode>
                <c:ptCount val="3"/>
                <c:pt idx="0">
                  <c:v>0</c:v>
                </c:pt>
                <c:pt idx="1">
                  <c:v>5.89</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0.01356</cdr:x>
      <cdr:y>0.02679</cdr:y>
    </cdr:from>
    <cdr:to>
      <cdr:x>0.20605</cdr:x>
      <cdr:y>0.10333</cdr:y>
    </cdr:to>
    <cdr:sp>
      <cdr:nvSpPr>
        <cdr:cNvPr id="2" name="矩形 1"/>
        <cdr:cNvSpPr/>
      </cdr:nvSpPr>
      <cdr:spPr xmlns:a="http://schemas.openxmlformats.org/drawingml/2006/main">
        <a:xfrm xmlns:a="http://schemas.openxmlformats.org/drawingml/2006/main">
          <a:off x="71531" y="76559"/>
          <a:ext cx="1015741" cy="218716"/>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100" b="0" i="0" u="none" strike="noStrike" baseline="0">
              <a:solidFill>
                <a:srgbClr val="000000"/>
              </a:solidFill>
              <a:latin typeface="宋体" panose="02010600030101010101" charset="-122"/>
              <a:ea typeface="宋体" panose="02010600030101010101" charset="-122"/>
            </a:rPr>
            <a:t>（万元）</a:t>
          </a:r>
          <a:endParaRPr lang="zh-CN" altLang="en-US" sz="1100" b="0" i="0" u="none" strike="noStrike" baseline="0">
            <a:solidFill>
              <a:srgbClr val="000000"/>
            </a:solidFill>
            <a:latin typeface="宋体" panose="02010600030101010101" charset="-122"/>
            <a:ea typeface="宋体" panose="02010600030101010101" charset="-122"/>
          </a:endParaRPr>
        </a:p>
      </cdr:txBody>
    </cdr:sp>
  </cdr:relSizeAnchor>
  <cdr:relSizeAnchor xmlns:cdr="http://schemas.openxmlformats.org/drawingml/2006/chartDrawing">
    <cdr:from>
      <cdr:x>0.84532</cdr:x>
      <cdr:y>0.01869</cdr:y>
    </cdr:from>
    <cdr:to>
      <cdr:x>1</cdr:x>
      <cdr:y>0.08065</cdr:y>
    </cdr:to>
    <cdr:sp>
      <cdr:nvSpPr>
        <cdr:cNvPr id="3" name="矩形 2"/>
        <cdr:cNvSpPr/>
      </cdr:nvSpPr>
      <cdr:spPr xmlns:a="http://schemas.openxmlformats.org/drawingml/2006/main">
        <a:xfrm xmlns:a="http://schemas.openxmlformats.org/drawingml/2006/main">
          <a:off x="4461020" y="61197"/>
          <a:ext cx="815830" cy="202886"/>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200" b="0" i="0" u="none" strike="noStrike" baseline="0">
              <a:solidFill>
                <a:srgbClr val="000000"/>
              </a:solidFill>
              <a:latin typeface="宋体" panose="02010600030101010101" charset="-122"/>
              <a:ea typeface="宋体" panose="02010600030101010101" charset="-122"/>
            </a:rPr>
            <a:t>（</a:t>
          </a:r>
          <a:r>
            <a:rPr lang="zh-CN" altLang="en-US" sz="1200" b="0" i="0" u="none" strike="noStrike" baseline="0">
              <a:solidFill>
                <a:srgbClr val="000000"/>
              </a:solidFill>
              <a:latin typeface="Arial" panose="020B0604020202020204" pitchFamily="2"/>
              <a:ea typeface="宋体" panose="02010600030101010101" charset="-122"/>
              <a:cs typeface="Arial" panose="020B0604020202020204" pitchFamily="2"/>
            </a:rPr>
            <a:t>%</a:t>
          </a:r>
          <a:r>
            <a:rPr lang="zh-CN" altLang="en-US" sz="1200" b="0" i="0" u="none" strike="noStrike" baseline="0">
              <a:solidFill>
                <a:srgbClr val="000000"/>
              </a:solidFill>
              <a:latin typeface="宋体" panose="02010600030101010101" charset="-122"/>
              <a:ea typeface="宋体" panose="02010600030101010101" charset="-122"/>
              <a:cs typeface="Arial" panose="020B0604020202020204" pitchFamily="2"/>
            </a:rPr>
            <a:t>）</a:t>
          </a:r>
          <a:endParaRPr lang="zh-CN" altLang="en-US" sz="1200" b="0" i="0" u="none" strike="noStrike" baseline="0">
            <a:solidFill>
              <a:srgbClr val="000000"/>
            </a:solidFill>
            <a:latin typeface="宋体" panose="02010600030101010101" charset="-122"/>
            <a:ea typeface="宋体" panose="02010600030101010101"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0.26875</cdr:x>
      <cdr:y>0.27431</cdr:y>
    </cdr:from>
    <cdr:to>
      <cdr:x>0.42083</cdr:x>
      <cdr:y>0.47917</cdr:y>
    </cdr:to>
    <cdr:sp>
      <cdr:nvSpPr>
        <cdr:cNvPr id="2" name="直接连接符 1"/>
        <cdr:cNvSpPr/>
      </cdr:nvSpPr>
      <cdr:spPr xmlns:a="http://schemas.openxmlformats.org/drawingml/2006/main">
        <a:xfrm xmlns:a="http://schemas.openxmlformats.org/drawingml/2006/main">
          <a:off x="1228725" y="752475"/>
          <a:ext cx="695325" cy="561975"/>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zh-CN"/>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0.03627</cdr:y>
    </cdr:from>
    <cdr:to>
      <cdr:x>0.2318</cdr:x>
      <cdr:y>0.08633</cdr:y>
    </cdr:to>
    <cdr:sp>
      <cdr:nvSpPr>
        <cdr:cNvPr id="2" name="矩形 1"/>
        <cdr:cNvSpPr/>
      </cdr:nvSpPr>
      <cdr:spPr xmlns:a="http://schemas.openxmlformats.org/drawingml/2006/main">
        <a:xfrm xmlns:a="http://schemas.openxmlformats.org/drawingml/2006/main">
          <a:off x="-85725" y="128523"/>
          <a:ext cx="1223174" cy="177377"/>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100" b="0" i="0" u="none" strike="noStrike" baseline="0">
              <a:solidFill>
                <a:srgbClr val="000000"/>
              </a:solidFill>
              <a:latin typeface="宋体" panose="02010600030101010101" charset="-122"/>
              <a:ea typeface="宋体" panose="02010600030101010101" charset="-122"/>
            </a:rPr>
            <a:t>（万元）</a:t>
          </a:r>
          <a:endParaRPr lang="zh-CN" altLang="en-US" sz="1100" b="0" i="0" u="none" strike="noStrike" baseline="0">
            <a:solidFill>
              <a:srgbClr val="000000"/>
            </a:solidFill>
            <a:latin typeface="宋体" panose="02010600030101010101" charset="-122"/>
            <a:ea typeface="宋体" panose="02010600030101010101" charset="-122"/>
          </a:endParaRPr>
        </a:p>
      </cdr:txBody>
    </cdr:sp>
  </cdr:relSizeAnchor>
  <cdr:relSizeAnchor xmlns:cdr="http://schemas.openxmlformats.org/drawingml/2006/chartDrawing">
    <cdr:from>
      <cdr:x>0.8426</cdr:x>
      <cdr:y>0.04299</cdr:y>
    </cdr:from>
    <cdr:to>
      <cdr:x>1</cdr:x>
      <cdr:y>0.10103</cdr:y>
    </cdr:to>
    <cdr:sp>
      <cdr:nvSpPr>
        <cdr:cNvPr id="3" name="矩形 2"/>
        <cdr:cNvSpPr/>
      </cdr:nvSpPr>
      <cdr:spPr xmlns:a="http://schemas.openxmlformats.org/drawingml/2006/main">
        <a:xfrm xmlns:a="http://schemas.openxmlformats.org/drawingml/2006/main">
          <a:off x="4511400" y="152343"/>
          <a:ext cx="830576" cy="205653"/>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100" b="0" i="0" u="none" strike="noStrike" baseline="0">
              <a:solidFill>
                <a:srgbClr val="000000"/>
              </a:solidFill>
              <a:latin typeface="宋体" panose="02010600030101010101" charset="-122"/>
              <a:ea typeface="宋体" panose="02010600030101010101" charset="-122"/>
            </a:rPr>
            <a:t>（</a:t>
          </a:r>
          <a:r>
            <a:rPr lang="zh-CN" altLang="en-US" sz="1100" b="0" i="0" u="none" strike="noStrike" baseline="0">
              <a:solidFill>
                <a:srgbClr val="000000"/>
              </a:solidFill>
              <a:latin typeface="Arial" panose="020B0604020202020204" pitchFamily="2"/>
              <a:ea typeface="宋体" panose="02010600030101010101" charset="-122"/>
              <a:cs typeface="Arial" panose="020B0604020202020204" pitchFamily="2"/>
            </a:rPr>
            <a:t>%</a:t>
          </a:r>
          <a:r>
            <a:rPr lang="zh-CN" altLang="en-US" sz="1100" b="0" i="0" u="none" strike="noStrike" baseline="0">
              <a:solidFill>
                <a:srgbClr val="000000"/>
              </a:solidFill>
              <a:latin typeface="宋体" panose="02010600030101010101" charset="-122"/>
              <a:ea typeface="宋体" panose="02010600030101010101" charset="-122"/>
              <a:cs typeface="Arial" panose="020B0604020202020204" pitchFamily="2"/>
            </a:rPr>
            <a:t>）</a:t>
          </a:r>
          <a:endParaRPr lang="zh-CN" altLang="en-US" sz="1100" b="0" i="0" u="none" strike="noStrike" baseline="0">
            <a:solidFill>
              <a:srgbClr val="000000"/>
            </a:solidFill>
            <a:latin typeface="宋体" panose="02010600030101010101" charset="-122"/>
            <a:ea typeface="宋体" panose="02010600030101010101" charset="-122"/>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0.00788</cdr:y>
    </cdr:from>
    <cdr:to>
      <cdr:x>0.23724</cdr:x>
      <cdr:y>0.06235</cdr:y>
    </cdr:to>
    <cdr:sp>
      <cdr:nvSpPr>
        <cdr:cNvPr id="2" name="矩形 1"/>
        <cdr:cNvSpPr/>
      </cdr:nvSpPr>
      <cdr:spPr xmlns:a="http://schemas.openxmlformats.org/drawingml/2006/main">
        <a:xfrm xmlns:a="http://schemas.openxmlformats.org/drawingml/2006/main">
          <a:off x="0" y="28575"/>
          <a:ext cx="1251277" cy="197612"/>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200" b="0" i="0" u="none" strike="noStrike" baseline="0">
              <a:solidFill>
                <a:srgbClr val="000000"/>
              </a:solidFill>
              <a:latin typeface="宋体" panose="02010600030101010101" charset="-122"/>
              <a:ea typeface="宋体" panose="02010600030101010101" charset="-122"/>
            </a:rPr>
            <a:t>（万元）</a:t>
          </a:r>
          <a:endParaRPr lang="zh-CN" altLang="en-US" sz="1200" b="0" i="0" u="none" strike="noStrike" baseline="0">
            <a:solidFill>
              <a:srgbClr val="000000"/>
            </a:solidFill>
            <a:latin typeface="宋体" panose="02010600030101010101" charset="-122"/>
            <a:ea typeface="宋体" panose="02010600030101010101" charset="-122"/>
          </a:endParaRPr>
        </a:p>
      </cdr:txBody>
    </cdr:sp>
  </cdr:relSizeAnchor>
  <cdr:relSizeAnchor xmlns:cdr="http://schemas.openxmlformats.org/drawingml/2006/chartDrawing">
    <cdr:from>
      <cdr:x>0.74605</cdr:x>
      <cdr:y>0.0264</cdr:y>
    </cdr:from>
    <cdr:to>
      <cdr:x>0.92619</cdr:x>
      <cdr:y>0.0896</cdr:y>
    </cdr:to>
    <cdr:sp>
      <cdr:nvSpPr>
        <cdr:cNvPr id="3" name="矩形 2"/>
        <cdr:cNvSpPr/>
      </cdr:nvSpPr>
      <cdr:spPr xmlns:a="http://schemas.openxmlformats.org/drawingml/2006/main">
        <a:xfrm xmlns:a="http://schemas.openxmlformats.org/drawingml/2006/main">
          <a:off x="3934903" y="95763"/>
          <a:ext cx="950115" cy="229285"/>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100" b="0" i="0" u="none" strike="noStrike" baseline="0">
              <a:solidFill>
                <a:srgbClr val="000000"/>
              </a:solidFill>
              <a:latin typeface="宋体" panose="02010600030101010101" charset="-122"/>
              <a:ea typeface="宋体" panose="02010600030101010101" charset="-122"/>
            </a:rPr>
            <a:t>（</a:t>
          </a:r>
          <a:r>
            <a:rPr lang="zh-CN" altLang="en-US" sz="1100" b="0" i="0" u="none" strike="noStrike" baseline="0">
              <a:solidFill>
                <a:srgbClr val="000000"/>
              </a:solidFill>
              <a:latin typeface="Arial" panose="020B0604020202020204" pitchFamily="2"/>
              <a:ea typeface="宋体" panose="02010600030101010101" charset="-122"/>
              <a:cs typeface="Arial" panose="020B0604020202020204" pitchFamily="2"/>
            </a:rPr>
            <a:t>%</a:t>
          </a:r>
          <a:r>
            <a:rPr lang="zh-CN" altLang="en-US" sz="1100" b="0" i="0" u="none" strike="noStrike" baseline="0">
              <a:solidFill>
                <a:srgbClr val="000000"/>
              </a:solidFill>
              <a:latin typeface="宋体" panose="02010600030101010101" charset="-122"/>
              <a:ea typeface="宋体" panose="02010600030101010101" charset="-122"/>
              <a:cs typeface="Arial" panose="020B0604020202020204" pitchFamily="2"/>
            </a:rPr>
            <a:t>）</a:t>
          </a:r>
          <a:endParaRPr lang="zh-CN" altLang="en-US" sz="1100" b="0" i="0" u="none" strike="noStrike" baseline="0">
            <a:solidFill>
              <a:srgbClr val="000000"/>
            </a:solidFill>
            <a:latin typeface="宋体" panose="02010600030101010101" charset="-122"/>
            <a:ea typeface="宋体" panose="02010600030101010101" charset="-122"/>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0.61875</cdr:x>
      <cdr:y>0.61458</cdr:y>
    </cdr:from>
    <cdr:to>
      <cdr:x>0.72708</cdr:x>
      <cdr:y>0.75694</cdr:y>
    </cdr:to>
    <cdr:sp>
      <cdr:nvSpPr>
        <cdr:cNvPr id="2" name="直接连接符 1"/>
        <cdr:cNvSpPr/>
      </cdr:nvSpPr>
      <cdr:spPr xmlns:a="http://schemas.openxmlformats.org/drawingml/2006/main">
        <a:xfrm xmlns:a="http://schemas.openxmlformats.org/drawingml/2006/main">
          <a:off x="2828925" y="1685925"/>
          <a:ext cx="495300" cy="390525"/>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zh-CN"/>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1451</Words>
  <Characters>8272</Characters>
  <Lines>68</Lines>
  <Paragraphs>19</Paragraphs>
  <TotalTime>750</TotalTime>
  <ScaleCrop>false</ScaleCrop>
  <LinksUpToDate>false</LinksUpToDate>
  <CharactersWithSpaces>9704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2021-07-29T03:56:00Z</cp:lastPrinted>
  <dcterms:modified xsi:type="dcterms:W3CDTF">2021-10-25T02:12:27Z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