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96597"/>
      <w:bookmarkStart w:id="1" w:name="_Toc15377425"/>
      <w:bookmarkStart w:id="2" w:name="_Toc15377193"/>
      <w:bookmarkStart w:id="3" w:name="_Toc15378441"/>
      <w:bookmarkStart w:id="4" w:name="_Toc15396475"/>
      <w:bookmarkStart w:id="5" w:name="_Toc15306267"/>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8442"/>
      <w:bookmarkStart w:id="8" w:name="_Toc15396598"/>
      <w:bookmarkStart w:id="9" w:name="_Toc15377426"/>
      <w:bookmarkStart w:id="10" w:name="_Toc15377194"/>
      <w:r>
        <w:rPr>
          <w:rFonts w:hint="eastAsia" w:ascii="方正小标宋简体" w:hAnsi="宋体" w:eastAsia="方正小标宋简体"/>
          <w:color w:val="000000"/>
          <w:sz w:val="72"/>
          <w:szCs w:val="72"/>
        </w:rPr>
        <w:t>四川省</w:t>
      </w:r>
      <w:bookmarkEnd w:id="5"/>
      <w:bookmarkStart w:id="11" w:name="_Toc15306268"/>
      <w:r>
        <w:rPr>
          <w:rFonts w:ascii="方正小标宋简体" w:hAnsi="宋体" w:eastAsia="方正小标宋简体"/>
          <w:color w:val="000000"/>
          <w:sz w:val="72"/>
          <w:szCs w:val="72"/>
        </w:rPr>
        <w:t>乐山市峨眉山市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ascii="方正小标宋简体" w:hAnsi="宋体" w:eastAsia="方正小标宋简体"/>
          <w:color w:val="000000"/>
          <w:sz w:val="72"/>
          <w:szCs w:val="72"/>
        </w:rPr>
        <w:t>桂花桥镇第二小学校</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公开时间：2021年10月</w:t>
      </w:r>
      <w:r>
        <w:rPr>
          <w:rFonts w:hint="eastAsia"/>
          <w:lang w:val="en-US" w:eastAsia="zh-CN"/>
        </w:rPr>
        <w:t>27</w:t>
      </w:r>
      <w:bookmarkStart w:id="73" w:name="_GoBack"/>
      <w:bookmarkEnd w:id="73"/>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                            第4页</w:t>
      </w:r>
    </w:p>
    <w:p>
      <w:pPr>
        <w:pStyle w:val="11"/>
        <w:adjustRightInd w:val="0"/>
        <w:snapToGrid w:val="0"/>
        <w:spacing w:line="440" w:lineRule="exact"/>
        <w:jc w:val="left"/>
        <w:rPr>
          <w:rFonts w:ascii="仿宋" w:hAnsi="仿宋" w:eastAsia="仿宋" w:cstheme="minorBidi"/>
          <w:sz w:val="24"/>
        </w:rPr>
      </w:pPr>
      <w:r>
        <w:rPr>
          <w:rFonts w:hint="eastAsia"/>
          <w:sz w:val="24"/>
        </w:rPr>
        <w:t>二、机构设置                                      第</w:t>
      </w:r>
      <w:r>
        <w:rPr>
          <w:sz w:val="24"/>
        </w:rPr>
        <w:t>5</w:t>
      </w:r>
      <w:r>
        <w:rPr>
          <w:rFonts w:hint="eastAsia"/>
          <w:sz w:val="24"/>
        </w:rPr>
        <w:t>页</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                      第5页</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                              第5页至第6页</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                              第6页</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              第7页</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          第7页至第9页</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      第9页</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           第9页至第11页</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                第11页</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             第1</w:t>
      </w:r>
      <w:r>
        <w:rPr>
          <w:sz w:val="24"/>
        </w:rPr>
        <w:t>2</w:t>
      </w:r>
      <w:r>
        <w:rPr>
          <w:rFonts w:hint="eastAsia"/>
          <w:sz w:val="24"/>
        </w:rPr>
        <w:t>页</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ascii="仿宋" w:hAnsi="仿宋" w:eastAsia="仿宋"/>
          <w:sz w:val="24"/>
        </w:rPr>
        <w:t xml:space="preserve">                      </w:t>
      </w:r>
      <w:r>
        <w:rPr>
          <w:rFonts w:hint="eastAsia"/>
          <w:sz w:val="24"/>
        </w:rPr>
        <w:t>第1</w:t>
      </w:r>
      <w:r>
        <w:rPr>
          <w:sz w:val="24"/>
        </w:rPr>
        <w:t>2</w:t>
      </w:r>
      <w:r>
        <w:rPr>
          <w:rFonts w:hint="eastAsia"/>
          <w:sz w:val="24"/>
        </w:rPr>
        <w:t>页至第1</w:t>
      </w:r>
      <w:r>
        <w:rPr>
          <w:sz w:val="24"/>
        </w:rPr>
        <w:t>6</w:t>
      </w:r>
      <w:r>
        <w:rPr>
          <w:rFonts w:hint="eastAsia"/>
          <w:sz w:val="24"/>
        </w:rPr>
        <w:t>页</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                                    第1</w:t>
      </w:r>
      <w:r>
        <w:rPr>
          <w:sz w:val="24"/>
        </w:rPr>
        <w:t>7</w:t>
      </w:r>
      <w:r>
        <w:rPr>
          <w:rFonts w:hint="eastAsia"/>
          <w:sz w:val="24"/>
        </w:rPr>
        <w:t>页至第2</w:t>
      </w:r>
      <w:r>
        <w:rPr>
          <w:sz w:val="24"/>
        </w:rPr>
        <w:t>2</w:t>
      </w:r>
      <w:r>
        <w:rPr>
          <w:rFonts w:hint="eastAsia"/>
          <w:sz w:val="24"/>
        </w:rPr>
        <w:t>页</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 xml:space="preserve">1                                            </w:t>
      </w:r>
      <w:r>
        <w:rPr>
          <w:rFonts w:hint="eastAsia"/>
          <w:sz w:val="24"/>
        </w:rPr>
        <w:t>第2</w:t>
      </w:r>
      <w:r>
        <w:rPr>
          <w:sz w:val="24"/>
        </w:rPr>
        <w:t>3</w:t>
      </w:r>
      <w:r>
        <w:rPr>
          <w:rFonts w:hint="eastAsia"/>
          <w:sz w:val="24"/>
        </w:rPr>
        <w:t>页至第</w:t>
      </w:r>
      <w:r>
        <w:rPr>
          <w:sz w:val="24"/>
        </w:rPr>
        <w:t>30</w:t>
      </w:r>
      <w:r>
        <w:rPr>
          <w:rFonts w:hint="eastAsia"/>
          <w:sz w:val="24"/>
        </w:rPr>
        <w:t>页</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 xml:space="preserve">2                                            </w:t>
      </w:r>
      <w:r>
        <w:rPr>
          <w:rFonts w:hint="eastAsia"/>
          <w:sz w:val="24"/>
        </w:rPr>
        <w:t>第</w:t>
      </w:r>
      <w:r>
        <w:rPr>
          <w:sz w:val="24"/>
        </w:rPr>
        <w:t>30</w:t>
      </w:r>
      <w:r>
        <w:rPr>
          <w:rFonts w:hint="eastAsia"/>
          <w:sz w:val="24"/>
        </w:rPr>
        <w:t>页至第35页</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                                        第36页</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sz w:val="24"/>
        </w:rPr>
      </w:pPr>
      <w:r>
        <w:rPr>
          <w:rFonts w:hint="eastAsia" w:ascii="仿宋" w:hAnsi="仿宋" w:eastAsia="仿宋"/>
          <w:sz w:val="24"/>
        </w:rPr>
        <w:t>十三、</w:t>
      </w:r>
      <w:r>
        <w:rPr>
          <w:rFonts w:hint="eastAsia"/>
          <w:sz w:val="24"/>
        </w:rPr>
        <w:t>国有资本经营预算拨款</w:t>
      </w:r>
      <w:r>
        <w:rPr>
          <w:sz w:val="24"/>
        </w:rPr>
        <w:t>收入</w:t>
      </w:r>
      <w:r>
        <w:rPr>
          <w:rFonts w:hint="eastAsia"/>
          <w:sz w:val="24"/>
        </w:rPr>
        <w:t xml:space="preserve">支出决算表 </w:t>
      </w:r>
    </w:p>
    <w:p>
      <w:pPr>
        <w:pStyle w:val="11"/>
        <w:adjustRightInd w:val="0"/>
        <w:snapToGrid w:val="0"/>
        <w:spacing w:line="440" w:lineRule="exact"/>
        <w:jc w:val="left"/>
        <w:rPr>
          <w:sz w:val="24"/>
        </w:rPr>
      </w:pPr>
      <w:r>
        <w:rPr>
          <w:rFonts w:hint="eastAsia" w:ascii="仿宋" w:hAnsi="仿宋" w:eastAsia="仿宋"/>
          <w:sz w:val="24"/>
        </w:rPr>
        <w:t>十四、</w:t>
      </w:r>
      <w:r>
        <w:rPr>
          <w:rFonts w:hint="eastAsia"/>
          <w:sz w:val="24"/>
        </w:rPr>
        <w:t>国有资本经营预算拨款支出决算表</w:t>
      </w:r>
    </w:p>
    <w:p/>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本单位名称是峨眉山市桂花桥镇第二小学校，是全额拨款事业单位，本单位主要负责峨眉山市桂花桥镇附近及周边适龄儿童接受小学教育及学前教育。对适龄儿童进行基础文化、爱国主义、家庭伦理等启蒙教育；对适龄儿童进行是非判断、人生观、价值观的启蒙教育；对适龄儿童进行美学熏陶及传统文化教育等。2020年度本单位有在职职工40人，职工遗属2人。</w:t>
      </w:r>
      <w:r>
        <w:rPr>
          <w:rFonts w:hint="eastAsia" w:hAnsi="宋体" w:cs="宋体"/>
          <w:sz w:val="28"/>
          <w:szCs w:val="28"/>
        </w:rPr>
        <w:t>有教学班</w:t>
      </w:r>
      <w:r>
        <w:rPr>
          <w:rFonts w:hAnsi="宋体" w:cs="宋体"/>
          <w:sz w:val="28"/>
          <w:szCs w:val="28"/>
        </w:rPr>
        <w:t>8</w:t>
      </w:r>
      <w:r>
        <w:rPr>
          <w:rFonts w:hint="eastAsia" w:hAnsi="宋体" w:cs="宋体"/>
          <w:sz w:val="28"/>
          <w:szCs w:val="28"/>
        </w:rPr>
        <w:t>个</w:t>
      </w:r>
      <w:r>
        <w:rPr>
          <w:rFonts w:hint="eastAsia" w:cs="宋体"/>
          <w:sz w:val="28"/>
          <w:szCs w:val="28"/>
        </w:rPr>
        <w:t>,</w:t>
      </w:r>
      <w:r>
        <w:rPr>
          <w:rFonts w:hint="eastAsia" w:hAnsi="宋体" w:cs="宋体"/>
          <w:sz w:val="28"/>
          <w:szCs w:val="28"/>
        </w:rPr>
        <w:t>学生共计</w:t>
      </w:r>
      <w:r>
        <w:rPr>
          <w:rFonts w:hAnsi="宋体" w:cs="宋体"/>
          <w:sz w:val="28"/>
          <w:szCs w:val="28"/>
        </w:rPr>
        <w:t>286</w:t>
      </w:r>
      <w:r>
        <w:rPr>
          <w:rFonts w:hint="eastAsia" w:hAnsi="宋体" w:cs="宋体"/>
          <w:sz w:val="28"/>
          <w:szCs w:val="28"/>
        </w:rPr>
        <w:t>人。其中小学有教学班6个，学生</w:t>
      </w:r>
      <w:r>
        <w:rPr>
          <w:rFonts w:hAnsi="宋体" w:cs="宋体"/>
          <w:sz w:val="28"/>
          <w:szCs w:val="28"/>
        </w:rPr>
        <w:t>214</w:t>
      </w:r>
      <w:r>
        <w:rPr>
          <w:rFonts w:hint="eastAsia" w:hAnsi="宋体" w:cs="宋体"/>
          <w:sz w:val="28"/>
          <w:szCs w:val="28"/>
        </w:rPr>
        <w:t>人，幼儿园有教学班2个，学生</w:t>
      </w:r>
      <w:r>
        <w:rPr>
          <w:rFonts w:hAnsi="宋体" w:cs="宋体"/>
          <w:sz w:val="28"/>
          <w:szCs w:val="28"/>
        </w:rPr>
        <w:t>72</w:t>
      </w:r>
      <w:r>
        <w:rPr>
          <w:rFonts w:hint="eastAsia" w:hAnsi="宋体" w:cs="宋体"/>
          <w:sz w:val="28"/>
          <w:szCs w:val="28"/>
        </w:rPr>
        <w:t>人。</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18"/>
      <w:bookmarkEnd w:id="19"/>
    </w:p>
    <w:p>
      <w:pPr>
        <w:spacing w:line="360" w:lineRule="auto"/>
        <w:ind w:firstLine="560" w:firstLineChars="200"/>
        <w:rPr>
          <w:rFonts w:ascii="仿宋" w:hAnsi="仿宋" w:eastAsia="仿宋"/>
          <w:kern w:val="11"/>
          <w:sz w:val="24"/>
        </w:rPr>
      </w:pPr>
      <w:r>
        <w:rPr>
          <w:rFonts w:hint="eastAsia" w:ascii="仿宋_GB2312" w:eastAsia="仿宋_GB2312"/>
          <w:sz w:val="28"/>
          <w:szCs w:val="28"/>
        </w:rPr>
        <w:t>经过一年的努力，在教育局领导正确领导和关心下，在学校全体教师的共同努力下，学校在规范教学常规管理、促进了教师的专业发展、提升学校的文化品味，取得了一点成绩。</w:t>
      </w:r>
      <w:r>
        <w:rPr>
          <w:rFonts w:hint="eastAsia" w:ascii="仿宋" w:hAnsi="仿宋" w:eastAsia="仿宋"/>
          <w:bCs/>
          <w:color w:val="000000"/>
          <w:sz w:val="32"/>
          <w:szCs w:val="32"/>
        </w:rPr>
        <w:t>全体教职工积极投入教育教研中，年度末荣获</w:t>
      </w:r>
      <w:r>
        <w:rPr>
          <w:rFonts w:hint="eastAsia" w:ascii="仿宋_GB2312" w:eastAsia="仿宋_GB2312"/>
          <w:sz w:val="28"/>
          <w:szCs w:val="28"/>
        </w:rPr>
        <w:t>教学质量一等奖，德育先进学校。参加舞蹈比赛荣获集体二等奖。学校创建乐山市民族团结进步示范学校。峨眉山市文明校园。</w:t>
      </w:r>
      <w:r>
        <w:rPr>
          <w:rFonts w:hint="eastAsia" w:ascii="仿宋" w:hAnsi="仿宋" w:eastAsia="仿宋"/>
          <w:sz w:val="28"/>
          <w:szCs w:val="28"/>
        </w:rPr>
        <w:t>学校保持乐山市示范学校、西昌铁路公安处“爱路护路示范学校”。</w:t>
      </w:r>
      <w:r>
        <w:rPr>
          <w:rFonts w:hint="eastAsia" w:ascii="仿宋" w:hAnsi="仿宋" w:eastAsia="仿宋"/>
          <w:kern w:val="11"/>
          <w:sz w:val="24"/>
        </w:rPr>
        <w:t xml:space="preserve"> </w:t>
      </w:r>
    </w:p>
    <w:p>
      <w:pPr>
        <w:ind w:firstLine="420" w:firstLineChars="150"/>
        <w:rPr>
          <w:rFonts w:ascii="仿宋_GB2312" w:eastAsia="仿宋_GB2312"/>
          <w:sz w:val="28"/>
          <w:szCs w:val="28"/>
        </w:rPr>
      </w:pPr>
    </w:p>
    <w:p>
      <w:pPr>
        <w:ind w:firstLine="700" w:firstLineChars="250"/>
        <w:rPr>
          <w:sz w:val="28"/>
          <w:szCs w:val="28"/>
        </w:rPr>
      </w:pP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ascii="仿宋" w:hAnsi="仿宋" w:eastAsia="仿宋"/>
          <w:sz w:val="32"/>
          <w:szCs w:val="32"/>
        </w:rPr>
        <w:t>峨眉山市桂花桥镇第二小学校</w:t>
      </w:r>
      <w:r>
        <w:rPr>
          <w:rFonts w:hint="eastAsia" w:ascii="仿宋" w:hAnsi="仿宋" w:eastAsia="仿宋"/>
          <w:sz w:val="32"/>
          <w:szCs w:val="32"/>
        </w:rPr>
        <w:t>下属二级单位0个。</w:t>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2020年度部门决算情况说明</w:t>
      </w:r>
      <w:bookmarkEnd w:id="22"/>
      <w:bookmarkEnd w:id="23"/>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2020年度收入总计</w:t>
      </w:r>
      <w:r>
        <w:rPr>
          <w:rFonts w:ascii="仿宋" w:hAnsi="仿宋" w:eastAsia="仿宋"/>
          <w:color w:val="000000"/>
          <w:sz w:val="32"/>
          <w:szCs w:val="32"/>
        </w:rPr>
        <w:t>701.54</w:t>
      </w:r>
      <w:r>
        <w:rPr>
          <w:rFonts w:hint="eastAsia" w:ascii="仿宋" w:hAnsi="仿宋" w:eastAsia="仿宋"/>
          <w:color w:val="000000"/>
          <w:sz w:val="32"/>
          <w:szCs w:val="32"/>
        </w:rPr>
        <w:t>万元。与2019年相比，收入减少</w:t>
      </w:r>
      <w:r>
        <w:rPr>
          <w:rFonts w:ascii="仿宋" w:hAnsi="仿宋" w:eastAsia="仿宋"/>
          <w:color w:val="000000"/>
          <w:sz w:val="32"/>
          <w:szCs w:val="32"/>
        </w:rPr>
        <w:t>16.9</w:t>
      </w:r>
      <w:r>
        <w:rPr>
          <w:rFonts w:hint="eastAsia" w:ascii="仿宋" w:hAnsi="仿宋" w:eastAsia="仿宋"/>
          <w:color w:val="000000"/>
          <w:sz w:val="32"/>
          <w:szCs w:val="32"/>
        </w:rPr>
        <w:t>万元，降低</w:t>
      </w:r>
      <w:r>
        <w:rPr>
          <w:rFonts w:ascii="仿宋" w:hAnsi="仿宋" w:eastAsia="仿宋"/>
          <w:color w:val="000000"/>
          <w:sz w:val="32"/>
          <w:szCs w:val="32"/>
        </w:rPr>
        <w:t>2.35%</w:t>
      </w:r>
      <w:r>
        <w:rPr>
          <w:rFonts w:hint="eastAsia" w:ascii="仿宋" w:hAnsi="仿宋" w:eastAsia="仿宋"/>
          <w:color w:val="000000"/>
          <w:sz w:val="32"/>
          <w:szCs w:val="32"/>
        </w:rPr>
        <w:t>。主要变动原因是在本年度中有在职人员退休和</w:t>
      </w:r>
      <w:r>
        <w:rPr>
          <w:rFonts w:ascii="仿宋" w:hAnsi="仿宋" w:eastAsia="仿宋"/>
          <w:color w:val="000000"/>
          <w:sz w:val="32"/>
          <w:szCs w:val="32"/>
        </w:rPr>
        <w:t>调出</w:t>
      </w:r>
      <w:r>
        <w:rPr>
          <w:rFonts w:hint="eastAsia" w:ascii="仿宋" w:hAnsi="仿宋" w:eastAsia="仿宋"/>
          <w:color w:val="000000"/>
          <w:sz w:val="32"/>
          <w:szCs w:val="32"/>
        </w:rPr>
        <w:t>导致收入减少。2020年度支出总计为</w:t>
      </w:r>
      <w:r>
        <w:rPr>
          <w:rFonts w:ascii="仿宋" w:hAnsi="仿宋" w:eastAsia="仿宋"/>
          <w:color w:val="000000"/>
          <w:sz w:val="32"/>
          <w:szCs w:val="32"/>
        </w:rPr>
        <w:t>708.5</w:t>
      </w:r>
      <w:r>
        <w:rPr>
          <w:rFonts w:hint="eastAsia" w:ascii="仿宋" w:hAnsi="仿宋" w:eastAsia="仿宋"/>
          <w:color w:val="000000"/>
          <w:sz w:val="32"/>
          <w:szCs w:val="32"/>
        </w:rPr>
        <w:t>万元。与2019年相比，支出减少</w:t>
      </w:r>
      <w:r>
        <w:rPr>
          <w:rFonts w:ascii="仿宋" w:hAnsi="仿宋" w:eastAsia="仿宋"/>
          <w:color w:val="000000"/>
          <w:sz w:val="32"/>
          <w:szCs w:val="32"/>
        </w:rPr>
        <w:t>11.86</w:t>
      </w:r>
      <w:r>
        <w:rPr>
          <w:rFonts w:hint="eastAsia" w:ascii="仿宋" w:hAnsi="仿宋" w:eastAsia="仿宋"/>
          <w:color w:val="000000"/>
          <w:sz w:val="32"/>
          <w:szCs w:val="32"/>
        </w:rPr>
        <w:t>万元，降低</w:t>
      </w:r>
      <w:r>
        <w:rPr>
          <w:rFonts w:ascii="仿宋" w:hAnsi="仿宋" w:eastAsia="仿宋"/>
          <w:color w:val="000000"/>
          <w:sz w:val="32"/>
          <w:szCs w:val="32"/>
        </w:rPr>
        <w:t>1.67</w:t>
      </w:r>
      <w:r>
        <w:rPr>
          <w:rFonts w:hint="eastAsia" w:ascii="仿宋" w:hAnsi="仿宋" w:eastAsia="仿宋"/>
          <w:color w:val="000000"/>
          <w:sz w:val="32"/>
          <w:szCs w:val="32"/>
        </w:rPr>
        <w:t>%。主要变动原因是在本年度中有在职人员退休和</w:t>
      </w:r>
      <w:r>
        <w:rPr>
          <w:rFonts w:ascii="仿宋" w:hAnsi="仿宋" w:eastAsia="仿宋"/>
          <w:color w:val="000000"/>
          <w:sz w:val="32"/>
          <w:szCs w:val="32"/>
        </w:rPr>
        <w:t>调出</w:t>
      </w:r>
      <w:r>
        <w:rPr>
          <w:rFonts w:hint="eastAsia" w:ascii="仿宋" w:hAnsi="仿宋" w:eastAsia="仿宋"/>
          <w:color w:val="000000"/>
          <w:sz w:val="32"/>
          <w:szCs w:val="32"/>
        </w:rPr>
        <w:t>导致收入减少。</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r>
        <w:drawing>
          <wp:anchor distT="0" distB="0" distL="114300" distR="114300" simplePos="0" relativeHeight="251659264" behindDoc="0" locked="0" layoutInCell="1" allowOverlap="1">
            <wp:simplePos x="0" y="0"/>
            <wp:positionH relativeFrom="column">
              <wp:posOffset>266700</wp:posOffset>
            </wp:positionH>
            <wp:positionV relativeFrom="paragraph">
              <wp:posOffset>532765</wp:posOffset>
            </wp:positionV>
            <wp:extent cx="4000500" cy="2743200"/>
            <wp:effectExtent l="0" t="0" r="0" b="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ascii="仿宋" w:hAnsi="仿宋" w:eastAsia="仿宋"/>
          <w:color w:val="000000"/>
          <w:sz w:val="32"/>
          <w:szCs w:val="32"/>
        </w:rPr>
        <w:t>701.54</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701.54</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rPr>
          <w:rStyle w:val="25"/>
          <w:rFonts w:ascii="仿宋" w:hAnsi="仿宋" w:eastAsia="仿宋" w:cs="Times New Roman"/>
          <w:b w:val="0"/>
          <w:bCs w:val="0"/>
          <w:color w:val="000000" w:themeColor="text1"/>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-2438400</wp:posOffset>
            </wp:positionV>
            <wp:extent cx="4000500" cy="2743200"/>
            <wp:effectExtent l="0" t="0" r="0" b="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w:t>
      </w:r>
      <w:r>
        <w:rPr>
          <w:rFonts w:ascii="仿宋" w:hAnsi="仿宋" w:eastAsia="仿宋"/>
          <w:color w:val="000000"/>
          <w:sz w:val="32"/>
          <w:szCs w:val="32"/>
        </w:rPr>
        <w:t>708.5</w:t>
      </w:r>
      <w:r>
        <w:rPr>
          <w:rFonts w:hint="eastAsia" w:ascii="仿宋" w:hAnsi="仿宋" w:eastAsia="仿宋"/>
          <w:color w:val="000000"/>
          <w:sz w:val="32"/>
          <w:szCs w:val="32"/>
        </w:rPr>
        <w:t>万元，其中：基本支出</w:t>
      </w:r>
      <w:r>
        <w:rPr>
          <w:rFonts w:ascii="仿宋" w:hAnsi="仿宋" w:eastAsia="仿宋"/>
          <w:color w:val="000000"/>
          <w:sz w:val="32"/>
          <w:szCs w:val="32"/>
        </w:rPr>
        <w:t>700.25</w:t>
      </w:r>
      <w:r>
        <w:rPr>
          <w:rFonts w:hint="eastAsia" w:ascii="仿宋" w:hAnsi="仿宋" w:eastAsia="仿宋"/>
          <w:color w:val="000000"/>
          <w:sz w:val="32"/>
          <w:szCs w:val="32"/>
        </w:rPr>
        <w:t>万元，占</w:t>
      </w:r>
      <w:r>
        <w:rPr>
          <w:rFonts w:ascii="仿宋" w:hAnsi="仿宋" w:eastAsia="仿宋"/>
          <w:color w:val="000000"/>
          <w:sz w:val="32"/>
          <w:szCs w:val="32"/>
        </w:rPr>
        <w:t>98.84%</w:t>
      </w:r>
      <w:r>
        <w:rPr>
          <w:rFonts w:hint="eastAsia" w:ascii="仿宋" w:hAnsi="仿宋" w:eastAsia="仿宋"/>
          <w:color w:val="000000"/>
          <w:sz w:val="32"/>
          <w:szCs w:val="32"/>
        </w:rPr>
        <w:t>；项目支出</w:t>
      </w:r>
      <w:r>
        <w:rPr>
          <w:rFonts w:ascii="仿宋" w:hAnsi="仿宋" w:eastAsia="仿宋"/>
          <w:color w:val="000000"/>
          <w:sz w:val="32"/>
          <w:szCs w:val="32"/>
        </w:rPr>
        <w:t>8.25</w:t>
      </w:r>
      <w:r>
        <w:rPr>
          <w:rFonts w:hint="eastAsia" w:ascii="仿宋" w:hAnsi="仿宋" w:eastAsia="仿宋"/>
          <w:color w:val="000000"/>
          <w:sz w:val="32"/>
          <w:szCs w:val="32"/>
        </w:rPr>
        <w:t>万元，占</w:t>
      </w:r>
      <w:r>
        <w:rPr>
          <w:rFonts w:ascii="仿宋" w:hAnsi="仿宋" w:eastAsia="仿宋"/>
          <w:color w:val="000000"/>
          <w:sz w:val="32"/>
          <w:szCs w:val="32"/>
        </w:rPr>
        <w:t>1.16%</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r>
        <w:drawing>
          <wp:anchor distT="0" distB="0" distL="114300" distR="114300" simplePos="0" relativeHeight="251661312" behindDoc="0" locked="0" layoutInCell="1" allowOverlap="1">
            <wp:simplePos x="0" y="0"/>
            <wp:positionH relativeFrom="column">
              <wp:posOffset>266700</wp:posOffset>
            </wp:positionH>
            <wp:positionV relativeFrom="paragraph">
              <wp:posOffset>533400</wp:posOffset>
            </wp:positionV>
            <wp:extent cx="4000500" cy="2743200"/>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年财政拨款收入</w:t>
      </w:r>
      <w:r>
        <w:rPr>
          <w:rFonts w:ascii="仿宋" w:hAnsi="仿宋" w:eastAsia="仿宋"/>
          <w:color w:val="000000"/>
          <w:sz w:val="32"/>
          <w:szCs w:val="32"/>
        </w:rPr>
        <w:t>701.54</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9年相比，财政拨款收入总计减少</w:t>
      </w:r>
      <w:r>
        <w:rPr>
          <w:rFonts w:ascii="仿宋" w:hAnsi="仿宋" w:eastAsia="仿宋"/>
          <w:color w:val="000000"/>
          <w:sz w:val="32"/>
          <w:szCs w:val="32"/>
        </w:rPr>
        <w:t>5.72</w:t>
      </w:r>
      <w:r>
        <w:rPr>
          <w:rFonts w:hint="eastAsia" w:ascii="仿宋" w:hAnsi="仿宋" w:eastAsia="仿宋"/>
          <w:color w:val="000000"/>
          <w:sz w:val="32"/>
          <w:szCs w:val="32"/>
        </w:rPr>
        <w:t>万元，降低</w:t>
      </w:r>
      <w:r>
        <w:rPr>
          <w:rFonts w:ascii="仿宋" w:hAnsi="仿宋" w:eastAsia="仿宋"/>
          <w:color w:val="000000"/>
          <w:sz w:val="32"/>
          <w:szCs w:val="32"/>
        </w:rPr>
        <w:t>0.81%</w:t>
      </w:r>
      <w:r>
        <w:rPr>
          <w:rFonts w:hint="eastAsia" w:ascii="仿宋" w:hAnsi="仿宋" w:eastAsia="仿宋"/>
          <w:color w:val="000000"/>
          <w:sz w:val="32"/>
          <w:szCs w:val="32"/>
        </w:rPr>
        <w:t>。主要变动原因是在本年度中有在职人员退休和</w:t>
      </w:r>
      <w:r>
        <w:rPr>
          <w:rFonts w:ascii="仿宋" w:hAnsi="仿宋" w:eastAsia="仿宋"/>
          <w:color w:val="000000"/>
          <w:sz w:val="32"/>
          <w:szCs w:val="32"/>
        </w:rPr>
        <w:t>调出</w:t>
      </w:r>
      <w:r>
        <w:rPr>
          <w:rFonts w:hint="eastAsia" w:ascii="仿宋" w:hAnsi="仿宋" w:eastAsia="仿宋"/>
          <w:color w:val="000000"/>
          <w:sz w:val="32"/>
          <w:szCs w:val="32"/>
        </w:rPr>
        <w:t>导致收入减少。2020年财政拨款支出</w:t>
      </w:r>
      <w:r>
        <w:rPr>
          <w:rFonts w:ascii="仿宋" w:hAnsi="仿宋" w:eastAsia="仿宋"/>
          <w:color w:val="000000"/>
          <w:sz w:val="32"/>
          <w:szCs w:val="32"/>
        </w:rPr>
        <w:t>708.5</w:t>
      </w:r>
      <w:r>
        <w:rPr>
          <w:rFonts w:hint="eastAsia" w:ascii="仿宋" w:hAnsi="仿宋" w:eastAsia="仿宋"/>
          <w:color w:val="000000"/>
          <w:sz w:val="32"/>
          <w:szCs w:val="32"/>
        </w:rPr>
        <w:t>万元。与2019年相比，财政拨款支出增加</w:t>
      </w:r>
      <w:r>
        <w:rPr>
          <w:rFonts w:ascii="仿宋" w:hAnsi="仿宋" w:eastAsia="仿宋"/>
          <w:color w:val="000000"/>
          <w:sz w:val="32"/>
          <w:szCs w:val="32"/>
        </w:rPr>
        <w:t>5.54</w:t>
      </w:r>
      <w:r>
        <w:rPr>
          <w:rFonts w:hint="eastAsia" w:ascii="仿宋" w:hAnsi="仿宋" w:eastAsia="仿宋"/>
          <w:color w:val="000000"/>
          <w:sz w:val="32"/>
          <w:szCs w:val="32"/>
        </w:rPr>
        <w:t>万元，增长</w:t>
      </w:r>
      <w:r>
        <w:rPr>
          <w:rFonts w:ascii="仿宋" w:hAnsi="仿宋" w:eastAsia="仿宋"/>
          <w:color w:val="000000"/>
          <w:sz w:val="32"/>
          <w:szCs w:val="32"/>
        </w:rPr>
        <w:t>0.79</w:t>
      </w:r>
      <w:r>
        <w:rPr>
          <w:rFonts w:hint="eastAsia" w:ascii="仿宋" w:hAnsi="仿宋" w:eastAsia="仿宋"/>
          <w:color w:val="000000"/>
          <w:sz w:val="32"/>
          <w:szCs w:val="32"/>
        </w:rPr>
        <w:t>%。主要变动原因是2020年度增加了幼儿</w:t>
      </w:r>
      <w:r>
        <w:rPr>
          <w:rFonts w:ascii="仿宋" w:hAnsi="仿宋" w:eastAsia="仿宋"/>
          <w:color w:val="000000"/>
          <w:sz w:val="32"/>
          <w:szCs w:val="32"/>
        </w:rPr>
        <w:t>生均公用经费</w:t>
      </w:r>
      <w:r>
        <w:rPr>
          <w:rFonts w:hint="eastAsia" w:ascii="仿宋" w:hAnsi="仿宋" w:eastAsia="仿宋"/>
          <w:color w:val="000000"/>
          <w:sz w:val="32"/>
          <w:szCs w:val="32"/>
        </w:rPr>
        <w:t>拨款导致支出增加。</w: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r>
        <w:drawing>
          <wp:anchor distT="0" distB="0" distL="114300" distR="114300" simplePos="0" relativeHeight="251662336" behindDoc="0" locked="0" layoutInCell="1" allowOverlap="1">
            <wp:simplePos x="0" y="0"/>
            <wp:positionH relativeFrom="column">
              <wp:posOffset>409575</wp:posOffset>
            </wp:positionH>
            <wp:positionV relativeFrom="page">
              <wp:posOffset>2971800</wp:posOffset>
            </wp:positionV>
            <wp:extent cx="4000500" cy="2743200"/>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708.5</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9年相比，一般公共预算财政拨款增加</w:t>
      </w:r>
      <w:r>
        <w:rPr>
          <w:rFonts w:ascii="仿宋" w:hAnsi="仿宋" w:eastAsia="仿宋"/>
          <w:color w:val="000000"/>
          <w:sz w:val="32"/>
          <w:szCs w:val="32"/>
        </w:rPr>
        <w:t>5.54</w:t>
      </w:r>
      <w:r>
        <w:rPr>
          <w:rFonts w:hint="eastAsia" w:ascii="仿宋" w:hAnsi="仿宋" w:eastAsia="仿宋"/>
          <w:color w:val="000000"/>
          <w:sz w:val="32"/>
          <w:szCs w:val="32"/>
        </w:rPr>
        <w:t>万元，增长</w:t>
      </w:r>
      <w:r>
        <w:rPr>
          <w:rFonts w:ascii="仿宋" w:hAnsi="仿宋" w:eastAsia="仿宋"/>
          <w:color w:val="000000"/>
          <w:sz w:val="32"/>
          <w:szCs w:val="32"/>
        </w:rPr>
        <w:t>0.79%</w:t>
      </w:r>
      <w:r>
        <w:rPr>
          <w:rFonts w:hint="eastAsia" w:ascii="仿宋" w:hAnsi="仿宋" w:eastAsia="仿宋"/>
          <w:color w:val="000000"/>
          <w:sz w:val="32"/>
          <w:szCs w:val="32"/>
        </w:rPr>
        <w:t>。主要变动原因是2020年度增加了幼儿</w:t>
      </w:r>
      <w:r>
        <w:rPr>
          <w:rFonts w:ascii="仿宋" w:hAnsi="仿宋" w:eastAsia="仿宋"/>
          <w:color w:val="000000"/>
          <w:sz w:val="32"/>
          <w:szCs w:val="32"/>
        </w:rPr>
        <w:t>生均公用经费</w:t>
      </w:r>
      <w:r>
        <w:rPr>
          <w:rFonts w:hint="eastAsia" w:ascii="仿宋" w:hAnsi="仿宋" w:eastAsia="仿宋"/>
          <w:color w:val="000000"/>
          <w:sz w:val="32"/>
          <w:szCs w:val="32"/>
        </w:rPr>
        <w:t>拨款导致支出增加。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420" w:firstLineChars="200"/>
        <w:rPr>
          <w:rFonts w:ascii="仿宋" w:hAnsi="仿宋" w:eastAsia="仿宋"/>
          <w:color w:val="000000" w:themeColor="text1"/>
          <w:sz w:val="32"/>
          <w:szCs w:val="32"/>
        </w:rPr>
      </w:pPr>
      <w:r>
        <w:drawing>
          <wp:anchor distT="0" distB="0" distL="114300" distR="114300" simplePos="0" relativeHeight="251663360" behindDoc="0" locked="0" layoutInCell="1" allowOverlap="1">
            <wp:simplePos x="0" y="0"/>
            <wp:positionH relativeFrom="column">
              <wp:posOffset>266700</wp:posOffset>
            </wp:positionH>
            <wp:positionV relativeFrom="paragraph">
              <wp:posOffset>-2438400</wp:posOffset>
            </wp:positionV>
            <wp:extent cx="4572000" cy="2743200"/>
            <wp:effectExtent l="0" t="0" r="0" b="0"/>
            <wp:wrapTopAndBottom/>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rPr>
        <w:t>政拨款支出</w:t>
      </w:r>
      <w:r>
        <w:rPr>
          <w:rFonts w:ascii="仿宋" w:hAnsi="仿宋" w:eastAsia="仿宋"/>
          <w:color w:val="000000" w:themeColor="text1"/>
          <w:sz w:val="32"/>
          <w:szCs w:val="32"/>
        </w:rPr>
        <w:t>700.25</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color w:val="000000" w:themeColor="text1"/>
          <w:sz w:val="32"/>
          <w:szCs w:val="32"/>
        </w:rPr>
        <w:t>学前</w:t>
      </w:r>
      <w:r>
        <w:rPr>
          <w:rFonts w:ascii="仿宋" w:hAnsi="仿宋" w:eastAsia="仿宋"/>
          <w:color w:val="000000" w:themeColor="text1"/>
          <w:sz w:val="32"/>
          <w:szCs w:val="32"/>
        </w:rPr>
        <w:t>教育（</w:t>
      </w:r>
      <w:r>
        <w:rPr>
          <w:rFonts w:hint="eastAsia" w:ascii="仿宋" w:hAnsi="仿宋" w:eastAsia="仿宋"/>
          <w:color w:val="000000" w:themeColor="text1"/>
          <w:sz w:val="32"/>
          <w:szCs w:val="32"/>
        </w:rPr>
        <w:t>2050201</w:t>
      </w:r>
      <w:r>
        <w:rPr>
          <w:rFonts w:ascii="仿宋" w:hAnsi="仿宋" w:eastAsia="仿宋"/>
          <w:color w:val="000000" w:themeColor="text1"/>
          <w:sz w:val="32"/>
          <w:szCs w:val="32"/>
        </w:rPr>
        <w:t>）</w:t>
      </w:r>
      <w:r>
        <w:rPr>
          <w:rFonts w:hint="eastAsia" w:ascii="仿宋" w:hAnsi="仿宋" w:eastAsia="仿宋"/>
          <w:color w:val="000000" w:themeColor="text1"/>
          <w:sz w:val="32"/>
          <w:szCs w:val="32"/>
        </w:rPr>
        <w:t>支出14.4</w:t>
      </w:r>
      <w:r>
        <w:rPr>
          <w:rFonts w:ascii="仿宋" w:hAnsi="仿宋" w:eastAsia="仿宋"/>
          <w:color w:val="000000" w:themeColor="text1"/>
          <w:sz w:val="32"/>
          <w:szCs w:val="32"/>
        </w:rPr>
        <w:t>1</w:t>
      </w:r>
      <w:r>
        <w:rPr>
          <w:rFonts w:hint="eastAsia" w:ascii="仿宋" w:hAnsi="仿宋" w:eastAsia="仿宋"/>
          <w:color w:val="000000" w:themeColor="text1"/>
          <w:sz w:val="32"/>
          <w:szCs w:val="32"/>
        </w:rPr>
        <w:t>万元，</w:t>
      </w:r>
      <w:r>
        <w:rPr>
          <w:rFonts w:ascii="仿宋" w:hAnsi="仿宋" w:eastAsia="仿宋"/>
          <w:color w:val="000000" w:themeColor="text1"/>
          <w:sz w:val="32"/>
          <w:szCs w:val="32"/>
        </w:rPr>
        <w:t>占</w:t>
      </w:r>
      <w:r>
        <w:rPr>
          <w:rFonts w:hint="eastAsia" w:ascii="仿宋" w:hAnsi="仿宋" w:eastAsia="仿宋"/>
          <w:color w:val="000000" w:themeColor="text1"/>
          <w:sz w:val="32"/>
          <w:szCs w:val="32"/>
        </w:rPr>
        <w:t>2.06</w:t>
      </w:r>
      <w:r>
        <w:rPr>
          <w:rFonts w:ascii="仿宋" w:hAnsi="仿宋" w:eastAsia="仿宋"/>
          <w:color w:val="000000" w:themeColor="text1"/>
          <w:sz w:val="32"/>
          <w:szCs w:val="32"/>
        </w:rPr>
        <w:t>%；</w:t>
      </w:r>
      <w:r>
        <w:rPr>
          <w:rFonts w:hint="eastAsia" w:ascii="仿宋" w:hAnsi="仿宋" w:eastAsia="仿宋"/>
          <w:b/>
          <w:color w:val="000000" w:themeColor="text1"/>
          <w:sz w:val="32"/>
          <w:szCs w:val="32"/>
        </w:rPr>
        <w:t>小学教育（2050202）</w:t>
      </w:r>
      <w:r>
        <w:rPr>
          <w:rFonts w:hint="eastAsia" w:ascii="仿宋" w:hAnsi="仿宋" w:eastAsia="仿宋"/>
          <w:color w:val="000000" w:themeColor="text1"/>
          <w:sz w:val="32"/>
          <w:szCs w:val="32"/>
        </w:rPr>
        <w:t>支出</w:t>
      </w:r>
      <w:r>
        <w:rPr>
          <w:rFonts w:ascii="仿宋" w:hAnsi="仿宋" w:eastAsia="仿宋"/>
          <w:color w:val="000000" w:themeColor="text1"/>
          <w:sz w:val="32"/>
          <w:szCs w:val="32"/>
        </w:rPr>
        <w:t>506.21</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72.29%</w:t>
      </w:r>
      <w:r>
        <w:rPr>
          <w:rFonts w:hint="eastAsia" w:ascii="仿宋" w:hAnsi="仿宋" w:eastAsia="仿宋"/>
          <w:color w:val="000000" w:themeColor="text1"/>
          <w:sz w:val="32"/>
          <w:szCs w:val="32"/>
        </w:rPr>
        <w:t>；其他</w:t>
      </w:r>
      <w:r>
        <w:rPr>
          <w:rFonts w:hint="eastAsia" w:ascii="仿宋" w:hAnsi="仿宋" w:eastAsia="仿宋"/>
          <w:b/>
          <w:color w:val="000000" w:themeColor="text1"/>
          <w:sz w:val="32"/>
          <w:szCs w:val="32"/>
        </w:rPr>
        <w:t>教育费附加安排的支出（2050999）支出</w:t>
      </w:r>
      <w:r>
        <w:rPr>
          <w:rFonts w:ascii="仿宋" w:hAnsi="仿宋" w:eastAsia="仿宋"/>
          <w:color w:val="000000" w:themeColor="text1"/>
          <w:sz w:val="32"/>
          <w:szCs w:val="32"/>
        </w:rPr>
        <w:t>0</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0%</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机关事业单位基本养老保险缴费支出（2080505）</w:t>
      </w:r>
      <w:r>
        <w:rPr>
          <w:rFonts w:hint="eastAsia" w:ascii="仿宋" w:hAnsi="仿宋" w:eastAsia="仿宋"/>
          <w:color w:val="000000" w:themeColor="text1"/>
          <w:sz w:val="32"/>
          <w:szCs w:val="32"/>
        </w:rPr>
        <w:t>支出</w:t>
      </w:r>
      <w:r>
        <w:rPr>
          <w:rFonts w:ascii="仿宋" w:hAnsi="仿宋" w:eastAsia="仿宋"/>
          <w:color w:val="000000" w:themeColor="text1"/>
          <w:sz w:val="32"/>
          <w:szCs w:val="32"/>
        </w:rPr>
        <w:t>49.92</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7.13%</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机关事业单位基本职业年金缴费支出（2080506）</w:t>
      </w:r>
      <w:r>
        <w:rPr>
          <w:rFonts w:hint="eastAsia" w:ascii="仿宋" w:hAnsi="仿宋" w:eastAsia="仿宋"/>
          <w:b/>
          <w:bCs/>
          <w:color w:val="000000" w:themeColor="text1"/>
          <w:sz w:val="32"/>
          <w:szCs w:val="32"/>
        </w:rPr>
        <w:t>支出</w:t>
      </w:r>
      <w:r>
        <w:rPr>
          <w:rFonts w:ascii="仿宋" w:hAnsi="仿宋" w:eastAsia="仿宋"/>
          <w:b/>
          <w:bCs/>
          <w:color w:val="000000" w:themeColor="text1"/>
          <w:sz w:val="32"/>
          <w:szCs w:val="32"/>
        </w:rPr>
        <w:t>24.96</w:t>
      </w:r>
      <w:r>
        <w:rPr>
          <w:rFonts w:hint="eastAsia" w:ascii="仿宋" w:hAnsi="仿宋" w:eastAsia="仿宋"/>
          <w:b/>
          <w:bCs/>
          <w:color w:val="000000" w:themeColor="text1"/>
          <w:sz w:val="32"/>
          <w:szCs w:val="32"/>
        </w:rPr>
        <w:t>万元，占</w:t>
      </w:r>
      <w:r>
        <w:rPr>
          <w:rFonts w:ascii="仿宋" w:hAnsi="仿宋" w:eastAsia="仿宋"/>
          <w:b/>
          <w:bCs/>
          <w:color w:val="000000" w:themeColor="text1"/>
          <w:sz w:val="32"/>
          <w:szCs w:val="32"/>
        </w:rPr>
        <w:t>3.56%</w:t>
      </w:r>
      <w:r>
        <w:rPr>
          <w:rFonts w:hint="eastAsia" w:ascii="仿宋" w:hAnsi="仿宋" w:eastAsia="仿宋"/>
          <w:color w:val="000000" w:themeColor="text1"/>
          <w:sz w:val="32"/>
          <w:szCs w:val="32"/>
        </w:rPr>
        <w:t>；其他</w:t>
      </w:r>
      <w:r>
        <w:rPr>
          <w:rFonts w:ascii="仿宋" w:hAnsi="仿宋" w:eastAsia="仿宋"/>
          <w:color w:val="000000" w:themeColor="text1"/>
          <w:sz w:val="32"/>
          <w:szCs w:val="32"/>
        </w:rPr>
        <w:t>社会保障和就业支出（</w:t>
      </w:r>
      <w:r>
        <w:rPr>
          <w:rFonts w:hint="eastAsia" w:ascii="仿宋" w:hAnsi="仿宋" w:eastAsia="仿宋"/>
          <w:color w:val="000000" w:themeColor="text1"/>
          <w:sz w:val="32"/>
          <w:szCs w:val="32"/>
        </w:rPr>
        <w:t>2089901</w:t>
      </w:r>
      <w:r>
        <w:rPr>
          <w:rFonts w:ascii="仿宋" w:hAnsi="仿宋" w:eastAsia="仿宋"/>
          <w:color w:val="000000" w:themeColor="text1"/>
          <w:sz w:val="32"/>
          <w:szCs w:val="32"/>
        </w:rPr>
        <w:t>）</w:t>
      </w:r>
      <w:r>
        <w:rPr>
          <w:rFonts w:hint="eastAsia" w:ascii="仿宋" w:hAnsi="仿宋" w:eastAsia="仿宋"/>
          <w:color w:val="000000" w:themeColor="text1"/>
          <w:sz w:val="32"/>
          <w:szCs w:val="32"/>
        </w:rPr>
        <w:t>2.93万元</w:t>
      </w:r>
      <w:r>
        <w:rPr>
          <w:rFonts w:ascii="仿宋" w:hAnsi="仿宋" w:eastAsia="仿宋"/>
          <w:color w:val="000000" w:themeColor="text1"/>
          <w:sz w:val="32"/>
          <w:szCs w:val="32"/>
        </w:rPr>
        <w:t>，占</w:t>
      </w:r>
      <w:r>
        <w:rPr>
          <w:rFonts w:hint="eastAsia" w:ascii="仿宋" w:hAnsi="仿宋" w:eastAsia="仿宋"/>
          <w:color w:val="000000" w:themeColor="text1"/>
          <w:sz w:val="32"/>
          <w:szCs w:val="32"/>
        </w:rPr>
        <w:t>0.42</w:t>
      </w:r>
      <w:r>
        <w:rPr>
          <w:rFonts w:ascii="仿宋" w:hAnsi="仿宋" w:eastAsia="仿宋"/>
          <w:color w:val="000000" w:themeColor="text1"/>
          <w:sz w:val="32"/>
          <w:szCs w:val="32"/>
        </w:rPr>
        <w:t>%；</w:t>
      </w:r>
      <w:r>
        <w:rPr>
          <w:rFonts w:hint="eastAsia" w:ascii="仿宋" w:hAnsi="仿宋" w:eastAsia="仿宋"/>
          <w:color w:val="000000" w:themeColor="text1"/>
          <w:sz w:val="32"/>
          <w:szCs w:val="32"/>
        </w:rPr>
        <w:t>其他行政事业单位离退休支出（2080599）支出</w:t>
      </w:r>
      <w:r>
        <w:rPr>
          <w:rFonts w:ascii="仿宋" w:hAnsi="仿宋" w:eastAsia="仿宋"/>
          <w:color w:val="000000" w:themeColor="text1"/>
          <w:sz w:val="32"/>
          <w:szCs w:val="32"/>
        </w:rPr>
        <w:t>1.2</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0.17</w:t>
      </w:r>
      <w:r>
        <w:rPr>
          <w:rFonts w:hint="eastAsia" w:ascii="仿宋" w:hAnsi="仿宋" w:eastAsia="仿宋"/>
          <w:color w:val="000000" w:themeColor="text1"/>
          <w:sz w:val="32"/>
          <w:szCs w:val="32"/>
        </w:rPr>
        <w:t>%；职工死亡抚恤（2080801）支出</w:t>
      </w:r>
      <w:r>
        <w:rPr>
          <w:rFonts w:ascii="仿宋" w:hAnsi="仿宋" w:eastAsia="仿宋"/>
          <w:color w:val="000000" w:themeColor="text1"/>
          <w:sz w:val="32"/>
          <w:szCs w:val="32"/>
        </w:rPr>
        <w:t>25.37</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3.62</w:t>
      </w:r>
      <w:r>
        <w:rPr>
          <w:rFonts w:hint="eastAsia" w:ascii="仿宋" w:hAnsi="仿宋" w:eastAsia="仿宋"/>
          <w:color w:val="000000" w:themeColor="text1"/>
          <w:sz w:val="32"/>
          <w:szCs w:val="32"/>
        </w:rPr>
        <w:t>%；其他优抚支出（2080899）支出</w:t>
      </w:r>
      <w:r>
        <w:rPr>
          <w:rFonts w:ascii="仿宋" w:hAnsi="仿宋" w:eastAsia="仿宋"/>
          <w:color w:val="000000" w:themeColor="text1"/>
          <w:sz w:val="32"/>
          <w:szCs w:val="32"/>
        </w:rPr>
        <w:t>1.33</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0.19</w:t>
      </w:r>
      <w:r>
        <w:rPr>
          <w:rFonts w:hint="eastAsia" w:ascii="仿宋" w:hAnsi="仿宋" w:eastAsia="仿宋"/>
          <w:color w:val="000000" w:themeColor="text1"/>
          <w:sz w:val="32"/>
          <w:szCs w:val="32"/>
        </w:rPr>
        <w:t>%；事业单位医疗（2101102）支出</w:t>
      </w:r>
      <w:r>
        <w:rPr>
          <w:rFonts w:ascii="仿宋" w:hAnsi="仿宋" w:eastAsia="仿宋"/>
          <w:color w:val="000000" w:themeColor="text1"/>
          <w:sz w:val="32"/>
          <w:szCs w:val="32"/>
        </w:rPr>
        <w:t>19.86</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2.84</w:t>
      </w:r>
      <w:r>
        <w:rPr>
          <w:rFonts w:hint="eastAsia" w:ascii="仿宋" w:hAnsi="仿宋" w:eastAsia="仿宋"/>
          <w:color w:val="000000" w:themeColor="text1"/>
          <w:sz w:val="32"/>
          <w:szCs w:val="32"/>
        </w:rPr>
        <w:t>%；住房公积金（2210201）支出</w:t>
      </w:r>
      <w:r>
        <w:rPr>
          <w:rFonts w:ascii="仿宋" w:hAnsi="仿宋" w:eastAsia="仿宋"/>
          <w:color w:val="000000" w:themeColor="text1"/>
          <w:sz w:val="32"/>
          <w:szCs w:val="32"/>
        </w:rPr>
        <w:t>54.04</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7.72</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304800</wp:posOffset>
            </wp:positionH>
            <wp:positionV relativeFrom="paragraph">
              <wp:posOffset>-2667000</wp:posOffset>
            </wp:positionV>
            <wp:extent cx="4733925" cy="2971800"/>
            <wp:effectExtent l="38100" t="0" r="0" b="0"/>
            <wp:wrapTopAndBottom/>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2020年般公共预算支出决算数为714.26万元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小学教育2050202</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514.16</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社会保障和就业支出208</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105.72</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卫生健康支出2101102</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19.86</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ascii="仿宋" w:hAnsi="仿宋" w:eastAsia="仿宋"/>
          <w:b/>
          <w:color w:val="000000"/>
          <w:sz w:val="32"/>
          <w:szCs w:val="32"/>
        </w:rPr>
        <w:t xml:space="preserve"> </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住房保障支出2210201</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54.04</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708.5</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666.73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ascii="仿宋" w:hAnsi="仿宋" w:eastAsia="仿宋"/>
          <w:color w:val="000000"/>
          <w:sz w:val="32"/>
          <w:szCs w:val="32"/>
        </w:rPr>
        <w:t>24.54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w:t>
      </w:r>
      <w:r>
        <w:rPr>
          <w:rFonts w:ascii="仿宋_GB2312" w:eastAsia="仿宋_GB2312"/>
          <w:color w:val="000000"/>
          <w:sz w:val="32"/>
          <w:szCs w:val="32"/>
        </w:rPr>
        <w:t xml:space="preserve"> </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峨眉山市桂花</w:t>
      </w:r>
      <w:r>
        <w:rPr>
          <w:rFonts w:hint="eastAsia" w:ascii="仿宋_GB2312" w:eastAsia="仿宋_GB2312"/>
          <w:color w:val="000000"/>
          <w:sz w:val="32"/>
          <w:szCs w:val="32"/>
        </w:rPr>
        <w:t>桥镇第二小学校机关运行经费支出0万元，比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峨眉山市桂花桥镇第二小学校</w:t>
      </w:r>
      <w:r>
        <w:rPr>
          <w:rFonts w:hint="eastAsia" w:ascii="仿宋_GB2312" w:eastAsia="仿宋_GB2312"/>
          <w:color w:val="000000"/>
          <w:sz w:val="32"/>
          <w:szCs w:val="32"/>
        </w:rPr>
        <w:t>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r>
        <w:rPr>
          <w:rFonts w:ascii="仿宋_GB2312" w:eastAsia="仿宋_GB2312"/>
          <w:color w:val="000000"/>
          <w:sz w:val="32"/>
          <w:szCs w:val="32"/>
        </w:rPr>
        <w:t xml:space="preserve"> </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w:t>
      </w:r>
      <w:r>
        <w:rPr>
          <w:rFonts w:ascii="仿宋_GB2312" w:eastAsia="仿宋_GB2312"/>
          <w:color w:val="000000"/>
          <w:sz w:val="32"/>
          <w:szCs w:val="32"/>
        </w:rPr>
        <w:t>桂花桥镇第二小学校</w:t>
      </w:r>
      <w:r>
        <w:rPr>
          <w:rFonts w:hint="eastAsia" w:ascii="仿宋_GB2312" w:eastAsia="仿宋_GB2312"/>
          <w:color w:val="000000"/>
          <w:sz w:val="32"/>
          <w:szCs w:val="32"/>
        </w:rPr>
        <w:t>共有车辆0辆，其中：主要领导干部用车0辆、机要通信用车0辆、应急保障用车0辆、其他用车0辆……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根据预算绩效管理要求，本部门（单位）在年初预算编制阶段，组织对校园</w:t>
      </w:r>
      <w:r>
        <w:rPr>
          <w:rFonts w:ascii="仿宋_GB2312" w:hAnsi="仿宋_GB2312" w:eastAsia="仿宋_GB2312" w:cs="仿宋_GB2312"/>
          <w:sz w:val="32"/>
          <w:szCs w:val="32"/>
        </w:rPr>
        <w:t>安保、免作业本费、骨干教师奖金</w:t>
      </w:r>
      <w:r>
        <w:rPr>
          <w:rFonts w:hint="eastAsia" w:ascii="仿宋_GB2312" w:hAnsi="仿宋_GB2312" w:eastAsia="仿宋_GB2312" w:cs="仿宋_GB2312"/>
          <w:sz w:val="32"/>
          <w:szCs w:val="32"/>
        </w:rPr>
        <w:t>等项目开展了预算事前绩效评估，对校园</w:t>
      </w:r>
      <w:r>
        <w:rPr>
          <w:rFonts w:ascii="仿宋_GB2312" w:hAnsi="仿宋_GB2312" w:eastAsia="仿宋_GB2312" w:cs="仿宋_GB2312"/>
          <w:sz w:val="32"/>
          <w:szCs w:val="32"/>
        </w:rPr>
        <w:t>安保、免作业本费、骨干教师奖金</w:t>
      </w:r>
      <w:r>
        <w:rPr>
          <w:rFonts w:hint="eastAsia" w:ascii="仿宋_GB2312" w:hAnsi="仿宋_GB2312" w:eastAsia="仿宋_GB2312" w:cs="仿宋_GB2312"/>
          <w:sz w:val="32"/>
          <w:szCs w:val="32"/>
        </w:rPr>
        <w:t>等项目编制了绩效目标，预算执行过程中，选取校园</w:t>
      </w:r>
      <w:r>
        <w:rPr>
          <w:rFonts w:ascii="仿宋_GB2312" w:hAnsi="仿宋_GB2312" w:eastAsia="仿宋_GB2312" w:cs="仿宋_GB2312"/>
          <w:sz w:val="32"/>
          <w:szCs w:val="32"/>
        </w:rPr>
        <w:t>安保、免作业本费、骨干教师奖金</w:t>
      </w:r>
      <w:r>
        <w:rPr>
          <w:rFonts w:hint="eastAsia" w:ascii="仿宋_GB2312" w:hAnsi="仿宋_GB2312" w:eastAsia="仿宋_GB2312" w:cs="仿宋_GB2312"/>
          <w:sz w:val="32"/>
          <w:szCs w:val="32"/>
        </w:rPr>
        <w:t>等项目开展绩效监控，年终执行完毕后，对校园</w:t>
      </w:r>
      <w:r>
        <w:rPr>
          <w:rFonts w:ascii="仿宋_GB2312" w:hAnsi="仿宋_GB2312" w:eastAsia="仿宋_GB2312" w:cs="仿宋_GB2312"/>
          <w:sz w:val="32"/>
          <w:szCs w:val="32"/>
        </w:rPr>
        <w:t>安保、免作业本费、骨干教师奖金</w:t>
      </w:r>
      <w:r>
        <w:rPr>
          <w:rFonts w:hint="eastAsia" w:ascii="仿宋_GB2312" w:hAnsi="仿宋_GB2312" w:eastAsia="仿宋_GB2312" w:cs="仿宋_GB2312"/>
          <w:sz w:val="32"/>
          <w:szCs w:val="32"/>
        </w:rPr>
        <w:t>等项目开展了绩效目标完成情况自评。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本部门按要求对2020年部门整体支出开展绩效自评，从评价情况来看，</w:t>
      </w:r>
      <w:r>
        <w:rPr>
          <w:rFonts w:ascii="仿宋_GB2312" w:hAnsi="仿宋_GB2312" w:eastAsia="仿宋_GB2312" w:cs="仿宋_GB2312"/>
          <w:sz w:val="32"/>
          <w:szCs w:val="32"/>
        </w:rPr>
        <w:t>所有项目资金的管理都按照相关规定执行，</w:t>
      </w:r>
      <w:r>
        <w:rPr>
          <w:rFonts w:hint="eastAsia" w:ascii="仿宋_GB2312" w:hAnsi="仿宋_GB2312" w:eastAsia="仿宋_GB2312" w:cs="仿宋_GB2312"/>
          <w:sz w:val="32"/>
          <w:szCs w:val="32"/>
        </w:rPr>
        <w:t>实行</w:t>
      </w:r>
      <w:r>
        <w:rPr>
          <w:rFonts w:ascii="仿宋_GB2312" w:hAnsi="仿宋_GB2312" w:eastAsia="仿宋_GB2312" w:cs="仿宋_GB2312"/>
          <w:sz w:val="32"/>
          <w:szCs w:val="32"/>
        </w:rPr>
        <w:t>专</w:t>
      </w:r>
      <w:r>
        <w:rPr>
          <w:rFonts w:hint="eastAsia" w:ascii="仿宋_GB2312" w:hAnsi="仿宋_GB2312" w:eastAsia="仿宋_GB2312" w:cs="仿宋_GB2312"/>
          <w:sz w:val="32"/>
          <w:szCs w:val="32"/>
        </w:rPr>
        <w:t>款</w:t>
      </w:r>
      <w:r>
        <w:rPr>
          <w:rFonts w:ascii="仿宋_GB2312" w:hAnsi="仿宋_GB2312" w:eastAsia="仿宋_GB2312" w:cs="仿宋_GB2312"/>
          <w:sz w:val="32"/>
          <w:szCs w:val="32"/>
        </w:rPr>
        <w:t>专用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并严格按照上级文件要求执行，</w:t>
      </w:r>
      <w:r>
        <w:rPr>
          <w:rFonts w:hint="eastAsia" w:ascii="仿宋_GB2312" w:hAnsi="仿宋_GB2312" w:eastAsia="仿宋_GB2312" w:cs="仿宋_GB2312"/>
          <w:sz w:val="32"/>
          <w:szCs w:val="32"/>
        </w:rPr>
        <w:t>需要</w:t>
      </w:r>
      <w:r>
        <w:rPr>
          <w:rFonts w:ascii="仿宋_GB2312" w:hAnsi="仿宋_GB2312" w:eastAsia="仿宋_GB2312" w:cs="仿宋_GB2312"/>
          <w:sz w:val="32"/>
          <w:szCs w:val="32"/>
        </w:rPr>
        <w:t>上级备案的及时上报备案，并根据财政部门的要求制定方案上报财政，实际拨付时按照要求准备资料向财政申请拨付。</w:t>
      </w:r>
      <w:r>
        <w:rPr>
          <w:rFonts w:hint="eastAsia" w:ascii="仿宋_GB2312" w:hAnsi="仿宋_GB2312" w:eastAsia="仿宋_GB2312" w:cs="仿宋_GB2312"/>
          <w:sz w:val="32"/>
          <w:szCs w:val="32"/>
        </w:rPr>
        <w:t>本部门还自行组织了校园</w:t>
      </w:r>
      <w:r>
        <w:rPr>
          <w:rFonts w:ascii="仿宋_GB2312" w:hAnsi="仿宋_GB2312" w:eastAsia="仿宋_GB2312" w:cs="仿宋_GB2312"/>
          <w:sz w:val="32"/>
          <w:szCs w:val="32"/>
        </w:rPr>
        <w:t>安保、免作业本费、骨干教师奖金</w:t>
      </w:r>
      <w:r>
        <w:rPr>
          <w:rFonts w:hint="eastAsia" w:ascii="仿宋_GB2312" w:hAnsi="仿宋_GB2312" w:eastAsia="仿宋_GB2312" w:cs="仿宋_GB2312"/>
          <w:sz w:val="32"/>
          <w:szCs w:val="32"/>
        </w:rPr>
        <w:t>等项目支出绩效评价，从评价情况来看，</w:t>
      </w:r>
      <w:r>
        <w:rPr>
          <w:rFonts w:ascii="仿宋_GB2312" w:hAnsi="仿宋_GB2312" w:eastAsia="仿宋_GB2312" w:cs="仿宋_GB2312"/>
          <w:sz w:val="32"/>
          <w:szCs w:val="32"/>
        </w:rPr>
        <w:t>我校根据峨眉山市财政局有关财政支出绩效评价工作的通知的文件精神，成立了绩效评价工作领导小组，负责绩效评价工作的组织领导和具体实施，评价小组采取座谈等方式听取</w:t>
      </w:r>
      <w:r>
        <w:rPr>
          <w:rFonts w:hint="eastAsia" w:ascii="仿宋_GB2312" w:hAnsi="仿宋_GB2312" w:eastAsia="仿宋_GB2312" w:cs="仿宋_GB2312"/>
          <w:sz w:val="32"/>
          <w:szCs w:val="32"/>
        </w:rPr>
        <w:t>情况</w:t>
      </w:r>
      <w:r>
        <w:rPr>
          <w:rFonts w:ascii="仿宋_GB2312" w:hAnsi="仿宋_GB2312" w:eastAsia="仿宋_GB2312" w:cs="仿宋_GB2312"/>
          <w:sz w:val="32"/>
          <w:szCs w:val="32"/>
        </w:rPr>
        <w:t>，检查基本支出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项目支出有关账目，</w:t>
      </w:r>
      <w:r>
        <w:rPr>
          <w:rFonts w:hint="eastAsia" w:ascii="仿宋_GB2312" w:hAnsi="仿宋_GB2312" w:eastAsia="仿宋_GB2312" w:cs="仿宋_GB2312"/>
          <w:sz w:val="32"/>
          <w:szCs w:val="32"/>
        </w:rPr>
        <w:t>收集</w:t>
      </w:r>
      <w:r>
        <w:rPr>
          <w:rFonts w:ascii="仿宋_GB2312" w:hAnsi="仿宋_GB2312" w:eastAsia="仿宋_GB2312" w:cs="仿宋_GB2312"/>
          <w:sz w:val="32"/>
          <w:szCs w:val="32"/>
        </w:rPr>
        <w:t>整理支出相关资料，形成评价结论。</w:t>
      </w:r>
      <w:r>
        <w:rPr>
          <w:rFonts w:hint="eastAsia" w:ascii="仿宋_GB2312" w:hAnsi="仿宋_GB2312" w:eastAsia="仿宋_GB2312" w:cs="仿宋_GB2312"/>
          <w:sz w:val="32"/>
          <w:szCs w:val="32"/>
        </w:rPr>
        <w:t>并</w:t>
      </w:r>
      <w:r>
        <w:rPr>
          <w:rFonts w:ascii="仿宋_GB2312" w:hAnsi="仿宋_GB2312" w:eastAsia="仿宋_GB2312" w:cs="仿宋_GB2312"/>
          <w:sz w:val="32"/>
          <w:szCs w:val="32"/>
        </w:rPr>
        <w:t>紧紧围绕教育教学工作为主线，积极探索创新工作方法，圆满完成绩效目标。</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本部门在2020年度部门决算中反映校园</w:t>
      </w:r>
      <w:r>
        <w:rPr>
          <w:rFonts w:ascii="仿宋_GB2312" w:hAnsi="仿宋_GB2312" w:eastAsia="仿宋_GB2312" w:cs="仿宋_GB2312"/>
          <w:sz w:val="32"/>
          <w:szCs w:val="32"/>
        </w:rPr>
        <w:t>安保、免作业本费、骨干教师奖金</w:t>
      </w:r>
      <w:r>
        <w:rPr>
          <w:rFonts w:hint="eastAsia" w:ascii="仿宋_GB2312" w:hAnsi="仿宋_GB2312" w:eastAsia="仿宋_GB2312" w:cs="仿宋_GB2312"/>
          <w:sz w:val="32"/>
          <w:szCs w:val="32"/>
        </w:rPr>
        <w:t>等项目绩效目标实际完成情况。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（1）校园</w:t>
      </w:r>
      <w:r>
        <w:rPr>
          <w:rFonts w:ascii="仿宋_GB2312" w:hAnsi="仿宋_GB2312" w:eastAsia="仿宋_GB2312" w:cs="仿宋_GB2312"/>
          <w:sz w:val="32"/>
          <w:szCs w:val="32"/>
        </w:rPr>
        <w:t>安保</w:t>
      </w:r>
      <w:r>
        <w:rPr>
          <w:rFonts w:hint="eastAsia" w:ascii="仿宋_GB2312" w:hAnsi="仿宋_GB2312" w:eastAsia="仿宋_GB2312" w:cs="仿宋_GB2312"/>
          <w:sz w:val="32"/>
          <w:szCs w:val="32"/>
        </w:rPr>
        <w:t>项目绩效目标完成情况综述。项目全年预算数7</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万元，执行数为7</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万元，完成预算的100%。通过项目实施，促进了</w:t>
      </w:r>
      <w:r>
        <w:rPr>
          <w:rFonts w:ascii="仿宋_GB2312" w:hAnsi="仿宋_GB2312" w:eastAsia="仿宋_GB2312" w:cs="仿宋_GB2312"/>
          <w:sz w:val="32"/>
          <w:szCs w:val="32"/>
        </w:rPr>
        <w:t>安保人员队员的稳定，保障了安保设备定期检查、更换，</w:t>
      </w:r>
      <w:r>
        <w:rPr>
          <w:rFonts w:hint="eastAsia" w:ascii="仿宋_GB2312" w:hAnsi="仿宋_GB2312" w:eastAsia="仿宋_GB2312" w:cs="仿宋_GB2312"/>
          <w:sz w:val="32"/>
          <w:szCs w:val="32"/>
        </w:rPr>
        <w:t>提高了</w:t>
      </w:r>
      <w:r>
        <w:rPr>
          <w:rFonts w:ascii="仿宋_GB2312" w:hAnsi="仿宋_GB2312" w:eastAsia="仿宋_GB2312" w:cs="仿宋_GB2312"/>
          <w:sz w:val="32"/>
          <w:szCs w:val="32"/>
        </w:rPr>
        <w:t>校园安保</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保障效果，达到了保障校园</w:t>
      </w:r>
      <w:r>
        <w:rPr>
          <w:rFonts w:hint="eastAsia" w:ascii="仿宋_GB2312" w:hAnsi="仿宋_GB2312" w:eastAsia="仿宋_GB2312" w:cs="仿宋_GB2312"/>
          <w:sz w:val="32"/>
          <w:szCs w:val="32"/>
        </w:rPr>
        <w:t>师生</w:t>
      </w:r>
      <w:r>
        <w:rPr>
          <w:rFonts w:ascii="仿宋_GB2312" w:hAnsi="仿宋_GB2312" w:eastAsia="仿宋_GB2312" w:cs="仿宋_GB2312"/>
          <w:sz w:val="32"/>
          <w:szCs w:val="32"/>
        </w:rPr>
        <w:t>及校园财产的安全</w:t>
      </w:r>
      <w:r>
        <w:rPr>
          <w:rFonts w:hint="eastAsia" w:ascii="仿宋_GB2312" w:hAnsi="仿宋_GB2312" w:eastAsia="仿宋_GB2312" w:cs="仿宋_GB2312"/>
          <w:sz w:val="32"/>
          <w:szCs w:val="32"/>
        </w:rPr>
        <w:t>。发现的主要问题是</w:t>
      </w:r>
      <w:r>
        <w:rPr>
          <w:rFonts w:ascii="仿宋_GB2312" w:hAnsi="仿宋_GB2312" w:eastAsia="仿宋_GB2312" w:cs="仿宋_GB2312"/>
          <w:sz w:val="32"/>
          <w:szCs w:val="32"/>
        </w:rPr>
        <w:t>安保经费不能及时拨付，造成安保人员劳务费不能按月发放</w:t>
      </w:r>
      <w:r>
        <w:rPr>
          <w:rFonts w:hint="eastAsia" w:ascii="仿宋_GB2312" w:hAnsi="仿宋_GB2312" w:eastAsia="仿宋_GB2312" w:cs="仿宋_GB2312"/>
          <w:sz w:val="32"/>
          <w:szCs w:val="32"/>
        </w:rPr>
        <w:t>。下一步改进措施是</w:t>
      </w:r>
      <w:r>
        <w:rPr>
          <w:rFonts w:ascii="仿宋_GB2312" w:hAnsi="仿宋_GB2312" w:eastAsia="仿宋_GB2312" w:cs="仿宋_GB2312"/>
          <w:sz w:val="32"/>
          <w:szCs w:val="32"/>
        </w:rPr>
        <w:t>希望</w:t>
      </w:r>
      <w:r>
        <w:rPr>
          <w:rFonts w:hint="eastAsia" w:ascii="仿宋_GB2312" w:hAnsi="仿宋_GB2312" w:eastAsia="仿宋_GB2312" w:cs="仿宋_GB2312"/>
          <w:sz w:val="32"/>
          <w:szCs w:val="32"/>
        </w:rPr>
        <w:t>上级</w:t>
      </w:r>
      <w:r>
        <w:rPr>
          <w:rFonts w:ascii="仿宋_GB2312" w:hAnsi="仿宋_GB2312" w:eastAsia="仿宋_GB2312" w:cs="仿宋_GB2312"/>
          <w:sz w:val="32"/>
          <w:szCs w:val="32"/>
        </w:rPr>
        <w:t>部门应根据学校工作特点及时安排安保经费并及时拨付。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免作业本费</w:t>
      </w:r>
      <w:r>
        <w:rPr>
          <w:rFonts w:hint="eastAsia" w:ascii="仿宋_GB2312" w:hAnsi="仿宋_GB2312" w:eastAsia="仿宋_GB2312" w:cs="仿宋_GB2312"/>
          <w:sz w:val="32"/>
          <w:szCs w:val="32"/>
        </w:rPr>
        <w:t>项目绩效目标完成情况综述。项目由</w:t>
      </w:r>
      <w:r>
        <w:rPr>
          <w:rFonts w:ascii="仿宋_GB2312" w:hAnsi="仿宋_GB2312" w:eastAsia="仿宋_GB2312" w:cs="仿宋_GB2312"/>
          <w:sz w:val="32"/>
          <w:szCs w:val="32"/>
        </w:rPr>
        <w:t>上级部门统一预算、支出</w:t>
      </w:r>
      <w:r>
        <w:rPr>
          <w:rFonts w:hint="eastAsia" w:ascii="仿宋_GB2312" w:hAnsi="仿宋_GB2312" w:eastAsia="仿宋_GB2312" w:cs="仿宋_GB2312"/>
          <w:sz w:val="32"/>
          <w:szCs w:val="32"/>
        </w:rPr>
        <w:t>。因此</w:t>
      </w:r>
      <w:r>
        <w:rPr>
          <w:rFonts w:ascii="仿宋_GB2312" w:hAnsi="仿宋_GB2312" w:eastAsia="仿宋_GB2312" w:cs="仿宋_GB2312"/>
          <w:sz w:val="32"/>
          <w:szCs w:val="32"/>
        </w:rPr>
        <w:t>本单位</w:t>
      </w:r>
      <w:r>
        <w:rPr>
          <w:rFonts w:hint="eastAsia" w:ascii="仿宋_GB2312" w:hAnsi="仿宋_GB2312" w:eastAsia="仿宋_GB2312" w:cs="仿宋_GB2312"/>
          <w:sz w:val="32"/>
          <w:szCs w:val="32"/>
        </w:rPr>
        <w:t>全年预算数</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万元，完成预算的100%。通过项目实施，保障了</w:t>
      </w:r>
      <w:r>
        <w:rPr>
          <w:rFonts w:ascii="仿宋_GB2312" w:hAnsi="仿宋_GB2312" w:eastAsia="仿宋_GB2312" w:cs="仿宋_GB2312"/>
          <w:sz w:val="32"/>
          <w:szCs w:val="32"/>
        </w:rPr>
        <w:t>学生在开学之初及时</w:t>
      </w:r>
      <w:r>
        <w:rPr>
          <w:rFonts w:hint="eastAsia" w:ascii="仿宋_GB2312" w:hAnsi="仿宋_GB2312" w:eastAsia="仿宋_GB2312" w:cs="仿宋_GB2312"/>
          <w:sz w:val="32"/>
          <w:szCs w:val="32"/>
        </w:rPr>
        <w:t>获得</w:t>
      </w:r>
      <w:r>
        <w:rPr>
          <w:rFonts w:ascii="仿宋_GB2312" w:hAnsi="仿宋_GB2312" w:eastAsia="仿宋_GB2312" w:cs="仿宋_GB2312"/>
          <w:sz w:val="32"/>
          <w:szCs w:val="32"/>
        </w:rPr>
        <w:t>作业本，促进了学生的学习，获得了较高的社会效益。</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骨干教师奖金</w:t>
      </w:r>
      <w:r>
        <w:rPr>
          <w:rFonts w:hint="eastAsia" w:ascii="仿宋_GB2312" w:hAnsi="仿宋_GB2312" w:eastAsia="仿宋_GB2312" w:cs="仿宋_GB2312"/>
          <w:sz w:val="32"/>
          <w:szCs w:val="32"/>
        </w:rPr>
        <w:t>项目绩效目标完成情况综述。项目全年预算数0.48万元，执行数为0.48万元，完成预算的100%。通过项目实施，保障了学校</w:t>
      </w:r>
      <w:r>
        <w:rPr>
          <w:rFonts w:ascii="仿宋_GB2312" w:hAnsi="仿宋_GB2312" w:eastAsia="仿宋_GB2312" w:cs="仿宋_GB2312"/>
          <w:sz w:val="32"/>
          <w:szCs w:val="32"/>
        </w:rPr>
        <w:t>对骨干教师的</w:t>
      </w:r>
      <w:r>
        <w:rPr>
          <w:rFonts w:hint="eastAsia" w:ascii="仿宋_GB2312" w:hAnsi="仿宋_GB2312" w:eastAsia="仿宋_GB2312" w:cs="仿宋_GB2312"/>
          <w:sz w:val="32"/>
          <w:szCs w:val="32"/>
        </w:rPr>
        <w:t>有效</w:t>
      </w:r>
      <w:r>
        <w:rPr>
          <w:rFonts w:ascii="仿宋_GB2312" w:hAnsi="仿宋_GB2312" w:eastAsia="仿宋_GB2312" w:cs="仿宋_GB2312"/>
          <w:sz w:val="32"/>
          <w:szCs w:val="32"/>
        </w:rPr>
        <w:t>培训</w:t>
      </w:r>
      <w:r>
        <w:rPr>
          <w:rFonts w:hint="eastAsia" w:ascii="仿宋_GB2312" w:hAnsi="仿宋_GB2312" w:eastAsia="仿宋_GB2312" w:cs="仿宋_GB2312"/>
          <w:sz w:val="32"/>
          <w:szCs w:val="32"/>
        </w:rPr>
        <w:t>，支持了</w:t>
      </w:r>
      <w:r>
        <w:rPr>
          <w:rFonts w:ascii="仿宋_GB2312" w:hAnsi="仿宋_GB2312" w:eastAsia="仿宋_GB2312" w:cs="仿宋_GB2312"/>
          <w:sz w:val="32"/>
          <w:szCs w:val="32"/>
        </w:rPr>
        <w:t>学</w:t>
      </w:r>
      <w:r>
        <w:rPr>
          <w:rFonts w:hint="eastAsia" w:ascii="仿宋_GB2312" w:hAnsi="仿宋_GB2312" w:eastAsia="仿宋_GB2312" w:cs="仿宋_GB2312"/>
          <w:sz w:val="32"/>
          <w:szCs w:val="32"/>
        </w:rPr>
        <w:t>校的</w:t>
      </w:r>
      <w:r>
        <w:rPr>
          <w:rFonts w:ascii="仿宋_GB2312" w:hAnsi="仿宋_GB2312" w:eastAsia="仿宋_GB2312" w:cs="仿宋_GB2312"/>
          <w:sz w:val="32"/>
          <w:szCs w:val="32"/>
        </w:rPr>
        <w:t>教育教学的开展</w:t>
      </w:r>
      <w:r>
        <w:rPr>
          <w:rFonts w:hint="eastAsia" w:ascii="仿宋_GB2312" w:hAnsi="仿宋_GB2312" w:eastAsia="仿宋_GB2312" w:cs="仿宋_GB2312"/>
          <w:sz w:val="32"/>
          <w:szCs w:val="32"/>
        </w:rPr>
        <w:t>、促进了</w:t>
      </w:r>
      <w:r>
        <w:rPr>
          <w:rFonts w:ascii="仿宋_GB2312" w:hAnsi="仿宋_GB2312" w:eastAsia="仿宋_GB2312" w:cs="仿宋_GB2312"/>
          <w:sz w:val="32"/>
          <w:szCs w:val="32"/>
        </w:rPr>
        <w:t>学校人才队伍的</w:t>
      </w:r>
      <w:r>
        <w:rPr>
          <w:rFonts w:hint="eastAsia" w:ascii="仿宋_GB2312" w:hAnsi="仿宋_GB2312" w:eastAsia="仿宋_GB2312" w:cs="仿宋_GB2312"/>
          <w:sz w:val="32"/>
          <w:szCs w:val="32"/>
        </w:rPr>
        <w:t>建设、提高了</w:t>
      </w:r>
      <w:r>
        <w:rPr>
          <w:rFonts w:ascii="仿宋_GB2312" w:hAnsi="仿宋_GB2312" w:eastAsia="仿宋_GB2312" w:cs="仿宋_GB2312"/>
          <w:sz w:val="32"/>
          <w:szCs w:val="32"/>
        </w:rPr>
        <w:t>骨干教师的教育教研水平</w:t>
      </w:r>
      <w:r>
        <w:rPr>
          <w:rFonts w:hint="eastAsia" w:ascii="仿宋_GB2312" w:hAnsi="仿宋_GB2312" w:eastAsia="仿宋_GB2312" w:cs="仿宋_GB2312"/>
          <w:sz w:val="32"/>
          <w:szCs w:val="32"/>
        </w:rPr>
        <w:t>，从而有力</w:t>
      </w:r>
      <w:r>
        <w:rPr>
          <w:rFonts w:ascii="仿宋_GB2312" w:hAnsi="仿宋_GB2312" w:eastAsia="仿宋_GB2312" w:cs="仿宋_GB2312"/>
          <w:sz w:val="32"/>
          <w:szCs w:val="32"/>
        </w:rPr>
        <w:t>提升学校教育教学质量</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骨干</w:t>
            </w:r>
            <w:r>
              <w:rPr>
                <w:rFonts w:ascii="宋体" w:hAnsi="宋体" w:cs="宋体"/>
                <w:color w:val="000000"/>
                <w:sz w:val="24"/>
              </w:rPr>
              <w:t>教师津贴</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w:t>
            </w:r>
            <w:r>
              <w:rPr>
                <w:rFonts w:ascii="宋体" w:hAnsi="宋体" w:cs="宋体"/>
                <w:color w:val="000000"/>
                <w:sz w:val="24"/>
              </w:rPr>
              <w:t>桂花桥镇第二小学校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0.48万元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0.48万元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0.48万元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0.48万元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w:t>
            </w:r>
            <w:r>
              <w:rPr>
                <w:rFonts w:ascii="宋体" w:hAnsi="宋体" w:cs="宋体"/>
                <w:color w:val="000000"/>
                <w:sz w:val="24"/>
              </w:rPr>
              <w:t>教师业务培训、提升教育教学水平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w:t>
            </w:r>
            <w:r>
              <w:rPr>
                <w:rFonts w:ascii="宋体" w:hAnsi="宋体" w:cs="宋体"/>
                <w:color w:val="000000"/>
                <w:sz w:val="24"/>
              </w:rPr>
              <w:t>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w:t>
            </w:r>
            <w:r>
              <w:rPr>
                <w:rFonts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骨干</w:t>
            </w:r>
            <w:r>
              <w:rPr>
                <w:rFonts w:ascii="宋体" w:hAnsi="宋体" w:cs="宋体"/>
                <w:color w:val="000000"/>
                <w:sz w:val="24"/>
              </w:rPr>
              <w:t>教师人数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w:t>
            </w:r>
            <w:r>
              <w:rPr>
                <w:rFonts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提升教师</w:t>
            </w:r>
            <w:r>
              <w:rPr>
                <w:rFonts w:ascii="宋体" w:hAnsi="宋体" w:cs="宋体"/>
                <w:color w:val="000000"/>
                <w:sz w:val="24"/>
              </w:rPr>
              <w:t>教学水平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w:t>
            </w:r>
            <w:r>
              <w:rPr>
                <w:rFonts w:ascii="宋体" w:hAnsi="宋体" w:cs="宋体"/>
                <w:color w:val="000000"/>
                <w:sz w:val="24"/>
              </w:rPr>
              <w:t>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w:t>
            </w:r>
            <w:r>
              <w:rPr>
                <w:rFonts w:ascii="宋体" w:hAnsi="宋体" w:cs="宋体"/>
                <w:color w:val="000000"/>
                <w:sz w:val="24"/>
              </w:rPr>
              <w:t>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实效</w:t>
            </w:r>
            <w:r>
              <w:rPr>
                <w:rFonts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w:t>
            </w:r>
            <w:r>
              <w:rPr>
                <w:rFonts w:ascii="宋体" w:hAnsi="宋体" w:cs="宋体"/>
                <w:color w:val="000000"/>
                <w:sz w:val="24"/>
              </w:rPr>
              <w:t>规定时间完成支付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w:t>
            </w:r>
            <w:r>
              <w:rPr>
                <w:rFonts w:ascii="宋体" w:hAnsi="宋体" w:cs="宋体"/>
                <w:color w:val="000000"/>
                <w:sz w:val="24"/>
              </w:rPr>
              <w:t>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w:t>
            </w:r>
            <w:r>
              <w:rPr>
                <w:rFonts w:ascii="宋体" w:hAnsi="宋体" w:cs="宋体"/>
                <w:color w:val="000000"/>
                <w:sz w:val="24"/>
              </w:rPr>
              <w:t>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w:t>
            </w:r>
            <w:r>
              <w:rPr>
                <w:rFonts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让</w:t>
            </w:r>
            <w:r>
              <w:rPr>
                <w:rFonts w:ascii="宋体" w:hAnsi="宋体" w:cs="宋体"/>
                <w:color w:val="000000"/>
                <w:sz w:val="24"/>
              </w:rPr>
              <w:t>骨干教师有获得</w:t>
            </w:r>
            <w:r>
              <w:rPr>
                <w:rFonts w:hint="eastAsia" w:ascii="宋体" w:hAnsi="宋体" w:cs="宋体"/>
                <w:color w:val="000000"/>
                <w:sz w:val="24"/>
              </w:rPr>
              <w:t>感</w:t>
            </w:r>
            <w:r>
              <w:rPr>
                <w:rFonts w:ascii="宋体" w:hAnsi="宋体" w:cs="宋体"/>
                <w:color w:val="000000"/>
                <w:sz w:val="24"/>
              </w:rPr>
              <w:t>、认同感。成就</w:t>
            </w:r>
            <w:r>
              <w:rPr>
                <w:rFonts w:hint="eastAsia" w:ascii="宋体" w:hAnsi="宋体" w:cs="宋体"/>
                <w:color w:val="000000"/>
                <w:sz w:val="24"/>
              </w:rPr>
              <w:t>感</w:t>
            </w:r>
            <w:r>
              <w:rPr>
                <w:rFonts w:ascii="宋体" w:hAnsi="宋体" w:cs="宋体"/>
                <w:color w:val="000000"/>
                <w:sz w:val="24"/>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w:t>
            </w:r>
            <w:r>
              <w:rPr>
                <w:rFonts w:ascii="宋体" w:hAnsi="宋体" w:cs="宋体"/>
                <w:color w:val="000000"/>
                <w:sz w:val="24"/>
              </w:rPr>
              <w:t>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w:t>
            </w:r>
            <w:r>
              <w:rPr>
                <w:rFonts w:ascii="宋体" w:hAnsi="宋体" w:cs="宋体"/>
                <w:color w:val="000000"/>
                <w:sz w:val="24"/>
              </w:rPr>
              <w:t>所提升</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w:t>
            </w:r>
            <w:r>
              <w:rPr>
                <w:rFonts w:ascii="宋体" w:hAnsi="宋体" w:cs="宋体"/>
                <w:color w:val="000000"/>
                <w:sz w:val="24"/>
              </w:rPr>
              <w:t>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骨干教师</w:t>
            </w:r>
            <w:r>
              <w:rPr>
                <w:rFonts w:hint="eastAsia" w:ascii="宋体" w:hAnsi="宋体" w:cs="宋体"/>
                <w:color w:val="000000"/>
                <w:sz w:val="24"/>
              </w:rPr>
              <w:t>对</w:t>
            </w:r>
            <w:r>
              <w:rPr>
                <w:rFonts w:ascii="宋体" w:hAnsi="宋体" w:cs="宋体"/>
                <w:color w:val="000000"/>
                <w:sz w:val="24"/>
              </w:rPr>
              <w:t>认同度的满意度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w:t>
            </w:r>
            <w:r>
              <w:rPr>
                <w:rFonts w:ascii="宋体" w:hAnsi="宋体" w:cs="宋体"/>
                <w:color w:val="000000"/>
                <w:sz w:val="24"/>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w:t>
            </w:r>
            <w:r>
              <w:rPr>
                <w:rFonts w:ascii="宋体" w:hAnsi="宋体" w:cs="宋体"/>
                <w:color w:val="000000"/>
                <w:sz w:val="24"/>
              </w:rPr>
              <w:t>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本部门按要求对2020年部门整体支出绩效评价情况开展自评，《峨眉山市</w:t>
      </w:r>
      <w:r>
        <w:rPr>
          <w:rFonts w:ascii="仿宋_GB2312" w:hAnsi="仿宋_GB2312" w:eastAsia="仿宋_GB2312" w:cs="仿宋_GB2312"/>
          <w:sz w:val="32"/>
          <w:szCs w:val="32"/>
        </w:rPr>
        <w:t>桂花桥镇第二小学校</w:t>
      </w:r>
      <w:r>
        <w:rPr>
          <w:rFonts w:hint="eastAsia" w:ascii="仿宋_GB2312" w:hAnsi="仿宋_GB2312" w:eastAsia="仿宋_GB2312" w:cs="仿宋_GB2312"/>
          <w:sz w:val="32"/>
          <w:szCs w:val="32"/>
        </w:rPr>
        <w:t>2020年部门整体支出绩效评价报告》见附件（附件1）。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本部门自行组织对校园</w:t>
      </w:r>
      <w:r>
        <w:rPr>
          <w:rFonts w:ascii="仿宋_GB2312" w:hAnsi="仿宋_GB2312" w:eastAsia="仿宋_GB2312" w:cs="仿宋_GB2312"/>
          <w:sz w:val="32"/>
          <w:szCs w:val="32"/>
        </w:rPr>
        <w:t>安保、免作业本费、骨干教师奖金</w:t>
      </w:r>
      <w:r>
        <w:rPr>
          <w:rFonts w:hint="eastAsia" w:ascii="仿宋_GB2312" w:hAnsi="仿宋_GB2312" w:eastAsia="仿宋_GB2312" w:cs="仿宋_GB2312"/>
          <w:sz w:val="32"/>
          <w:szCs w:val="32"/>
        </w:rPr>
        <w:t>等项目开展了绩效评价，《峨眉山市</w:t>
      </w:r>
      <w:r>
        <w:rPr>
          <w:rFonts w:ascii="仿宋_GB2312" w:hAnsi="仿宋_GB2312" w:eastAsia="仿宋_GB2312" w:cs="仿宋_GB2312"/>
          <w:sz w:val="32"/>
          <w:szCs w:val="32"/>
        </w:rPr>
        <w:t>桂花桥镇第二小学校安保</w:t>
      </w:r>
      <w:r>
        <w:rPr>
          <w:rFonts w:hint="eastAsia" w:ascii="仿宋_GB2312" w:hAnsi="仿宋_GB2312" w:eastAsia="仿宋_GB2312" w:cs="仿宋_GB2312"/>
          <w:sz w:val="32"/>
          <w:szCs w:val="32"/>
        </w:rPr>
        <w:t>经费</w:t>
      </w:r>
      <w:r>
        <w:rPr>
          <w:rFonts w:ascii="仿宋_GB2312" w:hAnsi="仿宋_GB2312" w:eastAsia="仿宋_GB2312" w:cs="仿宋_GB2312"/>
          <w:sz w:val="32"/>
          <w:szCs w:val="32"/>
        </w:rPr>
        <w:t>补助</w:t>
      </w:r>
      <w:r>
        <w:rPr>
          <w:rFonts w:hint="eastAsia" w:ascii="仿宋_GB2312" w:hAnsi="仿宋_GB2312" w:eastAsia="仿宋_GB2312" w:cs="仿宋_GB2312"/>
          <w:sz w:val="32"/>
          <w:szCs w:val="32"/>
        </w:rPr>
        <w:t>项目2020年绩效评价报告》见附件（附件2）。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br w:type="page"/>
      </w:r>
    </w:p>
    <w:p>
      <w:pPr>
        <w:spacing w:line="600" w:lineRule="exact"/>
        <w:jc w:val="center"/>
        <w:outlineLvl w:val="0"/>
        <w:rPr>
          <w:rStyle w:val="24"/>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24"/>
          <w:rFonts w:hint="eastAsia" w:ascii="黑体" w:hAnsi="黑体" w:eastAsia="黑体"/>
          <w:b w:val="0"/>
        </w:rPr>
        <w:t>四部分 附件</w:t>
      </w:r>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widowControl/>
        <w:shd w:val="clear" w:color="auto" w:fill="FFFFFF"/>
        <w:spacing w:beforeAutospacing="1" w:after="100" w:afterAutospacing="1" w:line="580" w:lineRule="exact"/>
        <w:ind w:firstLine="883" w:firstLineChars="200"/>
        <w:jc w:val="center"/>
        <w:rPr>
          <w:rFonts w:ascii="宋体" w:hAnsi="宋体" w:cs="宋体"/>
          <w:b/>
          <w:kern w:val="0"/>
          <w:sz w:val="44"/>
          <w:szCs w:val="44"/>
        </w:rPr>
      </w:pPr>
      <w:r>
        <w:rPr>
          <w:rFonts w:hint="eastAsia" w:ascii="宋体" w:hAnsi="宋体" w:cs="宋体"/>
          <w:b/>
          <w:kern w:val="0"/>
          <w:sz w:val="44"/>
          <w:szCs w:val="44"/>
        </w:rPr>
        <w:t>峨眉山市桂花</w:t>
      </w:r>
      <w:r>
        <w:rPr>
          <w:rFonts w:ascii="宋体" w:hAnsi="宋体" w:cs="宋体"/>
          <w:b/>
          <w:kern w:val="0"/>
          <w:sz w:val="44"/>
          <w:szCs w:val="44"/>
        </w:rPr>
        <w:t>桥</w:t>
      </w:r>
      <w:r>
        <w:rPr>
          <w:rFonts w:hint="eastAsia" w:ascii="宋体" w:hAnsi="宋体" w:cs="宋体"/>
          <w:b/>
          <w:kern w:val="0"/>
          <w:sz w:val="44"/>
          <w:szCs w:val="44"/>
        </w:rPr>
        <w:t>镇第二小学校</w:t>
      </w:r>
    </w:p>
    <w:p>
      <w:pPr>
        <w:widowControl/>
        <w:shd w:val="clear" w:color="auto" w:fill="FFFFFF"/>
        <w:spacing w:beforeAutospacing="1" w:after="100" w:afterAutospacing="1" w:line="580" w:lineRule="exact"/>
        <w:ind w:firstLine="883" w:firstLineChars="200"/>
        <w:jc w:val="center"/>
        <w:rPr>
          <w:rFonts w:ascii="宋体" w:cs="宋体"/>
          <w:b/>
          <w:kern w:val="0"/>
          <w:sz w:val="44"/>
          <w:szCs w:val="44"/>
        </w:rPr>
      </w:pPr>
      <w:r>
        <w:rPr>
          <w:rFonts w:hint="eastAsia" w:ascii="宋体" w:hAnsi="宋体" w:cs="宋体"/>
          <w:b/>
          <w:kern w:val="0"/>
          <w:sz w:val="44"/>
          <w:szCs w:val="44"/>
        </w:rPr>
        <w:t>2020年部门整体支出绩效评价报告</w:t>
      </w:r>
    </w:p>
    <w:p>
      <w:pPr>
        <w:widowControl/>
        <w:shd w:val="clear" w:color="auto" w:fill="FFFFFF"/>
        <w:spacing w:line="580" w:lineRule="exact"/>
        <w:jc w:val="left"/>
        <w:rPr>
          <w:rFonts w:ascii="仿宋_GB2312" w:hAnsi="仿宋_GB2312" w:eastAsia="仿宋_GB2312" w:cs="仿宋_GB2312"/>
          <w:kern w:val="0"/>
          <w:sz w:val="30"/>
          <w:szCs w:val="30"/>
        </w:rPr>
      </w:pPr>
    </w:p>
    <w:p>
      <w:pPr>
        <w:widowControl/>
        <w:shd w:val="clear" w:color="auto" w:fill="FFFFFF"/>
        <w:spacing w:line="580" w:lineRule="exact"/>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峨眉山市财政局：</w:t>
      </w:r>
    </w:p>
    <w:p>
      <w:pPr>
        <w:widowControl/>
        <w:shd w:val="clear" w:color="auto" w:fill="FFFFFF"/>
        <w:spacing w:line="5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我单位根据《峨眉山市财政局关于开展2020年财政支出绩效评价工作的通知》（峨财通[2020]36号）文件要求，结合实际</w:t>
      </w:r>
      <w:r>
        <w:rPr>
          <w:rFonts w:hint="eastAsia" w:ascii="仿宋_GB2312" w:hAnsi="仿宋_GB2312" w:eastAsia="仿宋_GB2312" w:cs="仿宋_GB2312"/>
          <w:kern w:val="0"/>
          <w:sz w:val="30"/>
          <w:szCs w:val="30"/>
          <w:shd w:val="clear" w:color="auto" w:fill="FFFFFF"/>
        </w:rPr>
        <w:t>，对</w:t>
      </w:r>
      <w:r>
        <w:rPr>
          <w:rFonts w:hint="eastAsia" w:ascii="仿宋_GB2312" w:hAnsi="仿宋_GB2312" w:eastAsia="仿宋_GB2312" w:cs="仿宋_GB2312"/>
          <w:kern w:val="0"/>
          <w:sz w:val="30"/>
          <w:szCs w:val="30"/>
        </w:rPr>
        <w:t>我部门整体支出绩效实施了评价。现将我单位绩效评价结果报告如下：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b/>
          <w:bCs/>
          <w:kern w:val="0"/>
          <w:sz w:val="30"/>
          <w:szCs w:val="30"/>
        </w:rPr>
        <w:t>一、部门概况</w:t>
      </w:r>
    </w:p>
    <w:p>
      <w:pPr>
        <w:widowControl/>
        <w:shd w:val="clear" w:color="auto" w:fill="FFFFFF"/>
        <w:adjustRightInd w:val="0"/>
        <w:snapToGrid w:val="0"/>
        <w:spacing w:before="100" w:beforeAutospacing="1" w:after="100" w:afterAutospacing="1" w:line="540" w:lineRule="exact"/>
        <w:ind w:firstLine="643"/>
        <w:jc w:val="left"/>
        <w:rPr>
          <w:rFonts w:ascii="仿宋_GB2312" w:eastAsia="仿宋_GB2312" w:cs="宋体"/>
          <w:kern w:val="0"/>
          <w:sz w:val="30"/>
          <w:szCs w:val="30"/>
        </w:rPr>
      </w:pPr>
      <w:r>
        <w:rPr>
          <w:rFonts w:hint="eastAsia" w:ascii="仿宋_GB2312" w:hAnsi="宋体" w:eastAsia="仿宋_GB2312" w:cs="宋体"/>
          <w:kern w:val="0"/>
          <w:sz w:val="30"/>
          <w:szCs w:val="30"/>
        </w:rPr>
        <w:t>（一）机构组成、人员概况</w:t>
      </w:r>
    </w:p>
    <w:p>
      <w:pPr>
        <w:shd w:val="clear" w:color="auto" w:fill="FFFFFF"/>
        <w:spacing w:line="540" w:lineRule="exact"/>
        <w:ind w:firstLine="600" w:firstLineChars="200"/>
        <w:rPr>
          <w:rFonts w:ascii="仿宋_GB2312" w:hAnsi="仿宋_GB2312" w:eastAsia="仿宋_GB2312" w:cs="仿宋_GB2312"/>
          <w:kern w:val="0"/>
          <w:sz w:val="30"/>
          <w:szCs w:val="30"/>
        </w:rPr>
      </w:pPr>
      <w:r>
        <w:rPr>
          <w:rFonts w:hint="eastAsia" w:ascii="仿宋_GB2312" w:hAnsi="仿宋" w:eastAsia="仿宋_GB2312"/>
          <w:sz w:val="30"/>
          <w:szCs w:val="30"/>
        </w:rPr>
        <w:t>机构组成：</w:t>
      </w:r>
      <w:r>
        <w:rPr>
          <w:rFonts w:hint="eastAsia" w:ascii="仿宋_GB2312" w:hAnsi="仿宋_GB2312" w:eastAsia="仿宋_GB2312" w:cs="仿宋_GB2312"/>
          <w:kern w:val="0"/>
          <w:sz w:val="30"/>
          <w:szCs w:val="30"/>
          <w:shd w:val="clear" w:color="auto" w:fill="FFFFFF"/>
        </w:rPr>
        <w:t>我单位内设校长办公室、教务处、德育（少队）、安办、后勤、</w:t>
      </w:r>
      <w:r>
        <w:rPr>
          <w:rFonts w:ascii="仿宋_GB2312" w:hAnsi="仿宋_GB2312" w:eastAsia="仿宋_GB2312" w:cs="仿宋_GB2312"/>
          <w:kern w:val="0"/>
          <w:sz w:val="30"/>
          <w:szCs w:val="30"/>
          <w:shd w:val="clear" w:color="auto" w:fill="FFFFFF"/>
        </w:rPr>
        <w:t>电教</w:t>
      </w:r>
      <w:r>
        <w:rPr>
          <w:rFonts w:hint="eastAsia" w:ascii="仿宋_GB2312" w:hAnsi="仿宋_GB2312" w:eastAsia="仿宋_GB2312" w:cs="仿宋_GB2312"/>
          <w:kern w:val="0"/>
          <w:sz w:val="30"/>
          <w:szCs w:val="30"/>
          <w:shd w:val="clear" w:color="auto" w:fill="FFFFFF"/>
        </w:rPr>
        <w:t>等机构，属财政全额拨款事业单位。</w:t>
      </w:r>
    </w:p>
    <w:p>
      <w:pPr>
        <w:shd w:val="clear" w:color="auto" w:fill="FFFFFF"/>
        <w:spacing w:before="100" w:beforeAutospacing="1" w:after="100" w:afterAutospacing="1" w:line="540" w:lineRule="exact"/>
        <w:ind w:firstLine="600" w:firstLineChars="200"/>
        <w:rPr>
          <w:rFonts w:ascii="仿宋_GB2312" w:eastAsia="仿宋_GB2312" w:cs="宋体"/>
          <w:kern w:val="0"/>
          <w:sz w:val="30"/>
          <w:szCs w:val="30"/>
        </w:rPr>
      </w:pPr>
      <w:r>
        <w:rPr>
          <w:rFonts w:hint="eastAsia" w:ascii="仿宋_GB2312" w:hAnsi="仿宋" w:eastAsia="仿宋_GB2312"/>
          <w:sz w:val="30"/>
          <w:szCs w:val="30"/>
        </w:rPr>
        <w:t>人员情况：核定事业编制34人，在岗专业技术人员34人；工勤人员6人；离休</w:t>
      </w:r>
      <w:r>
        <w:rPr>
          <w:rFonts w:ascii="仿宋_GB2312" w:hAnsi="仿宋" w:eastAsia="仿宋_GB2312"/>
          <w:sz w:val="30"/>
          <w:szCs w:val="30"/>
        </w:rPr>
        <w:t>干部</w:t>
      </w:r>
      <w:r>
        <w:rPr>
          <w:rFonts w:hint="eastAsia" w:ascii="仿宋_GB2312" w:hAnsi="仿宋" w:eastAsia="仿宋_GB2312"/>
          <w:sz w:val="30"/>
          <w:szCs w:val="30"/>
        </w:rPr>
        <w:t>0人</w:t>
      </w:r>
      <w:r>
        <w:rPr>
          <w:rFonts w:ascii="仿宋_GB2312" w:hAnsi="仿宋" w:eastAsia="仿宋_GB2312"/>
          <w:sz w:val="30"/>
          <w:szCs w:val="30"/>
        </w:rPr>
        <w:t>；</w:t>
      </w:r>
      <w:r>
        <w:rPr>
          <w:rFonts w:hint="eastAsia" w:ascii="仿宋_GB2312" w:hAnsi="仿宋" w:eastAsia="仿宋_GB2312"/>
          <w:sz w:val="30"/>
          <w:szCs w:val="30"/>
        </w:rPr>
        <w:t>遗属2人；</w:t>
      </w:r>
      <w:r>
        <w:rPr>
          <w:rFonts w:hint="eastAsia" w:ascii="仿宋_GB2312" w:hAnsi="宋体" w:eastAsia="仿宋_GB2312" w:cs="宋体"/>
          <w:kern w:val="0"/>
          <w:sz w:val="30"/>
          <w:szCs w:val="30"/>
        </w:rPr>
        <w:t>长期聘用人员6人。</w:t>
      </w:r>
    </w:p>
    <w:p>
      <w:pPr>
        <w:widowControl/>
        <w:shd w:val="clear" w:color="auto" w:fill="FFFFFF"/>
        <w:adjustRightInd w:val="0"/>
        <w:snapToGrid w:val="0"/>
        <w:spacing w:before="100" w:beforeAutospacing="1" w:after="100" w:afterAutospacing="1" w:line="540" w:lineRule="exact"/>
        <w:ind w:firstLine="643"/>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（二）单位主要职责</w:t>
      </w:r>
    </w:p>
    <w:p>
      <w:pPr>
        <w:widowControl/>
        <w:shd w:val="clear" w:color="auto" w:fill="FFFFFF"/>
        <w:adjustRightInd w:val="0"/>
        <w:snapToGrid w:val="0"/>
        <w:spacing w:before="100" w:beforeAutospacing="1" w:after="100" w:afterAutospacing="1" w:line="540" w:lineRule="exact"/>
        <w:ind w:firstLine="643"/>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实施小学义务教育，促进基础教育发展，从事小学学历教育。</w:t>
      </w:r>
    </w:p>
    <w:p>
      <w:pPr>
        <w:widowControl/>
        <w:shd w:val="clear" w:color="auto" w:fill="FFFFFF"/>
        <w:adjustRightInd w:val="0"/>
        <w:snapToGrid w:val="0"/>
        <w:spacing w:before="100" w:beforeAutospacing="1" w:after="100" w:afterAutospacing="1" w:line="540" w:lineRule="exact"/>
        <w:jc w:val="left"/>
        <w:rPr>
          <w:rFonts w:ascii="仿宋_GB2312" w:eastAsia="仿宋_GB2312" w:cs="宋体"/>
          <w:b/>
          <w:bCs/>
          <w:kern w:val="0"/>
          <w:sz w:val="30"/>
          <w:szCs w:val="30"/>
        </w:rPr>
      </w:pPr>
      <w:r>
        <w:rPr>
          <w:rFonts w:hint="eastAsia" w:ascii="仿宋_GB2312" w:hAnsi="宋体" w:eastAsia="仿宋_GB2312" w:cs="宋体"/>
          <w:sz w:val="30"/>
          <w:szCs w:val="30"/>
          <w:shd w:val="clear" w:color="auto" w:fill="FFFFFF"/>
        </w:rPr>
        <w:t xml:space="preserve">    </w:t>
      </w:r>
      <w:r>
        <w:rPr>
          <w:rFonts w:hint="eastAsia" w:ascii="仿宋_GB2312" w:hAnsi="宋体" w:eastAsia="仿宋_GB2312" w:cs="宋体"/>
          <w:b/>
          <w:bCs/>
          <w:kern w:val="0"/>
          <w:sz w:val="30"/>
          <w:szCs w:val="30"/>
        </w:rPr>
        <w:t>二、部门财政资金收支情况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kern w:val="0"/>
          <w:sz w:val="30"/>
          <w:szCs w:val="30"/>
        </w:rPr>
      </w:pPr>
      <w:r>
        <w:rPr>
          <w:rFonts w:hint="eastAsia" w:ascii="仿宋_GB2312" w:hAnsi="宋体" w:eastAsia="仿宋_GB2312" w:cs="宋体"/>
          <w:sz w:val="30"/>
          <w:szCs w:val="30"/>
        </w:rPr>
        <w:t>1、</w:t>
      </w:r>
      <w:r>
        <w:rPr>
          <w:rFonts w:hint="eastAsia" w:ascii="仿宋_GB2312" w:hAnsi="宋体" w:eastAsia="仿宋_GB2312" w:cs="宋体"/>
          <w:kern w:val="0"/>
          <w:sz w:val="30"/>
          <w:szCs w:val="30"/>
        </w:rPr>
        <w:t>部门财政资金收入情况</w:t>
      </w:r>
      <w:r>
        <w:rPr>
          <w:rFonts w:hint="eastAsia" w:ascii="仿宋_GB2312" w:eastAsia="仿宋_GB2312" w:cs="宋体"/>
          <w:kern w:val="0"/>
          <w:sz w:val="30"/>
          <w:szCs w:val="30"/>
        </w:rPr>
        <w:t>：</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我单位2020年部门决算收入</w:t>
      </w:r>
      <w:r>
        <w:rPr>
          <w:rFonts w:ascii="仿宋_GB2312" w:hAnsi="宋体" w:eastAsia="仿宋_GB2312" w:cs="宋体"/>
          <w:kern w:val="0"/>
          <w:sz w:val="30"/>
          <w:szCs w:val="30"/>
        </w:rPr>
        <w:t>701.54</w:t>
      </w:r>
      <w:r>
        <w:rPr>
          <w:rFonts w:hint="eastAsia" w:ascii="仿宋_GB2312" w:hAnsi="宋体" w:eastAsia="仿宋_GB2312" w:cs="宋体"/>
          <w:kern w:val="0"/>
          <w:sz w:val="30"/>
          <w:szCs w:val="30"/>
        </w:rPr>
        <w:t>万元，预算收入为</w:t>
      </w:r>
      <w:r>
        <w:rPr>
          <w:rFonts w:ascii="仿宋_GB2312" w:hAnsi="宋体" w:eastAsia="仿宋_GB2312" w:cs="宋体"/>
          <w:kern w:val="0"/>
          <w:sz w:val="30"/>
          <w:szCs w:val="30"/>
        </w:rPr>
        <w:t>460.65</w:t>
      </w:r>
      <w:r>
        <w:rPr>
          <w:rFonts w:hint="eastAsia" w:ascii="仿宋_GB2312" w:hAnsi="宋体" w:eastAsia="仿宋_GB2312" w:cs="宋体"/>
          <w:kern w:val="0"/>
          <w:sz w:val="30"/>
          <w:szCs w:val="30"/>
        </w:rPr>
        <w:t>万元，无政府性基金预算资金；</w:t>
      </w:r>
      <w:r>
        <w:rPr>
          <w:rFonts w:hint="eastAsia" w:ascii="仿宋_GB2312" w:hAnsi="仿宋_GB2312" w:eastAsia="仿宋_GB2312" w:cs="仿宋_GB2312"/>
          <w:kern w:val="0"/>
          <w:sz w:val="30"/>
          <w:szCs w:val="30"/>
        </w:rPr>
        <w:t>决算收入与预算收入的差额</w:t>
      </w:r>
      <w:r>
        <w:rPr>
          <w:rFonts w:ascii="仿宋_GB2312" w:hAnsi="仿宋_GB2312" w:eastAsia="仿宋_GB2312" w:cs="仿宋_GB2312"/>
          <w:kern w:val="0"/>
          <w:sz w:val="30"/>
          <w:szCs w:val="30"/>
        </w:rPr>
        <w:t>240.89</w:t>
      </w:r>
      <w:r>
        <w:rPr>
          <w:rFonts w:hint="eastAsia" w:ascii="仿宋_GB2312" w:hAnsi="仿宋_GB2312" w:eastAsia="仿宋_GB2312" w:cs="仿宋_GB2312"/>
          <w:kern w:val="0"/>
          <w:sz w:val="30"/>
          <w:szCs w:val="30"/>
        </w:rPr>
        <w:t>万元,</w:t>
      </w:r>
      <w:r>
        <w:rPr>
          <w:rFonts w:ascii="仿宋_GB2312" w:hAnsi="仿宋" w:eastAsia="仿宋_GB2312"/>
          <w:sz w:val="32"/>
          <w:szCs w:val="32"/>
        </w:rPr>
        <w:t xml:space="preserve"> 增加52.29%，增加原因主要是</w:t>
      </w:r>
      <w:r>
        <w:rPr>
          <w:rFonts w:hint="eastAsia" w:ascii="仿宋_GB2312" w:hAnsi="仿宋" w:eastAsia="仿宋_GB2312"/>
          <w:sz w:val="32"/>
          <w:szCs w:val="32"/>
        </w:rPr>
        <w:t>本</w:t>
      </w:r>
      <w:r>
        <w:rPr>
          <w:rFonts w:ascii="仿宋_GB2312" w:hAnsi="仿宋" w:eastAsia="仿宋_GB2312"/>
          <w:sz w:val="32"/>
          <w:szCs w:val="32"/>
        </w:rPr>
        <w:t>年度内在职人员工资正常晋升及年末目标考核奖费用增加</w:t>
      </w:r>
      <w:r>
        <w:rPr>
          <w:rFonts w:hint="eastAsia" w:ascii="仿宋_GB2312" w:hAnsi="仿宋" w:eastAsia="仿宋_GB2312"/>
          <w:sz w:val="32"/>
          <w:szCs w:val="32"/>
        </w:rPr>
        <w:t>。</w:t>
      </w:r>
      <w:r>
        <w:rPr>
          <w:rFonts w:ascii="仿宋_GB2312" w:eastAsia="仿宋_GB2312" w:cs="宋体"/>
          <w:kern w:val="0"/>
          <w:sz w:val="30"/>
          <w:szCs w:val="30"/>
        </w:rPr>
        <w:t xml:space="preserve"> </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kern w:val="0"/>
          <w:sz w:val="30"/>
          <w:szCs w:val="30"/>
        </w:rPr>
        <w:t>（二）部门财政资金支出情况</w:t>
      </w:r>
    </w:p>
    <w:p>
      <w:pPr>
        <w:widowControl/>
        <w:shd w:val="clear" w:color="auto" w:fill="FFFFFF"/>
        <w:adjustRightInd w:val="0"/>
        <w:snapToGrid w:val="0"/>
        <w:spacing w:line="540" w:lineRule="exact"/>
        <w:ind w:firstLine="600" w:firstLineChars="200"/>
        <w:jc w:val="left"/>
        <w:rPr>
          <w:rFonts w:ascii="仿宋_GB2312" w:hAnsi="仿宋_GB2312" w:eastAsia="仿宋_GB2312" w:cs="仿宋_GB2312"/>
          <w:color w:val="FF0000"/>
          <w:kern w:val="0"/>
          <w:sz w:val="30"/>
          <w:szCs w:val="30"/>
        </w:rPr>
      </w:pPr>
      <w:r>
        <w:rPr>
          <w:rFonts w:hint="eastAsia" w:ascii="仿宋_GB2312" w:hAnsi="宋体" w:eastAsia="仿宋_GB2312" w:cs="宋体"/>
          <w:kern w:val="0"/>
          <w:sz w:val="30"/>
          <w:szCs w:val="30"/>
        </w:rPr>
        <w:t>我单位2020年支出决算数为</w:t>
      </w:r>
      <w:r>
        <w:rPr>
          <w:rFonts w:ascii="仿宋_GB2312" w:hAnsi="宋体" w:eastAsia="仿宋_GB2312" w:cs="宋体"/>
          <w:kern w:val="0"/>
          <w:sz w:val="30"/>
          <w:szCs w:val="30"/>
        </w:rPr>
        <w:t>708.5</w:t>
      </w:r>
      <w:r>
        <w:rPr>
          <w:rFonts w:hint="eastAsia" w:ascii="仿宋_GB2312" w:hAnsi="宋体" w:eastAsia="仿宋_GB2312" w:cs="宋体"/>
          <w:kern w:val="0"/>
          <w:sz w:val="30"/>
          <w:szCs w:val="30"/>
        </w:rPr>
        <w:t>万元，其中：基本支出</w:t>
      </w:r>
      <w:r>
        <w:rPr>
          <w:rFonts w:ascii="仿宋_GB2312" w:hAnsi="宋体" w:eastAsia="仿宋_GB2312" w:cs="宋体"/>
          <w:kern w:val="0"/>
          <w:sz w:val="30"/>
          <w:szCs w:val="30"/>
        </w:rPr>
        <w:t>700.25</w:t>
      </w:r>
      <w:r>
        <w:rPr>
          <w:rFonts w:hint="eastAsia" w:ascii="仿宋_GB2312" w:hAnsi="宋体" w:eastAsia="仿宋_GB2312" w:cs="宋体"/>
          <w:kern w:val="0"/>
          <w:sz w:val="30"/>
          <w:szCs w:val="30"/>
        </w:rPr>
        <w:t>万元，占</w:t>
      </w:r>
      <w:r>
        <w:rPr>
          <w:rFonts w:ascii="仿宋_GB2312" w:hAnsi="宋体" w:eastAsia="仿宋_GB2312" w:cs="宋体"/>
          <w:kern w:val="0"/>
          <w:sz w:val="30"/>
          <w:szCs w:val="30"/>
        </w:rPr>
        <w:t>总支出的98.84%</w:t>
      </w:r>
      <w:r>
        <w:rPr>
          <w:rFonts w:hint="eastAsia" w:ascii="仿宋_GB2312" w:hAnsi="宋体" w:eastAsia="仿宋_GB2312" w:cs="宋体"/>
          <w:kern w:val="0"/>
          <w:sz w:val="30"/>
          <w:szCs w:val="30"/>
        </w:rPr>
        <w:t>项目支出</w:t>
      </w:r>
      <w:r>
        <w:rPr>
          <w:rFonts w:ascii="仿宋_GB2312" w:hAnsi="宋体" w:eastAsia="仿宋_GB2312" w:cs="宋体"/>
          <w:kern w:val="0"/>
          <w:sz w:val="30"/>
          <w:szCs w:val="30"/>
        </w:rPr>
        <w:t>8.25</w:t>
      </w:r>
      <w:r>
        <w:rPr>
          <w:rFonts w:hint="eastAsia" w:ascii="仿宋_GB2312" w:hAnsi="宋体" w:eastAsia="仿宋_GB2312" w:cs="宋体"/>
          <w:kern w:val="0"/>
          <w:sz w:val="30"/>
          <w:szCs w:val="30"/>
        </w:rPr>
        <w:t>万元，</w:t>
      </w:r>
      <w:r>
        <w:rPr>
          <w:rFonts w:ascii="仿宋_GB2312" w:hAnsi="宋体" w:eastAsia="仿宋_GB2312" w:cs="宋体"/>
          <w:kern w:val="0"/>
          <w:sz w:val="30"/>
          <w:szCs w:val="30"/>
        </w:rPr>
        <w:t>占总支出</w:t>
      </w:r>
      <w:r>
        <w:rPr>
          <w:rFonts w:hint="eastAsia" w:ascii="仿宋_GB2312" w:hAnsi="宋体" w:eastAsia="仿宋_GB2312" w:cs="宋体"/>
          <w:kern w:val="0"/>
          <w:sz w:val="30"/>
          <w:szCs w:val="30"/>
        </w:rPr>
        <w:t>1</w:t>
      </w:r>
      <w:r>
        <w:rPr>
          <w:rFonts w:ascii="仿宋_GB2312" w:hAnsi="宋体" w:eastAsia="仿宋_GB2312" w:cs="宋体"/>
          <w:kern w:val="0"/>
          <w:sz w:val="30"/>
          <w:szCs w:val="30"/>
        </w:rPr>
        <w:t>.16%。</w:t>
      </w:r>
      <w:r>
        <w:rPr>
          <w:rFonts w:hint="eastAsia" w:ascii="仿宋_GB2312" w:hAnsi="宋体" w:eastAsia="仿宋_GB2312" w:cs="宋体"/>
          <w:kern w:val="0"/>
          <w:sz w:val="30"/>
          <w:szCs w:val="30"/>
        </w:rPr>
        <w:t>；</w:t>
      </w:r>
      <w:r>
        <w:rPr>
          <w:rFonts w:ascii="仿宋_GB2312" w:hAnsi="仿宋_GB2312" w:eastAsia="仿宋_GB2312" w:cs="仿宋_GB2312"/>
          <w:color w:val="FF0000"/>
          <w:kern w:val="0"/>
          <w:sz w:val="30"/>
          <w:szCs w:val="30"/>
        </w:rPr>
        <w:t xml:space="preserve"> </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Pr>
          <w:rFonts w:hint="eastAsia" w:ascii="仿宋_GB2312" w:hAnsi="宋体" w:eastAsia="仿宋_GB2312" w:cs="宋体"/>
          <w:b/>
          <w:bCs/>
          <w:kern w:val="0"/>
          <w:sz w:val="30"/>
          <w:szCs w:val="30"/>
        </w:rPr>
        <w:t>三、财政部门支出管理情况</w:t>
      </w:r>
    </w:p>
    <w:p>
      <w:pPr>
        <w:widowControl/>
        <w:shd w:val="clear" w:color="auto" w:fill="FFFFFF"/>
        <w:adjustRightInd w:val="0"/>
        <w:snapToGrid w:val="0"/>
        <w:spacing w:before="100" w:beforeAutospacing="1" w:after="100" w:afterAutospacing="1" w:line="540" w:lineRule="exact"/>
        <w:ind w:firstLine="600" w:firstLineChars="200"/>
        <w:jc w:val="left"/>
        <w:outlineLvl w:val="0"/>
        <w:rPr>
          <w:rFonts w:ascii="仿宋_GB2312" w:eastAsia="仿宋_GB2312" w:cs="宋体"/>
          <w:sz w:val="30"/>
          <w:szCs w:val="30"/>
        </w:rPr>
      </w:pPr>
      <w:r>
        <w:rPr>
          <w:rFonts w:hint="eastAsia" w:ascii="仿宋_GB2312" w:hAnsi="宋体" w:eastAsia="仿宋_GB2312" w:cs="宋体"/>
          <w:sz w:val="30"/>
          <w:szCs w:val="30"/>
        </w:rPr>
        <w:t>（一）预决算编制情况</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我单位严格按照财政部门的要求和实现编制预决算、填报绩效目标和专项项目进度表；2020年收入预算为</w:t>
      </w:r>
      <w:r>
        <w:rPr>
          <w:rFonts w:ascii="仿宋_GB2312" w:hAnsi="宋体" w:eastAsia="仿宋_GB2312" w:cs="宋体"/>
          <w:kern w:val="0"/>
          <w:sz w:val="30"/>
          <w:szCs w:val="30"/>
        </w:rPr>
        <w:t>460.65</w:t>
      </w:r>
      <w:r>
        <w:rPr>
          <w:rFonts w:hint="eastAsia" w:ascii="仿宋_GB2312" w:hAnsi="宋体" w:eastAsia="仿宋_GB2312" w:cs="宋体"/>
          <w:sz w:val="30"/>
          <w:szCs w:val="30"/>
        </w:rPr>
        <w:t>万元，全部为公共财政预算收入；支出预算</w:t>
      </w:r>
      <w:r>
        <w:rPr>
          <w:rFonts w:ascii="仿宋_GB2312" w:hAnsi="宋体" w:eastAsia="仿宋_GB2312" w:cs="宋体"/>
          <w:kern w:val="0"/>
          <w:sz w:val="30"/>
          <w:szCs w:val="30"/>
        </w:rPr>
        <w:t>460.65</w:t>
      </w:r>
      <w:r>
        <w:rPr>
          <w:rFonts w:hint="eastAsia" w:ascii="仿宋_GB2312" w:hAnsi="宋体" w:eastAsia="仿宋_GB2312" w:cs="宋体"/>
          <w:sz w:val="30"/>
          <w:szCs w:val="30"/>
        </w:rPr>
        <w:t>万元，其中基本支出预算</w:t>
      </w:r>
      <w:r>
        <w:rPr>
          <w:rFonts w:ascii="仿宋_GB2312" w:hAnsi="宋体" w:eastAsia="仿宋_GB2312" w:cs="宋体"/>
          <w:kern w:val="0"/>
          <w:sz w:val="30"/>
          <w:szCs w:val="30"/>
        </w:rPr>
        <w:t>460.65</w:t>
      </w:r>
      <w:r>
        <w:rPr>
          <w:rFonts w:hint="eastAsia" w:ascii="仿宋_GB2312" w:hAnsi="宋体" w:eastAsia="仿宋_GB2312" w:cs="宋体"/>
          <w:sz w:val="30"/>
          <w:szCs w:val="30"/>
        </w:rPr>
        <w:t>万元，项目预支出预算0万元。决算收入为</w:t>
      </w:r>
      <w:r>
        <w:rPr>
          <w:rFonts w:ascii="仿宋_GB2312" w:hAnsi="宋体" w:eastAsia="仿宋_GB2312" w:cs="宋体"/>
          <w:sz w:val="30"/>
          <w:szCs w:val="30"/>
        </w:rPr>
        <w:t>701.54</w:t>
      </w:r>
      <w:r>
        <w:rPr>
          <w:rFonts w:hint="eastAsia" w:ascii="仿宋_GB2312" w:hAnsi="宋体" w:eastAsia="仿宋_GB2312" w:cs="宋体"/>
          <w:sz w:val="30"/>
          <w:szCs w:val="30"/>
        </w:rPr>
        <w:t>万元，决算支出为</w:t>
      </w:r>
      <w:r>
        <w:rPr>
          <w:rFonts w:ascii="仿宋_GB2312" w:hAnsi="宋体" w:eastAsia="仿宋_GB2312" w:cs="宋体"/>
          <w:sz w:val="30"/>
          <w:szCs w:val="30"/>
        </w:rPr>
        <w:t>708.5</w:t>
      </w:r>
      <w:r>
        <w:rPr>
          <w:rFonts w:hint="eastAsia" w:ascii="仿宋_GB2312" w:hAnsi="宋体" w:eastAsia="仿宋_GB2312" w:cs="宋体"/>
          <w:sz w:val="30"/>
          <w:szCs w:val="30"/>
        </w:rPr>
        <w:t>万元，其中基本支出</w:t>
      </w:r>
      <w:r>
        <w:rPr>
          <w:rFonts w:ascii="仿宋_GB2312" w:hAnsi="宋体" w:eastAsia="仿宋_GB2312" w:cs="宋体"/>
          <w:sz w:val="30"/>
          <w:szCs w:val="30"/>
        </w:rPr>
        <w:t>700.25</w:t>
      </w:r>
      <w:r>
        <w:rPr>
          <w:rFonts w:hint="eastAsia" w:ascii="仿宋_GB2312" w:hAnsi="宋体" w:eastAsia="仿宋_GB2312" w:cs="宋体"/>
          <w:sz w:val="30"/>
          <w:szCs w:val="30"/>
        </w:rPr>
        <w:t>万元，项目支出</w:t>
      </w:r>
      <w:r>
        <w:rPr>
          <w:rFonts w:ascii="仿宋_GB2312" w:hAnsi="宋体" w:eastAsia="仿宋_GB2312" w:cs="宋体"/>
          <w:sz w:val="30"/>
          <w:szCs w:val="30"/>
        </w:rPr>
        <w:t>8.25</w:t>
      </w:r>
      <w:r>
        <w:rPr>
          <w:rFonts w:hint="eastAsia" w:ascii="仿宋_GB2312" w:hAnsi="宋体" w:eastAsia="仿宋_GB2312" w:cs="宋体"/>
          <w:sz w:val="30"/>
          <w:szCs w:val="30"/>
        </w:rPr>
        <w:t>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宋体" w:eastAsia="仿宋_GB2312" w:cs="宋体"/>
          <w:sz w:val="30"/>
          <w:szCs w:val="30"/>
        </w:rPr>
      </w:pPr>
      <w:r>
        <w:rPr>
          <w:rFonts w:hint="eastAsia" w:ascii="仿宋_GB2312" w:hAnsi="宋体" w:eastAsia="仿宋_GB2312" w:cs="宋体"/>
          <w:sz w:val="30"/>
          <w:szCs w:val="30"/>
        </w:rPr>
        <w:t>2020年度年初结转结余</w:t>
      </w:r>
      <w:r>
        <w:rPr>
          <w:rFonts w:ascii="仿宋_GB2312" w:hAnsi="宋体" w:eastAsia="仿宋_GB2312" w:cs="宋体"/>
          <w:sz w:val="30"/>
          <w:szCs w:val="30"/>
        </w:rPr>
        <w:t>5.99</w:t>
      </w:r>
      <w:r>
        <w:rPr>
          <w:rFonts w:hint="eastAsia" w:ascii="仿宋_GB2312" w:hAnsi="宋体" w:eastAsia="仿宋_GB2312" w:cs="宋体"/>
          <w:sz w:val="30"/>
          <w:szCs w:val="30"/>
        </w:rPr>
        <w:t>万元，其中基本支出结转结余</w:t>
      </w:r>
      <w:r>
        <w:rPr>
          <w:rFonts w:ascii="仿宋_GB2312" w:hAnsi="宋体" w:eastAsia="仿宋_GB2312" w:cs="宋体"/>
          <w:sz w:val="30"/>
          <w:szCs w:val="30"/>
        </w:rPr>
        <w:t>5.99</w:t>
      </w:r>
      <w:r>
        <w:rPr>
          <w:rFonts w:hint="eastAsia" w:ascii="仿宋_GB2312" w:hAnsi="宋体" w:eastAsia="仿宋_GB2312" w:cs="宋体"/>
          <w:sz w:val="30"/>
          <w:szCs w:val="30"/>
        </w:rPr>
        <w:t>万元，项目支出结转结余0万元；财政收回以前年度剩余结转0万元。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hAnsi="宋体" w:eastAsia="仿宋_GB2312" w:cs="宋体"/>
          <w:sz w:val="30"/>
          <w:szCs w:val="30"/>
        </w:rPr>
      </w:pPr>
      <w:r>
        <w:rPr>
          <w:rFonts w:hint="eastAsia" w:ascii="仿宋_GB2312" w:hAnsi="宋体" w:eastAsia="仿宋_GB2312" w:cs="宋体"/>
          <w:sz w:val="30"/>
          <w:szCs w:val="30"/>
        </w:rPr>
        <w:t>2020年年末结转结余</w:t>
      </w:r>
      <w:r>
        <w:rPr>
          <w:rFonts w:ascii="仿宋_GB2312" w:hAnsi="宋体" w:eastAsia="仿宋_GB2312" w:cs="宋体"/>
          <w:sz w:val="30"/>
          <w:szCs w:val="30"/>
        </w:rPr>
        <w:t>4.24</w:t>
      </w:r>
      <w:r>
        <w:rPr>
          <w:rFonts w:hint="eastAsia" w:ascii="仿宋_GB2312" w:hAnsi="宋体" w:eastAsia="仿宋_GB2312" w:cs="宋体"/>
          <w:sz w:val="30"/>
          <w:szCs w:val="30"/>
        </w:rPr>
        <w:t>万元，其中:基本支出结转结余</w:t>
      </w:r>
      <w:r>
        <w:rPr>
          <w:rFonts w:ascii="仿宋_GB2312" w:hAnsi="宋体" w:eastAsia="仿宋_GB2312" w:cs="宋体"/>
          <w:sz w:val="30"/>
          <w:szCs w:val="30"/>
        </w:rPr>
        <w:t>4.24</w:t>
      </w:r>
      <w:r>
        <w:rPr>
          <w:rFonts w:hint="eastAsia" w:ascii="仿宋_GB2312" w:hAnsi="宋体" w:eastAsia="仿宋_GB2312" w:cs="宋体"/>
          <w:sz w:val="30"/>
          <w:szCs w:val="30"/>
        </w:rPr>
        <w:t>万元，项目支出结转结余为0万元。</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（二）执行管理情况</w:t>
      </w:r>
    </w:p>
    <w:p>
      <w:pPr>
        <w:snapToGrid w:val="0"/>
        <w:spacing w:line="588" w:lineRule="exact"/>
        <w:ind w:firstLine="750" w:firstLineChars="250"/>
        <w:rPr>
          <w:rFonts w:ascii="仿宋_GB2312" w:hAnsi="仿宋" w:eastAsia="仿宋_GB2312"/>
          <w:color w:val="7030A0"/>
          <w:sz w:val="30"/>
          <w:szCs w:val="30"/>
        </w:rPr>
      </w:pPr>
      <w:r>
        <w:rPr>
          <w:rFonts w:hint="eastAsia" w:ascii="仿宋_GB2312" w:hAnsi="宋体" w:eastAsia="仿宋_GB2312" w:cs="宋体"/>
          <w:sz w:val="30"/>
          <w:szCs w:val="30"/>
        </w:rPr>
        <w:t>我单位严格按照上报的资金计划完成资金拨付，根据预算合理控制支出数额及支出进度，临时事项，按规定程序报上级部门批准或是完成预算调整程序后执行。除临时任务和不可抗力原因外，我单位基本支出部分按月均匀执行，项目支出部分按所报项目进度及时执行。</w:t>
      </w:r>
      <w:r>
        <w:rPr>
          <w:rFonts w:hint="eastAsia" w:ascii="仿宋_GB2312" w:hAnsi="仿宋" w:eastAsia="仿宋_GB2312"/>
          <w:sz w:val="30"/>
          <w:szCs w:val="30"/>
        </w:rPr>
        <w:t>全年支出执行良好。</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（三）支出绩效情况</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1.部门支出绩效</w:t>
      </w:r>
    </w:p>
    <w:p>
      <w:pPr>
        <w:widowControl/>
        <w:shd w:val="clear" w:color="auto" w:fill="FFFFFF"/>
        <w:adjustRightInd w:val="0"/>
        <w:snapToGrid w:val="0"/>
        <w:spacing w:before="100" w:beforeAutospacing="1" w:after="100" w:afterAutospacing="1" w:line="540" w:lineRule="exact"/>
        <w:ind w:firstLine="750" w:firstLineChars="250"/>
        <w:jc w:val="left"/>
        <w:outlineLvl w:val="0"/>
        <w:rPr>
          <w:rFonts w:ascii="仿宋_GB2312" w:eastAsia="仿宋_GB2312" w:cs="宋体"/>
          <w:sz w:val="30"/>
          <w:szCs w:val="30"/>
        </w:rPr>
      </w:pPr>
      <w:r>
        <w:rPr>
          <w:rFonts w:hint="eastAsia" w:ascii="仿宋_GB2312" w:hAnsi="宋体" w:eastAsia="仿宋_GB2312" w:cs="宋体"/>
          <w:sz w:val="30"/>
          <w:szCs w:val="30"/>
        </w:rPr>
        <w:t>（1）行政运行保障</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宋体" w:eastAsia="仿宋_GB2312" w:cs="宋体"/>
          <w:kern w:val="0"/>
          <w:sz w:val="30"/>
          <w:szCs w:val="30"/>
        </w:rPr>
        <w:t>我单位基本支出的范围包括人员经费和日常公用经费，2020年基本支出决算数</w:t>
      </w:r>
      <w:r>
        <w:rPr>
          <w:rFonts w:ascii="仿宋_GB2312" w:hAnsi="宋体" w:eastAsia="仿宋_GB2312" w:cs="宋体"/>
          <w:kern w:val="0"/>
          <w:sz w:val="30"/>
          <w:szCs w:val="30"/>
        </w:rPr>
        <w:t>708.5</w:t>
      </w:r>
      <w:r>
        <w:rPr>
          <w:rFonts w:hint="eastAsia" w:ascii="仿宋_GB2312" w:hAnsi="宋体" w:eastAsia="仿宋_GB2312" w:cs="宋体"/>
          <w:kern w:val="0"/>
          <w:sz w:val="30"/>
          <w:szCs w:val="30"/>
        </w:rPr>
        <w:t>万元，其中:人员经费</w:t>
      </w:r>
      <w:r>
        <w:rPr>
          <w:rFonts w:ascii="仿宋_GB2312" w:hAnsi="宋体" w:eastAsia="仿宋_GB2312" w:cs="宋体"/>
          <w:kern w:val="0"/>
          <w:sz w:val="30"/>
          <w:szCs w:val="30"/>
        </w:rPr>
        <w:t>666.94</w:t>
      </w:r>
      <w:r>
        <w:rPr>
          <w:rFonts w:hint="eastAsia" w:ascii="仿宋_GB2312" w:hAnsi="宋体" w:eastAsia="仿宋_GB2312" w:cs="宋体"/>
          <w:kern w:val="0"/>
          <w:sz w:val="30"/>
          <w:szCs w:val="30"/>
        </w:rPr>
        <w:t>万元，日常公用经费</w:t>
      </w:r>
      <w:r>
        <w:rPr>
          <w:rFonts w:ascii="仿宋_GB2312" w:hAnsi="宋体" w:eastAsia="仿宋_GB2312" w:cs="宋体"/>
          <w:kern w:val="0"/>
          <w:sz w:val="30"/>
          <w:szCs w:val="30"/>
        </w:rPr>
        <w:t>24.54</w:t>
      </w:r>
      <w:r>
        <w:rPr>
          <w:rFonts w:hint="eastAsia" w:ascii="仿宋_GB2312" w:hAnsi="宋体" w:eastAsia="仿宋_GB2312" w:cs="宋体"/>
          <w:kern w:val="0"/>
          <w:sz w:val="30"/>
          <w:szCs w:val="30"/>
        </w:rPr>
        <w:t>万元，</w:t>
      </w:r>
      <w:r>
        <w:rPr>
          <w:rFonts w:ascii="仿宋_GB2312" w:hAnsi="宋体" w:eastAsia="仿宋_GB2312" w:cs="宋体"/>
          <w:kern w:val="0"/>
          <w:sz w:val="30"/>
          <w:szCs w:val="30"/>
        </w:rPr>
        <w:t>项目支出8.25</w:t>
      </w:r>
      <w:r>
        <w:rPr>
          <w:rFonts w:hint="eastAsia" w:ascii="仿宋_GB2312" w:hAnsi="宋体" w:eastAsia="仿宋_GB2312" w:cs="宋体"/>
          <w:kern w:val="0"/>
          <w:sz w:val="30"/>
          <w:szCs w:val="30"/>
        </w:rPr>
        <w:t>万</w:t>
      </w:r>
      <w:r>
        <w:rPr>
          <w:rFonts w:ascii="仿宋_GB2312" w:hAnsi="宋体" w:eastAsia="仿宋_GB2312" w:cs="宋体"/>
          <w:kern w:val="0"/>
          <w:sz w:val="30"/>
          <w:szCs w:val="30"/>
        </w:rPr>
        <w:t>元</w:t>
      </w:r>
      <w:r>
        <w:rPr>
          <w:rFonts w:hint="eastAsia" w:ascii="仿宋_GB2312" w:hAnsi="宋体" w:eastAsia="仿宋_GB2312" w:cs="宋体"/>
          <w:kern w:val="0"/>
          <w:sz w:val="30"/>
          <w:szCs w:val="30"/>
        </w:rPr>
        <w:t>，资本性支出8.77万元</w:t>
      </w:r>
      <w:r>
        <w:rPr>
          <w:rFonts w:ascii="仿宋_GB2312" w:hAnsi="宋体" w:eastAsia="仿宋_GB2312" w:cs="宋体"/>
          <w:kern w:val="0"/>
          <w:sz w:val="30"/>
          <w:szCs w:val="30"/>
        </w:rPr>
        <w:t>。</w:t>
      </w:r>
      <w:r>
        <w:rPr>
          <w:rFonts w:hint="eastAsia" w:ascii="仿宋_GB2312" w:hAnsi="仿宋_GB2312" w:eastAsia="仿宋_GB2312" w:cs="仿宋_GB2312"/>
          <w:kern w:val="0"/>
          <w:sz w:val="30"/>
          <w:szCs w:val="30"/>
        </w:rPr>
        <w:t>基本支出能够保障教育事务等职责的履行和学校运转。</w:t>
      </w:r>
    </w:p>
    <w:p>
      <w:pPr>
        <w:widowControl/>
        <w:spacing w:line="48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（2）单位厉行节约。</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2020年因公出国（境）费用、会议费、车辆购置及运行费用和公务接待经费等控制较好。2020年我单位无三公经费，会议费、培训费总额</w:t>
      </w:r>
      <w:r>
        <w:rPr>
          <w:rFonts w:ascii="仿宋_GB2312" w:hAnsi="仿宋_GB2312" w:eastAsia="仿宋_GB2312" w:cs="仿宋_GB2312"/>
          <w:kern w:val="0"/>
          <w:sz w:val="30"/>
          <w:szCs w:val="30"/>
        </w:rPr>
        <w:t>0.904</w:t>
      </w:r>
      <w:r>
        <w:rPr>
          <w:rFonts w:hint="eastAsia" w:ascii="仿宋_GB2312" w:hAnsi="仿宋_GB2312" w:eastAsia="仿宋_GB2312" w:cs="仿宋_GB2312"/>
          <w:kern w:val="0"/>
          <w:sz w:val="30"/>
          <w:szCs w:val="30"/>
        </w:rPr>
        <w:t>万元，较2019年（总额</w:t>
      </w:r>
      <w:r>
        <w:rPr>
          <w:rFonts w:ascii="仿宋_GB2312" w:hAnsi="仿宋_GB2312" w:eastAsia="仿宋_GB2312" w:cs="仿宋_GB2312"/>
          <w:kern w:val="0"/>
          <w:sz w:val="30"/>
          <w:szCs w:val="30"/>
        </w:rPr>
        <w:t>0.935</w:t>
      </w:r>
      <w:r>
        <w:rPr>
          <w:rFonts w:hint="eastAsia" w:ascii="仿宋_GB2312" w:hAnsi="仿宋_GB2312" w:eastAsia="仿宋_GB2312" w:cs="仿宋_GB2312"/>
          <w:kern w:val="0"/>
          <w:sz w:val="30"/>
          <w:szCs w:val="30"/>
        </w:rPr>
        <w:t>万元）减少</w:t>
      </w:r>
      <w:r>
        <w:rPr>
          <w:rFonts w:ascii="仿宋_GB2312" w:hAnsi="仿宋_GB2312" w:eastAsia="仿宋_GB2312" w:cs="仿宋_GB2312"/>
          <w:kern w:val="0"/>
          <w:sz w:val="30"/>
          <w:szCs w:val="30"/>
        </w:rPr>
        <w:t>0.031</w:t>
      </w:r>
      <w:r>
        <w:rPr>
          <w:rFonts w:hint="eastAsia" w:ascii="仿宋_GB2312" w:hAnsi="仿宋_GB2312" w:eastAsia="仿宋_GB2312" w:cs="仿宋_GB2312"/>
          <w:kern w:val="0"/>
          <w:sz w:val="30"/>
          <w:szCs w:val="30"/>
        </w:rPr>
        <w:t>万元。2020年各项费用与2019年对比情况如下：因公出国出境费用无，与2019年相同；公务车运行维护费0万元，</w:t>
      </w:r>
      <w:r>
        <w:rPr>
          <w:rFonts w:hint="eastAsia" w:ascii="仿宋_GB2312" w:hAnsi="仿宋_GB2312" w:eastAsia="仿宋_GB2312" w:cs="仿宋_GB2312"/>
          <w:bCs/>
          <w:kern w:val="0"/>
          <w:sz w:val="30"/>
          <w:szCs w:val="30"/>
        </w:rPr>
        <w:t>与2019年相同</w:t>
      </w:r>
      <w:r>
        <w:rPr>
          <w:rFonts w:hint="eastAsia" w:ascii="仿宋_GB2312" w:hAnsi="仿宋_GB2312" w:eastAsia="仿宋_GB2312" w:cs="仿宋_GB2312"/>
          <w:kern w:val="0"/>
          <w:sz w:val="30"/>
          <w:szCs w:val="30"/>
        </w:rPr>
        <w:t>；公务接待费0万元，与2019年相同;会议费</w:t>
      </w:r>
      <w:r>
        <w:rPr>
          <w:rFonts w:ascii="仿宋_GB2312" w:hAnsi="仿宋_GB2312" w:eastAsia="仿宋_GB2312" w:cs="仿宋_GB2312"/>
          <w:kern w:val="0"/>
          <w:sz w:val="30"/>
          <w:szCs w:val="30"/>
        </w:rPr>
        <w:t>0.86</w:t>
      </w:r>
      <w:r>
        <w:rPr>
          <w:rFonts w:hint="eastAsia" w:ascii="仿宋_GB2312" w:hAnsi="仿宋_GB2312" w:eastAsia="仿宋_GB2312" w:cs="仿宋_GB2312"/>
          <w:kern w:val="0"/>
          <w:sz w:val="30"/>
          <w:szCs w:val="30"/>
        </w:rPr>
        <w:t>万元，因财务制度改革原因，较2019年</w:t>
      </w:r>
      <w:r>
        <w:rPr>
          <w:rFonts w:ascii="仿宋_GB2312" w:hAnsi="仿宋_GB2312" w:eastAsia="仿宋_GB2312" w:cs="仿宋_GB2312"/>
          <w:kern w:val="0"/>
          <w:sz w:val="30"/>
          <w:szCs w:val="30"/>
        </w:rPr>
        <w:t>0.85</w:t>
      </w:r>
      <w:r>
        <w:rPr>
          <w:rFonts w:hint="eastAsia" w:ascii="仿宋_GB2312" w:hAnsi="仿宋_GB2312" w:eastAsia="仿宋_GB2312" w:cs="仿宋_GB2312"/>
          <w:kern w:val="0"/>
          <w:sz w:val="30"/>
          <w:szCs w:val="30"/>
        </w:rPr>
        <w:t>万元增加了</w:t>
      </w:r>
      <w:r>
        <w:rPr>
          <w:rFonts w:ascii="仿宋_GB2312" w:hAnsi="仿宋_GB2312" w:eastAsia="仿宋_GB2312" w:cs="仿宋_GB2312"/>
          <w:kern w:val="0"/>
          <w:sz w:val="30"/>
          <w:szCs w:val="30"/>
        </w:rPr>
        <w:t>0.01</w:t>
      </w:r>
      <w:r>
        <w:rPr>
          <w:rFonts w:hint="eastAsia" w:ascii="仿宋_GB2312" w:hAnsi="仿宋_GB2312" w:eastAsia="仿宋_GB2312" w:cs="仿宋_GB2312"/>
          <w:kern w:val="0"/>
          <w:sz w:val="30"/>
          <w:szCs w:val="30"/>
        </w:rPr>
        <w:t>万元，提高</w:t>
      </w:r>
      <w:r>
        <w:rPr>
          <w:rFonts w:ascii="仿宋_GB2312" w:hAnsi="仿宋_GB2312" w:eastAsia="仿宋_GB2312" w:cs="仿宋_GB2312"/>
          <w:kern w:val="0"/>
          <w:sz w:val="30"/>
          <w:szCs w:val="30"/>
        </w:rPr>
        <w:t>1.17</w:t>
      </w:r>
      <w:r>
        <w:rPr>
          <w:rFonts w:hint="eastAsia" w:ascii="仿宋_GB2312" w:hAnsi="仿宋_GB2312" w:eastAsia="仿宋_GB2312" w:cs="仿宋_GB2312"/>
          <w:kern w:val="0"/>
          <w:sz w:val="30"/>
          <w:szCs w:val="30"/>
        </w:rPr>
        <w:t>%。培训费</w:t>
      </w:r>
      <w:r>
        <w:rPr>
          <w:rFonts w:ascii="仿宋_GB2312" w:hAnsi="仿宋_GB2312" w:eastAsia="仿宋_GB2312" w:cs="仿宋_GB2312"/>
          <w:kern w:val="0"/>
          <w:sz w:val="30"/>
          <w:szCs w:val="30"/>
        </w:rPr>
        <w:t>0.042</w:t>
      </w:r>
      <w:r>
        <w:rPr>
          <w:rFonts w:hint="eastAsia" w:ascii="仿宋_GB2312" w:hAnsi="仿宋_GB2312" w:eastAsia="仿宋_GB2312" w:cs="仿宋_GB2312"/>
          <w:kern w:val="0"/>
          <w:sz w:val="30"/>
          <w:szCs w:val="30"/>
        </w:rPr>
        <w:t>万元，较2019年的</w:t>
      </w:r>
      <w:r>
        <w:rPr>
          <w:rFonts w:ascii="仿宋_GB2312" w:hAnsi="仿宋_GB2312" w:eastAsia="仿宋_GB2312" w:cs="仿宋_GB2312"/>
          <w:kern w:val="0"/>
          <w:sz w:val="30"/>
          <w:szCs w:val="30"/>
        </w:rPr>
        <w:t>0.085</w:t>
      </w:r>
      <w:r>
        <w:rPr>
          <w:rFonts w:hint="eastAsia" w:ascii="仿宋_GB2312" w:hAnsi="仿宋_GB2312" w:eastAsia="仿宋_GB2312" w:cs="仿宋_GB2312"/>
          <w:kern w:val="0"/>
          <w:sz w:val="30"/>
          <w:szCs w:val="30"/>
        </w:rPr>
        <w:t>万元减少了</w:t>
      </w:r>
      <w:r>
        <w:rPr>
          <w:rFonts w:ascii="仿宋_GB2312" w:hAnsi="仿宋_GB2312" w:eastAsia="仿宋_GB2312" w:cs="仿宋_GB2312"/>
          <w:kern w:val="0"/>
          <w:sz w:val="30"/>
          <w:szCs w:val="30"/>
        </w:rPr>
        <w:t>0.043</w:t>
      </w:r>
      <w:r>
        <w:rPr>
          <w:rFonts w:hint="eastAsia" w:ascii="仿宋_GB2312" w:hAnsi="仿宋_GB2312" w:eastAsia="仿宋_GB2312" w:cs="仿宋_GB2312"/>
          <w:kern w:val="0"/>
          <w:sz w:val="30"/>
          <w:szCs w:val="30"/>
        </w:rPr>
        <w:t>万元，</w:t>
      </w:r>
      <w:r>
        <w:rPr>
          <w:rFonts w:ascii="仿宋_GB2312" w:hAnsi="仿宋_GB2312" w:eastAsia="仿宋_GB2312" w:cs="仿宋_GB2312"/>
          <w:kern w:val="0"/>
          <w:sz w:val="30"/>
          <w:szCs w:val="30"/>
        </w:rPr>
        <w:t>减少了50.58%。</w:t>
      </w:r>
    </w:p>
    <w:p>
      <w:pPr>
        <w:widowControl/>
        <w:spacing w:line="480" w:lineRule="auto"/>
        <w:ind w:firstLine="600" w:firstLineChars="200"/>
        <w:rPr>
          <w:rFonts w:ascii="仿宋_GB2312" w:eastAsia="仿宋_GB2312" w:cs="宋体"/>
          <w:kern w:val="0"/>
          <w:sz w:val="30"/>
          <w:szCs w:val="30"/>
        </w:rPr>
      </w:pPr>
      <w:r>
        <w:rPr>
          <w:rFonts w:hint="eastAsia" w:ascii="仿宋_GB2312" w:hAnsi="宋体" w:eastAsia="仿宋_GB2312" w:cs="宋体"/>
          <w:kern w:val="0"/>
          <w:sz w:val="30"/>
          <w:szCs w:val="30"/>
        </w:rPr>
        <w:t>（3）单位节能降耗</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2020年总能耗</w:t>
      </w:r>
      <w:r>
        <w:rPr>
          <w:rFonts w:ascii="仿宋_GB2312" w:hAnsi="仿宋_GB2312" w:eastAsia="仿宋_GB2312" w:cs="仿宋_GB2312"/>
          <w:kern w:val="0"/>
          <w:sz w:val="30"/>
          <w:szCs w:val="30"/>
        </w:rPr>
        <w:t>2.43</w:t>
      </w:r>
      <w:r>
        <w:rPr>
          <w:rFonts w:hint="eastAsia" w:ascii="仿宋_GB2312" w:hAnsi="仿宋_GB2312" w:eastAsia="仿宋_GB2312" w:cs="仿宋_GB2312"/>
          <w:kern w:val="0"/>
          <w:sz w:val="30"/>
          <w:szCs w:val="30"/>
        </w:rPr>
        <w:t>万元，较2019年(</w:t>
      </w:r>
      <w:r>
        <w:rPr>
          <w:rFonts w:ascii="仿宋_GB2312" w:hAnsi="仿宋_GB2312" w:eastAsia="仿宋_GB2312" w:cs="仿宋_GB2312"/>
          <w:kern w:val="0"/>
          <w:sz w:val="30"/>
          <w:szCs w:val="30"/>
        </w:rPr>
        <w:t>2.16</w:t>
      </w:r>
      <w:r>
        <w:rPr>
          <w:rFonts w:hint="eastAsia" w:ascii="仿宋_GB2312" w:hAnsi="仿宋_GB2312" w:eastAsia="仿宋_GB2312" w:cs="仿宋_GB2312"/>
          <w:kern w:val="0"/>
          <w:sz w:val="30"/>
          <w:szCs w:val="30"/>
        </w:rPr>
        <w:t>万</w:t>
      </w:r>
      <w:r>
        <w:rPr>
          <w:rFonts w:ascii="仿宋_GB2312" w:hAnsi="仿宋_GB2312" w:eastAsia="仿宋_GB2312" w:cs="仿宋_GB2312"/>
          <w:kern w:val="0"/>
          <w:sz w:val="30"/>
          <w:szCs w:val="30"/>
        </w:rPr>
        <w:t>元</w:t>
      </w:r>
      <w:r>
        <w:rPr>
          <w:rFonts w:hint="eastAsia" w:ascii="仿宋_GB2312" w:hAnsi="仿宋_GB2312" w:eastAsia="仿宋_GB2312" w:cs="仿宋_GB2312"/>
          <w:kern w:val="0"/>
          <w:sz w:val="30"/>
          <w:szCs w:val="30"/>
        </w:rPr>
        <w:t>)增加</w:t>
      </w:r>
      <w:r>
        <w:rPr>
          <w:rFonts w:ascii="仿宋_GB2312" w:hAnsi="仿宋_GB2312" w:eastAsia="仿宋_GB2312" w:cs="仿宋_GB2312"/>
          <w:kern w:val="0"/>
          <w:sz w:val="30"/>
          <w:szCs w:val="30"/>
        </w:rPr>
        <w:t>0.27</w:t>
      </w:r>
      <w:r>
        <w:rPr>
          <w:rFonts w:hint="eastAsia" w:ascii="仿宋_GB2312" w:hAnsi="仿宋_GB2312" w:eastAsia="仿宋_GB2312" w:cs="仿宋_GB2312"/>
          <w:kern w:val="0"/>
          <w:sz w:val="30"/>
          <w:szCs w:val="30"/>
        </w:rPr>
        <w:t>万元，节能降耗情况总体情况良好。2020年能耗情况与2019年对比情况如下：水费</w:t>
      </w:r>
      <w:r>
        <w:rPr>
          <w:rFonts w:ascii="仿宋_GB2312" w:hAnsi="仿宋_GB2312" w:eastAsia="仿宋_GB2312" w:cs="仿宋_GB2312"/>
          <w:kern w:val="0"/>
          <w:sz w:val="30"/>
          <w:szCs w:val="30"/>
        </w:rPr>
        <w:t>1.14</w:t>
      </w:r>
      <w:r>
        <w:rPr>
          <w:rFonts w:hint="eastAsia" w:ascii="仿宋_GB2312" w:hAnsi="仿宋_GB2312" w:eastAsia="仿宋_GB2312" w:cs="仿宋_GB2312"/>
          <w:kern w:val="0"/>
          <w:sz w:val="30"/>
          <w:szCs w:val="30"/>
        </w:rPr>
        <w:t>万元，较2019年（</w:t>
      </w:r>
      <w:r>
        <w:rPr>
          <w:rFonts w:ascii="仿宋_GB2312" w:hAnsi="仿宋_GB2312" w:eastAsia="仿宋_GB2312" w:cs="仿宋_GB2312"/>
          <w:kern w:val="0"/>
          <w:sz w:val="30"/>
          <w:szCs w:val="30"/>
        </w:rPr>
        <w:t>0.79</w:t>
      </w:r>
      <w:r>
        <w:rPr>
          <w:rFonts w:hint="eastAsia" w:ascii="仿宋_GB2312" w:hAnsi="仿宋_GB2312" w:eastAsia="仿宋_GB2312" w:cs="仿宋_GB2312"/>
          <w:kern w:val="0"/>
          <w:sz w:val="30"/>
          <w:szCs w:val="30"/>
        </w:rPr>
        <w:t>万元）增加</w:t>
      </w:r>
      <w:r>
        <w:rPr>
          <w:rFonts w:ascii="仿宋_GB2312" w:hAnsi="仿宋_GB2312" w:eastAsia="仿宋_GB2312" w:cs="仿宋_GB2312"/>
          <w:kern w:val="0"/>
          <w:sz w:val="30"/>
          <w:szCs w:val="30"/>
        </w:rPr>
        <w:t>0.35</w:t>
      </w:r>
      <w:r>
        <w:rPr>
          <w:rFonts w:hint="eastAsia" w:ascii="仿宋_GB2312" w:hAnsi="仿宋_GB2312" w:eastAsia="仿宋_GB2312" w:cs="仿宋_GB2312"/>
          <w:kern w:val="0"/>
          <w:sz w:val="30"/>
          <w:szCs w:val="30"/>
        </w:rPr>
        <w:t>万元；电费</w:t>
      </w:r>
      <w:r>
        <w:rPr>
          <w:rFonts w:ascii="仿宋_GB2312" w:hAnsi="仿宋_GB2312" w:eastAsia="仿宋_GB2312" w:cs="仿宋_GB2312"/>
          <w:kern w:val="0"/>
          <w:sz w:val="30"/>
          <w:szCs w:val="30"/>
        </w:rPr>
        <w:t>1.29</w:t>
      </w:r>
      <w:r>
        <w:rPr>
          <w:rFonts w:hint="eastAsia" w:ascii="仿宋_GB2312" w:hAnsi="仿宋_GB2312" w:eastAsia="仿宋_GB2312" w:cs="仿宋_GB2312"/>
          <w:kern w:val="0"/>
          <w:sz w:val="30"/>
          <w:szCs w:val="30"/>
        </w:rPr>
        <w:t>万元，较2019年（</w:t>
      </w:r>
      <w:r>
        <w:rPr>
          <w:rFonts w:ascii="仿宋_GB2312" w:hAnsi="仿宋_GB2312" w:eastAsia="仿宋_GB2312" w:cs="仿宋_GB2312"/>
          <w:kern w:val="0"/>
          <w:sz w:val="30"/>
          <w:szCs w:val="30"/>
        </w:rPr>
        <w:t>1.37</w:t>
      </w:r>
      <w:r>
        <w:rPr>
          <w:rFonts w:hint="eastAsia" w:ascii="仿宋_GB2312" w:hAnsi="仿宋_GB2312" w:eastAsia="仿宋_GB2312" w:cs="仿宋_GB2312"/>
          <w:kern w:val="0"/>
          <w:sz w:val="30"/>
          <w:szCs w:val="30"/>
        </w:rPr>
        <w:t>万</w:t>
      </w:r>
      <w:r>
        <w:rPr>
          <w:rFonts w:ascii="仿宋_GB2312" w:hAnsi="仿宋_GB2312" w:eastAsia="仿宋_GB2312" w:cs="仿宋_GB2312"/>
          <w:kern w:val="0"/>
          <w:sz w:val="30"/>
          <w:szCs w:val="30"/>
        </w:rPr>
        <w:t>元</w:t>
      </w:r>
      <w:r>
        <w:rPr>
          <w:rFonts w:hint="eastAsia" w:ascii="仿宋_GB2312" w:hAnsi="仿宋_GB2312" w:eastAsia="仿宋_GB2312" w:cs="仿宋_GB2312"/>
          <w:kern w:val="0"/>
          <w:sz w:val="30"/>
          <w:szCs w:val="30"/>
        </w:rPr>
        <w:t>）减少</w:t>
      </w:r>
      <w:r>
        <w:rPr>
          <w:rFonts w:ascii="仿宋_GB2312" w:hAnsi="仿宋_GB2312" w:eastAsia="仿宋_GB2312" w:cs="仿宋_GB2312"/>
          <w:kern w:val="0"/>
          <w:sz w:val="30"/>
          <w:szCs w:val="30"/>
        </w:rPr>
        <w:t>0.08</w:t>
      </w:r>
      <w:r>
        <w:rPr>
          <w:rFonts w:hint="eastAsia" w:ascii="仿宋_GB2312" w:hAnsi="仿宋_GB2312" w:eastAsia="仿宋_GB2312" w:cs="仿宋_GB2312"/>
          <w:kern w:val="0"/>
          <w:sz w:val="30"/>
          <w:szCs w:val="30"/>
        </w:rPr>
        <w:t>万元。</w:t>
      </w:r>
    </w:p>
    <w:p>
      <w:pPr>
        <w:widowControl/>
        <w:spacing w:line="480" w:lineRule="auto"/>
        <w:ind w:firstLine="600" w:firstLineChars="200"/>
        <w:rPr>
          <w:rFonts w:ascii="仿宋_GB2312" w:eastAsia="仿宋_GB2312" w:cs="宋体"/>
          <w:kern w:val="0"/>
          <w:sz w:val="30"/>
          <w:szCs w:val="30"/>
        </w:rPr>
      </w:pPr>
      <w:r>
        <w:rPr>
          <w:rFonts w:hint="eastAsia" w:ascii="仿宋_GB2312" w:hAnsi="宋体" w:eastAsia="仿宋_GB2312" w:cs="宋体"/>
          <w:kern w:val="0"/>
          <w:sz w:val="30"/>
          <w:szCs w:val="30"/>
        </w:rPr>
        <w:t>2.专项预算项目支出绩效</w:t>
      </w:r>
    </w:p>
    <w:p>
      <w:pPr>
        <w:widowControl/>
        <w:spacing w:line="48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（1）资金绩效分配情况</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1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①</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物业管理费（安保经费）：年拨款</w:t>
      </w:r>
      <w:r>
        <w:rPr>
          <w:rFonts w:ascii="仿宋_GB2312" w:hAnsi="仿宋_GB2312" w:eastAsia="仿宋_GB2312" w:cs="仿宋_GB2312"/>
          <w:kern w:val="0"/>
          <w:sz w:val="30"/>
          <w:szCs w:val="30"/>
        </w:rPr>
        <w:t>7.17</w:t>
      </w:r>
      <w:r>
        <w:rPr>
          <w:rFonts w:hint="eastAsia" w:ascii="仿宋_GB2312" w:hAnsi="仿宋_GB2312" w:eastAsia="仿宋_GB2312" w:cs="仿宋_GB2312"/>
          <w:kern w:val="0"/>
          <w:sz w:val="30"/>
          <w:szCs w:val="30"/>
        </w:rPr>
        <w:t>万元。支出</w:t>
      </w:r>
      <w:r>
        <w:rPr>
          <w:rFonts w:ascii="仿宋_GB2312" w:hAnsi="仿宋_GB2312" w:eastAsia="仿宋_GB2312" w:cs="仿宋_GB2312"/>
          <w:kern w:val="0"/>
          <w:sz w:val="30"/>
          <w:szCs w:val="30"/>
        </w:rPr>
        <w:t>7.17</w:t>
      </w:r>
      <w:r>
        <w:rPr>
          <w:rFonts w:hint="eastAsia" w:ascii="仿宋_GB2312" w:hAnsi="仿宋_GB2312" w:eastAsia="仿宋_GB2312" w:cs="仿宋_GB2312"/>
          <w:kern w:val="0"/>
          <w:sz w:val="30"/>
          <w:szCs w:val="30"/>
        </w:rPr>
        <w:t>万元。安保工作经费主要用于安保人员工资、安保器械、服装、社保等。</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2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②</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义务教育免作业本费：年拨款</w:t>
      </w:r>
      <w:r>
        <w:rPr>
          <w:rFonts w:ascii="仿宋_GB2312" w:hAnsi="仿宋_GB2312" w:eastAsia="仿宋_GB2312" w:cs="仿宋_GB2312"/>
          <w:kern w:val="0"/>
          <w:sz w:val="30"/>
          <w:szCs w:val="30"/>
        </w:rPr>
        <w:t>0</w:t>
      </w:r>
      <w:r>
        <w:rPr>
          <w:rFonts w:hint="eastAsia" w:ascii="仿宋_GB2312" w:hAnsi="仿宋_GB2312" w:eastAsia="仿宋_GB2312" w:cs="仿宋_GB2312"/>
          <w:kern w:val="0"/>
          <w:sz w:val="30"/>
          <w:szCs w:val="30"/>
        </w:rPr>
        <w:t>万元，支出</w:t>
      </w:r>
      <w:r>
        <w:rPr>
          <w:rFonts w:ascii="仿宋_GB2312" w:hAnsi="仿宋_GB2312" w:eastAsia="仿宋_GB2312" w:cs="仿宋_GB2312"/>
          <w:kern w:val="0"/>
          <w:sz w:val="30"/>
          <w:szCs w:val="30"/>
        </w:rPr>
        <w:t>0</w:t>
      </w:r>
      <w:r>
        <w:rPr>
          <w:rFonts w:hint="eastAsia" w:ascii="仿宋_GB2312" w:hAnsi="仿宋_GB2312" w:eastAsia="仿宋_GB2312" w:cs="仿宋_GB2312"/>
          <w:kern w:val="0"/>
          <w:sz w:val="30"/>
          <w:szCs w:val="30"/>
        </w:rPr>
        <w:t>万元，用于支付学生作业本费。</w:t>
      </w:r>
    </w:p>
    <w:p>
      <w:pPr>
        <w:widowControl/>
        <w:spacing w:line="480" w:lineRule="auto"/>
        <w:ind w:firstLine="750" w:firstLineChars="250"/>
        <w:rPr>
          <w:rFonts w:ascii="仿宋_GB2312" w:hAnsi="仿宋_GB2312" w:eastAsia="仿宋_GB2312" w:cs="仿宋_GB2312"/>
          <w:kern w:val="0"/>
          <w:sz w:val="30"/>
          <w:szCs w:val="30"/>
        </w:rPr>
      </w:pPr>
      <w:r>
        <w:rPr>
          <w:rFonts w:ascii="仿宋_GB2312" w:hAnsi="仿宋_GB2312" w:eastAsia="仿宋_GB2312" w:cs="仿宋_GB2312"/>
          <w:kern w:val="0"/>
          <w:sz w:val="30"/>
          <w:szCs w:val="30"/>
        </w:rPr>
        <w:fldChar w:fldCharType="begin"/>
      </w:r>
      <w:r>
        <w:rPr>
          <w:rFonts w:ascii="仿宋_GB2312" w:hAnsi="仿宋_GB2312" w:eastAsia="仿宋_GB2312" w:cs="仿宋_GB2312"/>
          <w:kern w:val="0"/>
          <w:sz w:val="30"/>
          <w:szCs w:val="30"/>
        </w:rPr>
        <w:instrText xml:space="preserve"> </w:instrText>
      </w:r>
      <w:r>
        <w:rPr>
          <w:rFonts w:hint="eastAsia" w:ascii="仿宋_GB2312" w:hAnsi="仿宋_GB2312" w:eastAsia="仿宋_GB2312" w:cs="仿宋_GB2312"/>
          <w:kern w:val="0"/>
          <w:sz w:val="30"/>
          <w:szCs w:val="30"/>
        </w:rPr>
        <w:instrText xml:space="preserve">= 3 \* GB3</w:instrText>
      </w:r>
      <w:r>
        <w:rPr>
          <w:rFonts w:ascii="仿宋_GB2312" w:hAnsi="仿宋_GB2312" w:eastAsia="仿宋_GB2312" w:cs="仿宋_GB2312"/>
          <w:kern w:val="0"/>
          <w:sz w:val="30"/>
          <w:szCs w:val="30"/>
        </w:rPr>
        <w:instrText xml:space="preserve"> </w:instrText>
      </w:r>
      <w:r>
        <w:rPr>
          <w:rFonts w:ascii="仿宋_GB2312" w:hAnsi="仿宋_GB2312" w:eastAsia="仿宋_GB2312" w:cs="仿宋_GB2312"/>
          <w:kern w:val="0"/>
          <w:sz w:val="30"/>
          <w:szCs w:val="30"/>
        </w:rPr>
        <w:fldChar w:fldCharType="separate"/>
      </w:r>
      <w:r>
        <w:rPr>
          <w:rFonts w:hint="eastAsia" w:ascii="仿宋_GB2312" w:hAnsi="仿宋_GB2312" w:eastAsia="仿宋_GB2312" w:cs="仿宋_GB2312"/>
          <w:kern w:val="0"/>
          <w:sz w:val="30"/>
          <w:szCs w:val="30"/>
        </w:rPr>
        <w:t>③</w:t>
      </w:r>
      <w:r>
        <w:rPr>
          <w:rFonts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骨干教师奖金：年拨款</w:t>
      </w:r>
      <w:r>
        <w:rPr>
          <w:rFonts w:ascii="仿宋_GB2312" w:hAnsi="仿宋_GB2312" w:eastAsia="仿宋_GB2312" w:cs="仿宋_GB2312"/>
          <w:kern w:val="0"/>
          <w:sz w:val="30"/>
          <w:szCs w:val="30"/>
        </w:rPr>
        <w:t>0.48</w:t>
      </w:r>
      <w:r>
        <w:rPr>
          <w:rFonts w:hint="eastAsia" w:ascii="仿宋_GB2312" w:hAnsi="仿宋_GB2312" w:eastAsia="仿宋_GB2312" w:cs="仿宋_GB2312"/>
          <w:kern w:val="0"/>
          <w:sz w:val="30"/>
          <w:szCs w:val="30"/>
        </w:rPr>
        <w:t>万元，支出</w:t>
      </w:r>
      <w:r>
        <w:rPr>
          <w:rFonts w:ascii="仿宋_GB2312" w:hAnsi="仿宋_GB2312" w:eastAsia="仿宋_GB2312" w:cs="仿宋_GB2312"/>
          <w:kern w:val="0"/>
          <w:sz w:val="30"/>
          <w:szCs w:val="30"/>
        </w:rPr>
        <w:t>0.48</w:t>
      </w:r>
      <w:r>
        <w:rPr>
          <w:rFonts w:hint="eastAsia" w:ascii="仿宋_GB2312" w:hAnsi="仿宋_GB2312" w:eastAsia="仿宋_GB2312" w:cs="仿宋_GB2312"/>
          <w:kern w:val="0"/>
          <w:sz w:val="30"/>
          <w:szCs w:val="30"/>
        </w:rPr>
        <w:t>万元，全部用于骨干教师奖金。</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（2）项目资金管理情况</w:t>
      </w:r>
    </w:p>
    <w:p>
      <w:pPr>
        <w:widowControl/>
        <w:spacing w:line="480" w:lineRule="auto"/>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所有项目资金的管理都按照相关规定执行，实行专款专用。上级专项的资金主要管理如下：严格按照上级文件要求执行；需要上级备案的及时上报备案。财政本级专项资金主要管理如下：我单位根据财政部门的要求制定方案并上报财政，实际拨付时按照要求准备资料向财政申请拨付。</w:t>
      </w:r>
    </w:p>
    <w:p>
      <w:pPr>
        <w:widowControl/>
        <w:shd w:val="clear" w:color="auto" w:fill="FFFFFF"/>
        <w:adjustRightInd w:val="0"/>
        <w:snapToGrid w:val="0"/>
        <w:spacing w:line="540" w:lineRule="exact"/>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（3）绩效目标完成情况</w:t>
      </w:r>
    </w:p>
    <w:p>
      <w:pPr>
        <w:spacing w:line="576"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紧紧围绕教育教学工作为主线，积极探索创新工作法，圆满完成绩效目标。</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（4）财务管理情况</w:t>
      </w:r>
    </w:p>
    <w:p>
      <w:pPr>
        <w:widowControl/>
        <w:spacing w:line="480" w:lineRule="auto"/>
        <w:ind w:firstLine="600" w:firstLineChars="200"/>
        <w:rPr>
          <w:rFonts w:ascii="仿宋_GB2312" w:hAnsi="宋体" w:eastAsia="仿宋_GB2312" w:cs="宋体"/>
          <w:kern w:val="0"/>
          <w:sz w:val="30"/>
          <w:szCs w:val="30"/>
        </w:rPr>
      </w:pPr>
      <w:r>
        <w:rPr>
          <w:rFonts w:hint="eastAsia" w:ascii="仿宋_GB2312" w:hAnsi="仿宋_GB2312" w:eastAsia="仿宋_GB2312" w:cs="仿宋_GB2312"/>
          <w:sz w:val="30"/>
          <w:szCs w:val="30"/>
        </w:rPr>
        <w:t>所有专项资金严格实行专款专用，不存在挪用、截留；在资金拨付阶段严格审核资金分配方案、对象主体资格、绩效评估报告、合同、文件等，确保资金拨付符合要求，合规合理。各项采购严格按照政府采购制度执行。</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（5）绩效管理工作开展情况</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根据《峨眉山市财政局关于开展2020年财政支出绩效评价工作的通知》（峨财通[2020]36号）文件精神</w:t>
      </w:r>
      <w:r>
        <w:rPr>
          <w:rFonts w:hint="eastAsia" w:ascii="仿宋_GB2312" w:hAnsi="仿宋_GB2312" w:eastAsia="仿宋_GB2312" w:cs="仿宋_GB2312"/>
          <w:sz w:val="30"/>
          <w:szCs w:val="30"/>
        </w:rPr>
        <w:t>，</w:t>
      </w:r>
      <w:r>
        <w:rPr>
          <w:rFonts w:hint="eastAsia" w:ascii="仿宋_GB2312" w:hAnsi="仿宋_GB2312" w:eastAsia="仿宋_GB2312" w:cs="仿宋_GB2312"/>
          <w:kern w:val="0"/>
          <w:sz w:val="30"/>
          <w:szCs w:val="30"/>
        </w:rPr>
        <w:t>我校成立了绩效评价工作领导小组，负责绩效评价工作的组织领导和具体实施。评价小组采取座谈等方式听取情况，检查基本支出、项目支出有关账目，收集整理支出相关资料，形成评价结论。</w:t>
      </w:r>
    </w:p>
    <w:p>
      <w:pPr>
        <w:widowControl/>
        <w:shd w:val="clear" w:color="auto" w:fill="FFFFFF"/>
        <w:adjustRightInd w:val="0"/>
        <w:snapToGrid w:val="0"/>
        <w:spacing w:line="540" w:lineRule="exact"/>
        <w:ind w:firstLine="555"/>
        <w:jc w:val="left"/>
        <w:outlineLvl w:val="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通过绩效评价梳理出的问题，将通过座谈的形式传达给相关领导和负责人，以便完善。</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30"/>
          <w:szCs w:val="30"/>
        </w:rPr>
      </w:pPr>
      <w:r>
        <w:rPr>
          <w:rFonts w:hint="eastAsia" w:ascii="仿宋_GB2312" w:hAnsi="宋体" w:eastAsia="仿宋_GB2312" w:cs="宋体"/>
          <w:b/>
          <w:bCs/>
          <w:kern w:val="0"/>
          <w:sz w:val="30"/>
          <w:szCs w:val="30"/>
        </w:rPr>
        <w:t>四、评价结论及建议</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（一）评价结论。</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kern w:val="0"/>
          <w:sz w:val="30"/>
          <w:szCs w:val="30"/>
        </w:rPr>
      </w:pPr>
      <w:r>
        <w:rPr>
          <w:rFonts w:hint="eastAsia" w:ascii="仿宋_GB2312" w:hAnsi="宋体" w:eastAsia="仿宋_GB2312" w:cs="宋体"/>
          <w:kern w:val="0"/>
          <w:sz w:val="30"/>
          <w:szCs w:val="30"/>
        </w:rPr>
        <w:t>我单位部门支出绩效评价得分9</w:t>
      </w:r>
      <w:r>
        <w:rPr>
          <w:rFonts w:ascii="仿宋_GB2312" w:hAnsi="宋体" w:eastAsia="仿宋_GB2312" w:cs="宋体"/>
          <w:kern w:val="0"/>
          <w:sz w:val="30"/>
          <w:szCs w:val="30"/>
        </w:rPr>
        <w:t>3</w:t>
      </w:r>
      <w:r>
        <w:rPr>
          <w:rFonts w:hint="eastAsia" w:ascii="仿宋_GB2312" w:hAnsi="宋体" w:eastAsia="仿宋_GB2312" w:cs="宋体"/>
          <w:kern w:val="0"/>
          <w:sz w:val="30"/>
          <w:szCs w:val="30"/>
        </w:rPr>
        <w:t>.5 ，具体情况见下表：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一级指标</w:t>
            </w:r>
          </w:p>
        </w:tc>
        <w:tc>
          <w:tcPr>
            <w:tcW w:w="2551"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二级指标</w:t>
            </w:r>
          </w:p>
        </w:tc>
        <w:tc>
          <w:tcPr>
            <w:tcW w:w="2694"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三级指标</w:t>
            </w:r>
          </w:p>
        </w:tc>
        <w:tc>
          <w:tcPr>
            <w:tcW w:w="850"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总分</w:t>
            </w:r>
          </w:p>
        </w:tc>
        <w:tc>
          <w:tcPr>
            <w:tcW w:w="901" w:type="dxa"/>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6月执行进度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12月执行进度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w:t>
            </w:r>
            <w:r>
              <w:rPr>
                <w:rFonts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kern w:val="0"/>
                <w:sz w:val="30"/>
                <w:szCs w:val="30"/>
              </w:rPr>
            </w:pPr>
            <w:r>
              <w:rPr>
                <w:rFonts w:hint="eastAsia" w:ascii="仿宋_GB2312" w:hAnsi="宋体" w:eastAsia="仿宋_GB2312" w:cs="宋体"/>
                <w:kern w:val="0"/>
                <w:sz w:val="30"/>
                <w:szCs w:val="30"/>
              </w:rPr>
              <w:t>9</w:t>
            </w:r>
            <w:r>
              <w:rPr>
                <w:rFonts w:ascii="仿宋_GB2312" w:hAnsi="宋体" w:eastAsia="仿宋_GB2312" w:cs="宋体"/>
                <w:kern w:val="0"/>
                <w:sz w:val="30"/>
                <w:szCs w:val="30"/>
              </w:rPr>
              <w:t>3</w:t>
            </w:r>
            <w:r>
              <w:rPr>
                <w:rFonts w:hint="eastAsia" w:ascii="仿宋_GB2312" w:hAnsi="宋体" w:eastAsia="仿宋_GB2312" w:cs="宋体"/>
                <w:kern w:val="0"/>
                <w:sz w:val="30"/>
                <w:szCs w:val="30"/>
              </w:rPr>
              <w:t>.5</w:t>
            </w:r>
          </w:p>
        </w:tc>
      </w:tr>
    </w:tbl>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sz w:val="30"/>
          <w:szCs w:val="30"/>
        </w:rPr>
      </w:pPr>
      <w:r>
        <w:rPr>
          <w:rFonts w:hint="eastAsia" w:ascii="仿宋_GB2312" w:hAnsi="宋体" w:eastAsia="仿宋_GB2312" w:cs="宋体"/>
          <w:sz w:val="30"/>
          <w:szCs w:val="30"/>
        </w:rPr>
        <w:t>（二）存在问题</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sz w:val="30"/>
          <w:szCs w:val="30"/>
        </w:rPr>
        <w:t>1、</w:t>
      </w:r>
      <w:r>
        <w:rPr>
          <w:rFonts w:hint="eastAsia" w:ascii="仿宋_GB2312" w:hAnsi="宋体" w:eastAsia="仿宋_GB2312" w:cs="宋体"/>
          <w:kern w:val="0"/>
          <w:sz w:val="30"/>
          <w:szCs w:val="30"/>
        </w:rPr>
        <w:t>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kern w:val="0"/>
          <w:sz w:val="30"/>
          <w:szCs w:val="30"/>
        </w:rPr>
      </w:pPr>
      <w:r>
        <w:rPr>
          <w:rFonts w:hint="eastAsia" w:ascii="仿宋_GB2312" w:hAnsi="宋体" w:eastAsia="仿宋_GB2312" w:cs="宋体"/>
          <w:kern w:val="0"/>
          <w:sz w:val="30"/>
          <w:szCs w:val="30"/>
        </w:rPr>
        <w:t>2、部门支出相关（基本支出方面）的规章制度还不够完善。</w:t>
      </w:r>
    </w:p>
    <w:p>
      <w:pPr>
        <w:widowControl/>
        <w:shd w:val="clear" w:color="auto" w:fill="FFFFFF"/>
        <w:adjustRightInd w:val="0"/>
        <w:snapToGrid w:val="0"/>
        <w:spacing w:before="100" w:beforeAutospacing="1" w:after="100" w:afterAutospacing="1" w:line="540" w:lineRule="exact"/>
        <w:ind w:firstLine="600" w:firstLineChars="200"/>
        <w:jc w:val="left"/>
        <w:rPr>
          <w:rFonts w:ascii="仿宋_GB2312" w:eastAsia="仿宋_GB2312" w:cs="宋体"/>
          <w:sz w:val="30"/>
          <w:szCs w:val="30"/>
        </w:rPr>
      </w:pPr>
      <w:r>
        <w:rPr>
          <w:rFonts w:hint="eastAsia" w:ascii="仿宋_GB2312" w:hAnsi="宋体" w:eastAsia="仿宋_GB2312" w:cs="宋体"/>
          <w:sz w:val="30"/>
          <w:szCs w:val="30"/>
        </w:rPr>
        <w:t>（三）改进建议</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30"/>
          <w:szCs w:val="30"/>
        </w:rPr>
      </w:pPr>
      <w:r>
        <w:rPr>
          <w:rFonts w:hint="eastAsia" w:ascii="仿宋_GB2312" w:hAnsi="宋体" w:eastAsia="仿宋_GB2312" w:cs="宋体"/>
          <w:kern w:val="0"/>
          <w:sz w:val="30"/>
          <w:szCs w:val="30"/>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before="100" w:beforeAutospacing="1" w:after="100" w:afterAutospacing="1" w:line="540" w:lineRule="exact"/>
        <w:ind w:firstLine="480"/>
        <w:jc w:val="left"/>
        <w:rPr>
          <w:rFonts w:ascii="仿宋_GB2312" w:eastAsia="仿宋_GB2312" w:cs="宋体"/>
          <w:kern w:val="0"/>
          <w:sz w:val="30"/>
          <w:szCs w:val="30"/>
        </w:rPr>
      </w:pPr>
      <w:r>
        <w:rPr>
          <w:rFonts w:hint="eastAsia" w:ascii="仿宋_GB2312" w:hAnsi="宋体" w:eastAsia="仿宋_GB2312" w:cs="宋体"/>
          <w:kern w:val="0"/>
          <w:sz w:val="30"/>
          <w:szCs w:val="30"/>
        </w:rPr>
        <w:t>4、对相关人员加强培训，特别是针对《预算法》、《政府会计制度》等学习培训，规范部门预算收支核算，切实提高部门预算收支管理水平。</w:t>
      </w:r>
    </w:p>
    <w:p>
      <w:pPr>
        <w:widowControl/>
        <w:shd w:val="clear" w:color="auto" w:fill="FFFFFF"/>
        <w:adjustRightInd w:val="0"/>
        <w:snapToGrid w:val="0"/>
        <w:spacing w:before="100" w:beforeAutospacing="1" w:after="100" w:afterAutospacing="1" w:line="540" w:lineRule="exact"/>
        <w:ind w:firstLine="640"/>
        <w:jc w:val="right"/>
        <w:rPr>
          <w:rFonts w:ascii="仿宋_GB2312" w:eastAsia="仿宋_GB2312" w:cs="宋体"/>
          <w:kern w:val="0"/>
          <w:sz w:val="30"/>
          <w:szCs w:val="30"/>
        </w:rPr>
      </w:pPr>
      <w:r>
        <w:rPr>
          <w:rFonts w:hint="eastAsia" w:ascii="仿宋_GB2312" w:hAnsi="宋体" w:eastAsia="仿宋_GB2312" w:cs="宋体"/>
          <w:kern w:val="0"/>
          <w:sz w:val="30"/>
          <w:szCs w:val="30"/>
        </w:rPr>
        <w:t xml:space="preserve"> </w:t>
      </w:r>
    </w:p>
    <w:p>
      <w:pPr>
        <w:widowControl/>
        <w:shd w:val="clear" w:color="auto" w:fill="FFFFFF"/>
        <w:adjustRightInd w:val="0"/>
        <w:snapToGrid w:val="0"/>
        <w:spacing w:before="100" w:beforeAutospacing="1" w:after="100" w:afterAutospacing="1" w:line="540" w:lineRule="exact"/>
        <w:ind w:firstLine="640"/>
        <w:jc w:val="right"/>
        <w:rPr>
          <w:rFonts w:ascii="仿宋_GB2312" w:eastAsia="仿宋_GB2312" w:cs="宋体"/>
          <w:kern w:val="0"/>
          <w:sz w:val="30"/>
          <w:szCs w:val="30"/>
        </w:rPr>
      </w:pPr>
      <w:r>
        <w:rPr>
          <w:rFonts w:hint="eastAsia" w:ascii="仿宋_GB2312" w:hAnsi="宋体" w:eastAsia="仿宋_GB2312" w:cs="宋体"/>
          <w:kern w:val="0"/>
          <w:sz w:val="30"/>
          <w:szCs w:val="30"/>
        </w:rPr>
        <w:t xml:space="preserve"> </w:t>
      </w:r>
    </w:p>
    <w:p>
      <w:pPr>
        <w:widowControl/>
        <w:shd w:val="clear" w:color="auto" w:fill="FFFFFF"/>
        <w:adjustRightInd w:val="0"/>
        <w:snapToGrid w:val="0"/>
        <w:spacing w:before="100" w:beforeAutospacing="1" w:afterAutospacing="1" w:line="540" w:lineRule="exact"/>
        <w:ind w:right="280"/>
        <w:jc w:val="right"/>
        <w:rPr>
          <w:rFonts w:ascii="仿宋_GB2312" w:hAnsi="宋体" w:eastAsia="仿宋_GB2312" w:cs="宋体"/>
          <w:kern w:val="0"/>
          <w:sz w:val="30"/>
          <w:szCs w:val="30"/>
        </w:rPr>
      </w:pPr>
      <w:r>
        <w:rPr>
          <w:rFonts w:hint="eastAsia" w:ascii="仿宋_GB2312" w:hAnsi="宋体" w:eastAsia="仿宋_GB2312" w:cs="宋体"/>
          <w:kern w:val="0"/>
          <w:sz w:val="30"/>
          <w:szCs w:val="30"/>
        </w:rPr>
        <w:t>峨眉山市桂花桥镇</w:t>
      </w:r>
      <w:r>
        <w:rPr>
          <w:rFonts w:ascii="仿宋_GB2312" w:hAnsi="宋体" w:eastAsia="仿宋_GB2312" w:cs="宋体"/>
          <w:kern w:val="0"/>
          <w:sz w:val="30"/>
          <w:szCs w:val="30"/>
        </w:rPr>
        <w:t>第二</w:t>
      </w:r>
      <w:r>
        <w:rPr>
          <w:rFonts w:hint="eastAsia" w:ascii="仿宋_GB2312" w:hAnsi="宋体" w:eastAsia="仿宋_GB2312" w:cs="宋体"/>
          <w:kern w:val="0"/>
          <w:sz w:val="30"/>
          <w:szCs w:val="30"/>
        </w:rPr>
        <w:t>小学校</w:t>
      </w:r>
    </w:p>
    <w:p>
      <w:pPr>
        <w:widowControl/>
        <w:shd w:val="clear" w:color="auto" w:fill="FFFFFF"/>
        <w:adjustRightInd w:val="0"/>
        <w:snapToGrid w:val="0"/>
        <w:spacing w:before="100" w:beforeAutospacing="1" w:afterAutospacing="1" w:line="540" w:lineRule="exact"/>
        <w:ind w:right="280"/>
        <w:jc w:val="right"/>
        <w:rPr>
          <w:rFonts w:ascii="仿宋_GB2312" w:eastAsia="仿宋_GB2312" w:cs="宋体"/>
          <w:kern w:val="0"/>
          <w:sz w:val="30"/>
          <w:szCs w:val="30"/>
        </w:rPr>
      </w:pPr>
      <w:r>
        <w:rPr>
          <w:rFonts w:hint="eastAsia" w:ascii="仿宋_GB2312" w:hAnsi="宋体" w:eastAsia="仿宋_GB2312" w:cs="宋体"/>
          <w:kern w:val="0"/>
          <w:sz w:val="30"/>
          <w:szCs w:val="30"/>
        </w:rPr>
        <w:t>2021年07月31日</w:t>
      </w:r>
    </w:p>
    <w:p>
      <w:pPr>
        <w:spacing w:line="600" w:lineRule="exact"/>
        <w:jc w:val="center"/>
        <w:outlineLvl w:val="0"/>
        <w:rPr>
          <w:rFonts w:ascii="黑体" w:hAnsi="黑体" w:eastAsia="黑体"/>
          <w:color w:val="000000"/>
          <w:sz w:val="44"/>
          <w:szCs w:val="44"/>
        </w:rPr>
      </w:pPr>
    </w:p>
    <w:bookmarkEnd w:id="57"/>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峨眉山市桂花</w:t>
      </w:r>
      <w:r>
        <w:rPr>
          <w:rFonts w:ascii="方正小标宋_GBK" w:hAnsi="宋体" w:eastAsia="方正小标宋_GBK"/>
          <w:b/>
          <w:sz w:val="44"/>
          <w:szCs w:val="44"/>
        </w:rPr>
        <w:t>桥镇第二小学校</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2020年学校安保经费补助项目支出绩效</w:t>
      </w:r>
    </w:p>
    <w:p>
      <w:pPr>
        <w:pStyle w:val="30"/>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自评报告</w:t>
      </w:r>
    </w:p>
    <w:p>
      <w:pPr>
        <w:pStyle w:val="30"/>
        <w:spacing w:line="600" w:lineRule="exact"/>
        <w:jc w:val="center"/>
        <w:rPr>
          <w:rFonts w:ascii="宋体" w:hAnsi="宋体" w:cs="Times New Roman"/>
          <w:color w:val="auto"/>
          <w:sz w:val="32"/>
          <w:szCs w:val="32"/>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根据市财政局《关于开展2020年财政支出绩效评价工作的通知》（峨财通〔2020〕36号）文件要求，我校开展了2020年学校安保经费补助项目支出绩效自评工作，现将评价结果报告如下：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Theme="minorEastAsia" w:hAnsiTheme="minorEastAsia" w:eastAsiaTheme="minorEastAsia"/>
          <w:sz w:val="32"/>
          <w:szCs w:val="32"/>
        </w:rPr>
      </w:pPr>
      <w:r>
        <w:rPr>
          <w:rFonts w:hint="eastAsia" w:ascii="楷体_GB2312" w:hAnsi="宋体" w:eastAsia="楷体_GB2312"/>
          <w:sz w:val="32"/>
          <w:szCs w:val="32"/>
          <w:lang w:val="zh-CN"/>
        </w:rPr>
        <w:t>（一）项目资金申报及批复情况。</w:t>
      </w:r>
      <w:r>
        <w:rPr>
          <w:rFonts w:hint="eastAsia" w:ascii="仿宋_GB2312" w:eastAsia="仿宋_GB2312" w:hAnsiTheme="minorEastAsia"/>
          <w:sz w:val="32"/>
          <w:szCs w:val="32"/>
        </w:rPr>
        <w:t>为进一步加强我校学校安全工作，切实保障广大师生人身安全，维护我</w:t>
      </w:r>
      <w:r>
        <w:rPr>
          <w:rFonts w:ascii="仿宋_GB2312" w:eastAsia="仿宋_GB2312" w:hAnsiTheme="minorEastAsia"/>
          <w:sz w:val="32"/>
          <w:szCs w:val="32"/>
        </w:rPr>
        <w:t>校</w:t>
      </w:r>
      <w:r>
        <w:rPr>
          <w:rFonts w:hint="eastAsia" w:ascii="仿宋_GB2312" w:eastAsia="仿宋_GB2312" w:hAnsiTheme="minorEastAsia"/>
          <w:sz w:val="32"/>
          <w:szCs w:val="32"/>
        </w:rPr>
        <w:t>教学</w:t>
      </w:r>
      <w:r>
        <w:rPr>
          <w:rFonts w:ascii="仿宋_GB2312" w:eastAsia="仿宋_GB2312" w:hAnsiTheme="minorEastAsia"/>
          <w:sz w:val="32"/>
          <w:szCs w:val="32"/>
        </w:rPr>
        <w:t>秩序</w:t>
      </w:r>
      <w:r>
        <w:rPr>
          <w:rFonts w:hint="eastAsia" w:ascii="仿宋_GB2312" w:eastAsia="仿宋_GB2312" w:hAnsiTheme="minorEastAsia"/>
          <w:sz w:val="32"/>
          <w:szCs w:val="32"/>
        </w:rPr>
        <w:t>长期正常</w:t>
      </w:r>
      <w:r>
        <w:rPr>
          <w:rFonts w:ascii="仿宋_GB2312" w:eastAsia="仿宋_GB2312" w:hAnsiTheme="minorEastAsia"/>
          <w:sz w:val="32"/>
          <w:szCs w:val="32"/>
        </w:rPr>
        <w:t>开展</w:t>
      </w:r>
      <w:r>
        <w:rPr>
          <w:rFonts w:hint="eastAsia" w:ascii="仿宋_GB2312" w:eastAsia="仿宋_GB2312" w:hAnsiTheme="minorEastAsia"/>
          <w:sz w:val="32"/>
          <w:szCs w:val="32"/>
        </w:rPr>
        <w:t>，根据《中共峨眉山市委办公室 峨眉山市人民政府办公室关于进一步加强学校安全工作的通知》（峨委办〔2010〕27号）和《峨眉山市人民政府关于加强教师队伍建设的实施意见》（峨府发〔2014〕4号）文件精神，全市各类学校按统一要求加强人防、物防和技防工作，其中全市义务教育阶段学校安保经费</w:t>
      </w:r>
      <w:r>
        <w:rPr>
          <w:rFonts w:ascii="仿宋_GB2312" w:eastAsia="仿宋_GB2312" w:hAnsiTheme="minorEastAsia"/>
          <w:sz w:val="32"/>
          <w:szCs w:val="32"/>
        </w:rPr>
        <w:t>由</w:t>
      </w:r>
      <w:r>
        <w:rPr>
          <w:rFonts w:hint="eastAsia" w:ascii="仿宋_GB2312" w:eastAsia="仿宋_GB2312" w:hAnsiTheme="minorEastAsia"/>
          <w:sz w:val="32"/>
          <w:szCs w:val="32"/>
        </w:rPr>
        <w:t>市财政本级预算“学校安保经费补助”项目予以保障。</w:t>
      </w:r>
    </w:p>
    <w:p>
      <w:pPr>
        <w:adjustRightInd w:val="0"/>
        <w:snapToGrid w:val="0"/>
        <w:spacing w:line="600" w:lineRule="exact"/>
        <w:ind w:firstLine="720"/>
        <w:rPr>
          <w:rFonts w:ascii="仿宋_GB2312" w:eastAsia="仿宋_GB2312" w:hAnsiTheme="minorEastAsia"/>
          <w:sz w:val="32"/>
          <w:szCs w:val="32"/>
        </w:rPr>
      </w:pPr>
      <w:r>
        <w:rPr>
          <w:rFonts w:hint="eastAsia" w:ascii="楷体_GB2312" w:hAnsi="宋体" w:eastAsia="楷体_GB2312"/>
          <w:sz w:val="32"/>
          <w:szCs w:val="32"/>
          <w:lang w:val="zh-CN"/>
        </w:rPr>
        <w:t>（二）项目绩效目标。</w:t>
      </w:r>
      <w:r>
        <w:rPr>
          <w:rFonts w:hint="eastAsia" w:ascii="仿宋_GB2312" w:eastAsia="仿宋_GB2312" w:hAnsiTheme="minorEastAsia"/>
          <w:sz w:val="32"/>
          <w:szCs w:val="32"/>
        </w:rPr>
        <w:t>按照义教段公办学校按要求配齐、配足保安人员，避免学校因经费不足导致安保人员配备不达标、或拖欠安保人员工资等情况发生，切实维护我校的安全稳定。项目资金根据学校工作实际，春秋学期各拨付1次，资金拨付时间绩效目标为当年6月前拨付春季学期资金，11月前拨付秋季学期资金，学校按要求在当年12月31日前使用完下拨资金，资金全额用于安保发放。</w:t>
      </w:r>
    </w:p>
    <w:p>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（三）项目资金申报相符性。</w:t>
      </w:r>
      <w:r>
        <w:rPr>
          <w:rFonts w:hint="eastAsia" w:ascii="仿宋_GB2312" w:hAnsi="宋体" w:eastAsia="仿宋_GB2312"/>
          <w:sz w:val="32"/>
          <w:szCs w:val="32"/>
          <w:lang w:val="zh-CN"/>
        </w:rPr>
        <w:t>该项目属于民生保障类项目，申报的内容和具体实施的内容相符，申报目标合理可行，</w:t>
      </w:r>
      <w:r>
        <w:rPr>
          <w:rFonts w:hint="eastAsia" w:ascii="仿宋_GB2312" w:eastAsia="仿宋_GB2312" w:hAnsiTheme="minorEastAsia"/>
          <w:sz w:val="32"/>
          <w:szCs w:val="32"/>
        </w:rPr>
        <w:t>对加强我校安全工作，保障学校</w:t>
      </w:r>
      <w:r>
        <w:rPr>
          <w:rFonts w:hint="eastAsia" w:ascii="仿宋_GB2312" w:hAnsi="宋体" w:eastAsia="仿宋_GB2312"/>
          <w:sz w:val="32"/>
          <w:szCs w:val="32"/>
          <w:lang w:val="zh-CN"/>
        </w:rPr>
        <w:t>师生人身安全，维护教育教学正常秩序发挥了积极作用，具有较强的社会意义。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1．资金计划及到位。2020年，该项目预算资金</w:t>
      </w:r>
      <w:r>
        <w:rPr>
          <w:rFonts w:ascii="仿宋_GB2312" w:hAnsi="宋体" w:eastAsia="仿宋_GB2312"/>
          <w:sz w:val="32"/>
          <w:szCs w:val="32"/>
          <w:lang w:val="zh-CN"/>
        </w:rPr>
        <w:t>7.17</w:t>
      </w:r>
      <w:r>
        <w:rPr>
          <w:rFonts w:hint="eastAsia" w:ascii="仿宋_GB2312" w:hAnsi="宋体" w:eastAsia="仿宋_GB2312"/>
          <w:sz w:val="32"/>
          <w:szCs w:val="32"/>
          <w:lang w:val="zh-CN"/>
        </w:rPr>
        <w:t>万元。项目由市教育局汇总学校情况，制定拨款报告给市财政局，市财政局审核后，将项目指标分解下达各学校并进行资金拨付。2020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2．资金使用。2020年，该项目实际使用资金</w:t>
      </w:r>
      <w:r>
        <w:rPr>
          <w:rFonts w:ascii="仿宋_GB2312" w:hAnsi="宋体" w:eastAsia="仿宋_GB2312"/>
          <w:sz w:val="32"/>
          <w:szCs w:val="32"/>
          <w:lang w:val="zh-CN"/>
        </w:rPr>
        <w:t>7.17</w:t>
      </w:r>
      <w:r>
        <w:rPr>
          <w:rFonts w:hint="eastAsia" w:ascii="仿宋_GB2312" w:hAnsi="宋体" w:eastAsia="仿宋_GB2312"/>
          <w:sz w:val="32"/>
          <w:szCs w:val="32"/>
          <w:lang w:val="zh-CN"/>
        </w:rPr>
        <w:t>万元，全额用于发放学校聘请的保安工资。项目预算标准为每人每年3.5</w:t>
      </w:r>
      <w:r>
        <w:rPr>
          <w:rFonts w:ascii="仿宋_GB2312" w:hAnsi="宋体" w:eastAsia="仿宋_GB2312"/>
          <w:sz w:val="32"/>
          <w:szCs w:val="32"/>
          <w:lang w:val="zh-CN"/>
        </w:rPr>
        <w:t>8</w:t>
      </w:r>
      <w:r>
        <w:rPr>
          <w:rFonts w:hint="eastAsia" w:ascii="仿宋_GB2312" w:hAnsi="宋体" w:eastAsia="仿宋_GB2312"/>
          <w:sz w:val="32"/>
          <w:szCs w:val="32"/>
          <w:lang w:val="zh-CN"/>
        </w:rPr>
        <w:t>万元，因学校实际</w:t>
      </w:r>
      <w:r>
        <w:rPr>
          <w:rFonts w:ascii="仿宋_GB2312" w:hAnsi="宋体" w:eastAsia="仿宋_GB2312"/>
          <w:sz w:val="32"/>
          <w:szCs w:val="32"/>
          <w:lang w:val="zh-CN"/>
        </w:rPr>
        <w:t>情况聘请</w:t>
      </w:r>
      <w:r>
        <w:rPr>
          <w:rFonts w:hint="eastAsia" w:ascii="仿宋_GB2312" w:hAnsi="宋体" w:eastAsia="仿宋_GB2312"/>
          <w:sz w:val="32"/>
          <w:szCs w:val="32"/>
          <w:lang w:val="zh-CN"/>
        </w:rPr>
        <w:t>2名保安，</w:t>
      </w:r>
      <w:r>
        <w:rPr>
          <w:rFonts w:ascii="仿宋_GB2312" w:hAnsi="宋体" w:eastAsia="仿宋_GB2312"/>
          <w:sz w:val="32"/>
          <w:szCs w:val="32"/>
          <w:lang w:val="zh-CN"/>
        </w:rPr>
        <w:t>年末完成项目支付</w:t>
      </w:r>
      <w:r>
        <w:rPr>
          <w:rFonts w:hint="eastAsia" w:ascii="仿宋_GB2312" w:hAnsi="宋体" w:eastAsia="仿宋_GB2312"/>
          <w:sz w:val="32"/>
          <w:szCs w:val="32"/>
          <w:lang w:val="zh-CN"/>
        </w:rPr>
        <w:t>7</w:t>
      </w:r>
      <w:r>
        <w:rPr>
          <w:rFonts w:ascii="仿宋_GB2312" w:hAnsi="宋体" w:eastAsia="仿宋_GB2312"/>
          <w:sz w:val="32"/>
          <w:szCs w:val="32"/>
          <w:lang w:val="zh-CN"/>
        </w:rPr>
        <w:t>.17</w:t>
      </w:r>
      <w:r>
        <w:rPr>
          <w:rFonts w:hint="eastAsia" w:ascii="仿宋_GB2312" w:hAnsi="宋体" w:eastAsia="仿宋_GB2312"/>
          <w:sz w:val="32"/>
          <w:szCs w:val="32"/>
          <w:lang w:val="zh-CN"/>
        </w:rPr>
        <w:t>万元</w:t>
      </w:r>
      <w:r>
        <w:rPr>
          <w:rFonts w:ascii="仿宋_GB2312" w:hAnsi="宋体" w:eastAsia="仿宋_GB2312"/>
          <w:sz w:val="32"/>
          <w:szCs w:val="32"/>
          <w:lang w:val="zh-CN"/>
        </w:rPr>
        <w:t>。</w:t>
      </w:r>
      <w:r>
        <w:rPr>
          <w:rFonts w:hint="eastAsia" w:ascii="仿宋_GB2312" w:hAnsi="宋体" w:eastAsia="仿宋_GB2312"/>
          <w:sz w:val="32"/>
          <w:szCs w:val="32"/>
          <w:lang w:val="zh-CN"/>
        </w:rPr>
        <w:t>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教育局安全股负责我校安全管理工作的督导监管，负责对我校保安工作的督查和培训。该项目由市教育局统一编制预算，由市教育局安全股收集核实学校保安基本数据，编制管理使用方案，由市教育局计财股报送市财政局审核后，由市财政局向我校下达预算指标和拨付资金。我为独立法人的预算单位，根据市人社局下达的人员控制数，自主聘用人员，签订劳动合同，根据项目资金管理制度和学校财务管理制度自主使用项目资金。</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该项目对照预算，截止2020年12月31日，下达预算指标</w:t>
      </w:r>
      <w:r>
        <w:rPr>
          <w:rFonts w:ascii="仿宋_GB2312" w:eastAsia="仿宋_GB2312"/>
          <w:sz w:val="32"/>
          <w:szCs w:val="32"/>
        </w:rPr>
        <w:t>7.17</w:t>
      </w:r>
      <w:r>
        <w:rPr>
          <w:rFonts w:hint="eastAsia" w:ascii="仿宋_GB2312" w:eastAsia="仿宋_GB2312"/>
          <w:sz w:val="32"/>
          <w:szCs w:val="32"/>
        </w:rPr>
        <w:t>万元，年末调减预算指标</w:t>
      </w:r>
      <w:r>
        <w:rPr>
          <w:rFonts w:ascii="仿宋_GB2312" w:eastAsia="仿宋_GB2312"/>
          <w:sz w:val="32"/>
          <w:szCs w:val="32"/>
        </w:rPr>
        <w:t>0</w:t>
      </w:r>
      <w:r>
        <w:rPr>
          <w:rFonts w:hint="eastAsia" w:ascii="仿宋_GB2312" w:eastAsia="仿宋_GB2312"/>
          <w:sz w:val="32"/>
          <w:szCs w:val="32"/>
        </w:rPr>
        <w:t>万元，实际下达预算指标</w:t>
      </w:r>
      <w:r>
        <w:rPr>
          <w:rFonts w:ascii="仿宋_GB2312" w:hAnsi="宋体" w:eastAsia="仿宋_GB2312"/>
          <w:sz w:val="32"/>
          <w:szCs w:val="32"/>
          <w:lang w:val="zh-CN"/>
        </w:rPr>
        <w:t>7.17</w:t>
      </w:r>
      <w:r>
        <w:rPr>
          <w:rFonts w:hint="eastAsia" w:ascii="仿宋_GB2312" w:hAnsi="宋体" w:eastAsia="仿宋_GB2312"/>
          <w:sz w:val="32"/>
          <w:szCs w:val="32"/>
          <w:lang w:val="zh-CN"/>
        </w:rPr>
        <w:t>万元。预算指标和资金拨付分春秋两季下达，全年使用资金</w:t>
      </w:r>
      <w:r>
        <w:rPr>
          <w:rFonts w:ascii="仿宋_GB2312" w:hAnsi="宋体" w:eastAsia="仿宋_GB2312"/>
          <w:sz w:val="32"/>
          <w:szCs w:val="32"/>
          <w:lang w:val="zh-CN"/>
        </w:rPr>
        <w:t>7</w:t>
      </w:r>
      <w:r>
        <w:rPr>
          <w:rFonts w:hint="eastAsia" w:ascii="仿宋_GB2312" w:hAnsi="宋体" w:eastAsia="仿宋_GB2312"/>
          <w:sz w:val="32"/>
          <w:szCs w:val="32"/>
          <w:lang w:val="zh-CN"/>
        </w:rPr>
        <w:t>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adjustRightInd w:val="0"/>
        <w:snapToGrid w:val="0"/>
        <w:spacing w:line="600" w:lineRule="exact"/>
        <w:ind w:firstLine="720"/>
        <w:rPr>
          <w:rFonts w:ascii="仿宋_GB2312" w:eastAsia="仿宋_GB2312"/>
          <w:sz w:val="32"/>
          <w:szCs w:val="32"/>
        </w:rPr>
      </w:pPr>
      <w:r>
        <w:rPr>
          <w:rFonts w:hint="eastAsia" w:ascii="仿宋_GB2312" w:eastAsia="仿宋_GB2312" w:hAnsiTheme="minorEastAsia"/>
          <w:sz w:val="32"/>
          <w:szCs w:val="32"/>
        </w:rPr>
        <w:t>项目实施切实保障我校按要求配齐、配足保安人员，避免学校因经费不足导致安保人员配备不达标、或拖欠安保人员工资等情况发生。对加强我校安全工作，切实保障广大师生人身安全，维护教育教学正常秩序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仿宋_GB2312" w:eastAsia="仿宋_GB2312" w:hAnsiTheme="minorEastAsia"/>
          <w:sz w:val="32"/>
          <w:szCs w:val="32"/>
        </w:rPr>
      </w:pPr>
      <w:r>
        <w:rPr>
          <w:rFonts w:hint="eastAsia" w:ascii="楷体_GB2312" w:eastAsia="楷体_GB2312" w:hAnsiTheme="minorEastAsia"/>
          <w:sz w:val="32"/>
          <w:szCs w:val="32"/>
        </w:rPr>
        <w:t>（一）存在问题。</w:t>
      </w:r>
      <w:r>
        <w:rPr>
          <w:rFonts w:hint="eastAsia" w:ascii="仿宋_GB2312" w:eastAsia="仿宋_GB2312" w:hAnsiTheme="minorEastAsia"/>
          <w:sz w:val="32"/>
          <w:szCs w:val="32"/>
        </w:rPr>
        <w:t>近年来，随着城市的不断发展和旅游业的繁荣，我校外来人口越来越多，学校周边环境较复杂等原因导致对安保工作要求越来越高。由于项目预算标准较低，学校经费不足，所聘人员待遇不高，缺乏培训经费。导致学校聘请的保安缺乏专业安保管理能力，保安人员年龄老化严重，缺少专业培训，人员素养不够，学校安保用工不规范，安保效果</w:t>
      </w:r>
      <w:r>
        <w:rPr>
          <w:rFonts w:ascii="仿宋_GB2312" w:eastAsia="仿宋_GB2312" w:hAnsiTheme="minorEastAsia"/>
          <w:sz w:val="32"/>
          <w:szCs w:val="32"/>
        </w:rPr>
        <w:t>存在一定风险</w:t>
      </w:r>
      <w:r>
        <w:rPr>
          <w:rFonts w:hint="eastAsia" w:ascii="仿宋_GB2312" w:eastAsia="仿宋_GB2312" w:hAnsiTheme="minorEastAsia"/>
          <w:sz w:val="32"/>
          <w:szCs w:val="32"/>
        </w:rPr>
        <w:t>。</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学校保安工作整体打包，由教育局公开招标，外包给专业保安公司管理，学校以购买服务的方式使用保安。</w:t>
      </w:r>
    </w:p>
    <w:p>
      <w:pPr>
        <w:spacing w:line="600" w:lineRule="exact"/>
        <w:ind w:firstLine="600"/>
        <w:rPr>
          <w:rFonts w:ascii="仿宋_GB2312" w:eastAsia="仿宋_GB2312" w:hAnsiTheme="minorEastAsia"/>
          <w:sz w:val="32"/>
          <w:szCs w:val="32"/>
        </w:rPr>
      </w:pPr>
    </w:p>
    <w:p>
      <w:pPr>
        <w:spacing w:line="600" w:lineRule="exact"/>
        <w:ind w:firstLine="600"/>
        <w:rPr>
          <w:rFonts w:ascii="仿宋_GB2312" w:eastAsia="仿宋_GB2312" w:hAnsiTheme="minorEastAsia"/>
          <w:sz w:val="32"/>
          <w:szCs w:val="32"/>
        </w:rPr>
      </w:pPr>
    </w:p>
    <w:p>
      <w:pPr>
        <w:spacing w:line="600" w:lineRule="exact"/>
        <w:ind w:firstLine="600"/>
        <w:rPr>
          <w:rFonts w:ascii="仿宋_GB2312" w:eastAsia="仿宋_GB2312" w:hAnsiTheme="minorEastAsia"/>
          <w:sz w:val="32"/>
          <w:szCs w:val="32"/>
        </w:rPr>
      </w:pPr>
    </w:p>
    <w:p>
      <w:pPr>
        <w:spacing w:line="600" w:lineRule="exact"/>
        <w:ind w:right="640" w:firstLine="3360" w:firstLineChars="1050"/>
        <w:rPr>
          <w:rFonts w:ascii="仿宋_GB2312" w:eastAsia="仿宋_GB2312" w:hAnsiTheme="minorEastAsia"/>
          <w:sz w:val="32"/>
          <w:szCs w:val="32"/>
        </w:rPr>
      </w:pPr>
      <w:r>
        <w:rPr>
          <w:rFonts w:hint="eastAsia" w:ascii="仿宋_GB2312" w:eastAsia="仿宋_GB2312" w:hAnsiTheme="minorEastAsia"/>
          <w:sz w:val="32"/>
          <w:szCs w:val="32"/>
        </w:rPr>
        <w:t>峨眉山市桂花桥镇</w:t>
      </w:r>
      <w:r>
        <w:rPr>
          <w:rFonts w:ascii="仿宋_GB2312" w:eastAsia="仿宋_GB2312" w:hAnsiTheme="minorEastAsia"/>
          <w:sz w:val="32"/>
          <w:szCs w:val="32"/>
        </w:rPr>
        <w:t>第二小学校</w:t>
      </w:r>
    </w:p>
    <w:p>
      <w:pPr>
        <w:spacing w:line="600" w:lineRule="exact"/>
        <w:ind w:right="640" w:firstLine="4752" w:firstLineChars="1485"/>
        <w:rPr>
          <w:sz w:val="32"/>
          <w:szCs w:val="32"/>
        </w:rPr>
      </w:pPr>
      <w:r>
        <w:rPr>
          <w:rFonts w:hint="eastAsia" w:ascii="仿宋_GB2312" w:eastAsia="仿宋_GB2312" w:hAnsiTheme="minorEastAsia"/>
          <w:sz w:val="32"/>
          <w:szCs w:val="32"/>
        </w:rPr>
        <w:t>2021年7月30日</w:t>
      </w:r>
    </w:p>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59"/>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Style w:val="25"/>
          <w:rFonts w:ascii="仿宋" w:hAnsi="仿宋" w:eastAsia="仿宋"/>
          <w:b w:val="0"/>
          <w:bCs w:val="0"/>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有资本经营预算拨款</w:t>
      </w:r>
      <w:r>
        <w:rPr>
          <w:rStyle w:val="25"/>
          <w:rFonts w:ascii="仿宋" w:hAnsi="仿宋" w:eastAsia="仿宋"/>
          <w:b w:val="0"/>
          <w:bCs w:val="0"/>
        </w:rPr>
        <w:t>收入</w:t>
      </w:r>
      <w:r>
        <w:rPr>
          <w:rStyle w:val="25"/>
          <w:rFonts w:hint="eastAsia" w:ascii="仿宋" w:hAnsi="仿宋" w:eastAsia="仿宋"/>
          <w:b w:val="0"/>
          <w:bCs w:val="0"/>
        </w:rPr>
        <w:t>支出决算表</w:t>
      </w:r>
      <w:bookmarkEnd w:id="72"/>
    </w:p>
    <w:p>
      <w:pPr>
        <w:pStyle w:val="3"/>
        <w:rPr>
          <w:rStyle w:val="25"/>
          <w:rFonts w:ascii="仿宋" w:hAnsi="仿宋" w:eastAsia="仿宋"/>
          <w:b w:val="0"/>
          <w:bCs w:val="0"/>
        </w:rPr>
      </w:pPr>
      <w:r>
        <w:rPr>
          <w:rStyle w:val="25"/>
          <w:rFonts w:hint="eastAsia" w:ascii="仿宋" w:hAnsi="仿宋" w:eastAsia="仿宋"/>
          <w:b w:val="0"/>
          <w:bCs w:val="0"/>
        </w:rPr>
        <w:t>十四、</w:t>
      </w:r>
      <w:r>
        <w:rPr>
          <w:rFonts w:hint="eastAsia" w:ascii="仿宋" w:hAnsi="仿宋" w:eastAsia="仿宋"/>
          <w:b w:val="0"/>
          <w:color w:val="000000"/>
        </w:rPr>
        <w:t>国</w:t>
      </w:r>
      <w:r>
        <w:rPr>
          <w:rStyle w:val="25"/>
          <w:rFonts w:hint="eastAsia" w:ascii="仿宋" w:hAnsi="仿宋" w:eastAsia="仿宋"/>
          <w:b w:val="0"/>
          <w:bCs w:val="0"/>
        </w:rPr>
        <w:t>有资本经营预算拨款支出决算表</w:t>
      </w:r>
    </w:p>
    <w:p>
      <w:pPr>
        <w:pStyle w:val="3"/>
        <w:ind w:firstLine="1446" w:firstLineChars="450"/>
        <w:rPr>
          <w:rFonts w:ascii="仿宋" w:hAnsi="仿宋" w:eastAsia="仿宋"/>
          <w:b w:val="0"/>
          <w:bCs w:val="0"/>
        </w:rPr>
      </w:pPr>
      <w:r>
        <w:rPr>
          <w:rFonts w:hint="eastAsia" w:ascii="仿宋" w:hAnsi="仿宋" w:eastAsia="仿宋"/>
        </w:rPr>
        <w:t>（见20</w:t>
      </w:r>
      <w:r>
        <w:rPr>
          <w:rFonts w:ascii="仿宋" w:hAnsi="仿宋" w:eastAsia="仿宋"/>
        </w:rPr>
        <w:t>20</w:t>
      </w:r>
      <w:r>
        <w:rPr>
          <w:rFonts w:hint="eastAsia" w:ascii="仿宋" w:hAnsi="仿宋" w:eastAsia="仿宋"/>
        </w:rPr>
        <w:t>年决算公开导出文档）</w:t>
      </w:r>
    </w:p>
    <w:p>
      <w:pPr>
        <w:rPr>
          <w:rFonts w:ascii="仿宋" w:hAnsi="仿宋" w:eastAsia="仿宋"/>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35</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37232"/>
    <w:rsid w:val="000468DB"/>
    <w:rsid w:val="0006487A"/>
    <w:rsid w:val="00065F8F"/>
    <w:rsid w:val="00070A43"/>
    <w:rsid w:val="000768F2"/>
    <w:rsid w:val="0007691F"/>
    <w:rsid w:val="000853CE"/>
    <w:rsid w:val="0009184B"/>
    <w:rsid w:val="00094236"/>
    <w:rsid w:val="0009593C"/>
    <w:rsid w:val="00097322"/>
    <w:rsid w:val="000A6A92"/>
    <w:rsid w:val="000B047F"/>
    <w:rsid w:val="000B5923"/>
    <w:rsid w:val="000B5A48"/>
    <w:rsid w:val="000B6FF3"/>
    <w:rsid w:val="000C00BA"/>
    <w:rsid w:val="000C3467"/>
    <w:rsid w:val="000C3CA6"/>
    <w:rsid w:val="000D1267"/>
    <w:rsid w:val="000D1D50"/>
    <w:rsid w:val="000D5782"/>
    <w:rsid w:val="000E00C9"/>
    <w:rsid w:val="000E6613"/>
    <w:rsid w:val="000E7119"/>
    <w:rsid w:val="000F1695"/>
    <w:rsid w:val="001006B9"/>
    <w:rsid w:val="00114E9B"/>
    <w:rsid w:val="00131F53"/>
    <w:rsid w:val="00142216"/>
    <w:rsid w:val="00144D6A"/>
    <w:rsid w:val="0014729F"/>
    <w:rsid w:val="001579DE"/>
    <w:rsid w:val="00157BAB"/>
    <w:rsid w:val="001654D1"/>
    <w:rsid w:val="00174518"/>
    <w:rsid w:val="0017498B"/>
    <w:rsid w:val="0018106D"/>
    <w:rsid w:val="0018214E"/>
    <w:rsid w:val="001877A7"/>
    <w:rsid w:val="00191536"/>
    <w:rsid w:val="00196687"/>
    <w:rsid w:val="001A2073"/>
    <w:rsid w:val="001C0962"/>
    <w:rsid w:val="001D7531"/>
    <w:rsid w:val="001E737D"/>
    <w:rsid w:val="001F0592"/>
    <w:rsid w:val="001F2E12"/>
    <w:rsid w:val="001F7506"/>
    <w:rsid w:val="002006CD"/>
    <w:rsid w:val="00202B36"/>
    <w:rsid w:val="00204B7A"/>
    <w:rsid w:val="00204CDE"/>
    <w:rsid w:val="00205988"/>
    <w:rsid w:val="0021101A"/>
    <w:rsid w:val="00213A3E"/>
    <w:rsid w:val="00220536"/>
    <w:rsid w:val="00222051"/>
    <w:rsid w:val="00226973"/>
    <w:rsid w:val="00235629"/>
    <w:rsid w:val="002378BD"/>
    <w:rsid w:val="00253E35"/>
    <w:rsid w:val="00260C38"/>
    <w:rsid w:val="002616C0"/>
    <w:rsid w:val="00265372"/>
    <w:rsid w:val="002662AA"/>
    <w:rsid w:val="00280496"/>
    <w:rsid w:val="00291E48"/>
    <w:rsid w:val="00294DC9"/>
    <w:rsid w:val="00295495"/>
    <w:rsid w:val="002A130C"/>
    <w:rsid w:val="002A31DE"/>
    <w:rsid w:val="002B2613"/>
    <w:rsid w:val="002D19B0"/>
    <w:rsid w:val="002D3A6D"/>
    <w:rsid w:val="002D6D05"/>
    <w:rsid w:val="002F1818"/>
    <w:rsid w:val="002F3958"/>
    <w:rsid w:val="002F567B"/>
    <w:rsid w:val="003216A9"/>
    <w:rsid w:val="00321758"/>
    <w:rsid w:val="0033019B"/>
    <w:rsid w:val="0033301E"/>
    <w:rsid w:val="00335A74"/>
    <w:rsid w:val="0036561B"/>
    <w:rsid w:val="0037013F"/>
    <w:rsid w:val="00380C92"/>
    <w:rsid w:val="003A484F"/>
    <w:rsid w:val="003A4883"/>
    <w:rsid w:val="003B0BE0"/>
    <w:rsid w:val="003B0C1B"/>
    <w:rsid w:val="003B688C"/>
    <w:rsid w:val="003C0291"/>
    <w:rsid w:val="003C39AE"/>
    <w:rsid w:val="003C4331"/>
    <w:rsid w:val="003C7B60"/>
    <w:rsid w:val="003C7C51"/>
    <w:rsid w:val="003D0C0F"/>
    <w:rsid w:val="003D1FB2"/>
    <w:rsid w:val="003D66DA"/>
    <w:rsid w:val="003E1310"/>
    <w:rsid w:val="003E6F55"/>
    <w:rsid w:val="00406254"/>
    <w:rsid w:val="0040778B"/>
    <w:rsid w:val="00416CD4"/>
    <w:rsid w:val="004223DE"/>
    <w:rsid w:val="00432920"/>
    <w:rsid w:val="00434489"/>
    <w:rsid w:val="00437085"/>
    <w:rsid w:val="00442331"/>
    <w:rsid w:val="00443880"/>
    <w:rsid w:val="004464F4"/>
    <w:rsid w:val="004624FC"/>
    <w:rsid w:val="00471401"/>
    <w:rsid w:val="00473F31"/>
    <w:rsid w:val="00480B92"/>
    <w:rsid w:val="0048263A"/>
    <w:rsid w:val="00487E5D"/>
    <w:rsid w:val="004960F5"/>
    <w:rsid w:val="004A0A23"/>
    <w:rsid w:val="004A711F"/>
    <w:rsid w:val="004B199D"/>
    <w:rsid w:val="004B4690"/>
    <w:rsid w:val="004E0A2D"/>
    <w:rsid w:val="004E206B"/>
    <w:rsid w:val="004E6DF7"/>
    <w:rsid w:val="004F0FBD"/>
    <w:rsid w:val="004F1F78"/>
    <w:rsid w:val="004F403E"/>
    <w:rsid w:val="00500B82"/>
    <w:rsid w:val="00505A47"/>
    <w:rsid w:val="00512FDA"/>
    <w:rsid w:val="00520DA0"/>
    <w:rsid w:val="005664BB"/>
    <w:rsid w:val="00566FFA"/>
    <w:rsid w:val="0057481D"/>
    <w:rsid w:val="00575F0B"/>
    <w:rsid w:val="005815EE"/>
    <w:rsid w:val="0058486E"/>
    <w:rsid w:val="00585B33"/>
    <w:rsid w:val="0059014D"/>
    <w:rsid w:val="005B5C64"/>
    <w:rsid w:val="005C15F2"/>
    <w:rsid w:val="005C6BD0"/>
    <w:rsid w:val="005C6C4C"/>
    <w:rsid w:val="005D1C8B"/>
    <w:rsid w:val="005D3C13"/>
    <w:rsid w:val="005D468D"/>
    <w:rsid w:val="005D5CED"/>
    <w:rsid w:val="005F1A4C"/>
    <w:rsid w:val="005F594A"/>
    <w:rsid w:val="00605626"/>
    <w:rsid w:val="00605688"/>
    <w:rsid w:val="006070AF"/>
    <w:rsid w:val="00607E6C"/>
    <w:rsid w:val="006101B1"/>
    <w:rsid w:val="00614E44"/>
    <w:rsid w:val="0062270A"/>
    <w:rsid w:val="00622830"/>
    <w:rsid w:val="00623DA0"/>
    <w:rsid w:val="00627EE7"/>
    <w:rsid w:val="00630AEF"/>
    <w:rsid w:val="006325F8"/>
    <w:rsid w:val="00633463"/>
    <w:rsid w:val="00634C9A"/>
    <w:rsid w:val="006440E4"/>
    <w:rsid w:val="00644841"/>
    <w:rsid w:val="00653D92"/>
    <w:rsid w:val="0066343B"/>
    <w:rsid w:val="006642A7"/>
    <w:rsid w:val="00664777"/>
    <w:rsid w:val="006748A4"/>
    <w:rsid w:val="00681A31"/>
    <w:rsid w:val="00683E73"/>
    <w:rsid w:val="00691F84"/>
    <w:rsid w:val="00692C81"/>
    <w:rsid w:val="00696478"/>
    <w:rsid w:val="006A3141"/>
    <w:rsid w:val="006A5E34"/>
    <w:rsid w:val="006B2422"/>
    <w:rsid w:val="006B2B9A"/>
    <w:rsid w:val="006C1937"/>
    <w:rsid w:val="006E402B"/>
    <w:rsid w:val="006F020C"/>
    <w:rsid w:val="007127B7"/>
    <w:rsid w:val="0071798E"/>
    <w:rsid w:val="00722F4F"/>
    <w:rsid w:val="00724CB7"/>
    <w:rsid w:val="00727533"/>
    <w:rsid w:val="007416B6"/>
    <w:rsid w:val="00746F48"/>
    <w:rsid w:val="00750324"/>
    <w:rsid w:val="0075338B"/>
    <w:rsid w:val="0075404D"/>
    <w:rsid w:val="0076182A"/>
    <w:rsid w:val="0076242B"/>
    <w:rsid w:val="00767B7E"/>
    <w:rsid w:val="007770C3"/>
    <w:rsid w:val="00784D24"/>
    <w:rsid w:val="00785FBA"/>
    <w:rsid w:val="00786E4A"/>
    <w:rsid w:val="007875EB"/>
    <w:rsid w:val="0079426B"/>
    <w:rsid w:val="007A16A1"/>
    <w:rsid w:val="007A5EDE"/>
    <w:rsid w:val="007D1682"/>
    <w:rsid w:val="007D312A"/>
    <w:rsid w:val="007D3F19"/>
    <w:rsid w:val="007E23B0"/>
    <w:rsid w:val="007F1991"/>
    <w:rsid w:val="007F2C2F"/>
    <w:rsid w:val="007F55FC"/>
    <w:rsid w:val="007F5665"/>
    <w:rsid w:val="00800112"/>
    <w:rsid w:val="00810E33"/>
    <w:rsid w:val="00813348"/>
    <w:rsid w:val="008253BB"/>
    <w:rsid w:val="00830D42"/>
    <w:rsid w:val="00831045"/>
    <w:rsid w:val="00833962"/>
    <w:rsid w:val="0083706E"/>
    <w:rsid w:val="008408F6"/>
    <w:rsid w:val="008423A5"/>
    <w:rsid w:val="00850625"/>
    <w:rsid w:val="00853718"/>
    <w:rsid w:val="00855221"/>
    <w:rsid w:val="008573FB"/>
    <w:rsid w:val="00860645"/>
    <w:rsid w:val="00871F71"/>
    <w:rsid w:val="00872FD8"/>
    <w:rsid w:val="00885AF4"/>
    <w:rsid w:val="00885B43"/>
    <w:rsid w:val="008939CD"/>
    <w:rsid w:val="008A22D8"/>
    <w:rsid w:val="008B768C"/>
    <w:rsid w:val="008C4DB1"/>
    <w:rsid w:val="008C4EAF"/>
    <w:rsid w:val="008C5176"/>
    <w:rsid w:val="008C7FD0"/>
    <w:rsid w:val="008D1AC6"/>
    <w:rsid w:val="008E1DE7"/>
    <w:rsid w:val="008E707C"/>
    <w:rsid w:val="008F66C7"/>
    <w:rsid w:val="00900B08"/>
    <w:rsid w:val="00901F41"/>
    <w:rsid w:val="00902155"/>
    <w:rsid w:val="00902FA3"/>
    <w:rsid w:val="00913096"/>
    <w:rsid w:val="00923564"/>
    <w:rsid w:val="0092392E"/>
    <w:rsid w:val="009315F9"/>
    <w:rsid w:val="00933499"/>
    <w:rsid w:val="00934C83"/>
    <w:rsid w:val="00935C98"/>
    <w:rsid w:val="009402A5"/>
    <w:rsid w:val="009421A0"/>
    <w:rsid w:val="00946945"/>
    <w:rsid w:val="00951248"/>
    <w:rsid w:val="0095152F"/>
    <w:rsid w:val="00954C49"/>
    <w:rsid w:val="00955E37"/>
    <w:rsid w:val="0097099F"/>
    <w:rsid w:val="00971997"/>
    <w:rsid w:val="00971FFC"/>
    <w:rsid w:val="00976CEA"/>
    <w:rsid w:val="00976E9D"/>
    <w:rsid w:val="0098660A"/>
    <w:rsid w:val="009931C3"/>
    <w:rsid w:val="00995B1E"/>
    <w:rsid w:val="009B2C43"/>
    <w:rsid w:val="009B4807"/>
    <w:rsid w:val="009B4EAE"/>
    <w:rsid w:val="009B7573"/>
    <w:rsid w:val="009C22F4"/>
    <w:rsid w:val="009C2E98"/>
    <w:rsid w:val="009C37FB"/>
    <w:rsid w:val="009D3447"/>
    <w:rsid w:val="009D4711"/>
    <w:rsid w:val="009D7896"/>
    <w:rsid w:val="009E0819"/>
    <w:rsid w:val="009F1185"/>
    <w:rsid w:val="009F18CD"/>
    <w:rsid w:val="009F2A13"/>
    <w:rsid w:val="009F7527"/>
    <w:rsid w:val="00A039ED"/>
    <w:rsid w:val="00A04EB0"/>
    <w:rsid w:val="00A13CC1"/>
    <w:rsid w:val="00A16847"/>
    <w:rsid w:val="00A237D8"/>
    <w:rsid w:val="00A268C4"/>
    <w:rsid w:val="00A307CD"/>
    <w:rsid w:val="00A331C8"/>
    <w:rsid w:val="00A35117"/>
    <w:rsid w:val="00A37F0A"/>
    <w:rsid w:val="00A40A00"/>
    <w:rsid w:val="00A4142F"/>
    <w:rsid w:val="00A422EB"/>
    <w:rsid w:val="00A45BB7"/>
    <w:rsid w:val="00A56DF2"/>
    <w:rsid w:val="00A56E6E"/>
    <w:rsid w:val="00A67AB5"/>
    <w:rsid w:val="00A733B2"/>
    <w:rsid w:val="00A741C2"/>
    <w:rsid w:val="00A907F0"/>
    <w:rsid w:val="00A91760"/>
    <w:rsid w:val="00A93B00"/>
    <w:rsid w:val="00A93C21"/>
    <w:rsid w:val="00AA10FC"/>
    <w:rsid w:val="00AB64C9"/>
    <w:rsid w:val="00AC3C6A"/>
    <w:rsid w:val="00AC5230"/>
    <w:rsid w:val="00AD0F83"/>
    <w:rsid w:val="00AD5620"/>
    <w:rsid w:val="00AD656B"/>
    <w:rsid w:val="00AD7C1B"/>
    <w:rsid w:val="00AE16BA"/>
    <w:rsid w:val="00AE1EBE"/>
    <w:rsid w:val="00AF1089"/>
    <w:rsid w:val="00B03C9D"/>
    <w:rsid w:val="00B060AE"/>
    <w:rsid w:val="00B10517"/>
    <w:rsid w:val="00B14E76"/>
    <w:rsid w:val="00B161B8"/>
    <w:rsid w:val="00B17336"/>
    <w:rsid w:val="00B2048C"/>
    <w:rsid w:val="00B310B9"/>
    <w:rsid w:val="00B35F3F"/>
    <w:rsid w:val="00B36CBB"/>
    <w:rsid w:val="00B378B9"/>
    <w:rsid w:val="00B425E0"/>
    <w:rsid w:val="00B440AA"/>
    <w:rsid w:val="00B44B70"/>
    <w:rsid w:val="00B53C56"/>
    <w:rsid w:val="00B57DAF"/>
    <w:rsid w:val="00B754DC"/>
    <w:rsid w:val="00B772E5"/>
    <w:rsid w:val="00B77EA6"/>
    <w:rsid w:val="00B81598"/>
    <w:rsid w:val="00B841F1"/>
    <w:rsid w:val="00B944D6"/>
    <w:rsid w:val="00BB4DF0"/>
    <w:rsid w:val="00BC289F"/>
    <w:rsid w:val="00BC2D50"/>
    <w:rsid w:val="00BC5361"/>
    <w:rsid w:val="00BC5460"/>
    <w:rsid w:val="00BC5BDA"/>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9488E"/>
    <w:rsid w:val="00CB4E70"/>
    <w:rsid w:val="00CC09B6"/>
    <w:rsid w:val="00CC666F"/>
    <w:rsid w:val="00CD1E3F"/>
    <w:rsid w:val="00CD39D8"/>
    <w:rsid w:val="00CD5B7D"/>
    <w:rsid w:val="00CE2D85"/>
    <w:rsid w:val="00CE44F6"/>
    <w:rsid w:val="00CE49DA"/>
    <w:rsid w:val="00CE7B61"/>
    <w:rsid w:val="00CF502A"/>
    <w:rsid w:val="00D00095"/>
    <w:rsid w:val="00D03448"/>
    <w:rsid w:val="00D114F0"/>
    <w:rsid w:val="00D155AA"/>
    <w:rsid w:val="00D20620"/>
    <w:rsid w:val="00D254F7"/>
    <w:rsid w:val="00D26091"/>
    <w:rsid w:val="00D2685C"/>
    <w:rsid w:val="00D26BAC"/>
    <w:rsid w:val="00D34E7C"/>
    <w:rsid w:val="00D35489"/>
    <w:rsid w:val="00D36AFE"/>
    <w:rsid w:val="00D51276"/>
    <w:rsid w:val="00D7035F"/>
    <w:rsid w:val="00D862A0"/>
    <w:rsid w:val="00DA6084"/>
    <w:rsid w:val="00DA634F"/>
    <w:rsid w:val="00DA65AC"/>
    <w:rsid w:val="00DB1913"/>
    <w:rsid w:val="00DB63FB"/>
    <w:rsid w:val="00DC410D"/>
    <w:rsid w:val="00DC5A81"/>
    <w:rsid w:val="00DC5A9D"/>
    <w:rsid w:val="00DC68CA"/>
    <w:rsid w:val="00DC7CBA"/>
    <w:rsid w:val="00DD73B7"/>
    <w:rsid w:val="00DF28BC"/>
    <w:rsid w:val="00DF34B9"/>
    <w:rsid w:val="00E01053"/>
    <w:rsid w:val="00E07ACF"/>
    <w:rsid w:val="00E13310"/>
    <w:rsid w:val="00E24A71"/>
    <w:rsid w:val="00E264C0"/>
    <w:rsid w:val="00E331A1"/>
    <w:rsid w:val="00E33202"/>
    <w:rsid w:val="00E336A9"/>
    <w:rsid w:val="00E44717"/>
    <w:rsid w:val="00E472B1"/>
    <w:rsid w:val="00E50624"/>
    <w:rsid w:val="00E54AD5"/>
    <w:rsid w:val="00E568DF"/>
    <w:rsid w:val="00E64269"/>
    <w:rsid w:val="00E66797"/>
    <w:rsid w:val="00E82267"/>
    <w:rsid w:val="00E853CE"/>
    <w:rsid w:val="00E867B6"/>
    <w:rsid w:val="00E87F08"/>
    <w:rsid w:val="00E968B7"/>
    <w:rsid w:val="00EA010F"/>
    <w:rsid w:val="00EC49ED"/>
    <w:rsid w:val="00ED1B63"/>
    <w:rsid w:val="00ED3C1F"/>
    <w:rsid w:val="00ED4085"/>
    <w:rsid w:val="00ED420E"/>
    <w:rsid w:val="00ED5DFA"/>
    <w:rsid w:val="00ED6FBE"/>
    <w:rsid w:val="00EE2F57"/>
    <w:rsid w:val="00EF4C34"/>
    <w:rsid w:val="00EF77C6"/>
    <w:rsid w:val="00F05438"/>
    <w:rsid w:val="00F07883"/>
    <w:rsid w:val="00F1361C"/>
    <w:rsid w:val="00F156F0"/>
    <w:rsid w:val="00F160C7"/>
    <w:rsid w:val="00F22749"/>
    <w:rsid w:val="00F2408F"/>
    <w:rsid w:val="00F240E9"/>
    <w:rsid w:val="00F32207"/>
    <w:rsid w:val="00F36D8F"/>
    <w:rsid w:val="00F417B1"/>
    <w:rsid w:val="00F45853"/>
    <w:rsid w:val="00F602DF"/>
    <w:rsid w:val="00F64C59"/>
    <w:rsid w:val="00F67814"/>
    <w:rsid w:val="00F67EA9"/>
    <w:rsid w:val="00F71F94"/>
    <w:rsid w:val="00F754A1"/>
    <w:rsid w:val="00F81FD9"/>
    <w:rsid w:val="00F841AA"/>
    <w:rsid w:val="00F84A94"/>
    <w:rsid w:val="00F87E96"/>
    <w:rsid w:val="00FA23E8"/>
    <w:rsid w:val="00FC4BCA"/>
    <w:rsid w:val="00FD3CC1"/>
    <w:rsid w:val="00FD6AD2"/>
    <w:rsid w:val="00FE18B2"/>
    <w:rsid w:val="00FE36CA"/>
    <w:rsid w:val="00FE3EB4"/>
    <w:rsid w:val="00FF1E02"/>
    <w:rsid w:val="00FF30B4"/>
    <w:rsid w:val="10C055FF"/>
    <w:rsid w:val="16BB723D"/>
    <w:rsid w:val="240371BF"/>
    <w:rsid w:val="29FD04D3"/>
    <w:rsid w:val="319F7F4E"/>
    <w:rsid w:val="338E614A"/>
    <w:rsid w:val="4ECE223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delete val="1"/>
          </c:dLbls>
          <c:cat>
            <c:strRef>
              <c:f>Sheet1!$A$38:$A$39</c:f>
              <c:strCache>
                <c:ptCount val="2"/>
                <c:pt idx="0">
                  <c:v>2020年财政拨款收支</c:v>
                </c:pt>
                <c:pt idx="1">
                  <c:v>2019年财政拨款收支</c:v>
                </c:pt>
              </c:strCache>
            </c:strRef>
          </c:cat>
          <c:val>
            <c:numRef>
              <c:f>Sheet1!$B$38:$B$39</c:f>
              <c:numCache>
                <c:formatCode>General</c:formatCode>
                <c:ptCount val="2"/>
                <c:pt idx="0">
                  <c:v>701.54</c:v>
                </c:pt>
                <c:pt idx="1">
                  <c:v>718.44</c:v>
                </c:pt>
              </c:numCache>
            </c:numRef>
          </c:val>
        </c:ser>
        <c:dLbls>
          <c:showLegendKey val="0"/>
          <c:showVal val="0"/>
          <c:showCatName val="0"/>
          <c:showSerName val="0"/>
          <c:showPercent val="0"/>
          <c:showBubbleSize val="0"/>
        </c:dLbls>
        <c:gapWidth val="150"/>
        <c:axId val="6746696"/>
        <c:axId val="233929776"/>
      </c:barChart>
      <c:catAx>
        <c:axId val="6746696"/>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33929776"/>
        <c:crosses val="autoZero"/>
        <c:auto val="1"/>
        <c:lblAlgn val="ctr"/>
        <c:lblOffset val="100"/>
        <c:noMultiLvlLbl val="0"/>
      </c:catAx>
      <c:valAx>
        <c:axId val="233929776"/>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6746696"/>
        <c:crosses val="autoZero"/>
        <c:crossBetween val="between"/>
      </c:valAx>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188097112860892"/>
                  <c:y val="0.009411636045494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1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8"/>
                  <c:y val="0.027984470691163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701.54</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Sheet1!$A$18:$A$22</c:f>
              <c:strCache>
                <c:ptCount val="5"/>
                <c:pt idx="0">
                  <c:v>基本支出</c:v>
                </c:pt>
                <c:pt idx="1">
                  <c:v>项目支出</c:v>
                </c:pt>
                <c:pt idx="2">
                  <c:v>上缴上级支出</c:v>
                </c:pt>
                <c:pt idx="3">
                  <c:v>经营支出</c:v>
                </c:pt>
                <c:pt idx="4">
                  <c:v>对附属单位补助支出</c:v>
                </c:pt>
              </c:strCache>
            </c:strRef>
          </c:cat>
          <c:val>
            <c:numRef>
              <c:f>Sheet1!$B$18:$B$22</c:f>
              <c:numCache>
                <c:formatCode>General</c:formatCode>
                <c:ptCount val="5"/>
                <c:pt idx="0">
                  <c:v>700.25</c:v>
                </c:pt>
                <c:pt idx="1">
                  <c:v>8.25</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elete val="1"/>
          </c:dLbls>
          <c:cat>
            <c:strRef>
              <c:f>Sheet1!$A$128:$A$131</c:f>
              <c:strCache>
                <c:ptCount val="2"/>
                <c:pt idx="0">
                  <c:v>2019年收、支</c:v>
                </c:pt>
                <c:pt idx="1">
                  <c:v>2020年收、支</c:v>
                </c:pt>
              </c:strCache>
            </c:strRef>
          </c:cat>
          <c:val>
            <c:numRef>
              <c:f>Sheet1!$B$128:$B$131</c:f>
              <c:numCache>
                <c:formatCode>General</c:formatCode>
                <c:ptCount val="4"/>
                <c:pt idx="0">
                  <c:v>702.96</c:v>
                </c:pt>
                <c:pt idx="1">
                  <c:v>708.5</c:v>
                </c:pt>
              </c:numCache>
            </c:numRef>
          </c:val>
        </c:ser>
        <c:dLbls>
          <c:showLegendKey val="0"/>
          <c:showVal val="0"/>
          <c:showCatName val="0"/>
          <c:showSerName val="0"/>
          <c:showPercent val="0"/>
          <c:showBubbleSize val="0"/>
        </c:dLbls>
        <c:gapWidth val="150"/>
        <c:overlap val="100"/>
        <c:axId val="234295832"/>
        <c:axId val="234300312"/>
      </c:barChart>
      <c:catAx>
        <c:axId val="234295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27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34300312"/>
        <c:crosses val="autoZero"/>
        <c:auto val="1"/>
        <c:lblAlgn val="ctr"/>
        <c:lblOffset val="100"/>
        <c:noMultiLvlLbl val="0"/>
      </c:catAx>
      <c:valAx>
        <c:axId val="2343003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3429583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elete val="1"/>
          </c:dLbls>
          <c:cat>
            <c:strRef>
              <c:f>Sheet1!$A$59:$A$60</c:f>
              <c:strCache>
                <c:ptCount val="2"/>
                <c:pt idx="0">
                  <c:v>2020年度一般公共预算财政拨款支出</c:v>
                </c:pt>
                <c:pt idx="1">
                  <c:v>2019年度一般公共预算财政拨款支出</c:v>
                </c:pt>
              </c:strCache>
            </c:strRef>
          </c:cat>
          <c:val>
            <c:numRef>
              <c:f>Sheet1!$B$59:$B$60</c:f>
              <c:numCache>
                <c:formatCode>General</c:formatCode>
                <c:ptCount val="2"/>
                <c:pt idx="0">
                  <c:v>708.5</c:v>
                </c:pt>
                <c:pt idx="1" c:formatCode="0.00_ ">
                  <c:v>702.9</c:v>
                </c:pt>
              </c:numCache>
            </c:numRef>
          </c:val>
        </c:ser>
        <c:dLbls>
          <c:showLegendKey val="0"/>
          <c:showVal val="0"/>
          <c:showCatName val="0"/>
          <c:showSerName val="0"/>
          <c:showPercent val="0"/>
          <c:showBubbleSize val="0"/>
        </c:dLbls>
        <c:gapWidth val="150"/>
        <c:overlap val="100"/>
        <c:axId val="177332632"/>
        <c:axId val="177333016"/>
      </c:barChart>
      <c:catAx>
        <c:axId val="177332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77333016"/>
        <c:crosses val="autoZero"/>
        <c:auto val="1"/>
        <c:lblAlgn val="ctr"/>
        <c:lblOffset val="100"/>
        <c:noMultiLvlLbl val="0"/>
      </c:catAx>
      <c:valAx>
        <c:axId val="1773330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177332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view3D>
    <c:floor>
      <c:thickness val="0"/>
    </c:floor>
    <c:sideWall>
      <c:thickness val="0"/>
    </c:sideWall>
    <c:backWall>
      <c:thickness val="0"/>
    </c:backWall>
    <c:plotArea>
      <c:layout>
        <c:manualLayout>
          <c:layoutTarget val="inner"/>
          <c:xMode val="edge"/>
          <c:yMode val="edge"/>
          <c:x val="0.0381003488060102"/>
          <c:y val="0.0641025641025641"/>
          <c:w val="0.656023611483767"/>
          <c:h val="0.834615384615385"/>
        </c:manualLayout>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Sheet1!$A$79:$A$85</c:f>
              <c:strCache>
                <c:ptCount val="7"/>
                <c:pt idx="0">
                  <c:v>一般公共服务支出</c:v>
                </c:pt>
                <c:pt idx="1">
                  <c:v>国防支出</c:v>
                </c:pt>
                <c:pt idx="2">
                  <c:v>教育支出</c:v>
                </c:pt>
                <c:pt idx="3">
                  <c:v>社会保障和就业支出</c:v>
                </c:pt>
                <c:pt idx="4">
                  <c:v>卫生健康支出</c:v>
                </c:pt>
                <c:pt idx="5">
                  <c:v>农林水支出</c:v>
                </c:pt>
                <c:pt idx="6">
                  <c:v>住房保障支出</c:v>
                </c:pt>
              </c:strCache>
            </c:strRef>
          </c:cat>
          <c:val>
            <c:numRef>
              <c:f>Sheet1!$B$79:$B$85</c:f>
              <c:numCache>
                <c:formatCode>General</c:formatCode>
                <c:ptCount val="7"/>
                <c:pt idx="0">
                  <c:v>0</c:v>
                </c:pt>
                <c:pt idx="1">
                  <c:v>0</c:v>
                </c:pt>
                <c:pt idx="2">
                  <c:v>520.62</c:v>
                </c:pt>
                <c:pt idx="3">
                  <c:v>105.72</c:v>
                </c:pt>
                <c:pt idx="4">
                  <c:v>19.86</c:v>
                </c:pt>
                <c:pt idx="5">
                  <c:v>0</c:v>
                </c:pt>
                <c:pt idx="6">
                  <c:v>54.04</c:v>
                </c:pt>
              </c:numCache>
            </c:numRef>
          </c:val>
        </c:ser>
        <c:dLbls>
          <c:showLegendKey val="0"/>
          <c:showVal val="0"/>
          <c:showCatName val="0"/>
          <c:showSerName val="0"/>
          <c:showPercent val="0"/>
          <c:showBubbleSize val="0"/>
        </c:dLbls>
      </c:pie3DChart>
      <c:spPr>
        <a:noFill/>
        <a:ln w="25400">
          <a:noFill/>
        </a:ln>
      </c:spPr>
    </c:plotArea>
    <c:legend>
      <c:legendPos val="r"/>
      <c:layout>
        <c:manualLayout>
          <c:xMode val="edge"/>
          <c:yMode val="edge"/>
          <c:x val="0.7125"/>
          <c:y val="0.164"/>
          <c:w val="0.2555"/>
          <c:h val="0.6335"/>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47CF8-F4F3-49F2-83CA-C75323619B0C}">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12734</Words>
  <Characters>2014</Characters>
  <Lines>16</Lines>
  <Paragraphs>29</Paragraphs>
  <TotalTime>1093</TotalTime>
  <ScaleCrop>false</ScaleCrop>
  <LinksUpToDate>false</LinksUpToDate>
  <CharactersWithSpaces>14719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王卫金</cp:lastModifiedBy>
  <cp:lastPrinted>2021-10-23T08:19:00Z</cp:lastPrinted>
  <dcterms:modified xsi:type="dcterms:W3CDTF">2021-10-27T02:36:50Z</dcterms:modified>
  <dc:title>四川省***</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1F4AC88E00494825A5F97FB84D28F88B</vt:lpwstr>
  </property>
</Properties>
</file>