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7033">
      <w:pPr>
        <w:spacing w:line="600" w:lineRule="exact"/>
        <w:jc w:val="center"/>
        <w:outlineLvl w:val="0"/>
        <w:rPr>
          <w:rFonts w:ascii="仿宋" w:hAnsi="仿宋" w:eastAsia="仿宋"/>
          <w:color w:val="000000"/>
          <w:sz w:val="72"/>
          <w:szCs w:val="72"/>
        </w:rPr>
      </w:pPr>
      <w:bookmarkStart w:id="0" w:name="_Toc15306267"/>
    </w:p>
    <w:p w14:paraId="5D7F3E8B">
      <w:pPr>
        <w:spacing w:line="600" w:lineRule="exact"/>
        <w:jc w:val="center"/>
        <w:outlineLvl w:val="0"/>
        <w:rPr>
          <w:rFonts w:ascii="仿宋" w:hAnsi="仿宋" w:eastAsia="仿宋"/>
          <w:color w:val="000000"/>
          <w:sz w:val="72"/>
          <w:szCs w:val="72"/>
        </w:rPr>
      </w:pPr>
    </w:p>
    <w:p w14:paraId="5F219C2A">
      <w:pPr>
        <w:spacing w:line="600" w:lineRule="exact"/>
        <w:jc w:val="center"/>
        <w:outlineLvl w:val="0"/>
        <w:rPr>
          <w:rFonts w:ascii="仿宋" w:hAnsi="仿宋" w:eastAsia="仿宋"/>
          <w:color w:val="000000"/>
          <w:sz w:val="72"/>
          <w:szCs w:val="72"/>
        </w:rPr>
      </w:pPr>
    </w:p>
    <w:p w14:paraId="7D85155A">
      <w:pPr>
        <w:spacing w:line="600" w:lineRule="exact"/>
        <w:jc w:val="center"/>
        <w:outlineLvl w:val="0"/>
        <w:rPr>
          <w:rFonts w:ascii="仿宋" w:hAnsi="仿宋" w:eastAsia="仿宋"/>
          <w:color w:val="000000"/>
          <w:sz w:val="72"/>
          <w:szCs w:val="72"/>
        </w:rPr>
      </w:pPr>
    </w:p>
    <w:p w14:paraId="3A8D205E">
      <w:pPr>
        <w:adjustRightInd w:val="0"/>
        <w:snapToGrid w:val="0"/>
        <w:spacing w:line="360" w:lineRule="auto"/>
        <w:jc w:val="center"/>
        <w:outlineLvl w:val="0"/>
        <w:rPr>
          <w:rFonts w:ascii="仿宋" w:hAnsi="仿宋" w:eastAsia="仿宋"/>
          <w:color w:val="000000"/>
          <w:sz w:val="72"/>
          <w:szCs w:val="72"/>
        </w:rPr>
      </w:pPr>
      <w:bookmarkStart w:id="1" w:name="_Toc15377425"/>
      <w:bookmarkStart w:id="2" w:name="_Toc15377193"/>
      <w:bookmarkStart w:id="3" w:name="_Toc15396475"/>
      <w:bookmarkStart w:id="4" w:name="_Toc15378441"/>
      <w:bookmarkStart w:id="5" w:name="_Toc15396597"/>
      <w:r>
        <w:rPr>
          <w:rFonts w:hint="eastAsia" w:ascii="仿宋" w:hAnsi="仿宋" w:eastAsia="仿宋"/>
          <w:color w:val="000000"/>
          <w:sz w:val="72"/>
          <w:szCs w:val="72"/>
        </w:rPr>
        <w:t>关于编制</w:t>
      </w:r>
      <w:r>
        <w:rPr>
          <w:rFonts w:ascii="仿宋" w:hAnsi="仿宋" w:eastAsia="仿宋"/>
          <w:color w:val="000000"/>
          <w:sz w:val="72"/>
          <w:szCs w:val="72"/>
        </w:rPr>
        <w:t>20</w:t>
      </w:r>
      <w:r>
        <w:rPr>
          <w:rFonts w:hint="eastAsia" w:ascii="仿宋" w:hAnsi="仿宋" w:eastAsia="仿宋"/>
          <w:color w:val="000000"/>
          <w:sz w:val="72"/>
          <w:szCs w:val="72"/>
        </w:rPr>
        <w:t>20年度</w:t>
      </w:r>
      <w:bookmarkEnd w:id="1"/>
      <w:bookmarkEnd w:id="2"/>
      <w:bookmarkEnd w:id="3"/>
      <w:bookmarkEnd w:id="4"/>
      <w:bookmarkEnd w:id="5"/>
      <w:r>
        <w:rPr>
          <w:rFonts w:hint="eastAsia" w:ascii="仿宋" w:hAnsi="仿宋" w:eastAsia="仿宋"/>
          <w:color w:val="000000"/>
          <w:sz w:val="72"/>
          <w:szCs w:val="72"/>
        </w:rPr>
        <w:t>四川省</w:t>
      </w:r>
    </w:p>
    <w:bookmarkEnd w:id="0"/>
    <w:p w14:paraId="623E9368">
      <w:pPr>
        <w:adjustRightInd w:val="0"/>
        <w:snapToGrid w:val="0"/>
        <w:spacing w:line="360" w:lineRule="auto"/>
        <w:jc w:val="center"/>
        <w:outlineLvl w:val="0"/>
        <w:rPr>
          <w:rFonts w:ascii="仿宋" w:hAnsi="仿宋" w:eastAsia="仿宋"/>
          <w:color w:val="000000"/>
          <w:sz w:val="48"/>
          <w:szCs w:val="48"/>
        </w:rPr>
        <w:sectPr>
          <w:pgSz w:w="11906" w:h="16838"/>
          <w:pgMar w:top="1440" w:right="1800" w:bottom="1440" w:left="1800" w:header="851" w:footer="992" w:gutter="0"/>
          <w:pgNumType w:start="0"/>
          <w:cols w:space="425" w:num="1"/>
          <w:docGrid w:type="lines" w:linePitch="312" w:charSpace="0"/>
        </w:sectPr>
      </w:pPr>
      <w:bookmarkStart w:id="6" w:name="_Toc15396476"/>
      <w:bookmarkStart w:id="7" w:name="_Toc15396598"/>
      <w:bookmarkStart w:id="8" w:name="_Toc15377426"/>
      <w:bookmarkStart w:id="9" w:name="_Toc15377194"/>
      <w:bookmarkStart w:id="10" w:name="_Toc15378442"/>
      <w:bookmarkStart w:id="11" w:name="_Toc15306268"/>
      <w:r>
        <w:rPr>
          <w:rFonts w:hint="eastAsia" w:ascii="仿宋" w:hAnsi="仿宋" w:eastAsia="仿宋"/>
          <w:color w:val="000000"/>
          <w:sz w:val="72"/>
          <w:szCs w:val="72"/>
        </w:rPr>
        <w:t>乐山市峨眉山市自然资源局（本级）部门决算</w:t>
      </w:r>
      <w:bookmarkEnd w:id="6"/>
      <w:bookmarkEnd w:id="7"/>
      <w:bookmarkEnd w:id="8"/>
      <w:bookmarkEnd w:id="9"/>
      <w:bookmarkEnd w:id="10"/>
      <w:bookmarkEnd w:id="11"/>
      <w:r>
        <w:rPr>
          <w:rFonts w:hint="eastAsia" w:ascii="仿宋" w:hAnsi="仿宋" w:eastAsia="仿宋"/>
          <w:color w:val="000000"/>
          <w:sz w:val="72"/>
          <w:szCs w:val="72"/>
        </w:rPr>
        <w:t>的说明</w:t>
      </w:r>
    </w:p>
    <w:p w14:paraId="700A68E2">
      <w:pPr>
        <w:widowControl/>
        <w:jc w:val="center"/>
        <w:rPr>
          <w:rFonts w:ascii="仿宋" w:hAnsi="仿宋" w:eastAsia="仿宋"/>
          <w:color w:val="000000"/>
          <w:sz w:val="48"/>
          <w:szCs w:val="48"/>
        </w:rPr>
      </w:pPr>
      <w:r>
        <w:rPr>
          <w:rFonts w:hint="eastAsia" w:ascii="仿宋" w:hAnsi="仿宋" w:eastAsia="仿宋"/>
          <w:color w:val="000000"/>
          <w:sz w:val="48"/>
          <w:szCs w:val="48"/>
        </w:rPr>
        <w:t>目录</w:t>
      </w:r>
    </w:p>
    <w:p w14:paraId="1CD0C5BB">
      <w:pPr>
        <w:widowControl/>
        <w:jc w:val="center"/>
        <w:rPr>
          <w:rFonts w:ascii="仿宋" w:hAnsi="仿宋" w:eastAsia="仿宋" w:cstheme="minorBidi"/>
          <w:sz w:val="28"/>
          <w:szCs w:val="28"/>
        </w:rPr>
      </w:pPr>
    </w:p>
    <w:p w14:paraId="0F1BD422">
      <w:pPr>
        <w:pStyle w:val="8"/>
      </w:pPr>
      <w:r>
        <w:rPr>
          <w:rFonts w:hint="eastAsia"/>
        </w:rPr>
        <w:t>公开时间：2021年10月26日</w:t>
      </w:r>
    </w:p>
    <w:p w14:paraId="2E764628">
      <w:pPr>
        <w:rPr>
          <w:rFonts w:ascii="仿宋" w:hAnsi="仿宋" w:eastAsia="仿宋"/>
        </w:rPr>
      </w:pPr>
    </w:p>
    <w:p w14:paraId="36AB3658">
      <w:pPr>
        <w:pStyle w:val="8"/>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7B717D9F">
      <w:pPr>
        <w:pStyle w:val="9"/>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14:paraId="2609BBBC">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14:paraId="2571EED3">
      <w:pPr>
        <w:pStyle w:val="8"/>
        <w:adjustRightInd w:val="0"/>
        <w:snapToGrid w:val="0"/>
        <w:spacing w:before="0" w:line="440" w:lineRule="exact"/>
        <w:jc w:val="left"/>
        <w:rPr>
          <w:sz w:val="24"/>
          <w:szCs w:val="24"/>
        </w:rPr>
      </w:pPr>
      <w:r>
        <w:rPr>
          <w:rFonts w:hint="eastAsia"/>
          <w:sz w:val="24"/>
        </w:rPr>
        <w:t>第二部分度部门决算情况说明</w:t>
      </w:r>
    </w:p>
    <w:p w14:paraId="018F36D5">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14:paraId="37644FCD">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14:paraId="42049E72">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14:paraId="43E84798">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14:paraId="7685827C">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14:paraId="2BCA3704">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14:paraId="6B294D9E">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14:paraId="72B75C42">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14:paraId="77F56303">
      <w:pPr>
        <w:pStyle w:val="9"/>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14:paraId="7048EB76">
      <w:pPr>
        <w:adjustRightInd w:val="0"/>
        <w:snapToGrid w:val="0"/>
        <w:spacing w:line="440" w:lineRule="exact"/>
        <w:ind w:firstLine="480" w:firstLineChars="200"/>
        <w:jc w:val="left"/>
        <w:rPr>
          <w:rFonts w:ascii="仿宋" w:hAnsi="仿宋" w:eastAsia="仿宋" w:cstheme="minorBidi"/>
          <w:sz w:val="24"/>
        </w:rPr>
      </w:pPr>
      <w:r>
        <w:rPr>
          <w:rStyle w:val="13"/>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14:paraId="0ADFCF80">
      <w:pPr>
        <w:pStyle w:val="8"/>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E512CD2">
      <w:pPr>
        <w:pStyle w:val="8"/>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40DEB07">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14:paraId="45744C21">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14:paraId="0AC214BF">
      <w:pPr>
        <w:pStyle w:val="8"/>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472D6AF2">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14:paraId="13509B29">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二、收入决算表</w:t>
      </w:r>
    </w:p>
    <w:p w14:paraId="6DAD4FE5">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三、支出决算表</w:t>
      </w:r>
    </w:p>
    <w:p w14:paraId="5944B918">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14:paraId="3011747C">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五、财政拨款支出决算明细表</w:t>
      </w:r>
    </w:p>
    <w:p w14:paraId="72B6A101">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14:paraId="6365E0E5">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14:paraId="412F306F">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14:paraId="5E311BB6">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14:paraId="1CFA1FAE">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14:paraId="18209994">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14:paraId="6414C908">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14:paraId="4A2EE2A0">
      <w:pPr>
        <w:adjustRightInd w:val="0"/>
        <w:snapToGrid w:val="0"/>
        <w:spacing w:line="440" w:lineRule="exact"/>
        <w:ind w:firstLine="360" w:firstLineChars="150"/>
        <w:jc w:val="left"/>
        <w:rPr>
          <w:rFonts w:ascii="仿宋" w:hAnsi="仿宋" w:eastAsia="仿宋"/>
          <w:sz w:val="24"/>
        </w:rPr>
      </w:pPr>
      <w:bookmarkStart w:id="12" w:name="_Toc15396599"/>
      <w:bookmarkStart w:id="13" w:name="_Toc15377196"/>
      <w:r>
        <w:rPr>
          <w:rFonts w:hint="eastAsia" w:ascii="仿宋" w:hAnsi="仿宋" w:eastAsia="仿宋"/>
          <w:sz w:val="24"/>
        </w:rPr>
        <w:t>十三、国有资本经营预算财政拨款收入支出决算表</w:t>
      </w:r>
    </w:p>
    <w:p w14:paraId="68C3B923">
      <w:pPr>
        <w:adjustRightInd w:val="0"/>
        <w:snapToGrid w:val="0"/>
        <w:spacing w:line="440" w:lineRule="exact"/>
        <w:ind w:firstLine="360" w:firstLineChars="150"/>
        <w:jc w:val="left"/>
        <w:rPr>
          <w:rFonts w:ascii="仿宋" w:hAnsi="仿宋" w:eastAsia="仿宋"/>
          <w:sz w:val="24"/>
        </w:rPr>
      </w:pPr>
      <w:r>
        <w:rPr>
          <w:rFonts w:hint="eastAsia" w:ascii="仿宋" w:hAnsi="仿宋" w:eastAsia="仿宋"/>
          <w:sz w:val="24"/>
        </w:rPr>
        <w:t>十四、国有资本经营预算财政拨款支出决算表</w:t>
      </w:r>
    </w:p>
    <w:p w14:paraId="47475B5A">
      <w:pPr>
        <w:widowControl/>
        <w:spacing w:line="440" w:lineRule="exact"/>
        <w:jc w:val="left"/>
        <w:rPr>
          <w:rFonts w:ascii="仿宋" w:hAnsi="仿宋" w:eastAsia="仿宋"/>
          <w:bCs/>
          <w:kern w:val="44"/>
          <w:sz w:val="24"/>
        </w:rPr>
      </w:pPr>
      <w:r>
        <w:rPr>
          <w:rFonts w:ascii="仿宋" w:hAnsi="仿宋" w:eastAsia="仿宋"/>
          <w:b/>
          <w:sz w:val="24"/>
        </w:rPr>
        <w:br w:type="page"/>
      </w:r>
    </w:p>
    <w:p w14:paraId="017A1697">
      <w:pPr>
        <w:pStyle w:val="3"/>
        <w:jc w:val="center"/>
        <w:rPr>
          <w:rStyle w:val="14"/>
          <w:rFonts w:ascii="仿宋" w:hAnsi="仿宋" w:eastAsia="仿宋"/>
          <w:b/>
          <w:bCs w:val="0"/>
        </w:rPr>
      </w:pPr>
      <w:r>
        <w:rPr>
          <w:rFonts w:hint="eastAsia" w:ascii="仿宋" w:hAnsi="仿宋" w:eastAsia="仿宋"/>
          <w:b w:val="0"/>
        </w:rPr>
        <w:t xml:space="preserve">第一部分 </w:t>
      </w:r>
      <w:r>
        <w:rPr>
          <w:rStyle w:val="14"/>
          <w:rFonts w:hint="eastAsia" w:ascii="仿宋" w:hAnsi="仿宋" w:eastAsia="仿宋"/>
          <w:b w:val="0"/>
          <w:bCs w:val="0"/>
        </w:rPr>
        <w:t>部门概况</w:t>
      </w:r>
      <w:bookmarkEnd w:id="12"/>
      <w:bookmarkEnd w:id="13"/>
    </w:p>
    <w:p w14:paraId="086AF59D">
      <w:pPr>
        <w:widowControl/>
        <w:jc w:val="left"/>
        <w:rPr>
          <w:rFonts w:ascii="仿宋" w:hAnsi="仿宋" w:eastAsia="仿宋"/>
          <w:color w:val="000000"/>
          <w:sz w:val="32"/>
          <w:szCs w:val="32"/>
        </w:rPr>
      </w:pPr>
    </w:p>
    <w:p w14:paraId="61EEB78D">
      <w:pPr>
        <w:pStyle w:val="4"/>
        <w:rPr>
          <w:rStyle w:val="15"/>
          <w:rFonts w:ascii="仿宋" w:hAnsi="仿宋" w:eastAsia="仿宋"/>
          <w:b w:val="0"/>
          <w:bCs w:val="0"/>
        </w:rPr>
      </w:pPr>
      <w:bookmarkStart w:id="14" w:name="_Toc15396600"/>
      <w:bookmarkStart w:id="15" w:name="_Toc15377197"/>
      <w:r>
        <w:rPr>
          <w:rFonts w:hint="eastAsia" w:ascii="仿宋" w:hAnsi="仿宋" w:eastAsia="仿宋"/>
          <w:b w:val="0"/>
          <w:color w:val="000000"/>
        </w:rPr>
        <w:t>一、基</w:t>
      </w:r>
      <w:r>
        <w:rPr>
          <w:rStyle w:val="15"/>
          <w:rFonts w:hint="eastAsia" w:ascii="仿宋" w:hAnsi="仿宋" w:eastAsia="仿宋"/>
          <w:b w:val="0"/>
          <w:bCs w:val="0"/>
        </w:rPr>
        <w:t>本职能及主要工作</w:t>
      </w:r>
      <w:bookmarkEnd w:id="14"/>
      <w:bookmarkEnd w:id="15"/>
    </w:p>
    <w:p w14:paraId="11553E4E">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654444A5">
      <w:pPr>
        <w:ind w:firstLine="640" w:firstLineChars="200"/>
        <w:rPr>
          <w:rFonts w:ascii="仿宋" w:hAnsi="仿宋" w:eastAsia="仿宋"/>
          <w:sz w:val="32"/>
          <w:szCs w:val="32"/>
        </w:rPr>
      </w:pPr>
      <w:r>
        <w:rPr>
          <w:rFonts w:hint="eastAsia" w:ascii="仿宋" w:hAnsi="仿宋" w:eastAsia="仿宋"/>
          <w:sz w:val="32"/>
          <w:szCs w:val="32"/>
        </w:rPr>
        <w:t>1.按照规定权限，履行全民所有土地、矿产、森林、湿地、水等自然资源资产所有者职责和所有国土空间用途管制职责。拟订全市自然资源和国土空间规划的规范性文件，制定有关政策措施并监督检查执行情况。</w:t>
      </w:r>
    </w:p>
    <w:p w14:paraId="1B7C9C1E">
      <w:pPr>
        <w:ind w:firstLine="640" w:firstLineChars="200"/>
        <w:rPr>
          <w:rFonts w:ascii="仿宋" w:hAnsi="仿宋" w:eastAsia="仿宋"/>
          <w:sz w:val="32"/>
          <w:szCs w:val="32"/>
        </w:rPr>
      </w:pPr>
      <w:r>
        <w:rPr>
          <w:rFonts w:hint="eastAsia" w:ascii="仿宋" w:hAnsi="仿宋" w:eastAsia="仿宋"/>
          <w:sz w:val="32"/>
          <w:szCs w:val="32"/>
        </w:rPr>
        <w:t>2.负责全市自然资源调查监测评价。依照自然资源调查监测评价的指标体系和统计标准，贯彻落实自然资源调查监测评价制度。实施自然资源基础调查、专项调查和监测。负责自然资源调查监测评价成果的监督管理和信息发布。组织开展全市森林湿地、荒漠和陆生野生动植物资源动态监测与评价，推进全市林业数字化建设。</w:t>
      </w:r>
    </w:p>
    <w:p w14:paraId="4CEB174C">
      <w:pPr>
        <w:ind w:firstLine="640" w:firstLineChars="200"/>
        <w:rPr>
          <w:rFonts w:ascii="仿宋" w:hAnsi="仿宋" w:eastAsia="仿宋"/>
          <w:sz w:val="32"/>
          <w:szCs w:val="32"/>
        </w:rPr>
      </w:pPr>
      <w:r>
        <w:rPr>
          <w:rFonts w:hint="eastAsia" w:ascii="仿宋" w:hAnsi="仿宋" w:eastAsia="仿宋"/>
          <w:sz w:val="32"/>
          <w:szCs w:val="32"/>
        </w:rPr>
        <w:t>3.负责全市自然资源统一确权登记工作。组织实施各类自然资源和不动产统一确权登记、权籍调查、不动产测绘、争议调处、成果应用的制度、标准、规范。建立健全自然资源和不动产登记信息管理基础平台。负责自然资源和不动产登记资料收集整理、共享、汇交管理等。</w:t>
      </w:r>
    </w:p>
    <w:p w14:paraId="48797938">
      <w:pPr>
        <w:ind w:firstLine="640" w:firstLineChars="200"/>
        <w:rPr>
          <w:rFonts w:ascii="仿宋" w:hAnsi="仿宋" w:eastAsia="仿宋"/>
          <w:sz w:val="32"/>
          <w:szCs w:val="32"/>
        </w:rPr>
      </w:pPr>
      <w:r>
        <w:rPr>
          <w:rFonts w:hint="eastAsia" w:ascii="仿宋" w:hAnsi="仿宋" w:eastAsia="仿宋"/>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5D22518D">
      <w:pPr>
        <w:ind w:firstLine="640" w:firstLineChars="200"/>
        <w:rPr>
          <w:rFonts w:ascii="仿宋" w:hAnsi="仿宋" w:eastAsia="仿宋"/>
          <w:sz w:val="32"/>
          <w:szCs w:val="32"/>
        </w:rPr>
      </w:pPr>
      <w:r>
        <w:rPr>
          <w:rFonts w:hint="eastAsia" w:ascii="仿宋" w:hAnsi="仿宋" w:eastAsia="仿宋"/>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负责自然资源市场监管。组织研究自然资源管理涉及宏观调控、区域协调和城乡统筹的政策措施。</w:t>
      </w:r>
    </w:p>
    <w:p w14:paraId="68B80333">
      <w:pPr>
        <w:ind w:firstLine="640" w:firstLineChars="200"/>
        <w:rPr>
          <w:rFonts w:ascii="仿宋" w:hAnsi="仿宋" w:eastAsia="仿宋"/>
          <w:sz w:val="32"/>
          <w:szCs w:val="32"/>
        </w:rPr>
      </w:pPr>
      <w:r>
        <w:rPr>
          <w:rFonts w:hint="eastAsia" w:ascii="仿宋" w:hAnsi="仿宋" w:eastAsia="仿宋"/>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指导全市村庄规划编制。组织拟订并实施土地等自然资源年度利用计划。负责土地等国土空间用途转用工作。</w:t>
      </w:r>
    </w:p>
    <w:p w14:paraId="0CCFEC4A">
      <w:pPr>
        <w:ind w:firstLine="640" w:firstLineChars="200"/>
        <w:rPr>
          <w:rFonts w:ascii="仿宋" w:hAnsi="仿宋" w:eastAsia="仿宋"/>
          <w:sz w:val="32"/>
          <w:szCs w:val="32"/>
        </w:rPr>
      </w:pPr>
      <w:r>
        <w:rPr>
          <w:rFonts w:hint="eastAsia" w:ascii="仿宋" w:hAnsi="仿宋" w:eastAsia="仿宋"/>
          <w:sz w:val="32"/>
          <w:szCs w:val="32"/>
        </w:rPr>
        <w:t>7.负责统筹国土空间生态修复。牵头组织编制国土空间生态修复规划并组织实施有关生态修复工程。负责开展国土空间综合整治、土地整理复垦、矿山地质环境恢复治理、林业重点生态保护修复工程等工作。牵头建立和实施生态保护补偿制度，制定合理利用社会资金进行生态修复的政策措施。负责造林绿化工作，指导公益林和商品林的培育，指导、监督全民义务植树、乡村绿化工作。指导林业有害生物防治、检疫工作。承担林业应对气候变化的相关工作。</w:t>
      </w:r>
    </w:p>
    <w:p w14:paraId="59A00538">
      <w:pPr>
        <w:ind w:firstLine="640" w:firstLineChars="200"/>
        <w:rPr>
          <w:rFonts w:ascii="仿宋" w:hAnsi="仿宋" w:eastAsia="仿宋"/>
          <w:sz w:val="32"/>
          <w:szCs w:val="32"/>
        </w:rPr>
      </w:pPr>
      <w:r>
        <w:rPr>
          <w:rFonts w:hint="eastAsia" w:ascii="仿宋" w:hAnsi="仿宋" w:eastAsia="仿宋"/>
          <w:sz w:val="32"/>
          <w:szCs w:val="32"/>
        </w:rPr>
        <w:t>8.负责组织实施最严格的耕地保护制度。牵头实施全市耕地保护政策，负责耕地数量、质量、生态保护。组织实施耕地保护责任目标考核和永久基本农田特殊保护。落实耕地占补平衡制度，监督占用耕地补偿制度执行情况。负责土地征收征用管理。</w:t>
      </w:r>
    </w:p>
    <w:p w14:paraId="1A2A7B33">
      <w:pPr>
        <w:ind w:firstLine="640" w:firstLineChars="200"/>
        <w:rPr>
          <w:rFonts w:ascii="仿宋" w:hAnsi="仿宋" w:eastAsia="仿宋"/>
          <w:sz w:val="32"/>
          <w:szCs w:val="32"/>
        </w:rPr>
      </w:pPr>
      <w:r>
        <w:rPr>
          <w:rFonts w:hint="eastAsia" w:ascii="仿宋" w:hAnsi="仿宋" w:eastAsia="仿宋"/>
          <w:sz w:val="32"/>
          <w:szCs w:val="32"/>
        </w:rPr>
        <w:t>9.负责全市地质勘查管理和地质工作。拟订全市地质勘查规划并监督检査执行情况。管理本级地质勘查项目。组织实施重大地质矿产勘查专项。负责地质灾害预防和治理，监督管理地下水过量开采及引发的地面沉降等地质问题。负责古生物化石的监督管理。</w:t>
      </w:r>
    </w:p>
    <w:p w14:paraId="3E990816">
      <w:pPr>
        <w:ind w:firstLine="640" w:firstLineChars="200"/>
        <w:rPr>
          <w:rFonts w:ascii="仿宋" w:hAnsi="仿宋" w:eastAsia="仿宋"/>
          <w:sz w:val="32"/>
          <w:szCs w:val="32"/>
        </w:rPr>
      </w:pPr>
      <w:r>
        <w:rPr>
          <w:rFonts w:hint="eastAsia" w:ascii="仿宋" w:hAnsi="仿宋" w:eastAsia="仿宋"/>
          <w:sz w:val="32"/>
          <w:szCs w:val="32"/>
        </w:rPr>
        <w:t>10.负责落实综合防灾减灾规划相关要求，组织编制全市地质灾害防治规划、森林火灾防治规划并指导实施。组织、指导协调和监督地质灾害调查评价及隐患的普查、详查、排查。组织指导开展群测群防、专业监测和预报预警等工作，组织、指导开展地质灾害工程治理工作。承担地质灾害应急救援的技术保障工作。指导开展防火巡护、火源管理、防火设施建设等工作。负责森林火情监测预警、火灾预防工作，发送森林火险信息。组织指导国有林场林区开展宣传教育、监测预警、督促检查等防火工作。</w:t>
      </w:r>
    </w:p>
    <w:p w14:paraId="58A40BF2">
      <w:pPr>
        <w:ind w:firstLine="640" w:firstLineChars="200"/>
        <w:rPr>
          <w:rFonts w:ascii="仿宋" w:hAnsi="仿宋" w:eastAsia="仿宋"/>
          <w:sz w:val="32"/>
          <w:szCs w:val="32"/>
        </w:rPr>
      </w:pPr>
      <w:r>
        <w:rPr>
          <w:rFonts w:hint="eastAsia" w:ascii="仿宋" w:hAnsi="仿宋" w:eastAsia="仿宋"/>
          <w:sz w:val="32"/>
          <w:szCs w:val="32"/>
        </w:rPr>
        <w:t>11.负责全市矿产资源管理工作。负责矿产资源储量管理、矿业权管理。协调指导压覆矿产资源报批。会同有关部门承担保护性开采的特定矿种、优势矿产的调控及相关管理工作。监督指导矿产资源合理利用和保护。</w:t>
      </w:r>
    </w:p>
    <w:p w14:paraId="6B5597B7">
      <w:pPr>
        <w:ind w:firstLine="640" w:firstLineChars="200"/>
        <w:rPr>
          <w:rFonts w:ascii="仿宋" w:hAnsi="仿宋" w:eastAsia="仿宋"/>
          <w:sz w:val="32"/>
          <w:szCs w:val="32"/>
        </w:rPr>
      </w:pPr>
      <w:r>
        <w:rPr>
          <w:rFonts w:hint="eastAsia" w:ascii="仿宋" w:hAnsi="仿宋" w:eastAsia="仿宋"/>
          <w:sz w:val="32"/>
          <w:szCs w:val="32"/>
        </w:rPr>
        <w:t>12.负责测绘地理信息管理工作。负责基础测绘和测行业管理。负责测绘资质资格、质量、信用管理，监督管理地理信息安全和市场秩序。负责地图管理、地理信息公共服务工作。负责测量标志保护。承担全市地理空间数据汇集、共享工作。负责全市航空航天遥感影像数据的统一获取、处理、提供。</w:t>
      </w:r>
    </w:p>
    <w:p w14:paraId="3E91B60F">
      <w:pPr>
        <w:ind w:firstLine="640" w:firstLineChars="200"/>
        <w:rPr>
          <w:rFonts w:ascii="仿宋" w:hAnsi="仿宋" w:eastAsia="仿宋"/>
          <w:sz w:val="32"/>
          <w:szCs w:val="32"/>
        </w:rPr>
      </w:pPr>
      <w:r>
        <w:rPr>
          <w:rFonts w:hint="eastAsia" w:ascii="仿宋" w:hAnsi="仿宋" w:eastAsia="仿宋"/>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承担湿地、防治荒漠化、濒危野生动植物等国际公约履约有关工作。</w:t>
      </w:r>
    </w:p>
    <w:p w14:paraId="71CF5925">
      <w:pPr>
        <w:ind w:firstLine="640" w:firstLineChars="200"/>
        <w:rPr>
          <w:rFonts w:ascii="仿宋" w:hAnsi="仿宋" w:eastAsia="仿宋"/>
          <w:sz w:val="32"/>
          <w:szCs w:val="32"/>
        </w:rPr>
      </w:pPr>
      <w:r>
        <w:rPr>
          <w:rFonts w:hint="eastAsia" w:ascii="仿宋" w:hAnsi="仿宋" w:eastAsia="仿宋"/>
          <w:sz w:val="32"/>
          <w:szCs w:val="32"/>
        </w:rPr>
        <w:t>14.配合国家、省、乐山市对全市落实党中央、国务院和省委省政府、乐山市委市政府关于自然资源和国土空间规划的重大方针政策、决策部署及法律法规执行情况进行督察。协调查处全市自然资源开发利用、国土空间规划等领域重大违法案件。</w:t>
      </w:r>
    </w:p>
    <w:p w14:paraId="387C7B03">
      <w:pPr>
        <w:ind w:firstLine="640" w:firstLineChars="200"/>
        <w:rPr>
          <w:rFonts w:ascii="仿宋" w:hAnsi="仿宋" w:eastAsia="仿宋"/>
          <w:sz w:val="32"/>
          <w:szCs w:val="32"/>
        </w:rPr>
      </w:pPr>
      <w:r>
        <w:rPr>
          <w:rFonts w:hint="eastAsia" w:ascii="仿宋" w:hAnsi="仿宋" w:eastAsia="仿宋"/>
          <w:sz w:val="32"/>
          <w:szCs w:val="32"/>
        </w:rPr>
        <w:t>15.负责全市森林、湿地资源的监督管理。组织编制并监督执行全市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市湿地保护规划，监督管理湿地的开发利用。</w:t>
      </w:r>
    </w:p>
    <w:p w14:paraId="50967C8C">
      <w:pPr>
        <w:ind w:firstLine="640" w:firstLineChars="200"/>
        <w:rPr>
          <w:rFonts w:ascii="仿宋" w:hAnsi="仿宋" w:eastAsia="仿宋"/>
          <w:sz w:val="32"/>
          <w:szCs w:val="32"/>
        </w:rPr>
      </w:pPr>
      <w:r>
        <w:rPr>
          <w:rFonts w:hint="eastAsia" w:ascii="仿宋" w:hAnsi="仿宋" w:eastAsia="仿宋"/>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14:paraId="239D48F9">
      <w:pPr>
        <w:ind w:firstLine="640" w:firstLineChars="200"/>
        <w:rPr>
          <w:rFonts w:ascii="仿宋" w:hAnsi="仿宋" w:eastAsia="仿宋"/>
          <w:sz w:val="32"/>
          <w:szCs w:val="32"/>
        </w:rPr>
      </w:pPr>
      <w:r>
        <w:rPr>
          <w:rFonts w:hint="eastAsia" w:ascii="仿宋" w:hAnsi="仿宋" w:eastAsia="仿宋"/>
          <w:sz w:val="32"/>
          <w:szCs w:val="32"/>
        </w:rPr>
        <w:t>17.负责全市陆生野生动植物资源监督管理。组织开展陆生野生动植物资源调查，指导陆生野生动植物的救护繁育、栖息地恢复发展、疫源疫病监测，监督管理陆生野生动植物猎捕或釆集、驯养繁殖或培植、经营利用，按分工监督管理野生动植物进出口。</w:t>
      </w:r>
    </w:p>
    <w:p w14:paraId="6A4DF761">
      <w:pPr>
        <w:ind w:firstLine="640" w:firstLineChars="200"/>
        <w:rPr>
          <w:rFonts w:ascii="仿宋" w:hAnsi="仿宋" w:eastAsia="仿宋"/>
          <w:sz w:val="32"/>
          <w:szCs w:val="32"/>
        </w:rPr>
      </w:pPr>
      <w:r>
        <w:rPr>
          <w:rFonts w:hint="eastAsia" w:ascii="仿宋" w:hAnsi="仿宋" w:eastAsia="仿宋"/>
          <w:sz w:val="32"/>
          <w:szCs w:val="32"/>
        </w:rPr>
        <w:t>18.负责监督管理全市各类自然保护地。拟订各类自然保护地规划。负责国家公园申报设立、规划、建设和特许经营等工作，负责本级政府直接行使和代理行使全民所有权的国家公园等自然保护地的自然资源资产管理和国土空间用途管制。提出新建、调整各类自然保护地的审核建议并按程序报批。负责组织自然遗产的申报和监督管理。负责生物多样性保护相关工作。</w:t>
      </w:r>
    </w:p>
    <w:p w14:paraId="5BF0311B">
      <w:pPr>
        <w:ind w:firstLine="640" w:firstLineChars="200"/>
        <w:rPr>
          <w:rFonts w:ascii="仿宋" w:hAnsi="仿宋" w:eastAsia="仿宋"/>
          <w:sz w:val="32"/>
          <w:szCs w:val="32"/>
        </w:rPr>
      </w:pPr>
      <w:r>
        <w:rPr>
          <w:rFonts w:hint="eastAsia" w:ascii="仿宋" w:hAnsi="仿宋" w:eastAsia="仿宋"/>
          <w:sz w:val="32"/>
          <w:szCs w:val="32"/>
        </w:rPr>
        <w:t>19.负责推进全市林业改革相关工作。拟订集体林权制国有林区、国有林场等重大改革意见并监督实施。拟订农村林业发展、维护林业经营者合法权益的政策措施。组织指导林地、林权管理，指导农村林地承包经营工作，监督林杈纠纷调处和林地承包合同纠纷仲裁。开展退耕还林，负责天然林保护工作。</w:t>
      </w:r>
    </w:p>
    <w:p w14:paraId="26BE5C3F">
      <w:pPr>
        <w:ind w:firstLine="640" w:firstLineChars="200"/>
        <w:rPr>
          <w:rFonts w:ascii="仿宋" w:hAnsi="仿宋" w:eastAsia="仿宋"/>
          <w:sz w:val="32"/>
          <w:szCs w:val="32"/>
        </w:rPr>
      </w:pPr>
      <w:r>
        <w:rPr>
          <w:rFonts w:hint="eastAsia" w:ascii="仿宋" w:hAnsi="仿宋" w:eastAsia="仿宋"/>
          <w:sz w:val="32"/>
          <w:szCs w:val="32"/>
        </w:rPr>
        <w:t>20.拟订全市林业资源优化配置及木材利用政策，组织指导林产品质量监督，指导山区林业综合开发和生态扶贫相关工作，推进全市林竹产业带和产业基地建设。指导林业现代园区建设、花卉、特色经济林、林下经济、森林康养和生态旅游产业发展。推进林业绿色产业发展。</w:t>
      </w:r>
    </w:p>
    <w:p w14:paraId="070545E7">
      <w:pPr>
        <w:ind w:firstLine="640" w:firstLineChars="200"/>
        <w:rPr>
          <w:rFonts w:ascii="仿宋" w:hAnsi="仿宋" w:eastAsia="仿宋"/>
          <w:sz w:val="32"/>
          <w:szCs w:val="32"/>
        </w:rPr>
      </w:pPr>
      <w:r>
        <w:rPr>
          <w:rFonts w:hint="eastAsia" w:ascii="仿宋" w:hAnsi="仿宋" w:eastAsia="仿宋"/>
          <w:sz w:val="32"/>
          <w:szCs w:val="32"/>
        </w:rPr>
        <w:t>21.监督管理全市国有林场基本建设和发展，组织林木种质资源普查，组织建立种质资源库，负责良种选育推广，管理林木种苗经营行为，监管林木种苗质量。监督管理林业生物种质资源、转基因生物安全、植物新品种保护。</w:t>
      </w:r>
    </w:p>
    <w:p w14:paraId="5D388172">
      <w:pPr>
        <w:ind w:firstLine="640" w:firstLineChars="200"/>
        <w:rPr>
          <w:rFonts w:ascii="仿宋" w:hAnsi="仿宋" w:eastAsia="仿宋"/>
          <w:sz w:val="32"/>
          <w:szCs w:val="32"/>
        </w:rPr>
      </w:pPr>
      <w:r>
        <w:rPr>
          <w:rFonts w:hint="eastAsia" w:ascii="仿宋" w:hAnsi="仿宋" w:eastAsia="仿宋"/>
          <w:sz w:val="32"/>
          <w:szCs w:val="32"/>
        </w:rPr>
        <w:t>22.监督管理全市林业项目资金和国有资产，提出林业各类预算内投资、市级以上财政性资金安排建议，按本级政府规定权限，核报、核准规划内和年度计划内投资项目。参与拟订全市林业经济调节政策，组织实施林业生态补偿工作。</w:t>
      </w:r>
    </w:p>
    <w:p w14:paraId="74799E4A">
      <w:pPr>
        <w:ind w:firstLine="640" w:firstLineChars="200"/>
        <w:rPr>
          <w:rFonts w:ascii="仿宋" w:hAnsi="仿宋" w:eastAsia="仿宋"/>
          <w:sz w:val="32"/>
          <w:szCs w:val="32"/>
        </w:rPr>
      </w:pPr>
      <w:r>
        <w:rPr>
          <w:rFonts w:hint="eastAsia" w:ascii="仿宋" w:hAnsi="仿宋" w:eastAsia="仿宋"/>
          <w:sz w:val="32"/>
          <w:szCs w:val="32"/>
        </w:rPr>
        <w:t>23.负责职责范围内的安全生产和职业健康、生态环境保护、审批服务便民化等工作。</w:t>
      </w:r>
    </w:p>
    <w:p w14:paraId="50D2D96A">
      <w:pPr>
        <w:ind w:firstLine="640" w:firstLineChars="200"/>
        <w:rPr>
          <w:rFonts w:ascii="仿宋" w:hAnsi="仿宋" w:eastAsia="仿宋"/>
          <w:sz w:val="32"/>
          <w:szCs w:val="32"/>
        </w:rPr>
      </w:pPr>
      <w:r>
        <w:rPr>
          <w:rFonts w:hint="eastAsia" w:ascii="仿宋" w:hAnsi="仿宋" w:eastAsia="仿宋"/>
          <w:sz w:val="32"/>
          <w:szCs w:val="32"/>
        </w:rPr>
        <w:t>24.完成市委、市政府交办的其他工作。</w:t>
      </w:r>
    </w:p>
    <w:p w14:paraId="39AB2F02">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14:paraId="65A109E1">
      <w:pPr>
        <w:pStyle w:val="4"/>
        <w:rPr>
          <w:rFonts w:ascii="仿宋" w:hAnsi="仿宋" w:eastAsia="仿宋" w:cs="仿宋"/>
          <w:b w:val="0"/>
          <w:bCs w:val="0"/>
          <w:color w:val="000000" w:themeColor="text1"/>
        </w:rPr>
      </w:pPr>
      <w:bookmarkStart w:id="20" w:name="_Toc15377200"/>
      <w:bookmarkStart w:id="21" w:name="_Toc15396601"/>
      <w:r>
        <w:rPr>
          <w:rFonts w:hint="eastAsia" w:ascii="仿宋" w:hAnsi="仿宋" w:eastAsia="仿宋" w:cs="仿宋"/>
          <w:b w:val="0"/>
          <w:bCs w:val="0"/>
        </w:rPr>
        <w:t>按照自然资规〔2019〕1号文件要求，划定700公顷永久基本农田储备区，为基本农田纠错补划提供划定区域。开展补充耕地核查工作，新增耕地面积为727.1291公顷。大力开展生态环境建设，开展废弃露天矿山修复治理工作，实施“绿秀峨眉”行动 。依法实施土地征收和安置工作，开展征拆项目26个，完成新征收农村集体土地</w:t>
      </w:r>
      <w:r>
        <w:rPr>
          <w:rFonts w:hint="eastAsia" w:ascii="仿宋" w:hAnsi="仿宋" w:eastAsia="仿宋" w:cs="仿宋"/>
          <w:b w:val="0"/>
          <w:bCs w:val="0"/>
          <w:color w:val="000000" w:themeColor="text1"/>
        </w:rPr>
        <w:t>315.9亩，签订房屋拆迁补偿安置协议430户，倒房344栋安置结算门市20间，安置25户82人；完成</w:t>
      </w:r>
      <w:r>
        <w:rPr>
          <w:rFonts w:hint="eastAsia" w:ascii="仿宋" w:hAnsi="仿宋" w:eastAsia="仿宋" w:cs="仿宋_GB2312"/>
          <w:b w:val="0"/>
          <w:bCs w:val="0"/>
        </w:rPr>
        <w:t>自愿选择限价商品住房安置选房687户。</w:t>
      </w:r>
      <w:r>
        <w:rPr>
          <w:rFonts w:hint="eastAsia" w:ascii="仿宋" w:hAnsi="仿宋" w:eastAsia="仿宋" w:cs="仿宋"/>
          <w:b w:val="0"/>
          <w:bCs w:val="0"/>
          <w:color w:val="000000" w:themeColor="text1"/>
        </w:rPr>
        <w:t>切实加强灾害防治</w:t>
      </w:r>
      <w:r>
        <w:rPr>
          <w:rFonts w:hint="eastAsia" w:ascii="仿宋" w:hAnsi="仿宋" w:eastAsia="仿宋" w:cs="仿宋"/>
          <w:b w:val="0"/>
          <w:bCs w:val="0"/>
        </w:rPr>
        <w:t>开展完成全市（含景区）隐患排查，推动完成森林防灭火基础设施建设1期项目和全市取水点、停机坪标志标牌设立，全年</w:t>
      </w:r>
      <w:r>
        <w:rPr>
          <w:rFonts w:hint="eastAsia" w:ascii="仿宋" w:hAnsi="仿宋" w:eastAsia="仿宋"/>
          <w:b w:val="0"/>
          <w:bCs w:val="0"/>
          <w:color w:val="000000"/>
        </w:rPr>
        <w:t>森林火灾控制率在0.1‰以内</w:t>
      </w:r>
      <w:r>
        <w:rPr>
          <w:rFonts w:hint="eastAsia" w:ascii="仿宋" w:hAnsi="仿宋" w:eastAsia="仿宋" w:cs="仿宋"/>
          <w:b w:val="0"/>
          <w:bCs w:val="0"/>
          <w:color w:val="000000" w:themeColor="text1"/>
        </w:rPr>
        <w:t>完成地质灾害避险搬迁73户，核查销号隐患33处，指导实施应急处置4处，圆满实现安全度汛“零伤亡”目标。</w:t>
      </w:r>
    </w:p>
    <w:p w14:paraId="68AA3CC0">
      <w:pPr>
        <w:pStyle w:val="4"/>
        <w:rPr>
          <w:rStyle w:val="15"/>
          <w:rFonts w:ascii="仿宋" w:hAnsi="仿宋" w:eastAsia="仿宋"/>
          <w:b w:val="0"/>
          <w:bCs w:val="0"/>
        </w:rPr>
      </w:pPr>
      <w:r>
        <w:rPr>
          <w:rFonts w:hint="eastAsia" w:ascii="仿宋" w:hAnsi="仿宋" w:eastAsia="仿宋"/>
          <w:b w:val="0"/>
          <w:color w:val="000000"/>
        </w:rPr>
        <w:t>二、机</w:t>
      </w:r>
      <w:r>
        <w:rPr>
          <w:rStyle w:val="15"/>
          <w:rFonts w:hint="eastAsia" w:ascii="仿宋" w:hAnsi="仿宋" w:eastAsia="仿宋"/>
          <w:b w:val="0"/>
          <w:bCs w:val="0"/>
        </w:rPr>
        <w:t>构设置</w:t>
      </w:r>
      <w:bookmarkEnd w:id="20"/>
      <w:bookmarkEnd w:id="21"/>
    </w:p>
    <w:p w14:paraId="6FC2044B">
      <w:pPr>
        <w:ind w:firstLine="800" w:firstLineChars="250"/>
        <w:rPr>
          <w:rFonts w:ascii="仿宋" w:hAnsi="仿宋" w:eastAsia="仿宋"/>
          <w:sz w:val="32"/>
          <w:szCs w:val="32"/>
        </w:rPr>
      </w:pPr>
      <w:r>
        <w:rPr>
          <w:rFonts w:hint="eastAsia" w:ascii="仿宋" w:hAnsi="仿宋" w:eastAsia="仿宋"/>
          <w:sz w:val="32"/>
          <w:szCs w:val="32"/>
        </w:rPr>
        <w:t>峨眉山市自然资源局属于行政单位，下属二级单位12个，其中行政单位0个，参照公务员法管理的事业单位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个，其他事业单位11个。</w:t>
      </w:r>
    </w:p>
    <w:p w14:paraId="0F33A821">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纳入自然资源局2020年度部门决算编制范围的二级预算单位包括：</w:t>
      </w:r>
    </w:p>
    <w:p w14:paraId="6992517D">
      <w:pPr>
        <w:pStyle w:val="2"/>
        <w:adjustRightInd w:val="0"/>
        <w:snapToGrid w:val="0"/>
        <w:spacing w:before="93" w:line="600" w:lineRule="exact"/>
        <w:ind w:left="672"/>
        <w:outlineLvl w:val="2"/>
        <w:rPr>
          <w:rFonts w:ascii="仿宋" w:hAnsi="仿宋" w:eastAsia="仿宋"/>
          <w:color w:val="000000"/>
          <w:sz w:val="32"/>
          <w:szCs w:val="32"/>
        </w:rPr>
      </w:pPr>
      <w:bookmarkStart w:id="22" w:name="_Toc15377433"/>
      <w:bookmarkStart w:id="23" w:name="_Toc15306276"/>
      <w:bookmarkStart w:id="24" w:name="_Toc15377202"/>
      <w:bookmarkStart w:id="25" w:name="_Toc15378449"/>
      <w:r>
        <w:rPr>
          <w:rFonts w:hint="eastAsia" w:ascii="仿宋" w:hAnsi="仿宋" w:eastAsia="仿宋"/>
          <w:color w:val="000000"/>
          <w:sz w:val="32"/>
          <w:szCs w:val="32"/>
        </w:rPr>
        <w:t>1、峨眉山市</w:t>
      </w:r>
      <w:r>
        <w:rPr>
          <w:rFonts w:hint="eastAsia" w:ascii="仿宋" w:hAnsi="仿宋" w:eastAsia="仿宋"/>
          <w:sz w:val="32"/>
          <w:szCs w:val="32"/>
        </w:rPr>
        <w:t>国土资源执法监察大队</w:t>
      </w:r>
      <w:bookmarkEnd w:id="22"/>
      <w:bookmarkEnd w:id="23"/>
      <w:bookmarkEnd w:id="24"/>
      <w:bookmarkEnd w:id="25"/>
    </w:p>
    <w:p w14:paraId="63DABC09">
      <w:pPr>
        <w:pStyle w:val="2"/>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2、峨眉山市</w:t>
      </w:r>
      <w:r>
        <w:rPr>
          <w:rFonts w:hint="eastAsia" w:ascii="仿宋" w:hAnsi="仿宋" w:eastAsia="仿宋"/>
          <w:sz w:val="32"/>
          <w:szCs w:val="32"/>
        </w:rPr>
        <w:t>符溪国土资源所</w:t>
      </w:r>
    </w:p>
    <w:p w14:paraId="3E9A2215">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3、峨眉山市</w:t>
      </w:r>
      <w:r>
        <w:rPr>
          <w:rFonts w:hint="eastAsia" w:ascii="仿宋" w:hAnsi="仿宋" w:eastAsia="仿宋"/>
          <w:sz w:val="32"/>
          <w:szCs w:val="32"/>
        </w:rPr>
        <w:t>峨山国土资源所</w:t>
      </w:r>
    </w:p>
    <w:p w14:paraId="785C0C81">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4、峨眉山市</w:t>
      </w:r>
      <w:r>
        <w:rPr>
          <w:rFonts w:hint="eastAsia" w:ascii="仿宋" w:hAnsi="仿宋" w:eastAsia="仿宋"/>
          <w:sz w:val="32"/>
          <w:szCs w:val="32"/>
        </w:rPr>
        <w:t>九里国土资源所</w:t>
      </w:r>
    </w:p>
    <w:p w14:paraId="5BB773C1">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5、峨眉山市</w:t>
      </w:r>
      <w:r>
        <w:rPr>
          <w:rFonts w:hint="eastAsia" w:ascii="仿宋" w:hAnsi="仿宋" w:eastAsia="仿宋"/>
          <w:sz w:val="32"/>
          <w:szCs w:val="32"/>
        </w:rPr>
        <w:t>双福国土资源所</w:t>
      </w:r>
    </w:p>
    <w:p w14:paraId="356A0D17">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6、峨眉山市</w:t>
      </w:r>
      <w:r>
        <w:rPr>
          <w:rFonts w:hint="eastAsia" w:ascii="仿宋" w:hAnsi="仿宋" w:eastAsia="仿宋"/>
          <w:sz w:val="32"/>
          <w:szCs w:val="32"/>
        </w:rPr>
        <w:t>龙池国土资源所</w:t>
      </w:r>
    </w:p>
    <w:p w14:paraId="736C9B68">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7、峨眉山市</w:t>
      </w:r>
      <w:r>
        <w:rPr>
          <w:rFonts w:hint="eastAsia" w:ascii="仿宋" w:hAnsi="仿宋" w:eastAsia="仿宋"/>
          <w:sz w:val="32"/>
          <w:szCs w:val="32"/>
        </w:rPr>
        <w:t>黄湾国土资源所</w:t>
      </w:r>
    </w:p>
    <w:p w14:paraId="6DA0A1B4">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8、峨眉山市</w:t>
      </w:r>
      <w:r>
        <w:rPr>
          <w:rFonts w:hint="eastAsia" w:ascii="仿宋" w:hAnsi="仿宋" w:eastAsia="仿宋"/>
          <w:sz w:val="32"/>
          <w:szCs w:val="32"/>
        </w:rPr>
        <w:t>地质环境监测站</w:t>
      </w:r>
    </w:p>
    <w:p w14:paraId="7F573024">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9、峨眉山市</w:t>
      </w:r>
      <w:r>
        <w:rPr>
          <w:rFonts w:hint="eastAsia" w:ascii="仿宋" w:hAnsi="仿宋" w:eastAsia="仿宋"/>
          <w:sz w:val="32"/>
          <w:szCs w:val="32"/>
        </w:rPr>
        <w:t>林业科技服务站</w:t>
      </w:r>
    </w:p>
    <w:p w14:paraId="02995412">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10、峨眉山市</w:t>
      </w:r>
      <w:r>
        <w:rPr>
          <w:rFonts w:hint="eastAsia" w:ascii="仿宋" w:hAnsi="仿宋" w:eastAsia="仿宋"/>
          <w:sz w:val="32"/>
          <w:szCs w:val="32"/>
        </w:rPr>
        <w:t>护林防火监测站</w:t>
      </w:r>
    </w:p>
    <w:p w14:paraId="23AF5C32">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11、峨眉山市</w:t>
      </w:r>
      <w:r>
        <w:rPr>
          <w:rFonts w:hint="eastAsia" w:ascii="仿宋" w:hAnsi="仿宋" w:eastAsia="仿宋"/>
          <w:sz w:val="32"/>
          <w:szCs w:val="32"/>
        </w:rPr>
        <w:t>木材检查站</w:t>
      </w:r>
    </w:p>
    <w:p w14:paraId="7D8CFD2A">
      <w:pPr>
        <w:pStyle w:val="2"/>
        <w:adjustRightInd w:val="0"/>
        <w:snapToGrid w:val="0"/>
        <w:spacing w:before="93" w:line="600" w:lineRule="exact"/>
        <w:ind w:firstLine="640"/>
        <w:rPr>
          <w:rFonts w:ascii="仿宋" w:hAnsi="仿宋" w:eastAsia="仿宋"/>
          <w:color w:val="000000"/>
          <w:sz w:val="32"/>
          <w:szCs w:val="32"/>
        </w:rPr>
      </w:pPr>
      <w:r>
        <w:rPr>
          <w:rFonts w:hint="eastAsia" w:ascii="仿宋" w:hAnsi="仿宋" w:eastAsia="仿宋"/>
          <w:color w:val="000000"/>
          <w:sz w:val="32"/>
          <w:szCs w:val="32"/>
        </w:rPr>
        <w:t>12、峨眉山市</w:t>
      </w:r>
      <w:r>
        <w:rPr>
          <w:rFonts w:hint="eastAsia" w:ascii="仿宋" w:hAnsi="仿宋" w:eastAsia="仿宋"/>
          <w:sz w:val="32"/>
          <w:szCs w:val="32"/>
        </w:rPr>
        <w:t>森林资源服务站</w:t>
      </w:r>
    </w:p>
    <w:p w14:paraId="5D0DCA38">
      <w:pPr>
        <w:pStyle w:val="2"/>
        <w:adjustRightInd w:val="0"/>
        <w:snapToGrid w:val="0"/>
        <w:spacing w:before="93" w:line="600" w:lineRule="exact"/>
        <w:ind w:firstLine="1120" w:firstLineChars="350"/>
        <w:rPr>
          <w:rFonts w:ascii="仿宋" w:hAnsi="仿宋" w:eastAsia="仿宋"/>
          <w:color w:val="000000"/>
          <w:sz w:val="32"/>
          <w:szCs w:val="32"/>
        </w:rPr>
      </w:pPr>
    </w:p>
    <w:p w14:paraId="2119FBEC">
      <w:pPr>
        <w:pStyle w:val="2"/>
        <w:adjustRightInd w:val="0"/>
        <w:snapToGrid w:val="0"/>
        <w:spacing w:before="93" w:line="600" w:lineRule="exact"/>
        <w:ind w:firstLine="1120" w:firstLineChars="350"/>
        <w:rPr>
          <w:rFonts w:ascii="仿宋" w:hAnsi="仿宋" w:eastAsia="仿宋"/>
          <w:color w:val="000000"/>
          <w:sz w:val="32"/>
          <w:szCs w:val="32"/>
        </w:rPr>
      </w:pPr>
    </w:p>
    <w:p w14:paraId="73A93A1F">
      <w:pPr>
        <w:pStyle w:val="2"/>
        <w:adjustRightInd w:val="0"/>
        <w:snapToGrid w:val="0"/>
        <w:spacing w:before="93" w:line="600" w:lineRule="exact"/>
        <w:ind w:firstLine="1120" w:firstLineChars="350"/>
        <w:rPr>
          <w:rFonts w:ascii="仿宋" w:hAnsi="仿宋" w:eastAsia="仿宋"/>
          <w:color w:val="000000"/>
          <w:sz w:val="32"/>
          <w:szCs w:val="32"/>
        </w:rPr>
      </w:pPr>
    </w:p>
    <w:p w14:paraId="52D4A19C">
      <w:pPr>
        <w:pStyle w:val="2"/>
        <w:adjustRightInd w:val="0"/>
        <w:snapToGrid w:val="0"/>
        <w:spacing w:before="93" w:line="600" w:lineRule="exact"/>
        <w:ind w:firstLine="1120" w:firstLineChars="350"/>
        <w:rPr>
          <w:rFonts w:ascii="仿宋" w:hAnsi="仿宋" w:eastAsia="仿宋"/>
          <w:color w:val="000000"/>
          <w:sz w:val="32"/>
          <w:szCs w:val="32"/>
        </w:rPr>
      </w:pPr>
    </w:p>
    <w:p w14:paraId="7E775FD9">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29D1A1C">
      <w:pPr>
        <w:pStyle w:val="3"/>
        <w:ind w:right="440"/>
        <w:jc w:val="right"/>
        <w:rPr>
          <w:rStyle w:val="14"/>
          <w:rFonts w:ascii="仿宋" w:hAnsi="仿宋" w:eastAsia="仿宋"/>
          <w:b w:val="0"/>
          <w:bCs w:val="0"/>
        </w:rPr>
      </w:pPr>
      <w:bookmarkStart w:id="26" w:name="_Toc15377204"/>
      <w:bookmarkStart w:id="27" w:name="_Toc15396602"/>
      <w:r>
        <w:rPr>
          <w:rFonts w:hint="eastAsia" w:ascii="仿宋" w:hAnsi="仿宋" w:eastAsia="仿宋"/>
          <w:b w:val="0"/>
          <w:color w:val="000000"/>
        </w:rPr>
        <w:t>第二部分</w:t>
      </w:r>
      <w:r>
        <w:rPr>
          <w:rFonts w:hint="eastAsia" w:ascii="仿宋" w:hAnsi="仿宋" w:eastAsia="仿宋"/>
          <w:color w:val="000000"/>
        </w:rPr>
        <w:t xml:space="preserve"> </w:t>
      </w:r>
      <w:r>
        <w:rPr>
          <w:rStyle w:val="14"/>
          <w:rFonts w:hint="eastAsia" w:ascii="仿宋" w:hAnsi="仿宋" w:eastAsia="仿宋"/>
          <w:b w:val="0"/>
          <w:bCs w:val="0"/>
        </w:rPr>
        <w:t>2020年度部门决算情况说明</w:t>
      </w:r>
      <w:bookmarkEnd w:id="26"/>
      <w:bookmarkEnd w:id="27"/>
    </w:p>
    <w:p w14:paraId="61650838">
      <w:pPr>
        <w:rPr>
          <w:rFonts w:ascii="仿宋" w:hAnsi="仿宋" w:eastAsia="仿宋"/>
        </w:rPr>
      </w:pPr>
    </w:p>
    <w:p w14:paraId="547F9A88">
      <w:pPr>
        <w:pStyle w:val="16"/>
        <w:numPr>
          <w:ilvl w:val="0"/>
          <w:numId w:val="1"/>
        </w:numPr>
        <w:spacing w:line="600" w:lineRule="exact"/>
        <w:ind w:firstLineChars="0"/>
        <w:outlineLvl w:val="1"/>
        <w:rPr>
          <w:rStyle w:val="15"/>
          <w:rFonts w:ascii="仿宋" w:hAnsi="仿宋" w:eastAsia="仿宋"/>
          <w:b w:val="0"/>
        </w:rPr>
      </w:pPr>
      <w:bookmarkStart w:id="28" w:name="_Toc15377205"/>
      <w:bookmarkStart w:id="29" w:name="_Toc15396603"/>
      <w:r>
        <w:rPr>
          <w:rFonts w:hint="eastAsia" w:ascii="仿宋" w:hAnsi="仿宋" w:eastAsia="仿宋"/>
          <w:color w:val="000000"/>
          <w:sz w:val="32"/>
          <w:szCs w:val="32"/>
        </w:rPr>
        <w:t>收</w:t>
      </w:r>
      <w:r>
        <w:rPr>
          <w:rStyle w:val="15"/>
          <w:rFonts w:hint="eastAsia" w:ascii="仿宋" w:hAnsi="仿宋" w:eastAsia="仿宋"/>
          <w:b w:val="0"/>
        </w:rPr>
        <w:t>入支出决算总体情况说明</w:t>
      </w:r>
      <w:bookmarkEnd w:id="28"/>
      <w:bookmarkEnd w:id="29"/>
    </w:p>
    <w:p w14:paraId="08465224">
      <w:pPr>
        <w:spacing w:line="600" w:lineRule="exact"/>
        <w:ind w:firstLine="640" w:firstLineChars="200"/>
        <w:rPr>
          <w:rFonts w:ascii="仿宋" w:hAnsi="仿宋" w:eastAsia="仿宋"/>
          <w:color w:val="000000"/>
          <w:sz w:val="32"/>
          <w:szCs w:val="32"/>
          <w:highlight w:val="yellow"/>
        </w:rPr>
      </w:pPr>
      <w:r>
        <w:rPr>
          <w:rFonts w:hint="eastAsia" w:ascii="仿宋" w:hAnsi="仿宋" w:eastAsia="仿宋"/>
          <w:color w:val="000000"/>
          <w:sz w:val="32"/>
          <w:szCs w:val="32"/>
        </w:rPr>
        <w:t>2020年度收、支总计18911.35万元。与2019年相比，收、支总计各减少527.97万元，减少2.72</w:t>
      </w:r>
      <w:r>
        <w:rPr>
          <w:rFonts w:ascii="仿宋" w:hAnsi="仿宋" w:eastAsia="仿宋"/>
          <w:color w:val="000000"/>
          <w:sz w:val="32"/>
          <w:szCs w:val="32"/>
        </w:rPr>
        <w:t>%</w:t>
      </w:r>
      <w:r>
        <w:rPr>
          <w:rFonts w:hint="eastAsia" w:ascii="仿宋" w:hAnsi="仿宋" w:eastAsia="仿宋"/>
          <w:color w:val="000000"/>
          <w:sz w:val="32"/>
          <w:szCs w:val="32"/>
        </w:rPr>
        <w:t>。主要变动原因一是退耕还林上级补助资金减少，二是征地拆迁社保预存款减少。</w:t>
      </w:r>
    </w:p>
    <w:p w14:paraId="2CA36A8A">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559935" cy="3875405"/>
            <wp:effectExtent l="4445" t="5080" r="76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43F8DB1">
      <w:pPr>
        <w:pStyle w:val="16"/>
        <w:numPr>
          <w:ilvl w:val="0"/>
          <w:numId w:val="1"/>
        </w:numPr>
        <w:spacing w:line="600" w:lineRule="exact"/>
        <w:ind w:firstLineChars="0"/>
        <w:outlineLvl w:val="1"/>
        <w:rPr>
          <w:rStyle w:val="15"/>
          <w:rFonts w:ascii="仿宋" w:hAnsi="仿宋" w:eastAsia="仿宋"/>
          <w:b w:val="0"/>
        </w:rPr>
      </w:pPr>
      <w:bookmarkStart w:id="30" w:name="_Toc15396604"/>
      <w:bookmarkStart w:id="31" w:name="_Toc15377206"/>
      <w:r>
        <w:rPr>
          <w:rFonts w:hint="eastAsia" w:ascii="仿宋" w:hAnsi="仿宋" w:eastAsia="仿宋"/>
          <w:color w:val="000000"/>
          <w:sz w:val="32"/>
          <w:szCs w:val="32"/>
        </w:rPr>
        <w:t>收</w:t>
      </w:r>
      <w:r>
        <w:rPr>
          <w:rStyle w:val="15"/>
          <w:rFonts w:hint="eastAsia" w:ascii="仿宋" w:hAnsi="仿宋" w:eastAsia="仿宋"/>
          <w:b w:val="0"/>
        </w:rPr>
        <w:t>入决算情况说明</w:t>
      </w:r>
      <w:bookmarkEnd w:id="30"/>
      <w:bookmarkEnd w:id="31"/>
    </w:p>
    <w:p w14:paraId="11CFB264">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20年本年收入合计17096.88万元，其中：一般公共预算财政拨款收入4486.8万元，占26.24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；政府性基金预算财政拨款收入12610.08万元，占73.76</w:t>
      </w:r>
      <w:r>
        <w:rPr>
          <w:rFonts w:ascii="仿宋" w:hAnsi="仿宋" w:eastAsia="仿宋"/>
          <w:color w:val="000000"/>
          <w:sz w:val="32"/>
          <w:szCs w:val="32"/>
        </w:rPr>
        <w:t>%</w:t>
      </w:r>
      <w:r>
        <w:rPr>
          <w:rFonts w:hint="eastAsia" w:ascii="仿宋" w:hAnsi="仿宋" w:eastAsia="仿宋"/>
          <w:color w:val="000000"/>
          <w:sz w:val="32"/>
          <w:szCs w:val="32"/>
        </w:rPr>
        <w:t>。</w:t>
      </w:r>
    </w:p>
    <w:p w14:paraId="3EBF5F25">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891F2C">
      <w:pPr>
        <w:pStyle w:val="16"/>
        <w:numPr>
          <w:ilvl w:val="0"/>
          <w:numId w:val="1"/>
        </w:numPr>
        <w:spacing w:line="600" w:lineRule="exact"/>
        <w:ind w:firstLineChars="0"/>
        <w:outlineLvl w:val="1"/>
        <w:rPr>
          <w:rStyle w:val="15"/>
          <w:rFonts w:ascii="仿宋" w:hAnsi="仿宋" w:eastAsia="仿宋"/>
          <w:b w:val="0"/>
        </w:rPr>
      </w:pPr>
      <w:bookmarkStart w:id="32" w:name="_Toc15377207"/>
      <w:bookmarkStart w:id="33" w:name="_Toc15396605"/>
      <w:r>
        <w:rPr>
          <w:rFonts w:hint="eastAsia" w:ascii="仿宋" w:hAnsi="仿宋" w:eastAsia="仿宋"/>
          <w:color w:val="000000"/>
          <w:sz w:val="32"/>
          <w:szCs w:val="32"/>
        </w:rPr>
        <w:t>支</w:t>
      </w:r>
      <w:r>
        <w:rPr>
          <w:rStyle w:val="15"/>
          <w:rFonts w:hint="eastAsia" w:ascii="仿宋" w:hAnsi="仿宋" w:eastAsia="仿宋"/>
          <w:b w:val="0"/>
        </w:rPr>
        <w:t>出决算情况说明</w:t>
      </w:r>
      <w:bookmarkEnd w:id="32"/>
      <w:bookmarkEnd w:id="33"/>
    </w:p>
    <w:p w14:paraId="34DB64F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20年本年支出合计15767.3万元，其中：基本支出1357.12万元，占8.6</w:t>
      </w:r>
      <w:r>
        <w:rPr>
          <w:rFonts w:ascii="仿宋" w:hAnsi="仿宋" w:eastAsia="仿宋"/>
          <w:color w:val="000000"/>
          <w:sz w:val="32"/>
          <w:szCs w:val="32"/>
        </w:rPr>
        <w:t>%</w:t>
      </w:r>
      <w:r>
        <w:rPr>
          <w:rFonts w:hint="eastAsia" w:ascii="仿宋" w:hAnsi="仿宋" w:eastAsia="仿宋"/>
          <w:color w:val="000000"/>
          <w:sz w:val="32"/>
          <w:szCs w:val="32"/>
        </w:rPr>
        <w:t>；项目支出14410.18万元，占91.4</w:t>
      </w:r>
      <w:r>
        <w:rPr>
          <w:rFonts w:ascii="仿宋" w:hAnsi="仿宋" w:eastAsia="仿宋"/>
          <w:color w:val="000000"/>
          <w:sz w:val="32"/>
          <w:szCs w:val="32"/>
        </w:rPr>
        <w:t>%</w:t>
      </w:r>
      <w:r>
        <w:rPr>
          <w:rFonts w:hint="eastAsia" w:ascii="仿宋" w:hAnsi="仿宋" w:eastAsia="仿宋"/>
          <w:color w:val="000000"/>
          <w:sz w:val="32"/>
          <w:szCs w:val="32"/>
        </w:rPr>
        <w:t>。</w:t>
      </w:r>
    </w:p>
    <w:p w14:paraId="5166C00E">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EEFBAD">
      <w:pPr>
        <w:spacing w:line="600" w:lineRule="exact"/>
        <w:ind w:firstLine="640" w:firstLineChars="200"/>
        <w:outlineLvl w:val="1"/>
        <w:rPr>
          <w:rStyle w:val="15"/>
          <w:rFonts w:ascii="仿宋" w:hAnsi="仿宋" w:eastAsia="仿宋"/>
          <w:b w:val="0"/>
        </w:rPr>
      </w:pPr>
      <w:bookmarkStart w:id="34" w:name="_Toc15396606"/>
      <w:bookmarkStart w:id="35" w:name="_Toc15377208"/>
      <w:r>
        <w:rPr>
          <w:rFonts w:hint="eastAsia" w:ascii="仿宋" w:hAnsi="仿宋" w:eastAsia="仿宋"/>
          <w:color w:val="000000"/>
          <w:sz w:val="32"/>
          <w:szCs w:val="32"/>
        </w:rPr>
        <w:t>四、财</w:t>
      </w:r>
      <w:r>
        <w:rPr>
          <w:rStyle w:val="15"/>
          <w:rFonts w:hint="eastAsia" w:ascii="仿宋" w:hAnsi="仿宋" w:eastAsia="仿宋"/>
          <w:b w:val="0"/>
        </w:rPr>
        <w:t>政拨款收入支出决算总体情况说明</w:t>
      </w:r>
      <w:bookmarkEnd w:id="34"/>
      <w:bookmarkEnd w:id="35"/>
    </w:p>
    <w:p w14:paraId="12958845">
      <w:pPr>
        <w:spacing w:line="600" w:lineRule="exact"/>
        <w:ind w:firstLine="640" w:firstLineChars="200"/>
        <w:rPr>
          <w:rFonts w:ascii="仿宋" w:hAnsi="仿宋" w:eastAsia="仿宋"/>
          <w:color w:val="000000"/>
          <w:sz w:val="32"/>
          <w:szCs w:val="32"/>
          <w:highlight w:val="yellow"/>
        </w:rPr>
      </w:pPr>
      <w:r>
        <w:rPr>
          <w:rFonts w:hint="eastAsia" w:ascii="仿宋" w:hAnsi="仿宋" w:eastAsia="仿宋"/>
          <w:color w:val="000000"/>
          <w:sz w:val="32"/>
          <w:szCs w:val="32"/>
        </w:rPr>
        <w:t>2020年度财政拨款收、支总计18911.35万元。与2019年相比，财政拨款收、支总计各减少527.97万元，减少2.72</w:t>
      </w:r>
      <w:r>
        <w:rPr>
          <w:rFonts w:ascii="仿宋" w:hAnsi="仿宋" w:eastAsia="仿宋"/>
          <w:color w:val="000000"/>
          <w:sz w:val="32"/>
          <w:szCs w:val="32"/>
        </w:rPr>
        <w:t>%</w:t>
      </w:r>
      <w:r>
        <w:rPr>
          <w:rFonts w:hint="eastAsia" w:ascii="仿宋" w:hAnsi="仿宋" w:eastAsia="仿宋"/>
          <w:color w:val="000000"/>
          <w:sz w:val="32"/>
          <w:szCs w:val="32"/>
        </w:rPr>
        <w:t>。主要变动原因一是退耕还林上级补助资金减少，二是征地拆迁社保预存款减少。</w:t>
      </w:r>
    </w:p>
    <w:p w14:paraId="746DFF6C">
      <w:pPr>
        <w:spacing w:line="600" w:lineRule="exact"/>
        <w:ind w:firstLine="640" w:firstLineChars="200"/>
        <w:rPr>
          <w:rFonts w:ascii="仿宋" w:hAnsi="仿宋" w:eastAsia="仿宋"/>
          <w:color w:val="000000"/>
          <w:sz w:val="32"/>
          <w:szCs w:val="32"/>
          <w:highlight w:val="yellow"/>
        </w:rPr>
      </w:pPr>
    </w:p>
    <w:p w14:paraId="421A4A4A">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3E4CAB">
      <w:pPr>
        <w:spacing w:line="600" w:lineRule="exact"/>
        <w:ind w:firstLine="640" w:firstLineChars="200"/>
        <w:outlineLvl w:val="1"/>
        <w:rPr>
          <w:rStyle w:val="15"/>
          <w:rFonts w:ascii="仿宋" w:hAnsi="仿宋" w:eastAsia="仿宋"/>
          <w:b w:val="0"/>
        </w:rPr>
      </w:pPr>
      <w:bookmarkStart w:id="36" w:name="_Toc15396607"/>
      <w:bookmarkStart w:id="37"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15"/>
          <w:rFonts w:hint="eastAsia" w:ascii="仿宋" w:hAnsi="仿宋" w:eastAsia="仿宋"/>
          <w:b w:val="0"/>
        </w:rPr>
        <w:t>般公共预算财政拨款支出决算情况说明</w:t>
      </w:r>
      <w:bookmarkEnd w:id="36"/>
      <w:bookmarkEnd w:id="37"/>
    </w:p>
    <w:p w14:paraId="00A04DEE">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14:paraId="593C6549">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20年一般公共预算财政拨款支出3152.22万元，占本年支出合计的19.99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9年相比，一般公共预算财政拨款减少194.65万元，减少5.82</w:t>
      </w:r>
      <w:r>
        <w:rPr>
          <w:rFonts w:ascii="仿宋" w:hAnsi="仿宋" w:eastAsia="仿宋"/>
          <w:color w:val="000000"/>
          <w:sz w:val="32"/>
          <w:szCs w:val="32"/>
        </w:rPr>
        <w:t>%</w:t>
      </w:r>
      <w:r>
        <w:rPr>
          <w:rFonts w:hint="eastAsia" w:ascii="仿宋" w:hAnsi="仿宋" w:eastAsia="仿宋"/>
          <w:color w:val="000000"/>
          <w:sz w:val="32"/>
          <w:szCs w:val="32"/>
        </w:rPr>
        <w:t>。主要变动原因是退耕还林上级补助资金减少。</w:t>
      </w:r>
    </w:p>
    <w:p w14:paraId="4DCE793D">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4C6F67">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14:paraId="2CAC7DAF">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3152.22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支出120.66万元，占3.83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29.22万元，占0.93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节能环保支出</w:t>
      </w:r>
      <w:r>
        <w:rPr>
          <w:rFonts w:hint="eastAsia" w:ascii="仿宋" w:hAnsi="仿宋" w:eastAsia="仿宋"/>
          <w:color w:val="000000" w:themeColor="text1"/>
          <w:sz w:val="32"/>
          <w:szCs w:val="32"/>
        </w:rPr>
        <w:t>359.2万元，占11.39%；</w:t>
      </w:r>
      <w:r>
        <w:rPr>
          <w:rFonts w:hint="eastAsia" w:ascii="仿宋" w:hAnsi="仿宋" w:eastAsia="仿宋"/>
          <w:b/>
          <w:bCs/>
          <w:color w:val="000000" w:themeColor="text1"/>
          <w:sz w:val="32"/>
          <w:szCs w:val="32"/>
        </w:rPr>
        <w:t>农林水支出</w:t>
      </w:r>
      <w:r>
        <w:rPr>
          <w:rFonts w:hint="eastAsia" w:ascii="仿宋" w:hAnsi="仿宋" w:eastAsia="仿宋"/>
          <w:color w:val="000000" w:themeColor="text1"/>
          <w:sz w:val="32"/>
          <w:szCs w:val="32"/>
        </w:rPr>
        <w:t>467.57万元，占14.83%；</w:t>
      </w:r>
      <w:r>
        <w:rPr>
          <w:rFonts w:hint="eastAsia" w:ascii="仿宋" w:hAnsi="仿宋" w:eastAsia="仿宋"/>
          <w:b/>
          <w:bCs/>
          <w:color w:val="000000" w:themeColor="text1"/>
          <w:sz w:val="32"/>
          <w:szCs w:val="32"/>
        </w:rPr>
        <w:t>自然资源海洋气象等支出</w:t>
      </w:r>
      <w:r>
        <w:rPr>
          <w:rFonts w:hint="eastAsia" w:ascii="仿宋" w:hAnsi="仿宋" w:eastAsia="仿宋"/>
          <w:color w:val="000000" w:themeColor="text1"/>
          <w:sz w:val="32"/>
          <w:szCs w:val="32"/>
        </w:rPr>
        <w:t>1340.17万元，占42.52%；</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rPr>
        <w:t>102.75万元，占3.26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灾害防治及应急管理支出</w:t>
      </w:r>
      <w:r>
        <w:rPr>
          <w:rFonts w:hint="eastAsia" w:ascii="仿宋" w:hAnsi="仿宋" w:eastAsia="仿宋"/>
          <w:color w:val="000000" w:themeColor="text1"/>
          <w:sz w:val="32"/>
          <w:szCs w:val="32"/>
        </w:rPr>
        <w:t>732.65万元，占23.24 %。</w:t>
      </w:r>
    </w:p>
    <w:p w14:paraId="1BF1B43D">
      <w:pPr>
        <w:rPr>
          <w:rFonts w:ascii="仿宋" w:hAnsi="仿宋" w:eastAsia="仿宋"/>
        </w:rPr>
      </w:pPr>
      <w:r>
        <w:rPr>
          <w:rFonts w:hint="eastAsia" w:ascii="仿宋" w:hAnsi="仿宋" w:eastAsia="仿宋"/>
        </w:rPr>
        <w:drawing>
          <wp:inline distT="0" distB="0" distL="114300" distR="114300">
            <wp:extent cx="5080000" cy="43434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5A5335">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14:paraId="324585A8">
      <w:pPr>
        <w:spacing w:line="600" w:lineRule="exact"/>
        <w:ind w:firstLine="643" w:firstLineChars="200"/>
        <w:outlineLvl w:val="2"/>
        <w:rPr>
          <w:rFonts w:ascii="仿宋" w:hAnsi="仿宋" w:eastAsia="仿宋"/>
          <w:color w:val="FF0000"/>
          <w:sz w:val="32"/>
          <w:szCs w:val="32"/>
        </w:rPr>
      </w:pPr>
      <w:bookmarkStart w:id="41" w:name="_Toc15377444"/>
      <w:bookmarkStart w:id="42" w:name="_Toc15377213"/>
      <w:bookmarkStart w:id="43" w:name="_Toc15378460"/>
      <w:r>
        <w:rPr>
          <w:rFonts w:hint="eastAsia" w:ascii="仿宋" w:hAnsi="仿宋" w:eastAsia="仿宋"/>
          <w:b/>
          <w:color w:val="000000" w:themeColor="text1"/>
          <w:sz w:val="32"/>
          <w:szCs w:val="32"/>
        </w:rPr>
        <w:t>2020年一般公共预算支出决算数为3152.22万元</w:t>
      </w:r>
      <w:r>
        <w:rPr>
          <w:rFonts w:hint="eastAsia" w:ascii="仿宋" w:hAnsi="仿宋" w:eastAsia="仿宋"/>
          <w:color w:val="000000" w:themeColor="text1"/>
          <w:sz w:val="32"/>
          <w:szCs w:val="32"/>
        </w:rPr>
        <w:t>，</w:t>
      </w:r>
      <w:r>
        <w:rPr>
          <w:rStyle w:val="12"/>
          <w:rFonts w:hint="eastAsia" w:ascii="仿宋" w:hAnsi="仿宋" w:eastAsia="仿宋"/>
          <w:bCs/>
          <w:color w:val="000000" w:themeColor="text1"/>
          <w:sz w:val="32"/>
          <w:szCs w:val="32"/>
        </w:rPr>
        <w:t>完成</w:t>
      </w:r>
      <w:r>
        <w:rPr>
          <w:rStyle w:val="12"/>
          <w:rFonts w:hint="eastAsia" w:ascii="仿宋" w:hAnsi="仿宋" w:eastAsia="仿宋"/>
          <w:bCs/>
          <w:color w:val="000000"/>
          <w:sz w:val="32"/>
          <w:szCs w:val="32"/>
        </w:rPr>
        <w:t>预算50.06</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41"/>
      <w:bookmarkEnd w:id="42"/>
      <w:bookmarkEnd w:id="43"/>
    </w:p>
    <w:p w14:paraId="4C1E6450">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ascii="仿宋" w:hAnsi="仿宋" w:eastAsia="仿宋"/>
          <w:bCs/>
          <w:color w:val="000000"/>
          <w:sz w:val="32"/>
          <w:szCs w:val="32"/>
        </w:rPr>
        <w:t>.</w:t>
      </w:r>
      <w:r>
        <w:rPr>
          <w:rStyle w:val="12"/>
          <w:rFonts w:hint="eastAsia" w:ascii="仿宋" w:hAnsi="仿宋" w:eastAsia="仿宋"/>
          <w:bCs/>
          <w:color w:val="000000"/>
          <w:sz w:val="30"/>
          <w:szCs w:val="30"/>
        </w:rPr>
        <w:t>社会保障和就业支出（类）行政事业单位离退休（款）机关事业单位基本养老保险缴费支出（项）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支出决算为77.36万元，完成预算100%。</w:t>
      </w:r>
    </w:p>
    <w:p w14:paraId="552EF0B4">
      <w:pPr>
        <w:spacing w:line="600" w:lineRule="exact"/>
        <w:ind w:firstLine="640" w:firstLineChars="200"/>
        <w:rPr>
          <w:rStyle w:val="12"/>
          <w:rFonts w:ascii="仿宋" w:hAnsi="仿宋" w:eastAsia="仿宋"/>
          <w:b w:val="0"/>
          <w:bCs/>
          <w:color w:val="000000"/>
          <w:sz w:val="32"/>
          <w:szCs w:val="32"/>
        </w:rPr>
      </w:pPr>
      <w:r>
        <w:rPr>
          <w:rStyle w:val="12"/>
          <w:rFonts w:hint="eastAsia" w:ascii="仿宋" w:hAnsi="仿宋" w:eastAsia="仿宋"/>
          <w:b w:val="0"/>
          <w:bCs/>
          <w:color w:val="000000"/>
          <w:sz w:val="32"/>
          <w:szCs w:val="32"/>
        </w:rPr>
        <w:t>2.</w:t>
      </w:r>
      <w:r>
        <w:rPr>
          <w:rStyle w:val="12"/>
          <w:rFonts w:hint="eastAsia" w:ascii="仿宋" w:hAnsi="仿宋" w:eastAsia="仿宋"/>
          <w:bCs/>
          <w:color w:val="000000"/>
          <w:sz w:val="30"/>
          <w:szCs w:val="30"/>
        </w:rPr>
        <w:t>社会保障和就业支出（类）行政事业单位离退休（款）机关事业单位职业年金缴费支出（项）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支出决算为37.84万元，完成预算100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122D9FD5">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3.</w:t>
      </w:r>
      <w:r>
        <w:rPr>
          <w:rStyle w:val="12"/>
          <w:rFonts w:hint="eastAsia" w:ascii="仿宋" w:hAnsi="仿宋" w:eastAsia="仿宋"/>
          <w:bCs/>
          <w:color w:val="000000"/>
          <w:sz w:val="30"/>
          <w:szCs w:val="30"/>
        </w:rPr>
        <w:t>社会保障和就业支出（类）抚恤（款）其他优抚支出（项）</w:t>
      </w:r>
      <w:r>
        <w:rPr>
          <w:rStyle w:val="12"/>
          <w:rFonts w:ascii="仿宋" w:hAnsi="仿宋" w:eastAsia="仿宋"/>
          <w:bCs/>
          <w:color w:val="000000"/>
          <w:sz w:val="30"/>
          <w:szCs w:val="30"/>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支出决算为1.67万元，完成预算100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31EB5016">
      <w:pPr>
        <w:pStyle w:val="2"/>
        <w:spacing w:before="93"/>
        <w:ind w:firstLine="602" w:firstLineChars="200"/>
        <w:rPr>
          <w:rFonts w:ascii="仿宋" w:hAnsi="仿宋" w:eastAsia="仿宋"/>
        </w:rPr>
      </w:pPr>
      <w:r>
        <w:rPr>
          <w:rStyle w:val="12"/>
          <w:rFonts w:hint="eastAsia" w:ascii="仿宋" w:hAnsi="仿宋" w:eastAsia="仿宋"/>
          <w:bCs/>
          <w:color w:val="000000"/>
          <w:szCs w:val="30"/>
        </w:rPr>
        <w:t>4.社会保障和就业支出（类）其他社会保障和就业支出（款）其他社会保障和就业支出（项）</w:t>
      </w:r>
      <w:r>
        <w:rPr>
          <w:rStyle w:val="12"/>
          <w:rFonts w:ascii="仿宋" w:hAnsi="仿宋" w:eastAsia="仿宋"/>
          <w:bCs/>
          <w:color w:val="000000"/>
          <w:szCs w:val="30"/>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支出决算为3.79万元，完成预算100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0A1EA3DF">
      <w:pPr>
        <w:spacing w:line="600" w:lineRule="exact"/>
        <w:ind w:firstLine="640" w:firstLineChars="200"/>
        <w:rPr>
          <w:rStyle w:val="12"/>
          <w:rFonts w:ascii="仿宋" w:hAnsi="仿宋" w:eastAsia="仿宋"/>
          <w:bCs/>
          <w:color w:val="000000"/>
          <w:sz w:val="32"/>
          <w:szCs w:val="32"/>
        </w:rPr>
      </w:pPr>
      <w:r>
        <w:rPr>
          <w:rStyle w:val="12"/>
          <w:rFonts w:hint="eastAsia" w:ascii="仿宋" w:hAnsi="仿宋" w:eastAsia="仿宋"/>
          <w:b w:val="0"/>
          <w:bCs/>
          <w:color w:val="000000"/>
          <w:sz w:val="32"/>
          <w:szCs w:val="32"/>
        </w:rPr>
        <w:t>5.</w:t>
      </w:r>
      <w:r>
        <w:rPr>
          <w:rStyle w:val="12"/>
          <w:rFonts w:hint="eastAsia" w:ascii="仿宋" w:hAnsi="仿宋" w:eastAsia="仿宋"/>
          <w:bCs/>
          <w:color w:val="000000"/>
          <w:sz w:val="32"/>
          <w:szCs w:val="32"/>
        </w:rPr>
        <w:t>卫生健康支出（类）行政事业单位医疗（款）行政单位医疗（项）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支出决算为29.21万元，完成预算100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553E213B">
      <w:pPr>
        <w:spacing w:line="600" w:lineRule="exact"/>
        <w:ind w:firstLine="640" w:firstLineChars="200"/>
        <w:rPr>
          <w:rStyle w:val="12"/>
          <w:rFonts w:ascii="仿宋" w:hAnsi="仿宋" w:eastAsia="仿宋"/>
          <w:b w:val="0"/>
          <w:bCs/>
          <w:color w:val="000000"/>
          <w:sz w:val="32"/>
          <w:szCs w:val="32"/>
        </w:rPr>
      </w:pPr>
      <w:r>
        <w:rPr>
          <w:rStyle w:val="12"/>
          <w:rFonts w:hint="eastAsia" w:ascii="仿宋" w:hAnsi="仿宋" w:eastAsia="仿宋"/>
          <w:b w:val="0"/>
          <w:bCs/>
          <w:color w:val="000000"/>
          <w:sz w:val="32"/>
          <w:szCs w:val="32"/>
        </w:rPr>
        <w:t>6.</w:t>
      </w:r>
      <w:r>
        <w:rPr>
          <w:rStyle w:val="12"/>
          <w:rFonts w:hint="eastAsia" w:ascii="仿宋" w:hAnsi="仿宋" w:eastAsia="仿宋"/>
          <w:bCs/>
          <w:color w:val="000000"/>
          <w:sz w:val="32"/>
          <w:szCs w:val="32"/>
        </w:rPr>
        <w:t>节能环保支出（类）退耕还林还草（款） 退耕现金（项）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支出决算为359.2万元，完成预算100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1F094D0">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7.农林水支出（类）林业和草原（款）森林资源培育（项）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支出决算为32.86万元，完成预算1.85%，决算数小于预算数的主要原因一是退耕还林森林抚育补助正在验收中尚未兑现补助，二是中央造林项目安排资金较少不能落地实施。</w:t>
      </w:r>
    </w:p>
    <w:p w14:paraId="26E99693">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8.农林水支出（类）林业和草原（款）森林生态效益补偿（项）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支出决算为191.5万元，完成预算90.54</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，决算数小于预算数的主要原因是公共管护验收资金累计结转。</w:t>
      </w:r>
    </w:p>
    <w:p w14:paraId="61EFC3DD">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9.农林水支出（类）林业和草原（款） 动植物保护（项）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支出决算为196.54万元，完成预算100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67A7881C">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10.农林水支出（类）林业和草原（款）林业草原防灾减灾（项）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支出决算为13万元，完成预算100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0B993888">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11.农林水支出（类）林业和草原（款）其他林业和草原支出（项）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支出决算为24.67万元，完成预算19.79</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，决算数小于预算数的主要原因是项目尚未实施完成。</w:t>
      </w:r>
    </w:p>
    <w:p w14:paraId="497C7DAF">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12.农林水支出（类）扶贫（款） 其他扶贫支出（项）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支出决算为9万元，完成预算100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05A15124">
      <w:pPr>
        <w:spacing w:line="600" w:lineRule="exact"/>
        <w:ind w:firstLine="640" w:firstLineChars="200"/>
        <w:rPr>
          <w:rStyle w:val="12"/>
          <w:rFonts w:ascii="仿宋" w:hAnsi="仿宋" w:eastAsia="仿宋"/>
          <w:b w:val="0"/>
          <w:bCs/>
          <w:color w:val="000000"/>
          <w:sz w:val="32"/>
          <w:szCs w:val="32"/>
        </w:rPr>
      </w:pPr>
    </w:p>
    <w:p w14:paraId="3E3C5CCA">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13.自然资源海洋气象等支出（类）自然资源事务（款）行政运行（项）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支出决算为844.53万元，完成预算100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54A2DA9">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14.自然资源海洋气象等支出（类）自然资源事务（款） 一般行政管理事务（项）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支出决算为108.45万元，完成预算100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1028C5A9">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15.自然资源海洋气象等支出（类）自然资源事务（款） 土地资源利用与保护（项）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支出决算为9.2万元，完成预算100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1864F097">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16.自然资源海洋气象等支出（类）自然资源事务（款） 自然资源调查与确权登记（项）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支出决算为4.5万元，完成预算100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5A6919AC">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17.自然资源海洋气象等支出（类）自然资源事务（款） 事业运行（项）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支出决算为259.97万元，完成预算100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40A264D">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18.自然资源海洋气象等支出（类）自然资源事务（款）其他自然资源事务支出（项）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支出决算为113.53万元，完成预算57.77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，决算数小于预算数的主要原因根据实际工作安排，项目进度减缓。</w:t>
      </w:r>
    </w:p>
    <w:p w14:paraId="05881A6E">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19.住房保障支出（类）住房改革支出（款）住房公积金（项）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支出决算为102.75万元，完成预算100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6060014F">
      <w:pPr>
        <w:pStyle w:val="2"/>
        <w:spacing w:before="93"/>
        <w:ind w:firstLine="643" w:firstLineChars="200"/>
        <w:rPr>
          <w:rFonts w:ascii="仿宋" w:hAnsi="仿宋" w:eastAsia="仿宋"/>
        </w:rPr>
      </w:pPr>
      <w:r>
        <w:rPr>
          <w:rStyle w:val="12"/>
          <w:rFonts w:hint="eastAsia" w:ascii="仿宋" w:hAnsi="仿宋" w:eastAsia="仿宋"/>
          <w:bCs/>
          <w:color w:val="000000"/>
          <w:sz w:val="32"/>
          <w:szCs w:val="32"/>
        </w:rPr>
        <w:t>20.灾害防治及应急管理支出（类）森林消防事务（款）其他森林消防事务支出（项）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支出决算为32.04万元，完成预算100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0E22204">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21.灾害防治及应急管理支出（类）自然灾害防治（款）地质灾害防治（项）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支出决算为606.45万元，完成预算33.56</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，决算数小于预算数的主要原因是地质灾害治理项目尚未完成。</w:t>
      </w:r>
    </w:p>
    <w:p w14:paraId="4C4013ED">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22.灾害防治及应急管理支出（类）自然灾害救灾及恢复重建支出（款）其他自然灾害救灾及恢复重建支出（项）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支出决算为94.16万元，完成预算100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2F10057F">
      <w:pPr>
        <w:pStyle w:val="2"/>
        <w:spacing w:before="93"/>
        <w:rPr>
          <w:rFonts w:ascii="仿宋" w:hAnsi="仿宋" w:eastAsia="仿宋"/>
        </w:rPr>
      </w:pPr>
    </w:p>
    <w:p w14:paraId="6377B973">
      <w:pPr>
        <w:tabs>
          <w:tab w:val="right" w:pos="8306"/>
        </w:tabs>
        <w:spacing w:line="600" w:lineRule="exact"/>
        <w:ind w:firstLine="640"/>
        <w:outlineLvl w:val="1"/>
        <w:rPr>
          <w:rStyle w:val="15"/>
          <w:rFonts w:ascii="仿宋" w:hAnsi="仿宋" w:eastAsia="仿宋"/>
        </w:rPr>
      </w:pPr>
      <w:bookmarkStart w:id="44" w:name="_Toc15396608"/>
      <w:bookmarkStart w:id="45" w:name="_Toc15377214"/>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15"/>
          <w:rFonts w:hint="eastAsia" w:ascii="仿宋" w:hAnsi="仿宋" w:eastAsia="仿宋"/>
          <w:b w:val="0"/>
        </w:rPr>
        <w:t>般公共预算财政拨款基本支出决算情况说明</w:t>
      </w:r>
      <w:bookmarkEnd w:id="44"/>
      <w:bookmarkEnd w:id="45"/>
      <w:r>
        <w:rPr>
          <w:rStyle w:val="15"/>
          <w:rFonts w:ascii="仿宋" w:hAnsi="仿宋" w:eastAsia="仿宋"/>
          <w:b w:val="0"/>
        </w:rPr>
        <w:tab/>
      </w:r>
    </w:p>
    <w:p w14:paraId="6690C2A5">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20年一般公共预算财政拨款基本支出1357.12万元，其中：</w:t>
      </w:r>
    </w:p>
    <w:p w14:paraId="02FCF983">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1260.35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96.78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4503A64">
      <w:pPr>
        <w:spacing w:line="600" w:lineRule="exact"/>
        <w:ind w:firstLine="640"/>
        <w:outlineLvl w:val="1"/>
        <w:rPr>
          <w:rStyle w:val="15"/>
          <w:rFonts w:ascii="仿宋" w:hAnsi="仿宋" w:eastAsia="仿宋"/>
          <w:b w:val="0"/>
        </w:rPr>
      </w:pPr>
      <w:bookmarkStart w:id="46" w:name="_Toc15377215"/>
      <w:bookmarkStart w:id="47" w:name="_Toc15396609"/>
      <w:r>
        <w:rPr>
          <w:rFonts w:hint="eastAsia" w:ascii="仿宋" w:hAnsi="仿宋" w:eastAsia="仿宋"/>
          <w:color w:val="000000"/>
          <w:sz w:val="32"/>
          <w:szCs w:val="32"/>
        </w:rPr>
        <w:t>七、</w:t>
      </w:r>
      <w:r>
        <w:rPr>
          <w:rStyle w:val="15"/>
          <w:rFonts w:hint="eastAsia" w:ascii="仿宋" w:hAnsi="仿宋" w:eastAsia="仿宋"/>
        </w:rPr>
        <w:t>“</w:t>
      </w:r>
      <w:r>
        <w:rPr>
          <w:rStyle w:val="15"/>
          <w:rFonts w:hint="eastAsia" w:ascii="仿宋" w:hAnsi="仿宋" w:eastAsia="仿宋"/>
          <w:b w:val="0"/>
        </w:rPr>
        <w:t>三公”经费财政拨款支出决算情况说明</w:t>
      </w:r>
      <w:bookmarkEnd w:id="46"/>
      <w:bookmarkEnd w:id="47"/>
    </w:p>
    <w:p w14:paraId="6B850DEB">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17C99F49">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20年“三公”经费财政拨款支出决算为56.53万元，完成预算100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4F857C68">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45D42503">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；公务用车购置及运行维护费支出决算55.49万元，占98.16</w:t>
      </w:r>
      <w:r>
        <w:rPr>
          <w:rFonts w:ascii="仿宋" w:hAnsi="仿宋" w:eastAsia="仿宋"/>
          <w:color w:val="000000"/>
          <w:sz w:val="32"/>
          <w:szCs w:val="32"/>
        </w:rPr>
        <w:t>%</w:t>
      </w:r>
      <w:r>
        <w:rPr>
          <w:rFonts w:hint="eastAsia" w:ascii="仿宋" w:hAnsi="仿宋" w:eastAsia="仿宋"/>
          <w:color w:val="000000"/>
          <w:sz w:val="32"/>
          <w:szCs w:val="32"/>
        </w:rPr>
        <w:t>；公务接待费支出决算1.04万元，占1.84</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0909CAE">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BDA4CA">
      <w:pPr>
        <w:rPr>
          <w:rFonts w:ascii="仿宋" w:hAnsi="仿宋" w:eastAsia="仿宋"/>
        </w:rPr>
      </w:pPr>
    </w:p>
    <w:p w14:paraId="4771EBBC">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3460442">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公务用车购置及运行维护费支出55.49</w:t>
      </w:r>
      <w:r>
        <w:rPr>
          <w:rFonts w:hint="eastAsia" w:ascii="仿宋" w:hAnsi="仿宋" w:eastAsia="仿宋"/>
          <w:color w:val="000000"/>
          <w:sz w:val="32"/>
          <w:szCs w:val="32"/>
        </w:rPr>
        <w:t>万元,</w:t>
      </w:r>
      <w:r>
        <w:rPr>
          <w:rStyle w:val="12"/>
          <w:rFonts w:hint="eastAsia" w:ascii="仿宋" w:hAnsi="仿宋" w:eastAsia="仿宋"/>
          <w:b w:val="0"/>
          <w:bCs/>
          <w:color w:val="000000"/>
          <w:sz w:val="32"/>
          <w:szCs w:val="32"/>
        </w:rPr>
        <w:t>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9年增加33.32万元，上升150</w:t>
      </w:r>
      <w:r>
        <w:rPr>
          <w:rFonts w:ascii="仿宋" w:hAnsi="仿宋" w:eastAsia="仿宋"/>
          <w:color w:val="000000"/>
          <w:sz w:val="32"/>
          <w:szCs w:val="32"/>
        </w:rPr>
        <w:t>%</w:t>
      </w:r>
      <w:r>
        <w:rPr>
          <w:rFonts w:hint="eastAsia" w:ascii="仿宋" w:hAnsi="仿宋" w:eastAsia="仿宋"/>
          <w:color w:val="000000"/>
          <w:sz w:val="32"/>
          <w:szCs w:val="32"/>
        </w:rPr>
        <w:t>。主要原因一是工作任务重，用车量较大；二是部分车辆陈旧，维修成本较高。</w:t>
      </w:r>
    </w:p>
    <w:p w14:paraId="6FB4259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w:t>
      </w:r>
    </w:p>
    <w:p w14:paraId="37D96020">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55.49万元。主要用于自然资源管理所需的公务用车燃料费、维修费、过路过桥费、保险费等支出。</w:t>
      </w:r>
    </w:p>
    <w:p w14:paraId="37A8553F">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1.04万元，</w:t>
      </w:r>
      <w:r>
        <w:rPr>
          <w:rStyle w:val="12"/>
          <w:rFonts w:hint="eastAsia" w:ascii="仿宋" w:hAnsi="仿宋" w:eastAsia="仿宋"/>
          <w:b w:val="0"/>
          <w:bCs/>
          <w:color w:val="000000"/>
          <w:sz w:val="32"/>
          <w:szCs w:val="32"/>
        </w:rPr>
        <w:t>完成预算17.33%。</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9年增加0.25万元，上升31.65</w:t>
      </w:r>
      <w:r>
        <w:rPr>
          <w:rFonts w:ascii="仿宋" w:hAnsi="仿宋" w:eastAsia="仿宋"/>
          <w:color w:val="000000"/>
          <w:sz w:val="32"/>
          <w:szCs w:val="32"/>
        </w:rPr>
        <w:t>%</w:t>
      </w:r>
      <w:r>
        <w:rPr>
          <w:rFonts w:hint="eastAsia" w:ascii="仿宋" w:hAnsi="仿宋" w:eastAsia="仿宋"/>
          <w:color w:val="000000"/>
          <w:sz w:val="32"/>
          <w:szCs w:val="32"/>
        </w:rPr>
        <w:t>。主要原因是上级检查接待增加：</w:t>
      </w:r>
    </w:p>
    <w:p w14:paraId="786210B0">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1.04万元，主要用于自然资源管理执行公务、开展业务活动开支的交通费、用餐费等。国内公务接待6批次，91人次（不包括陪同人员），共计支出1.04万元，具体内容包括：接待省、市自然资源检查。</w:t>
      </w:r>
    </w:p>
    <w:p w14:paraId="37373586">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p>
    <w:p w14:paraId="197F2A1F">
      <w:pPr>
        <w:spacing w:line="600" w:lineRule="exact"/>
        <w:ind w:firstLine="640"/>
        <w:outlineLvl w:val="1"/>
        <w:rPr>
          <w:rFonts w:ascii="仿宋" w:hAnsi="仿宋" w:eastAsia="仿宋"/>
          <w:color w:val="000000"/>
          <w:sz w:val="32"/>
          <w:szCs w:val="32"/>
        </w:rPr>
      </w:pPr>
      <w:bookmarkStart w:id="50" w:name="_Toc15396610"/>
      <w:bookmarkStart w:id="51" w:name="_Toc15377218"/>
    </w:p>
    <w:p w14:paraId="18FB8A4E">
      <w:pPr>
        <w:spacing w:line="600" w:lineRule="exact"/>
        <w:ind w:firstLine="640"/>
        <w:outlineLvl w:val="1"/>
        <w:rPr>
          <w:rStyle w:val="15"/>
          <w:rFonts w:ascii="仿宋" w:hAnsi="仿宋" w:eastAsia="仿宋"/>
        </w:rPr>
      </w:pPr>
      <w:r>
        <w:rPr>
          <w:rFonts w:hint="eastAsia" w:ascii="仿宋" w:hAnsi="仿宋" w:eastAsia="仿宋"/>
          <w:color w:val="000000"/>
          <w:sz w:val="32"/>
          <w:szCs w:val="32"/>
        </w:rPr>
        <w:t>八、</w:t>
      </w:r>
      <w:r>
        <w:rPr>
          <w:rStyle w:val="15"/>
          <w:rFonts w:hint="eastAsia" w:ascii="仿宋" w:hAnsi="仿宋" w:eastAsia="仿宋"/>
          <w:b w:val="0"/>
        </w:rPr>
        <w:t>政府性基金预算支出决算情况说明</w:t>
      </w:r>
      <w:bookmarkEnd w:id="50"/>
      <w:bookmarkEnd w:id="51"/>
    </w:p>
    <w:p w14:paraId="00D763FF">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20年政府性基金预算拨款支出12615万元。</w:t>
      </w:r>
    </w:p>
    <w:p w14:paraId="63B7C65C">
      <w:pPr>
        <w:numPr>
          <w:ilvl w:val="0"/>
          <w:numId w:val="2"/>
        </w:numPr>
        <w:spacing w:line="600" w:lineRule="exact"/>
        <w:ind w:firstLine="640"/>
        <w:outlineLvl w:val="1"/>
        <w:rPr>
          <w:rStyle w:val="15"/>
          <w:rFonts w:ascii="仿宋" w:hAnsi="仿宋" w:eastAsia="仿宋"/>
          <w:b w:val="0"/>
        </w:rPr>
      </w:pPr>
      <w:bookmarkStart w:id="52" w:name="_Toc15396611"/>
      <w:bookmarkStart w:id="53" w:name="_Toc15377219"/>
      <w:r>
        <w:rPr>
          <w:rStyle w:val="15"/>
          <w:rFonts w:hint="eastAsia" w:ascii="仿宋" w:hAnsi="仿宋" w:eastAsia="仿宋"/>
          <w:b w:val="0"/>
        </w:rPr>
        <w:t>国有资本经营预算支出决算情况说明</w:t>
      </w:r>
      <w:bookmarkEnd w:id="52"/>
      <w:bookmarkEnd w:id="53"/>
    </w:p>
    <w:p w14:paraId="00AE3478">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14:paraId="6280EEC3">
      <w:pPr>
        <w:spacing w:line="600" w:lineRule="exact"/>
        <w:ind w:firstLine="800" w:firstLineChars="250"/>
        <w:outlineLvl w:val="1"/>
        <w:rPr>
          <w:rStyle w:val="15"/>
          <w:rFonts w:ascii="仿宋" w:hAnsi="仿宋" w:eastAsia="仿宋"/>
        </w:rPr>
      </w:pPr>
      <w:bookmarkStart w:id="54" w:name="_Toc15396612"/>
      <w:bookmarkStart w:id="55" w:name="_Toc15377221"/>
      <w:r>
        <w:rPr>
          <w:rFonts w:hint="eastAsia" w:ascii="仿宋" w:hAnsi="仿宋" w:eastAsia="仿宋"/>
          <w:color w:val="000000"/>
          <w:sz w:val="32"/>
          <w:szCs w:val="32"/>
        </w:rPr>
        <w:t>十</w:t>
      </w:r>
      <w:r>
        <w:rPr>
          <w:rStyle w:val="15"/>
          <w:rFonts w:hint="eastAsia" w:ascii="仿宋" w:hAnsi="仿宋" w:eastAsia="仿宋"/>
        </w:rPr>
        <w:t>、</w:t>
      </w:r>
      <w:r>
        <w:rPr>
          <w:rStyle w:val="15"/>
          <w:rFonts w:hint="eastAsia" w:ascii="仿宋" w:hAnsi="仿宋" w:eastAsia="仿宋"/>
          <w:b w:val="0"/>
        </w:rPr>
        <w:t>其他重要事项的情况说明</w:t>
      </w:r>
      <w:bookmarkEnd w:id="54"/>
      <w:bookmarkEnd w:id="55"/>
    </w:p>
    <w:p w14:paraId="0EAD0CAD">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14:paraId="68BCC493">
      <w:pPr>
        <w:spacing w:line="600" w:lineRule="exact"/>
        <w:ind w:firstLine="640"/>
        <w:rPr>
          <w:rFonts w:ascii="仿宋" w:hAnsi="仿宋" w:eastAsia="仿宋"/>
          <w:color w:val="000000" w:themeColor="text1"/>
          <w:sz w:val="32"/>
          <w:szCs w:val="32"/>
          <w:highlight w:val="yellow"/>
        </w:rPr>
      </w:pPr>
      <w:r>
        <w:rPr>
          <w:rFonts w:ascii="仿宋" w:hAnsi="仿宋" w:eastAsia="仿宋"/>
          <w:color w:val="000000"/>
          <w:sz w:val="32"/>
          <w:szCs w:val="32"/>
        </w:rPr>
        <w:t>20</w:t>
      </w:r>
      <w:r>
        <w:rPr>
          <w:rFonts w:hint="eastAsia" w:ascii="仿宋" w:hAnsi="仿宋" w:eastAsia="仿宋"/>
          <w:color w:val="000000"/>
          <w:sz w:val="32"/>
          <w:szCs w:val="32"/>
        </w:rPr>
        <w:t>20年，峨眉山市自然资源局机关运行经费支出96.79万元，比</w:t>
      </w:r>
      <w:r>
        <w:rPr>
          <w:rFonts w:ascii="仿宋" w:hAnsi="仿宋" w:eastAsia="仿宋"/>
          <w:color w:val="000000"/>
          <w:sz w:val="32"/>
          <w:szCs w:val="32"/>
        </w:rPr>
        <w:t>201</w:t>
      </w:r>
      <w:r>
        <w:rPr>
          <w:rFonts w:hint="eastAsia" w:ascii="仿宋" w:hAnsi="仿宋" w:eastAsia="仿宋"/>
          <w:color w:val="000000"/>
          <w:sz w:val="32"/>
          <w:szCs w:val="32"/>
        </w:rPr>
        <w:t>9年减少52.67万元，下降35.24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w:t>
      </w:r>
      <w:r>
        <w:rPr>
          <w:rFonts w:hint="eastAsia" w:ascii="仿宋" w:hAnsi="仿宋" w:eastAsia="仿宋"/>
          <w:color w:val="000000"/>
          <w:sz w:val="32"/>
          <w:szCs w:val="32"/>
        </w:rPr>
        <w:t>坚持执行上级相关规定励行节约。</w:t>
      </w:r>
    </w:p>
    <w:p w14:paraId="4F054E2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14:paraId="3722902F">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20年，峨眉山市自然资源局政府采购支出总额0万元，其中：政府采购货物支出0万元、政府采购工程支出0万元、政府采购服务支出0万元。0授予中小企业合同金额0万元0，其中：授予小微企业合同金额0万元0。</w:t>
      </w:r>
    </w:p>
    <w:p w14:paraId="0087FA1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14:paraId="58F25B25">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日，峨眉山市自然资源局共有车辆8辆，其中：主要领导干部用车0辆、机要通信用车0辆、应急保障用车1辆、执法执勤车1辆、其他用车5辆。</w:t>
      </w:r>
      <w:r>
        <w:rPr>
          <w:rFonts w:hint="eastAsia" w:ascii="仿宋" w:hAnsi="仿宋" w:eastAsia="仿宋"/>
          <w:color w:val="000000" w:themeColor="text1"/>
          <w:sz w:val="32"/>
          <w:szCs w:val="32"/>
        </w:rPr>
        <w:t>其他用车主要是用于处理自然资源灾害管理。单价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万元以上通用设备1台（套），单价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14:paraId="6E8E3C2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77915C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根据预算绩效管理要求，本部门（单位）在年初预算编制阶段，对11个项目编制了绩效目标，预算执行过程中，选取2个项目开展绩效监控，年终执行完毕后，对2个项目开展了绩效目标完成情况自评。</w:t>
      </w:r>
    </w:p>
    <w:p w14:paraId="72A93CD1">
      <w:pPr>
        <w:widowControl/>
        <w:adjustRightInd w:val="0"/>
        <w:snapToGrid w:val="0"/>
        <w:spacing w:line="580" w:lineRule="exact"/>
        <w:ind w:firstLine="720"/>
        <w:jc w:val="left"/>
        <w:rPr>
          <w:rFonts w:ascii="仿宋" w:hAnsi="仿宋" w:eastAsia="仿宋" w:cs="仿宋_GB2312"/>
          <w:sz w:val="32"/>
          <w:szCs w:val="32"/>
        </w:rPr>
      </w:pPr>
      <w:r>
        <w:rPr>
          <w:rFonts w:hint="eastAsia" w:ascii="仿宋" w:hAnsi="仿宋" w:eastAsia="仿宋" w:cs="仿宋_GB2312"/>
          <w:sz w:val="32"/>
          <w:szCs w:val="32"/>
        </w:rPr>
        <w:t>本部门按要求对2020年部门整体支出开展绩效自评，从评价情况来看</w:t>
      </w:r>
      <w:r>
        <w:rPr>
          <w:rFonts w:hint="eastAsia" w:ascii="仿宋" w:hAnsi="仿宋" w:eastAsia="仿宋" w:cs="仿宋"/>
          <w:color w:val="000000"/>
          <w:kern w:val="0"/>
          <w:sz w:val="32"/>
          <w:szCs w:val="32"/>
          <w:shd w:val="clear" w:color="auto" w:fill="FFFFFF"/>
          <w:lang w:val="zh-CN"/>
        </w:rPr>
        <w:t>全年执行进度同项目特点相关，各项目不完全一致，确保都达到预期目的，项目实施均达到了预期的经济、生态、社会效益</w:t>
      </w:r>
      <w:r>
        <w:rPr>
          <w:rFonts w:hint="eastAsia" w:ascii="仿宋" w:hAnsi="仿宋" w:eastAsia="仿宋" w:cs="仿宋_GB2312"/>
          <w:sz w:val="32"/>
          <w:szCs w:val="32"/>
        </w:rPr>
        <w:t>。本部门还自行组织了2个项目支出绩效评价，从评价情况来看</w:t>
      </w:r>
      <w:r>
        <w:rPr>
          <w:rFonts w:hint="eastAsia" w:ascii="仿宋" w:hAnsi="仿宋" w:eastAsia="仿宋" w:cs="仿宋"/>
          <w:color w:val="000000"/>
          <w:kern w:val="0"/>
          <w:sz w:val="32"/>
          <w:szCs w:val="32"/>
          <w:shd w:val="clear" w:color="auto" w:fill="FFFFFF"/>
          <w:lang w:val="zh-CN"/>
        </w:rPr>
        <w:t>实施均达到了预期的经济、生态、社会效益。</w:t>
      </w:r>
    </w:p>
    <w:p w14:paraId="222C57C8">
      <w:pPr>
        <w:numPr>
          <w:ilvl w:val="0"/>
          <w:numId w:val="3"/>
        </w:num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本部门在2020年度部门决算中反映“地质灾害综合防治体系建设</w:t>
      </w:r>
      <w:r>
        <w:rPr>
          <w:rFonts w:ascii="仿宋" w:hAnsi="仿宋" w:eastAsia="仿宋" w:cs="仿宋_GB2312"/>
          <w:sz w:val="32"/>
          <w:szCs w:val="32"/>
        </w:rPr>
        <w:t>”</w:t>
      </w:r>
      <w:r>
        <w:rPr>
          <w:rFonts w:hint="eastAsia" w:ascii="仿宋" w:hAnsi="仿宋" w:eastAsia="仿宋" w:cs="仿宋_GB2312"/>
          <w:sz w:val="32"/>
          <w:szCs w:val="32"/>
        </w:rPr>
        <w:t>、“社保预存款”、“第三次全国土地调查”“交易中心评估费、测绘费”、“缴纳耕地占用税”、“集体林管护劳务费”等28个项目绩效目标实际完成情况。</w:t>
      </w:r>
    </w:p>
    <w:p w14:paraId="60E97FD4">
      <w:pPr>
        <w:numPr>
          <w:ilvl w:val="0"/>
          <w:numId w:val="4"/>
        </w:numPr>
        <w:spacing w:line="580" w:lineRule="exact"/>
        <w:ind w:firstLine="640"/>
        <w:rPr>
          <w:rFonts w:ascii="仿宋" w:hAnsi="仿宋" w:eastAsia="仿宋" w:cs="仿宋_GB2312"/>
          <w:sz w:val="32"/>
          <w:szCs w:val="32"/>
        </w:rPr>
      </w:pPr>
      <w:r>
        <w:rPr>
          <w:rFonts w:hint="eastAsia" w:ascii="仿宋" w:hAnsi="仿宋" w:eastAsia="仿宋" w:cs="仿宋_GB2312"/>
          <w:sz w:val="32"/>
          <w:szCs w:val="32"/>
        </w:rPr>
        <w:t>峨眉山市地质灾害综合防治体系建设项目绩效目标完成情况综述。项目全年预算数800.05万元，执行数为505.26万元，完成预算的63.15%。做好地质灾害应急演练、宣传培训、应急调查等等与地质灾害综合防治体系建设相关工作。</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92CF26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B91AD72">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14:paraId="3B76BF6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E0A2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522C1">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峨眉山市地质灾害综合防治体系建设</w:t>
            </w:r>
          </w:p>
        </w:tc>
      </w:tr>
      <w:tr w14:paraId="0B938E1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83B8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F5E1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14:paraId="3FCE571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341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B4F0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66F6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800.05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69F4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BBB1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505.26</w:t>
            </w:r>
          </w:p>
        </w:tc>
      </w:tr>
      <w:tr w14:paraId="2A425C8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83DB4">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ABA4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D3A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800.05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B763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5822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505.26</w:t>
            </w:r>
          </w:p>
        </w:tc>
      </w:tr>
      <w:tr w14:paraId="391DB5CC">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50F9A">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12E5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806D3">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F5D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C1422">
            <w:pPr>
              <w:jc w:val="center"/>
              <w:rPr>
                <w:rFonts w:ascii="仿宋" w:hAnsi="仿宋" w:eastAsia="仿宋" w:cs="宋体"/>
                <w:color w:val="000000"/>
                <w:sz w:val="24"/>
              </w:rPr>
            </w:pPr>
          </w:p>
        </w:tc>
      </w:tr>
      <w:tr w14:paraId="28937BB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913C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958C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2A23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2420626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34A6B">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1D066">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做好地质灾害应急演练、宣传培训、应急调查等等与地质灾害综合防治体系建设相关工作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C18E5">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做好地质灾害应急演练、宣传培训、应急调查等等与地质灾害综合防治体系建设相关工作</w:t>
            </w:r>
          </w:p>
        </w:tc>
      </w:tr>
      <w:tr w14:paraId="7B9FF80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A1A31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07F3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E7C3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36E8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F75F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5CB4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14:paraId="42E388A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5AA44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129C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3557C">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00FB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完成应急演练、宣传培训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099A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0A31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各1次</w:t>
            </w:r>
          </w:p>
        </w:tc>
      </w:tr>
      <w:tr w14:paraId="788B3BE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981856">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7D84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78BE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12EEE">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应急调查、预案编制、物质储备等工作质量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3DC8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962C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r>
      <w:tr w14:paraId="7AFB9AC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688136">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464F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3B09D">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5DC3D">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65D36">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5F5CF">
            <w:pPr>
              <w:widowControl/>
              <w:jc w:val="center"/>
              <w:textAlignment w:val="center"/>
              <w:rPr>
                <w:rFonts w:ascii="仿宋" w:hAnsi="仿宋" w:eastAsia="仿宋" w:cs="宋体"/>
                <w:color w:val="000000"/>
                <w:sz w:val="24"/>
              </w:rPr>
            </w:pPr>
          </w:p>
        </w:tc>
      </w:tr>
      <w:tr w14:paraId="2A073AD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106F011">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9BABD">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7B5F">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5ABF1">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4C6EA">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46A37">
            <w:pPr>
              <w:widowControl/>
              <w:jc w:val="center"/>
              <w:textAlignment w:val="center"/>
              <w:rPr>
                <w:rFonts w:ascii="仿宋" w:hAnsi="仿宋" w:eastAsia="仿宋" w:cs="宋体"/>
                <w:color w:val="000000"/>
                <w:sz w:val="24"/>
              </w:rPr>
            </w:pPr>
          </w:p>
        </w:tc>
      </w:tr>
      <w:tr w14:paraId="28D47A4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7B403A">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0BFB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56EA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    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7363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对地质灾害进行防治，保障受威胁人员安全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7AB3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1E66C">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显著</w:t>
            </w:r>
          </w:p>
        </w:tc>
      </w:tr>
      <w:tr w14:paraId="6DBAB6F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D05BD5">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3A6C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A839F">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B80AF">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1E17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D61C2">
            <w:pPr>
              <w:widowControl/>
              <w:jc w:val="center"/>
              <w:textAlignment w:val="center"/>
              <w:rPr>
                <w:rFonts w:ascii="仿宋" w:hAnsi="仿宋" w:eastAsia="仿宋" w:cs="宋体"/>
                <w:color w:val="000000"/>
                <w:sz w:val="24"/>
              </w:rPr>
            </w:pPr>
          </w:p>
        </w:tc>
      </w:tr>
      <w:tr w14:paraId="1C5D231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015BCE">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620DC">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2623D">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46E15">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88529">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472CD">
            <w:pPr>
              <w:widowControl/>
              <w:jc w:val="center"/>
              <w:textAlignment w:val="center"/>
              <w:rPr>
                <w:rFonts w:ascii="仿宋" w:hAnsi="仿宋" w:eastAsia="仿宋" w:cs="宋体"/>
                <w:color w:val="000000"/>
                <w:sz w:val="24"/>
              </w:rPr>
            </w:pPr>
          </w:p>
        </w:tc>
      </w:tr>
    </w:tbl>
    <w:p w14:paraId="0601DB54">
      <w:pPr>
        <w:spacing w:line="580" w:lineRule="exact"/>
        <w:rPr>
          <w:rFonts w:ascii="仿宋" w:hAnsi="仿宋" w:eastAsia="仿宋" w:cs="仿宋_GB2312"/>
          <w:sz w:val="32"/>
          <w:szCs w:val="32"/>
        </w:rPr>
      </w:pPr>
    </w:p>
    <w:p w14:paraId="51D16319">
      <w:pPr>
        <w:numPr>
          <w:ilvl w:val="0"/>
          <w:numId w:val="4"/>
        </w:numPr>
        <w:spacing w:line="580" w:lineRule="exact"/>
        <w:ind w:firstLine="640"/>
        <w:rPr>
          <w:rFonts w:ascii="仿宋" w:hAnsi="仿宋" w:eastAsia="仿宋" w:cs="仿宋_GB2312"/>
          <w:sz w:val="32"/>
          <w:szCs w:val="32"/>
        </w:rPr>
      </w:pPr>
      <w:r>
        <w:rPr>
          <w:rFonts w:hint="eastAsia" w:ascii="仿宋" w:hAnsi="仿宋" w:eastAsia="仿宋" w:cs="仿宋_GB2312"/>
          <w:sz w:val="32"/>
          <w:szCs w:val="32"/>
        </w:rPr>
        <w:t>缴纳耕地占用税项目绩效目标完成情况综述。项目全年预算数2160万元，执行数为1349.05万元是按照实际占用耕地面积缴纳，完成预算的62.46%。</w:t>
      </w:r>
      <w:r>
        <w:rPr>
          <w:rFonts w:hint="eastAsia" w:ascii="仿宋" w:hAnsi="仿宋" w:eastAsia="仿宋" w:cs="仿宋"/>
          <w:sz w:val="32"/>
          <w:szCs w:val="32"/>
        </w:rPr>
        <w:t>根据《</w:t>
      </w:r>
      <w:bookmarkStart w:id="81" w:name="_GoBack"/>
      <w:bookmarkEnd w:id="81"/>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tbl>
      <w:tblPr>
        <w:tblStyle w:val="10"/>
        <w:tblpPr w:leftFromText="180" w:rightFromText="180" w:vertAnchor="text" w:horzAnchor="page" w:tblpXSpec="center" w:tblpY="18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667A56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28B72C8">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14:paraId="5554262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0E61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8E6DF">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缴纳耕地占有税</w:t>
            </w:r>
          </w:p>
        </w:tc>
      </w:tr>
      <w:tr w14:paraId="2279904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255C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5964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14:paraId="1757D85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624E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7AE8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BF4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2160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743F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1650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1349.05</w:t>
            </w:r>
          </w:p>
        </w:tc>
      </w:tr>
      <w:tr w14:paraId="5B7A183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06184">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6D09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8DF5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2160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9ED0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3D16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1349.05</w:t>
            </w:r>
          </w:p>
        </w:tc>
      </w:tr>
      <w:tr w14:paraId="370BEC3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2511B">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9749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62AE1">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C1A3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9E431">
            <w:pPr>
              <w:jc w:val="center"/>
              <w:rPr>
                <w:rFonts w:ascii="仿宋" w:hAnsi="仿宋" w:eastAsia="仿宋" w:cs="宋体"/>
                <w:color w:val="000000"/>
                <w:sz w:val="24"/>
              </w:rPr>
            </w:pPr>
          </w:p>
        </w:tc>
      </w:tr>
      <w:tr w14:paraId="2132509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5A4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07AB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79E0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5564193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55501">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F23DC">
            <w:pPr>
              <w:widowControl/>
              <w:jc w:val="center"/>
              <w:textAlignment w:val="center"/>
              <w:rPr>
                <w:rFonts w:ascii="仿宋" w:hAnsi="仿宋" w:eastAsia="仿宋" w:cs="宋体"/>
                <w:color w:val="000000"/>
                <w:sz w:val="24"/>
              </w:rPr>
            </w:pPr>
            <w:r>
              <w:rPr>
                <w:rFonts w:hint="eastAsia" w:ascii="仿宋" w:hAnsi="仿宋" w:eastAsia="仿宋" w:cs="仿宋"/>
                <w:sz w:val="32"/>
                <w:szCs w:val="32"/>
              </w:rPr>
              <w:t>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92470">
            <w:pPr>
              <w:widowControl/>
              <w:jc w:val="center"/>
              <w:textAlignment w:val="center"/>
              <w:rPr>
                <w:rFonts w:ascii="仿宋" w:hAnsi="仿宋" w:eastAsia="仿宋" w:cs="宋体"/>
                <w:color w:val="000000"/>
                <w:sz w:val="24"/>
              </w:rPr>
            </w:pPr>
            <w:r>
              <w:rPr>
                <w:rFonts w:hint="eastAsia" w:ascii="仿宋" w:hAnsi="仿宋" w:eastAsia="仿宋" w:cs="仿宋"/>
                <w:sz w:val="32"/>
                <w:szCs w:val="32"/>
              </w:rPr>
              <w:t>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tc>
      </w:tr>
      <w:tr w14:paraId="0CDD0AC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895CD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39B5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F154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708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7349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3469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14:paraId="5C68F97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75609F">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4002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21B6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27B1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缴纳耕地占税完成率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C5218">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B1BD1">
            <w:pPr>
              <w:widowControl/>
              <w:jc w:val="center"/>
              <w:textAlignment w:val="center"/>
              <w:rPr>
                <w:rFonts w:ascii="仿宋" w:hAnsi="仿宋" w:eastAsia="仿宋" w:cs="宋体"/>
                <w:color w:val="000000"/>
                <w:sz w:val="24"/>
              </w:rPr>
            </w:pPr>
          </w:p>
        </w:tc>
      </w:tr>
      <w:tr w14:paraId="53B926B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51E077">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F4C5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FE24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D9B2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保证项目用地质量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9894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86BD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r>
      <w:tr w14:paraId="68F2654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D4ADD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FD58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20ACE">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EF77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项目占用耕及时性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FE2A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7A48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14:paraId="7AFD8FE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6BC835">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B4699">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8FD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4BBAA">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22D1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BF3E3">
            <w:pPr>
              <w:widowControl/>
              <w:jc w:val="center"/>
              <w:textAlignment w:val="center"/>
              <w:rPr>
                <w:rFonts w:ascii="仿宋" w:hAnsi="仿宋" w:eastAsia="仿宋" w:cs="宋体"/>
                <w:color w:val="000000"/>
                <w:sz w:val="24"/>
              </w:rPr>
            </w:pPr>
          </w:p>
        </w:tc>
      </w:tr>
      <w:tr w14:paraId="073FF81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26FA48">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F1B7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96DB5">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AF8B6">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135AB">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E421D">
            <w:pPr>
              <w:widowControl/>
              <w:jc w:val="center"/>
              <w:textAlignment w:val="center"/>
              <w:rPr>
                <w:rFonts w:ascii="仿宋" w:hAnsi="仿宋" w:eastAsia="仿宋" w:cs="宋体"/>
                <w:color w:val="000000"/>
                <w:sz w:val="24"/>
              </w:rPr>
            </w:pPr>
          </w:p>
        </w:tc>
      </w:tr>
      <w:tr w14:paraId="5DCB935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0D5E0F">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92BC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4535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7C7FF">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84CEB">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DC0C3">
            <w:pPr>
              <w:widowControl/>
              <w:jc w:val="center"/>
              <w:textAlignment w:val="center"/>
              <w:rPr>
                <w:rFonts w:ascii="仿宋" w:hAnsi="仿宋" w:eastAsia="仿宋" w:cs="宋体"/>
                <w:color w:val="000000"/>
                <w:sz w:val="24"/>
              </w:rPr>
            </w:pPr>
          </w:p>
        </w:tc>
      </w:tr>
      <w:tr w14:paraId="337B70A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DB6F08E">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6ECB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BE55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FB015">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76DAE">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6957E">
            <w:pPr>
              <w:widowControl/>
              <w:jc w:val="center"/>
              <w:textAlignment w:val="center"/>
              <w:rPr>
                <w:rFonts w:ascii="仿宋" w:hAnsi="仿宋" w:eastAsia="仿宋" w:cs="宋体"/>
                <w:color w:val="000000"/>
                <w:sz w:val="24"/>
              </w:rPr>
            </w:pPr>
          </w:p>
        </w:tc>
      </w:tr>
      <w:tr w14:paraId="0E8B021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930383">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25F04">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9A77A">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5FDC">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BAAE9">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BA566">
            <w:pPr>
              <w:widowControl/>
              <w:jc w:val="center"/>
              <w:textAlignment w:val="center"/>
              <w:rPr>
                <w:rFonts w:ascii="仿宋" w:hAnsi="仿宋" w:eastAsia="仿宋" w:cs="宋体"/>
                <w:color w:val="000000"/>
                <w:sz w:val="24"/>
              </w:rPr>
            </w:pPr>
          </w:p>
        </w:tc>
      </w:tr>
      <w:tr w14:paraId="156ACF6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2AE1F8C">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50F6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CAAD5">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E73A">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9E4D">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219C">
            <w:pPr>
              <w:widowControl/>
              <w:jc w:val="center"/>
              <w:textAlignment w:val="center"/>
              <w:rPr>
                <w:rFonts w:ascii="仿宋" w:hAnsi="仿宋" w:eastAsia="仿宋" w:cs="宋体"/>
                <w:color w:val="000000"/>
                <w:sz w:val="24"/>
              </w:rPr>
            </w:pPr>
          </w:p>
        </w:tc>
      </w:tr>
    </w:tbl>
    <w:p w14:paraId="00778D95">
      <w:pPr>
        <w:spacing w:line="580" w:lineRule="exact"/>
        <w:ind w:left="420" w:leftChars="200"/>
        <w:rPr>
          <w:rFonts w:ascii="仿宋" w:hAnsi="仿宋" w:eastAsia="仿宋" w:cs="仿宋_GB2312"/>
          <w:sz w:val="32"/>
          <w:szCs w:val="32"/>
        </w:rPr>
      </w:pPr>
    </w:p>
    <w:p w14:paraId="4036E4F7">
      <w:pPr>
        <w:ind w:firstLine="640" w:firstLineChars="200"/>
        <w:rPr>
          <w:rFonts w:ascii="仿宋" w:hAnsi="仿宋" w:eastAsia="仿宋" w:cs="仿宋_GB2312"/>
          <w:sz w:val="32"/>
          <w:szCs w:val="32"/>
        </w:rPr>
      </w:pPr>
      <w:r>
        <w:rPr>
          <w:rFonts w:hint="eastAsia" w:ascii="仿宋" w:hAnsi="仿宋" w:eastAsia="仿宋" w:cs="仿宋_GB2312"/>
          <w:sz w:val="32"/>
          <w:szCs w:val="32"/>
        </w:rPr>
        <w:t>（3）社保预存款项目绩效目标完成情况综述。项目全年预算数13795.42万元，执行数为13795.42万元，完成预算的100%。通过项目实施，按照省人社、自然资源文件，土地报征前需将涉及的转非人员所需社保预存至专户，以保障政府对转非人员的社保购买履职能力。</w:t>
      </w:r>
    </w:p>
    <w:tbl>
      <w:tblPr>
        <w:tblStyle w:val="10"/>
        <w:tblpPr w:leftFromText="180" w:rightFromText="180" w:vertAnchor="text" w:horzAnchor="page" w:tblpXSpec="center" w:tblpY="183"/>
        <w:tblOverlap w:val="never"/>
        <w:tblW w:w="10104" w:type="dxa"/>
        <w:jc w:val="center"/>
        <w:tblLayout w:type="fixed"/>
        <w:tblCellMar>
          <w:top w:w="0" w:type="dxa"/>
          <w:left w:w="0" w:type="dxa"/>
          <w:bottom w:w="0" w:type="dxa"/>
          <w:right w:w="0" w:type="dxa"/>
        </w:tblCellMar>
      </w:tblPr>
      <w:tblGrid>
        <w:gridCol w:w="534"/>
        <w:gridCol w:w="1367"/>
        <w:gridCol w:w="1025"/>
        <w:gridCol w:w="2392"/>
        <w:gridCol w:w="2394"/>
        <w:gridCol w:w="2392"/>
      </w:tblGrid>
      <w:tr w14:paraId="30200BEF">
        <w:tblPrEx>
          <w:tblCellMar>
            <w:top w:w="0" w:type="dxa"/>
            <w:left w:w="0" w:type="dxa"/>
            <w:bottom w:w="0" w:type="dxa"/>
            <w:right w:w="0" w:type="dxa"/>
          </w:tblCellMar>
        </w:tblPrEx>
        <w:trPr>
          <w:trHeight w:val="1034" w:hRule="atLeast"/>
          <w:jc w:val="center"/>
        </w:trPr>
        <w:tc>
          <w:tcPr>
            <w:tcW w:w="10104" w:type="dxa"/>
            <w:gridSpan w:val="6"/>
            <w:tcBorders>
              <w:top w:val="nil"/>
              <w:left w:val="nil"/>
              <w:bottom w:val="nil"/>
              <w:right w:val="nil"/>
            </w:tcBorders>
            <w:tcMar>
              <w:top w:w="15" w:type="dxa"/>
              <w:left w:w="15" w:type="dxa"/>
              <w:right w:w="15" w:type="dxa"/>
            </w:tcMar>
            <w:vAlign w:val="center"/>
          </w:tcPr>
          <w:p w14:paraId="216812B8">
            <w:pPr>
              <w:widowControl/>
              <w:jc w:val="center"/>
              <w:textAlignment w:val="center"/>
              <w:rPr>
                <w:rFonts w:ascii="仿宋" w:hAnsi="仿宋" w:eastAsia="仿宋" w:cs="宋体"/>
                <w:b/>
                <w:bCs/>
                <w:color w:val="000000"/>
                <w:kern w:val="0"/>
                <w:sz w:val="36"/>
                <w:szCs w:val="36"/>
              </w:rPr>
            </w:pPr>
          </w:p>
          <w:p w14:paraId="22867BCE">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14:paraId="77150EC4">
        <w:tblPrEx>
          <w:tblCellMar>
            <w:top w:w="0" w:type="dxa"/>
            <w:left w:w="0" w:type="dxa"/>
            <w:bottom w:w="0" w:type="dxa"/>
            <w:right w:w="0" w:type="dxa"/>
          </w:tblCellMar>
        </w:tblPrEx>
        <w:trPr>
          <w:trHeight w:val="276" w:hRule="atLeast"/>
          <w:jc w:val="center"/>
        </w:trPr>
        <w:tc>
          <w:tcPr>
            <w:tcW w:w="2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3CA7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660C5">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社保预存款</w:t>
            </w:r>
          </w:p>
        </w:tc>
      </w:tr>
      <w:tr w14:paraId="0BD30393">
        <w:tblPrEx>
          <w:tblCellMar>
            <w:top w:w="0" w:type="dxa"/>
            <w:left w:w="0" w:type="dxa"/>
            <w:bottom w:w="0" w:type="dxa"/>
            <w:right w:w="0" w:type="dxa"/>
          </w:tblCellMar>
        </w:tblPrEx>
        <w:trPr>
          <w:trHeight w:val="276" w:hRule="atLeast"/>
          <w:jc w:val="center"/>
        </w:trPr>
        <w:tc>
          <w:tcPr>
            <w:tcW w:w="2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66A3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371F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14:paraId="31BFBA5F">
        <w:tblPrEx>
          <w:tblCellMar>
            <w:top w:w="0" w:type="dxa"/>
            <w:left w:w="0" w:type="dxa"/>
            <w:bottom w:w="0" w:type="dxa"/>
            <w:right w:w="0" w:type="dxa"/>
          </w:tblCellMar>
        </w:tblPrEx>
        <w:trPr>
          <w:trHeight w:val="276"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4DBC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BF6B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E258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13795.42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1019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72BA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13795.42</w:t>
            </w:r>
          </w:p>
        </w:tc>
      </w:tr>
      <w:tr w14:paraId="715EEEE1">
        <w:tblPrEx>
          <w:tblCellMar>
            <w:top w:w="0" w:type="dxa"/>
            <w:left w:w="0" w:type="dxa"/>
            <w:bottom w:w="0" w:type="dxa"/>
            <w:right w:w="0" w:type="dxa"/>
          </w:tblCellMar>
        </w:tblPrEx>
        <w:trPr>
          <w:trHeight w:val="276"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872C3">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E173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31C7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13795.42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FB01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57BC">
            <w:pPr>
              <w:pStyle w:val="2"/>
              <w:spacing w:before="93"/>
              <w:rPr>
                <w:rFonts w:ascii="仿宋" w:hAnsi="仿宋" w:eastAsia="仿宋"/>
              </w:rPr>
            </w:pPr>
            <w:r>
              <w:rPr>
                <w:rFonts w:hint="eastAsia" w:ascii="仿宋" w:hAnsi="仿宋" w:eastAsia="仿宋"/>
              </w:rPr>
              <w:t>13795.42</w:t>
            </w:r>
          </w:p>
        </w:tc>
      </w:tr>
      <w:tr w14:paraId="35CC8959">
        <w:tblPrEx>
          <w:tblCellMar>
            <w:top w:w="0" w:type="dxa"/>
            <w:left w:w="0" w:type="dxa"/>
            <w:bottom w:w="0" w:type="dxa"/>
            <w:right w:w="0" w:type="dxa"/>
          </w:tblCellMar>
        </w:tblPrEx>
        <w:trPr>
          <w:trHeight w:val="1511"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ACCD0">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78DE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23BC3">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F5A1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D381B">
            <w:pPr>
              <w:jc w:val="center"/>
              <w:rPr>
                <w:rFonts w:ascii="仿宋" w:hAnsi="仿宋" w:eastAsia="仿宋" w:cs="宋体"/>
                <w:color w:val="000000"/>
                <w:sz w:val="24"/>
              </w:rPr>
            </w:pPr>
          </w:p>
        </w:tc>
      </w:tr>
      <w:tr w14:paraId="224E6EFF">
        <w:tblPrEx>
          <w:tblCellMar>
            <w:top w:w="0" w:type="dxa"/>
            <w:left w:w="0" w:type="dxa"/>
            <w:bottom w:w="0" w:type="dxa"/>
            <w:right w:w="0" w:type="dxa"/>
          </w:tblCellMar>
        </w:tblPrEx>
        <w:trPr>
          <w:trHeight w:val="276"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5EAD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7507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721C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1CB352C4">
        <w:tblPrEx>
          <w:tblCellMar>
            <w:top w:w="0" w:type="dxa"/>
            <w:left w:w="0" w:type="dxa"/>
            <w:bottom w:w="0" w:type="dxa"/>
            <w:right w:w="0" w:type="dxa"/>
          </w:tblCellMar>
        </w:tblPrEx>
        <w:trPr>
          <w:trHeight w:val="115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25BF3">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80360">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保障政府对转非人员的社保购买履职能力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D45D6">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保障政府对转非人员的社保购买履职能力</w:t>
            </w:r>
          </w:p>
        </w:tc>
      </w:tr>
      <w:tr w14:paraId="10756D7B">
        <w:tblPrEx>
          <w:tblCellMar>
            <w:top w:w="0" w:type="dxa"/>
            <w:left w:w="0" w:type="dxa"/>
            <w:bottom w:w="0" w:type="dxa"/>
            <w:right w:w="0" w:type="dxa"/>
          </w:tblCellMar>
        </w:tblPrEx>
        <w:trPr>
          <w:trHeight w:val="1042" w:hRule="atLeast"/>
          <w:jc w:val="center"/>
        </w:trPr>
        <w:tc>
          <w:tcPr>
            <w:tcW w:w="5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7E0AC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F978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D20C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FF88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3ABE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8838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14:paraId="1AA40645">
        <w:tblPrEx>
          <w:tblCellMar>
            <w:top w:w="0" w:type="dxa"/>
            <w:left w:w="0" w:type="dxa"/>
            <w:bottom w:w="0" w:type="dxa"/>
            <w:right w:w="0" w:type="dxa"/>
          </w:tblCellMar>
        </w:tblPrEx>
        <w:trPr>
          <w:trHeight w:val="953"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724315EE">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43A5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6885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058A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缴纳社保完成率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EE69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C692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14:paraId="3AD359B2">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5E8B9E6A">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0671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79A2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4C1C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缴纳社保及时性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E202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CABF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14:paraId="6582B423">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20305556">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F46C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EDB38">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FD94">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4E2B6">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533D9">
            <w:pPr>
              <w:widowControl/>
              <w:jc w:val="center"/>
              <w:textAlignment w:val="center"/>
              <w:rPr>
                <w:rFonts w:ascii="仿宋" w:hAnsi="仿宋" w:eastAsia="仿宋" w:cs="宋体"/>
                <w:color w:val="000000"/>
                <w:sz w:val="24"/>
              </w:rPr>
            </w:pPr>
          </w:p>
        </w:tc>
      </w:tr>
      <w:tr w14:paraId="424C232C">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3F394E5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9DA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D1464">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25529">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C93B0">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05D2F">
            <w:pPr>
              <w:widowControl/>
              <w:jc w:val="center"/>
              <w:textAlignment w:val="center"/>
              <w:rPr>
                <w:rFonts w:ascii="仿宋" w:hAnsi="仿宋" w:eastAsia="仿宋" w:cs="宋体"/>
                <w:color w:val="000000"/>
                <w:sz w:val="24"/>
              </w:rPr>
            </w:pPr>
          </w:p>
        </w:tc>
      </w:tr>
      <w:tr w14:paraId="42D8F34E">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0048CA2C">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389E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76CC2">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68525">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34194">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D1E8A">
            <w:pPr>
              <w:widowControl/>
              <w:jc w:val="center"/>
              <w:textAlignment w:val="center"/>
              <w:rPr>
                <w:rFonts w:ascii="仿宋" w:hAnsi="仿宋" w:eastAsia="仿宋" w:cs="宋体"/>
                <w:color w:val="000000"/>
                <w:sz w:val="24"/>
              </w:rPr>
            </w:pPr>
          </w:p>
        </w:tc>
      </w:tr>
      <w:tr w14:paraId="2514BEFE">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65FB96C8">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57E9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6FD24">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74806">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3758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13D3">
            <w:pPr>
              <w:widowControl/>
              <w:jc w:val="center"/>
              <w:textAlignment w:val="center"/>
              <w:rPr>
                <w:rFonts w:ascii="仿宋" w:hAnsi="仿宋" w:eastAsia="仿宋" w:cs="宋体"/>
                <w:color w:val="000000"/>
                <w:sz w:val="24"/>
              </w:rPr>
            </w:pPr>
          </w:p>
        </w:tc>
      </w:tr>
      <w:tr w14:paraId="674150BD">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14:paraId="5C32C741">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B0A4E">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61472">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7B5F5">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0BB3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1C256">
            <w:pPr>
              <w:widowControl/>
              <w:jc w:val="center"/>
              <w:textAlignment w:val="center"/>
              <w:rPr>
                <w:rFonts w:ascii="仿宋" w:hAnsi="仿宋" w:eastAsia="仿宋" w:cs="宋体"/>
                <w:color w:val="000000"/>
                <w:sz w:val="24"/>
              </w:rPr>
            </w:pPr>
          </w:p>
        </w:tc>
      </w:tr>
      <w:tr w14:paraId="7EC73EF6">
        <w:tblPrEx>
          <w:tblCellMar>
            <w:top w:w="0" w:type="dxa"/>
            <w:left w:w="0" w:type="dxa"/>
            <w:bottom w:w="0" w:type="dxa"/>
            <w:right w:w="0" w:type="dxa"/>
          </w:tblCellMar>
        </w:tblPrEx>
        <w:trPr>
          <w:trHeight w:val="1050" w:hRule="atLeast"/>
          <w:jc w:val="center"/>
        </w:trPr>
        <w:tc>
          <w:tcPr>
            <w:tcW w:w="5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E4D0559">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3EA9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2807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C564B">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8B0F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4DF43">
            <w:pPr>
              <w:widowControl/>
              <w:jc w:val="center"/>
              <w:textAlignment w:val="center"/>
              <w:rPr>
                <w:rFonts w:ascii="仿宋" w:hAnsi="仿宋" w:eastAsia="仿宋" w:cs="宋体"/>
                <w:color w:val="000000"/>
                <w:sz w:val="24"/>
              </w:rPr>
            </w:pPr>
          </w:p>
        </w:tc>
      </w:tr>
    </w:tbl>
    <w:p w14:paraId="2030BE8F">
      <w:pPr>
        <w:spacing w:line="580" w:lineRule="exact"/>
        <w:ind w:left="420" w:leftChars="200"/>
        <w:rPr>
          <w:rFonts w:ascii="仿宋" w:hAnsi="仿宋" w:eastAsia="仿宋" w:cs="仿宋_GB2312"/>
          <w:sz w:val="32"/>
          <w:szCs w:val="32"/>
        </w:rPr>
      </w:pPr>
    </w:p>
    <w:p w14:paraId="4F5C214A">
      <w:pPr>
        <w:ind w:firstLine="640" w:firstLineChars="200"/>
        <w:rPr>
          <w:rFonts w:ascii="仿宋" w:hAnsi="仿宋" w:eastAsia="仿宋" w:cs="仿宋_GB2312"/>
          <w:sz w:val="32"/>
          <w:szCs w:val="32"/>
        </w:rPr>
      </w:pPr>
      <w:r>
        <w:rPr>
          <w:rFonts w:hint="eastAsia" w:ascii="仿宋" w:hAnsi="仿宋" w:eastAsia="仿宋" w:cs="仿宋_GB2312"/>
          <w:sz w:val="32"/>
          <w:szCs w:val="32"/>
        </w:rPr>
        <w:t>（4）峨眉山市集体林管护劳务费项目绩效目标完成情况综述。项目全年预算数50万元，执行数为24.67万元，完成预算的49.34%。通过项目实施，保证了管护责任片区巡山护林，及时发现制止人为破坏森林资源行为。</w:t>
      </w:r>
    </w:p>
    <w:tbl>
      <w:tblPr>
        <w:tblStyle w:val="10"/>
        <w:tblpPr w:leftFromText="180" w:rightFromText="180" w:vertAnchor="text" w:horzAnchor="page" w:tblpXSpec="center" w:tblpY="18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14EDA33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4D97881">
            <w:pPr>
              <w:widowControl/>
              <w:jc w:val="center"/>
              <w:textAlignment w:val="center"/>
              <w:rPr>
                <w:rFonts w:ascii="仿宋" w:hAnsi="仿宋" w:eastAsia="仿宋" w:cs="宋体"/>
                <w:b/>
                <w:bCs/>
                <w:color w:val="000000"/>
                <w:kern w:val="0"/>
                <w:sz w:val="36"/>
                <w:szCs w:val="36"/>
              </w:rPr>
            </w:pPr>
          </w:p>
          <w:p w14:paraId="4146B88B">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14:paraId="5A529C4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E049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86564">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集体林管护劳务费</w:t>
            </w:r>
          </w:p>
        </w:tc>
      </w:tr>
      <w:tr w14:paraId="3176971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E471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7831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14:paraId="1E6F867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3B00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D372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44B12">
            <w:pPr>
              <w:pStyle w:val="2"/>
              <w:spacing w:before="93"/>
              <w:ind w:firstLine="1200" w:firstLineChars="400"/>
              <w:rPr>
                <w:rFonts w:ascii="仿宋" w:hAnsi="仿宋" w:eastAsia="仿宋"/>
              </w:rPr>
            </w:pPr>
            <w:r>
              <w:rPr>
                <w:rFonts w:hint="eastAsia" w:ascii="仿宋" w:hAnsi="仿宋" w:eastAsia="仿宋"/>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95CF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BF8E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24.67</w:t>
            </w:r>
          </w:p>
        </w:tc>
      </w:tr>
      <w:tr w14:paraId="3B49EDB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CBD9E">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665C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FBA9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929AD">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DBE8">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24.67</w:t>
            </w:r>
          </w:p>
        </w:tc>
      </w:tr>
      <w:tr w14:paraId="4C5D015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A8C1D">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295A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16727">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3642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798C6">
            <w:pPr>
              <w:jc w:val="center"/>
              <w:rPr>
                <w:rFonts w:ascii="仿宋" w:hAnsi="仿宋" w:eastAsia="仿宋" w:cs="宋体"/>
                <w:color w:val="000000"/>
                <w:sz w:val="24"/>
              </w:rPr>
            </w:pPr>
          </w:p>
        </w:tc>
      </w:tr>
      <w:tr w14:paraId="4453016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A5A4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282A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3836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18B8DBD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8BA40">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B6CA8">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保证管护责任片区巡山护林，及时发现制止人为破坏森林资源行为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04171">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保证管护责任片区巡山护林，及时发现制止人为破坏森林资源行为</w:t>
            </w:r>
          </w:p>
        </w:tc>
      </w:tr>
      <w:tr w14:paraId="4FC6129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A5E627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F8F9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00E7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E72F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9D36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32F3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14:paraId="2EF9B8F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AFFE979">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C40F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D794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9FDC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森林管护信息员数量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45E2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2E66E">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20人</w:t>
            </w:r>
          </w:p>
        </w:tc>
      </w:tr>
      <w:tr w14:paraId="44AFE48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666A4D3">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F963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1E42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4291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集体林管护信息提供质量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90F2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准确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90D2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准确</w:t>
            </w:r>
          </w:p>
        </w:tc>
      </w:tr>
      <w:tr w14:paraId="71BFA56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5114E62">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009B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A5D8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9F02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发生集体林破坏提供信息及时性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D101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79D3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14:paraId="34A46DB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061B0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210BF">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DC38B">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7676A">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D19D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1EEE5">
            <w:pPr>
              <w:widowControl/>
              <w:jc w:val="center"/>
              <w:textAlignment w:val="center"/>
              <w:rPr>
                <w:rFonts w:ascii="仿宋" w:hAnsi="仿宋" w:eastAsia="仿宋" w:cs="宋体"/>
                <w:color w:val="000000"/>
                <w:sz w:val="24"/>
              </w:rPr>
            </w:pPr>
          </w:p>
        </w:tc>
      </w:tr>
      <w:tr w14:paraId="6DDE0FE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FA21A9">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ED00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29F42">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4F83C">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BDD39">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AF9E">
            <w:pPr>
              <w:widowControl/>
              <w:jc w:val="center"/>
              <w:textAlignment w:val="center"/>
              <w:rPr>
                <w:rFonts w:ascii="仿宋" w:hAnsi="仿宋" w:eastAsia="仿宋" w:cs="宋体"/>
                <w:color w:val="000000"/>
                <w:sz w:val="24"/>
              </w:rPr>
            </w:pPr>
          </w:p>
        </w:tc>
      </w:tr>
      <w:tr w14:paraId="55C3BDB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FB68F7">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00A02">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32F1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07C9D">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D640C">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1B61F">
            <w:pPr>
              <w:widowControl/>
              <w:jc w:val="center"/>
              <w:textAlignment w:val="center"/>
              <w:rPr>
                <w:rFonts w:ascii="仿宋" w:hAnsi="仿宋" w:eastAsia="仿宋" w:cs="宋体"/>
                <w:color w:val="000000"/>
                <w:sz w:val="24"/>
              </w:rPr>
            </w:pPr>
          </w:p>
        </w:tc>
      </w:tr>
      <w:tr w14:paraId="24E2B08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ABA92C">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6325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65536">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9706D">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EED8D">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1EAA9">
            <w:pPr>
              <w:widowControl/>
              <w:jc w:val="center"/>
              <w:textAlignment w:val="center"/>
              <w:rPr>
                <w:rFonts w:ascii="仿宋" w:hAnsi="仿宋" w:eastAsia="仿宋" w:cs="宋体"/>
                <w:color w:val="000000"/>
                <w:sz w:val="24"/>
              </w:rPr>
            </w:pPr>
          </w:p>
        </w:tc>
      </w:tr>
      <w:tr w14:paraId="576025C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651367">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51B4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76423">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65972">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A1E3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B36C7">
            <w:pPr>
              <w:widowControl/>
              <w:jc w:val="center"/>
              <w:textAlignment w:val="center"/>
              <w:rPr>
                <w:rFonts w:ascii="仿宋" w:hAnsi="仿宋" w:eastAsia="仿宋" w:cs="宋体"/>
                <w:color w:val="000000"/>
                <w:sz w:val="24"/>
              </w:rPr>
            </w:pPr>
          </w:p>
        </w:tc>
      </w:tr>
      <w:tr w14:paraId="1AC0525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1F37B3">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40692">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F7E23">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B407E">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8AA9E">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8EFEF">
            <w:pPr>
              <w:widowControl/>
              <w:jc w:val="center"/>
              <w:textAlignment w:val="center"/>
              <w:rPr>
                <w:rFonts w:ascii="仿宋" w:hAnsi="仿宋" w:eastAsia="仿宋" w:cs="宋体"/>
                <w:color w:val="000000"/>
                <w:sz w:val="24"/>
              </w:rPr>
            </w:pPr>
          </w:p>
        </w:tc>
      </w:tr>
      <w:tr w14:paraId="401745F1">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5559D06">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D929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B7C1B">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379FF">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F707">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68F29">
            <w:pPr>
              <w:widowControl/>
              <w:jc w:val="center"/>
              <w:textAlignment w:val="center"/>
              <w:rPr>
                <w:rFonts w:ascii="仿宋" w:hAnsi="仿宋" w:eastAsia="仿宋" w:cs="宋体"/>
                <w:color w:val="000000"/>
                <w:sz w:val="24"/>
              </w:rPr>
            </w:pPr>
          </w:p>
        </w:tc>
      </w:tr>
    </w:tbl>
    <w:p w14:paraId="4692D65A">
      <w:pPr>
        <w:spacing w:line="580" w:lineRule="exact"/>
        <w:ind w:left="420" w:leftChars="200"/>
        <w:rPr>
          <w:rFonts w:ascii="仿宋" w:hAnsi="仿宋" w:eastAsia="仿宋" w:cs="仿宋_GB2312"/>
          <w:sz w:val="32"/>
          <w:szCs w:val="32"/>
        </w:rPr>
      </w:pPr>
    </w:p>
    <w:p w14:paraId="2E314433">
      <w:pPr>
        <w:spacing w:line="240" w:lineRule="auto"/>
        <w:ind w:left="0"/>
        <w:rPr>
          <w:rFonts w:ascii="仿宋" w:hAnsi="仿宋" w:eastAsia="仿宋" w:cs="仿宋_GB2312"/>
          <w:sz w:val="32"/>
          <w:szCs w:val="32"/>
        </w:rPr>
      </w:pPr>
      <w:r>
        <w:rPr>
          <w:rFonts w:hint="eastAsia" w:ascii="仿宋" w:hAnsi="仿宋" w:eastAsia="仿宋" w:cs="仿宋_GB2312"/>
          <w:sz w:val="32"/>
          <w:szCs w:val="32"/>
        </w:rPr>
        <w:t>（5）农村房地一体和建设用地确权登记项目绩效目标完成情况综述。项目全年预算数1600万元，执行数为555.93万元，完成预算的34.75%。通过项目实施，完成峨眉山市农村房地一体和集体建设用地确权登记外业测绘工作。</w:t>
      </w:r>
    </w:p>
    <w:tbl>
      <w:tblPr>
        <w:tblStyle w:val="10"/>
        <w:tblpPr w:leftFromText="180" w:rightFromText="180" w:vertAnchor="text" w:horzAnchor="page" w:tblpXSpec="center" w:tblpY="183"/>
        <w:tblOverlap w:val="never"/>
        <w:tblW w:w="9860" w:type="dxa"/>
        <w:jc w:val="center"/>
        <w:tblLayout w:type="fixed"/>
        <w:tblCellMar>
          <w:top w:w="0" w:type="dxa"/>
          <w:left w:w="0" w:type="dxa"/>
          <w:bottom w:w="0" w:type="dxa"/>
          <w:right w:w="0" w:type="dxa"/>
        </w:tblCellMar>
      </w:tblPr>
      <w:tblGrid>
        <w:gridCol w:w="385"/>
        <w:gridCol w:w="1353"/>
        <w:gridCol w:w="1014"/>
        <w:gridCol w:w="2367"/>
        <w:gridCol w:w="2369"/>
        <w:gridCol w:w="2372"/>
      </w:tblGrid>
      <w:tr w14:paraId="515DC3D4">
        <w:tblPrEx>
          <w:tblCellMar>
            <w:top w:w="0" w:type="dxa"/>
            <w:left w:w="0" w:type="dxa"/>
            <w:bottom w:w="0" w:type="dxa"/>
            <w:right w:w="0" w:type="dxa"/>
          </w:tblCellMar>
        </w:tblPrEx>
        <w:trPr>
          <w:trHeight w:val="1949" w:hRule="atLeast"/>
          <w:jc w:val="center"/>
        </w:trPr>
        <w:tc>
          <w:tcPr>
            <w:tcW w:w="9860" w:type="dxa"/>
            <w:gridSpan w:val="6"/>
            <w:tcBorders>
              <w:top w:val="nil"/>
              <w:left w:val="nil"/>
              <w:bottom w:val="nil"/>
              <w:right w:val="nil"/>
            </w:tcBorders>
            <w:tcMar>
              <w:top w:w="15" w:type="dxa"/>
              <w:left w:w="15" w:type="dxa"/>
              <w:right w:w="15" w:type="dxa"/>
            </w:tcMar>
            <w:vAlign w:val="center"/>
          </w:tcPr>
          <w:p w14:paraId="700EE7C9">
            <w:pPr>
              <w:widowControl/>
              <w:jc w:val="center"/>
              <w:textAlignment w:val="center"/>
              <w:rPr>
                <w:rFonts w:ascii="仿宋" w:hAnsi="仿宋" w:eastAsia="仿宋" w:cs="宋体"/>
                <w:b/>
                <w:bCs/>
                <w:color w:val="000000"/>
                <w:kern w:val="0"/>
                <w:sz w:val="36"/>
                <w:szCs w:val="36"/>
              </w:rPr>
            </w:pPr>
          </w:p>
          <w:p w14:paraId="2CDC93BC">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14:paraId="7D7C69B6">
        <w:tblPrEx>
          <w:tblCellMar>
            <w:top w:w="0" w:type="dxa"/>
            <w:left w:w="0" w:type="dxa"/>
            <w:bottom w:w="0" w:type="dxa"/>
            <w:right w:w="0" w:type="dxa"/>
          </w:tblCellMar>
        </w:tblPrEx>
        <w:trPr>
          <w:trHeight w:val="670" w:hRule="atLeast"/>
          <w:jc w:val="center"/>
        </w:trPr>
        <w:tc>
          <w:tcPr>
            <w:tcW w:w="27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1B9E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9C2C5">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农村房地一体和建设用地确权登记</w:t>
            </w:r>
          </w:p>
        </w:tc>
      </w:tr>
      <w:tr w14:paraId="7248145D">
        <w:tblPrEx>
          <w:tblCellMar>
            <w:top w:w="0" w:type="dxa"/>
            <w:left w:w="0" w:type="dxa"/>
            <w:bottom w:w="0" w:type="dxa"/>
            <w:right w:w="0" w:type="dxa"/>
          </w:tblCellMar>
        </w:tblPrEx>
        <w:trPr>
          <w:trHeight w:val="348" w:hRule="atLeast"/>
          <w:jc w:val="center"/>
        </w:trPr>
        <w:tc>
          <w:tcPr>
            <w:tcW w:w="27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B45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6715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14:paraId="76ED7450">
        <w:tblPrEx>
          <w:tblCellMar>
            <w:top w:w="0" w:type="dxa"/>
            <w:left w:w="0" w:type="dxa"/>
            <w:bottom w:w="0" w:type="dxa"/>
            <w:right w:w="0" w:type="dxa"/>
          </w:tblCellMar>
        </w:tblPrEx>
        <w:trPr>
          <w:trHeight w:val="348" w:hRule="atLeast"/>
          <w:jc w:val="center"/>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9996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3F12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ADFC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1600</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C822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5067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555.93</w:t>
            </w:r>
          </w:p>
        </w:tc>
      </w:tr>
      <w:tr w14:paraId="5E4A8225">
        <w:tblPrEx>
          <w:tblCellMar>
            <w:top w:w="0" w:type="dxa"/>
            <w:left w:w="0" w:type="dxa"/>
            <w:bottom w:w="0" w:type="dxa"/>
            <w:right w:w="0" w:type="dxa"/>
          </w:tblCellMar>
        </w:tblPrEx>
        <w:trPr>
          <w:trHeight w:val="348"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E22F0">
            <w:pPr>
              <w:jc w:val="center"/>
              <w:rPr>
                <w:rFonts w:ascii="仿宋" w:hAnsi="仿宋" w:eastAsia="仿宋" w:cs="宋体"/>
                <w:color w:val="000000"/>
                <w:sz w:val="24"/>
              </w:rPr>
            </w:pPr>
          </w:p>
        </w:tc>
        <w:tc>
          <w:tcPr>
            <w:tcW w:w="2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B6DA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7482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1600</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2F5C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031E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555.93</w:t>
            </w:r>
          </w:p>
        </w:tc>
      </w:tr>
      <w:tr w14:paraId="3687C36A">
        <w:tblPrEx>
          <w:tblCellMar>
            <w:top w:w="0" w:type="dxa"/>
            <w:left w:w="0" w:type="dxa"/>
            <w:bottom w:w="0" w:type="dxa"/>
            <w:right w:w="0" w:type="dxa"/>
          </w:tblCellMar>
        </w:tblPrEx>
        <w:trPr>
          <w:trHeight w:val="2553"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D721A">
            <w:pPr>
              <w:jc w:val="center"/>
              <w:rPr>
                <w:rFonts w:ascii="仿宋" w:hAnsi="仿宋" w:eastAsia="仿宋" w:cs="宋体"/>
                <w:color w:val="000000"/>
                <w:sz w:val="24"/>
              </w:rPr>
            </w:pPr>
          </w:p>
        </w:tc>
        <w:tc>
          <w:tcPr>
            <w:tcW w:w="2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016B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C0E4">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BE0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878E9">
            <w:pPr>
              <w:jc w:val="center"/>
              <w:rPr>
                <w:rFonts w:ascii="仿宋" w:hAnsi="仿宋" w:eastAsia="仿宋" w:cs="宋体"/>
                <w:color w:val="000000"/>
                <w:sz w:val="24"/>
              </w:rPr>
            </w:pPr>
          </w:p>
        </w:tc>
      </w:tr>
      <w:tr w14:paraId="6E823B26">
        <w:tblPrEx>
          <w:tblCellMar>
            <w:top w:w="0" w:type="dxa"/>
            <w:left w:w="0" w:type="dxa"/>
            <w:bottom w:w="0" w:type="dxa"/>
            <w:right w:w="0" w:type="dxa"/>
          </w:tblCellMar>
        </w:tblPrEx>
        <w:trPr>
          <w:trHeight w:val="348" w:hRule="atLeast"/>
          <w:jc w:val="center"/>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176A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BCF1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40D8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3BC53CB9">
        <w:tblPrEx>
          <w:tblCellMar>
            <w:top w:w="0" w:type="dxa"/>
            <w:left w:w="0" w:type="dxa"/>
            <w:bottom w:w="0" w:type="dxa"/>
            <w:right w:w="0" w:type="dxa"/>
          </w:tblCellMar>
        </w:tblPrEx>
        <w:trPr>
          <w:trHeight w:val="3249"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DBED7">
            <w:pPr>
              <w:jc w:val="center"/>
              <w:rPr>
                <w:rFonts w:ascii="仿宋" w:hAnsi="仿宋" w:eastAsia="仿宋" w:cs="宋体"/>
                <w:color w:val="000000"/>
                <w:sz w:val="24"/>
              </w:rPr>
            </w:pPr>
          </w:p>
        </w:tc>
        <w:tc>
          <w:tcPr>
            <w:tcW w:w="4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8ABAA">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全面掌握全市土地利用现状，为进一步加强土地利用和监管提供了基础数据</w:t>
            </w:r>
          </w:p>
        </w:tc>
        <w:tc>
          <w:tcPr>
            <w:tcW w:w="4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EF846">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调查了市域内国有土地和集体土地利用现状，为全面掌握全市土地利用现状，进一步加强土地利用和监管提供了基础数据</w:t>
            </w:r>
          </w:p>
        </w:tc>
      </w:tr>
      <w:tr w14:paraId="18211E3F">
        <w:tblPrEx>
          <w:tblCellMar>
            <w:top w:w="0" w:type="dxa"/>
            <w:left w:w="0" w:type="dxa"/>
            <w:bottom w:w="0" w:type="dxa"/>
            <w:right w:w="0" w:type="dxa"/>
          </w:tblCellMar>
        </w:tblPrEx>
        <w:trPr>
          <w:trHeight w:val="1102" w:hRule="atLeast"/>
          <w:jc w:val="center"/>
        </w:trPr>
        <w:tc>
          <w:tcPr>
            <w:tcW w:w="3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1C822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E0C5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8F86D">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08F9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4F48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61AE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14:paraId="6A11720B">
        <w:tblPrEx>
          <w:tblCellMar>
            <w:top w:w="0" w:type="dxa"/>
            <w:left w:w="0" w:type="dxa"/>
            <w:bottom w:w="0" w:type="dxa"/>
            <w:right w:w="0" w:type="dxa"/>
          </w:tblCellMar>
        </w:tblPrEx>
        <w:trPr>
          <w:trHeight w:val="1010"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218CAEA5">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5609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9818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EA08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土地调查工作质量</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D67F1">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达标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FBB8B">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达标</w:t>
            </w:r>
          </w:p>
        </w:tc>
      </w:tr>
      <w:tr w14:paraId="063905E5">
        <w:tblPrEx>
          <w:tblCellMar>
            <w:top w:w="0" w:type="dxa"/>
            <w:left w:w="0" w:type="dxa"/>
            <w:bottom w:w="0" w:type="dxa"/>
            <w:right w:w="0" w:type="dxa"/>
          </w:tblCellMar>
        </w:tblPrEx>
        <w:trPr>
          <w:trHeight w:val="1365"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0E144A36">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F24F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863E">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95C9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土地调查及时性</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6602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01803">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14:paraId="61C0B5BF">
        <w:tblPrEx>
          <w:tblCellMar>
            <w:top w:w="0" w:type="dxa"/>
            <w:left w:w="0" w:type="dxa"/>
            <w:bottom w:w="0" w:type="dxa"/>
            <w:right w:w="0" w:type="dxa"/>
          </w:tblCellMar>
        </w:tblPrEx>
        <w:trPr>
          <w:trHeight w:val="110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2240ED75">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7590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1493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7B79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土地调查完成率</w:t>
            </w: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1154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DE917">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14:paraId="3A9FFEC7">
        <w:tblPrEx>
          <w:tblCellMar>
            <w:top w:w="0" w:type="dxa"/>
            <w:left w:w="0" w:type="dxa"/>
            <w:bottom w:w="0" w:type="dxa"/>
            <w:right w:w="0" w:type="dxa"/>
          </w:tblCellMar>
        </w:tblPrEx>
        <w:trPr>
          <w:trHeight w:val="110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67AE6243">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346A9">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9A603">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4F747">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79F21">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C6D7C">
            <w:pPr>
              <w:widowControl/>
              <w:jc w:val="center"/>
              <w:textAlignment w:val="center"/>
              <w:rPr>
                <w:rFonts w:ascii="仿宋" w:hAnsi="仿宋" w:eastAsia="仿宋" w:cs="宋体"/>
                <w:color w:val="000000"/>
                <w:sz w:val="24"/>
              </w:rPr>
            </w:pPr>
          </w:p>
        </w:tc>
      </w:tr>
      <w:tr w14:paraId="10F92DA4">
        <w:tblPrEx>
          <w:tblCellMar>
            <w:top w:w="0" w:type="dxa"/>
            <w:left w:w="0" w:type="dxa"/>
            <w:bottom w:w="0" w:type="dxa"/>
            <w:right w:w="0" w:type="dxa"/>
          </w:tblCellMar>
        </w:tblPrEx>
        <w:trPr>
          <w:trHeight w:val="110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5A0551CA">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C120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2788F">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33672">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D9535">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DFB2E">
            <w:pPr>
              <w:widowControl/>
              <w:jc w:val="center"/>
              <w:textAlignment w:val="center"/>
              <w:rPr>
                <w:rFonts w:ascii="仿宋" w:hAnsi="仿宋" w:eastAsia="仿宋" w:cs="宋体"/>
                <w:color w:val="000000"/>
                <w:sz w:val="24"/>
              </w:rPr>
            </w:pPr>
          </w:p>
        </w:tc>
      </w:tr>
      <w:tr w14:paraId="207C4C6A">
        <w:tblPrEx>
          <w:tblCellMar>
            <w:top w:w="0" w:type="dxa"/>
            <w:left w:w="0" w:type="dxa"/>
            <w:bottom w:w="0" w:type="dxa"/>
            <w:right w:w="0" w:type="dxa"/>
          </w:tblCellMar>
        </w:tblPrEx>
        <w:trPr>
          <w:trHeight w:val="110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2BAE3E11">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3A798">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367E9">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19659">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CF09A">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CC98F">
            <w:pPr>
              <w:widowControl/>
              <w:jc w:val="center"/>
              <w:textAlignment w:val="center"/>
              <w:rPr>
                <w:rFonts w:ascii="仿宋" w:hAnsi="仿宋" w:eastAsia="仿宋" w:cs="宋体"/>
                <w:color w:val="000000"/>
                <w:sz w:val="24"/>
              </w:rPr>
            </w:pPr>
          </w:p>
        </w:tc>
      </w:tr>
      <w:tr w14:paraId="6C742B8B">
        <w:tblPrEx>
          <w:tblCellMar>
            <w:top w:w="0" w:type="dxa"/>
            <w:left w:w="0" w:type="dxa"/>
            <w:bottom w:w="0" w:type="dxa"/>
            <w:right w:w="0" w:type="dxa"/>
          </w:tblCellMar>
        </w:tblPrEx>
        <w:trPr>
          <w:trHeight w:val="110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288D288B">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1F2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B7B3F">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75AA2">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B88B8">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2DB2E">
            <w:pPr>
              <w:widowControl/>
              <w:jc w:val="center"/>
              <w:textAlignment w:val="center"/>
              <w:rPr>
                <w:rFonts w:ascii="仿宋" w:hAnsi="仿宋" w:eastAsia="仿宋" w:cs="宋体"/>
                <w:color w:val="000000"/>
                <w:sz w:val="24"/>
              </w:rPr>
            </w:pPr>
          </w:p>
        </w:tc>
      </w:tr>
      <w:tr w14:paraId="6711B85E">
        <w:tblPrEx>
          <w:tblCellMar>
            <w:top w:w="0" w:type="dxa"/>
            <w:left w:w="0" w:type="dxa"/>
            <w:bottom w:w="0" w:type="dxa"/>
            <w:right w:w="0" w:type="dxa"/>
          </w:tblCellMar>
        </w:tblPrEx>
        <w:trPr>
          <w:trHeight w:val="1365"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03629C82">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B440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9163A">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18B3E">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502C4">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5AB74">
            <w:pPr>
              <w:widowControl/>
              <w:jc w:val="center"/>
              <w:textAlignment w:val="center"/>
              <w:rPr>
                <w:rFonts w:ascii="仿宋" w:hAnsi="仿宋" w:eastAsia="仿宋" w:cs="宋体"/>
                <w:color w:val="000000"/>
                <w:sz w:val="24"/>
              </w:rPr>
            </w:pPr>
          </w:p>
        </w:tc>
      </w:tr>
      <w:tr w14:paraId="72F55B18">
        <w:tblPrEx>
          <w:tblCellMar>
            <w:top w:w="0" w:type="dxa"/>
            <w:left w:w="0" w:type="dxa"/>
            <w:bottom w:w="0" w:type="dxa"/>
            <w:right w:w="0" w:type="dxa"/>
          </w:tblCellMar>
        </w:tblPrEx>
        <w:trPr>
          <w:trHeight w:val="1365"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14:paraId="64963026">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82599">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13EB7">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F384C">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AF961">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D406D">
            <w:pPr>
              <w:widowControl/>
              <w:jc w:val="center"/>
              <w:textAlignment w:val="center"/>
              <w:rPr>
                <w:rFonts w:ascii="仿宋" w:hAnsi="仿宋" w:eastAsia="仿宋" w:cs="宋体"/>
                <w:color w:val="000000"/>
                <w:sz w:val="24"/>
              </w:rPr>
            </w:pPr>
          </w:p>
        </w:tc>
      </w:tr>
      <w:tr w14:paraId="7AD7927E">
        <w:tblPrEx>
          <w:tblCellMar>
            <w:top w:w="0" w:type="dxa"/>
            <w:left w:w="0" w:type="dxa"/>
            <w:bottom w:w="0" w:type="dxa"/>
            <w:right w:w="0" w:type="dxa"/>
          </w:tblCellMar>
        </w:tblPrEx>
        <w:trPr>
          <w:trHeight w:val="1121" w:hRule="atLeast"/>
          <w:jc w:val="center"/>
        </w:trPr>
        <w:tc>
          <w:tcPr>
            <w:tcW w:w="38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DCCBD63">
            <w:pPr>
              <w:widowControl/>
              <w:jc w:val="center"/>
              <w:textAlignment w:val="center"/>
              <w:rPr>
                <w:rFonts w:ascii="仿宋" w:hAnsi="仿宋" w:eastAsia="仿宋" w:cs="宋体"/>
                <w:color w:val="000000"/>
                <w:sz w:val="24"/>
              </w:rPr>
            </w:pP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6024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DD885">
            <w:pPr>
              <w:widowControl/>
              <w:jc w:val="center"/>
              <w:textAlignment w:val="center"/>
              <w:rPr>
                <w:rFonts w:ascii="仿宋" w:hAnsi="仿宋" w:eastAsia="仿宋" w:cs="宋体"/>
                <w:color w:val="000000"/>
                <w:sz w:val="24"/>
              </w:rPr>
            </w:pP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15CA0">
            <w:pPr>
              <w:widowControl/>
              <w:jc w:val="center"/>
              <w:textAlignment w:val="center"/>
              <w:rPr>
                <w:rFonts w:ascii="仿宋" w:hAnsi="仿宋" w:eastAsia="仿宋"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E65A4">
            <w:pPr>
              <w:widowControl/>
              <w:jc w:val="center"/>
              <w:textAlignment w:val="center"/>
              <w:rPr>
                <w:rFonts w:ascii="仿宋" w:hAnsi="仿宋" w:eastAsia="仿宋" w:cs="宋体"/>
                <w:color w:val="000000"/>
                <w:sz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5162">
            <w:pPr>
              <w:widowControl/>
              <w:jc w:val="center"/>
              <w:textAlignment w:val="center"/>
              <w:rPr>
                <w:rFonts w:ascii="仿宋" w:hAnsi="仿宋" w:eastAsia="仿宋" w:cs="宋体"/>
                <w:color w:val="000000"/>
                <w:sz w:val="24"/>
              </w:rPr>
            </w:pPr>
          </w:p>
        </w:tc>
      </w:tr>
    </w:tbl>
    <w:p w14:paraId="40338BAF">
      <w:pPr>
        <w:spacing w:line="580" w:lineRule="exact"/>
        <w:ind w:left="630"/>
        <w:rPr>
          <w:rFonts w:ascii="仿宋" w:hAnsi="仿宋" w:eastAsia="仿宋" w:cs="仿宋_GB2312"/>
          <w:sz w:val="32"/>
          <w:szCs w:val="32"/>
        </w:rPr>
      </w:pPr>
      <w:r>
        <w:rPr>
          <w:rFonts w:hint="eastAsia" w:ascii="仿宋" w:hAnsi="仿宋" w:eastAsia="仿宋" w:cs="楷体_GB2312"/>
          <w:sz w:val="32"/>
          <w:szCs w:val="32"/>
        </w:rPr>
        <w:t>2.部门绩效评价结果。</w:t>
      </w:r>
    </w:p>
    <w:p w14:paraId="20DCE3D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本单位按要求对2020年部门整体支出绩效评价情况开展自评，《峨眉山市自然资源局2020年部门整体支出绩效评价报告》见附件（附件1）。</w:t>
      </w:r>
    </w:p>
    <w:p w14:paraId="1BFDD0D1">
      <w:pPr>
        <w:spacing w:line="600" w:lineRule="exact"/>
        <w:jc w:val="left"/>
        <w:rPr>
          <w:rFonts w:ascii="仿宋" w:hAnsi="仿宋" w:eastAsia="仿宋" w:cs="仿宋"/>
          <w:b/>
          <w:color w:val="000000"/>
          <w:sz w:val="32"/>
          <w:szCs w:val="32"/>
        </w:rPr>
      </w:pPr>
      <w:r>
        <w:rPr>
          <w:rFonts w:hint="eastAsia" w:ascii="仿宋" w:hAnsi="仿宋" w:eastAsia="仿宋" w:cs="仿宋"/>
          <w:sz w:val="32"/>
          <w:szCs w:val="32"/>
        </w:rPr>
        <w:t xml:space="preserve">   本部门自行组织对空间规划编制科研经费项目开展了绩效评价，《空间规划编制科研经费项目支出绩效自评报告》见附件（附件2）。</w:t>
      </w:r>
    </w:p>
    <w:p w14:paraId="01906A9A">
      <w:pPr>
        <w:widowControl/>
        <w:jc w:val="left"/>
        <w:rPr>
          <w:rFonts w:ascii="仿宋" w:hAnsi="仿宋" w:eastAsia="仿宋"/>
          <w:b/>
          <w:color w:val="000000"/>
          <w:sz w:val="32"/>
          <w:szCs w:val="32"/>
        </w:rPr>
      </w:pPr>
      <w:r>
        <w:rPr>
          <w:rFonts w:ascii="仿宋" w:hAnsi="仿宋" w:eastAsia="仿宋"/>
          <w:b/>
          <w:color w:val="000000"/>
          <w:sz w:val="32"/>
          <w:szCs w:val="32"/>
        </w:rPr>
        <w:br w:type="page"/>
      </w:r>
    </w:p>
    <w:p w14:paraId="4BE208EC">
      <w:pPr>
        <w:numPr>
          <w:ilvl w:val="0"/>
          <w:numId w:val="5"/>
        </w:numPr>
        <w:spacing w:line="600" w:lineRule="exact"/>
        <w:ind w:firstLine="660" w:firstLineChars="150"/>
        <w:jc w:val="center"/>
        <w:outlineLvl w:val="0"/>
        <w:rPr>
          <w:rStyle w:val="14"/>
          <w:rFonts w:ascii="仿宋" w:hAnsi="仿宋" w:eastAsia="仿宋"/>
          <w:b w:val="0"/>
        </w:rPr>
      </w:pPr>
      <w:bookmarkStart w:id="59" w:name="_Toc15396613"/>
      <w:bookmarkStart w:id="60" w:name="_Toc15377225"/>
      <w:r>
        <w:rPr>
          <w:rFonts w:hint="eastAsia" w:ascii="仿宋" w:hAnsi="仿宋" w:eastAsia="仿宋"/>
          <w:color w:val="000000"/>
          <w:sz w:val="44"/>
          <w:szCs w:val="44"/>
        </w:rPr>
        <w:t>名</w:t>
      </w:r>
      <w:r>
        <w:rPr>
          <w:rStyle w:val="14"/>
          <w:rFonts w:hint="eastAsia" w:ascii="仿宋" w:hAnsi="仿宋" w:eastAsia="仿宋"/>
          <w:b w:val="0"/>
        </w:rPr>
        <w:t>词解释</w:t>
      </w:r>
      <w:bookmarkEnd w:id="59"/>
      <w:bookmarkEnd w:id="60"/>
    </w:p>
    <w:p w14:paraId="24562F40">
      <w:pPr>
        <w:spacing w:line="600" w:lineRule="exact"/>
        <w:jc w:val="left"/>
        <w:rPr>
          <w:rFonts w:ascii="仿宋" w:hAnsi="仿宋" w:eastAsia="仿宋"/>
          <w:b/>
          <w:color w:val="000000"/>
          <w:sz w:val="44"/>
          <w:szCs w:val="44"/>
        </w:rPr>
      </w:pPr>
    </w:p>
    <w:p w14:paraId="594DEF86">
      <w:pPr>
        <w:pStyle w:val="17"/>
        <w:spacing w:line="560" w:lineRule="exact"/>
        <w:ind w:firstLine="640" w:firstLineChars="200"/>
        <w:rPr>
          <w:rFonts w:hAnsi="仿宋"/>
          <w:sz w:val="32"/>
          <w:szCs w:val="32"/>
        </w:rPr>
      </w:pPr>
      <w:bookmarkStart w:id="61" w:name="_Toc15396614"/>
      <w:bookmarkStart w:id="62" w:name="_Toc15377226"/>
      <w:r>
        <w:rPr>
          <w:rFonts w:hAnsi="仿宋"/>
          <w:sz w:val="32"/>
          <w:szCs w:val="32"/>
        </w:rPr>
        <w:t>1.</w:t>
      </w:r>
      <w:r>
        <w:rPr>
          <w:rFonts w:hint="eastAsia" w:hAnsi="仿宋"/>
          <w:sz w:val="32"/>
          <w:szCs w:val="32"/>
        </w:rPr>
        <w:t>财政拨款收入：指单位从同级财政部门取得的财政预算资金。</w:t>
      </w:r>
    </w:p>
    <w:p w14:paraId="1C81CD28">
      <w:pPr>
        <w:pStyle w:val="17"/>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14:paraId="115F2AA0">
      <w:pPr>
        <w:pStyle w:val="17"/>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14:paraId="5DD2C9A2">
      <w:pPr>
        <w:pStyle w:val="17"/>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14:paraId="267F05E2">
      <w:pPr>
        <w:pStyle w:val="17"/>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14:paraId="387FD10A">
      <w:pPr>
        <w:pStyle w:val="17"/>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14:paraId="76A431E7">
      <w:pPr>
        <w:pStyle w:val="17"/>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14:paraId="5C14548D">
      <w:pPr>
        <w:pStyle w:val="17"/>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14:paraId="403F990E">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9.社会保障和就业（类）行政事业单位养老支出（款）机关事业单位基本养老保险缴费支出（项）：指机关事业单位实施养老保险制度由单位缴纳的基本养老保险支出。</w:t>
      </w:r>
    </w:p>
    <w:p w14:paraId="7EA4154B">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0</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社会保障和就业（类）行政事业单位养老支出（款）机关事业单位职业年金缴费支出（项）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指机关事业单位实施养老保险制度由单位实际缴纳的职业年金支出。</w:t>
      </w:r>
    </w:p>
    <w:p w14:paraId="6839FEB8">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1</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社会保障和就业（类）抚恤（款）其他优抚支出（项）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指其他用于优抚方面的支出。</w:t>
      </w:r>
    </w:p>
    <w:p w14:paraId="4D5836A6">
      <w:pPr>
        <w:pStyle w:val="2"/>
        <w:spacing w:before="93"/>
        <w:ind w:firstLine="640" w:firstLineChars="200"/>
        <w:rPr>
          <w:rFonts w:ascii="仿宋" w:hAnsi="仿宋" w:eastAsia="仿宋"/>
        </w:rPr>
      </w:pPr>
      <w:r>
        <w:rPr>
          <w:rFonts w:hint="eastAsia" w:ascii="仿宋" w:hAnsi="仿宋" w:eastAsia="仿宋"/>
          <w:sz w:val="32"/>
          <w:szCs w:val="32"/>
        </w:rPr>
        <w:t>12. 社会保障和就业支出（类）其他社会保障和就业支出（款）其他社会保障和就业支出（项）:其他用于社会保障和就业支出。</w:t>
      </w:r>
    </w:p>
    <w:p w14:paraId="078A5DDB">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3</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卫生健康支出（类）行政事业单位医疗（款）行政单位医疗（项）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7C71772B">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4</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节能环保支出（类）退耕还林（款） 退耕现金（项）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指专项用于退耕户的医疗、教育等日常生活需要的支出。</w:t>
      </w:r>
    </w:p>
    <w:p w14:paraId="47EA6888">
      <w:pPr>
        <w:pStyle w:val="17"/>
        <w:spacing w:line="560" w:lineRule="exact"/>
        <w:ind w:firstLine="640" w:firstLineChars="200"/>
        <w:rPr>
          <w:rFonts w:hAnsi="仿宋"/>
          <w:sz w:val="32"/>
          <w:szCs w:val="32"/>
        </w:rPr>
      </w:pPr>
      <w:r>
        <w:rPr>
          <w:rFonts w:hint="eastAsia" w:hAnsi="仿宋"/>
          <w:sz w:val="32"/>
          <w:szCs w:val="32"/>
        </w:rPr>
        <w:t>15．城乡和社区支出（类）国有土地使用权出让收入安排的支出（款）征地和拆迁补偿支出（项）：指新疆生产建设兵团和地方政府在征地和土地收购过程中支付的土地补偿费、安置补助费、地上附着和青苗补偿费、拆迁补偿费支出。</w:t>
      </w:r>
    </w:p>
    <w:p w14:paraId="3096D726">
      <w:pPr>
        <w:pStyle w:val="17"/>
        <w:spacing w:line="560" w:lineRule="exact"/>
        <w:ind w:firstLine="640" w:firstLineChars="200"/>
        <w:rPr>
          <w:rFonts w:hAnsi="仿宋"/>
          <w:sz w:val="32"/>
          <w:szCs w:val="32"/>
        </w:rPr>
      </w:pPr>
      <w:r>
        <w:rPr>
          <w:rFonts w:hint="eastAsia" w:hAnsi="仿宋"/>
          <w:sz w:val="32"/>
          <w:szCs w:val="32"/>
        </w:rPr>
        <w:t xml:space="preserve">16.城乡和社区支出（类）国有土地使用权出让收入安排的支出（款）土地开发支出（项）：指新疆生产建设兵团和地方政府用于前期土地开发性支出以及与前期土地开发相关的费用等支出。 </w:t>
      </w:r>
    </w:p>
    <w:p w14:paraId="254F3F25">
      <w:pPr>
        <w:pStyle w:val="17"/>
        <w:spacing w:line="560" w:lineRule="exact"/>
        <w:ind w:firstLine="640" w:firstLineChars="200"/>
        <w:rPr>
          <w:rFonts w:hAnsi="仿宋"/>
          <w:sz w:val="32"/>
          <w:szCs w:val="32"/>
        </w:rPr>
      </w:pPr>
      <w:r>
        <w:rPr>
          <w:rFonts w:hint="eastAsia" w:hAnsi="仿宋"/>
          <w:sz w:val="32"/>
          <w:szCs w:val="32"/>
        </w:rPr>
        <w:t>17.城乡和社区支出（类）国有土地使用权出让收入安排的支出（款）补助被征地农民支出（项）：指土地出让收入用于补助被征地农民社会保障支出以及保持被征地农民原有生活水平支出。</w:t>
      </w:r>
    </w:p>
    <w:p w14:paraId="65390E07">
      <w:pPr>
        <w:pStyle w:val="17"/>
        <w:spacing w:line="560" w:lineRule="exact"/>
        <w:ind w:firstLine="640" w:firstLineChars="200"/>
        <w:rPr>
          <w:rFonts w:hAnsi="仿宋"/>
          <w:sz w:val="32"/>
          <w:szCs w:val="32"/>
        </w:rPr>
      </w:pPr>
      <w:r>
        <w:rPr>
          <w:rFonts w:hint="eastAsia" w:hAnsi="仿宋"/>
          <w:sz w:val="32"/>
          <w:szCs w:val="32"/>
        </w:rPr>
        <w:t xml:space="preserve">18.城乡和社区支出（类）国有土地使用权出让收入安排的支出（款）其他国有土地使用权出让收入安排的支出（项）：指土地出让收入用于其他方面的支出。 </w:t>
      </w:r>
    </w:p>
    <w:p w14:paraId="25E50782">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19</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农林水支出（类）林业和草原（款）森林资源培育（项）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指育苗（种）、造林、抚育、退化林修复、义务植树以及生物质能源建设等方面的支出。</w:t>
      </w:r>
    </w:p>
    <w:p w14:paraId="156C8842">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20.农林水支出（类）林业和草原（款）森林生态效益补偿（项）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指公益林保护管管理等方面的支出。</w:t>
      </w:r>
    </w:p>
    <w:p w14:paraId="66A6FDF6">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21.农林水支出（类）林业和草原（款）动植物保护（项）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指动植物资源生存环境调查、监测、保护管理、野外放（回）归、巡护、野生动物疫源疫病监测防控、濒危野生动植物拯救、繁育及进出口管理等方面的支出。</w:t>
      </w:r>
    </w:p>
    <w:p w14:paraId="6DB34E90">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22.农林水支出（类）林业和草原（款）林业草原防灾减灾（项）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指病虫害等有害生物灾害、野生动物疫病灾害等方面的支出。</w:t>
      </w:r>
    </w:p>
    <w:p w14:paraId="7507D6B7">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23.农林水支出（类）林业和草原（款）其他林业和草原支出（项）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批其他用于林业和草原方面的支出。</w:t>
      </w:r>
    </w:p>
    <w:p w14:paraId="4B75917C">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24.农林水支出（类）扶贫（款） 其他扶贫支出（项）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指其他用于扶贫方面的支出。</w:t>
      </w:r>
    </w:p>
    <w:p w14:paraId="2B53AFDE">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25.自然资源海洋气象等支出（类）自然资源事务（款）行政运行（项）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指行政单位（包括实行公务员管理的事业单位）的基本支出。</w:t>
      </w:r>
    </w:p>
    <w:p w14:paraId="2EC3450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26.自然资源海洋气象等支出（类）自然资源事务（款） 一般行政管理事务（项）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指行政单位（包括实行公务员管理的事业单位）未单独设置项级科目的其他项目支出。</w:t>
      </w:r>
    </w:p>
    <w:p w14:paraId="4A94FB42">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27.自然资源海洋气象等支出（类）自然资源事务（款） 自然资源规划及管理（项）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指用于自然资源规划、研究、管理方面的支出。</w:t>
      </w:r>
    </w:p>
    <w:p w14:paraId="44C36882">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28.自然资源海洋气象等支出（类）自然资源事务（款） 自然资源利用与保护（项）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指自然资源部门土地利用监测、耕地保护、土地分等定级、土地评估等方面的支出。</w:t>
      </w:r>
    </w:p>
    <w:p w14:paraId="1D74194A">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29.自然资源海洋气象等支出（类）自然资源事务（款）自然资源调查与确权登记（项）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指自然资源部门用于自然资源调查监测评价、自然资源统一确权登记等方面的支出。</w:t>
      </w:r>
    </w:p>
    <w:p w14:paraId="30834028">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30.自然资源海洋气象等支出（类）自然资源事务（款）   事业运行（项）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指事业单位的基本支出，不包括行政单位（含实行公务员管理的事业单位）后勤服务中心等附属事业单位的支出。</w:t>
      </w:r>
    </w:p>
    <w:p w14:paraId="1153FA5E">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31.自然资源海洋气象等支出（类）自然资源事务（款）   其他自然资源事务支出（项）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指其他用于自然资源事务方面的支出。</w:t>
      </w:r>
    </w:p>
    <w:p w14:paraId="48346F17">
      <w:pPr>
        <w:ind w:firstLine="640" w:firstLineChars="200"/>
        <w:rPr>
          <w:rStyle w:val="12"/>
          <w:rFonts w:ascii="仿宋" w:hAnsi="仿宋" w:eastAsia="仿宋"/>
          <w:b w:val="0"/>
          <w:bCs/>
          <w:color w:val="000000"/>
          <w:sz w:val="32"/>
          <w:szCs w:val="32"/>
        </w:rPr>
      </w:pPr>
      <w:r>
        <w:rPr>
          <w:rFonts w:hint="eastAsia" w:ascii="仿宋" w:hAnsi="仿宋" w:eastAsia="仿宋" w:cs="仿宋"/>
          <w:color w:val="000000"/>
          <w:kern w:val="0"/>
          <w:sz w:val="32"/>
          <w:szCs w:val="32"/>
        </w:rPr>
        <w:t>32.住房保障支出（类）住房改革支出（款）住房公积金（项）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指行政事业单位按人力资源和社会保障部、财政部规定的基本工资和津贴补贴以及规定比例为职工缴</w:t>
      </w:r>
      <w:r>
        <w:rPr>
          <w:rStyle w:val="12"/>
          <w:rFonts w:hint="eastAsia" w:ascii="仿宋" w:hAnsi="仿宋" w:eastAsia="仿宋"/>
          <w:b w:val="0"/>
          <w:bCs/>
          <w:color w:val="000000"/>
          <w:sz w:val="32"/>
          <w:szCs w:val="32"/>
        </w:rPr>
        <w:t>纳的住房公积金。</w:t>
      </w:r>
    </w:p>
    <w:p w14:paraId="578D887E">
      <w:pPr>
        <w:pStyle w:val="2"/>
        <w:spacing w:before="93"/>
        <w:rPr>
          <w:rFonts w:ascii="仿宋" w:hAnsi="仿宋" w:eastAsia="仿宋"/>
        </w:rPr>
      </w:pPr>
      <w:r>
        <w:rPr>
          <w:rStyle w:val="12"/>
          <w:rFonts w:hint="eastAsia" w:ascii="仿宋" w:hAnsi="仿宋" w:eastAsia="仿宋"/>
          <w:b w:val="0"/>
          <w:bCs/>
          <w:color w:val="000000"/>
          <w:sz w:val="32"/>
          <w:szCs w:val="32"/>
        </w:rPr>
        <w:t xml:space="preserve">    </w:t>
      </w:r>
      <w:r>
        <w:rPr>
          <w:rFonts w:hint="eastAsia" w:ascii="仿宋" w:hAnsi="仿宋" w:eastAsia="仿宋" w:cs="仿宋"/>
          <w:color w:val="000000"/>
          <w:sz w:val="32"/>
          <w:szCs w:val="32"/>
        </w:rPr>
        <w:t>33.灾害防治及应急管理支出（类）森林消防事务（款）其他森林消防事务支出（项）:指其他用于森林消防方面支出。</w:t>
      </w:r>
    </w:p>
    <w:p w14:paraId="4362A3BA">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34.灾害防治及应急管理支出（类）自然灾害防治（款）地质灾害防治（项）: 指防治地质灾害方面的支出。</w:t>
      </w:r>
    </w:p>
    <w:p w14:paraId="20ED3E40">
      <w:pPr>
        <w:pStyle w:val="2"/>
        <w:spacing w:before="93"/>
        <w:ind w:firstLine="640" w:firstLineChars="200"/>
        <w:rPr>
          <w:rFonts w:ascii="仿宋" w:hAnsi="仿宋" w:eastAsia="仿宋"/>
        </w:rPr>
      </w:pPr>
      <w:r>
        <w:rPr>
          <w:rFonts w:hint="eastAsia" w:ascii="仿宋" w:hAnsi="仿宋" w:eastAsia="仿宋" w:cs="仿宋"/>
          <w:color w:val="000000"/>
          <w:sz w:val="32"/>
          <w:szCs w:val="32"/>
        </w:rPr>
        <w:t>35.灾害防治及应急管理支出（类）自然灾害救灾及恢复重建支出（款）其他自然灾害救灾及恢复重建支出（项）: 指其他用于自然灾害生活救助方面的支出。</w:t>
      </w:r>
    </w:p>
    <w:p w14:paraId="57C4EF79">
      <w:pPr>
        <w:ind w:firstLine="640" w:firstLineChars="200"/>
        <w:rPr>
          <w:rFonts w:ascii="仿宋" w:hAnsi="仿宋" w:eastAsia="仿宋"/>
          <w:color w:val="000000"/>
          <w:sz w:val="32"/>
          <w:szCs w:val="32"/>
        </w:rPr>
      </w:pPr>
      <w:r>
        <w:rPr>
          <w:rFonts w:hint="eastAsia" w:ascii="仿宋" w:hAnsi="仿宋" w:eastAsia="仿宋"/>
          <w:color w:val="000000"/>
          <w:sz w:val="32"/>
          <w:szCs w:val="32"/>
        </w:rPr>
        <w:t>36</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14:paraId="40578C09">
      <w:pPr>
        <w:ind w:firstLine="640" w:firstLineChars="200"/>
        <w:rPr>
          <w:rFonts w:ascii="仿宋" w:hAnsi="仿宋" w:eastAsia="仿宋"/>
          <w:color w:val="000000"/>
          <w:sz w:val="32"/>
          <w:szCs w:val="32"/>
        </w:rPr>
      </w:pPr>
      <w:r>
        <w:rPr>
          <w:rFonts w:hint="eastAsia" w:ascii="仿宋" w:hAnsi="仿宋" w:eastAsia="仿宋"/>
          <w:color w:val="000000"/>
          <w:sz w:val="32"/>
          <w:szCs w:val="32"/>
        </w:rPr>
        <w:t>37</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14:paraId="7B1A8991">
      <w:pPr>
        <w:ind w:firstLine="640" w:firstLineChars="200"/>
        <w:rPr>
          <w:rFonts w:ascii="仿宋" w:hAnsi="仿宋" w:eastAsia="仿宋"/>
          <w:color w:val="000000"/>
          <w:sz w:val="32"/>
          <w:szCs w:val="32"/>
        </w:rPr>
      </w:pPr>
      <w:r>
        <w:rPr>
          <w:rFonts w:hint="eastAsia" w:ascii="仿宋" w:hAnsi="仿宋" w:eastAsia="仿宋"/>
          <w:color w:val="000000"/>
          <w:sz w:val="32"/>
          <w:szCs w:val="32"/>
        </w:rPr>
        <w:t>38</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14:paraId="46419CA0">
      <w:pPr>
        <w:pStyle w:val="17"/>
        <w:spacing w:line="560" w:lineRule="exact"/>
        <w:ind w:firstLine="640" w:firstLineChars="200"/>
        <w:rPr>
          <w:rFonts w:hAnsi="仿宋"/>
          <w:sz w:val="32"/>
          <w:szCs w:val="32"/>
        </w:rPr>
      </w:pPr>
      <w:r>
        <w:rPr>
          <w:rFonts w:hint="eastAsia" w:hAnsi="仿宋"/>
          <w:sz w:val="32"/>
          <w:szCs w:val="32"/>
        </w:rPr>
        <w:t>39</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63F597">
      <w:pPr>
        <w:pStyle w:val="17"/>
        <w:spacing w:line="560" w:lineRule="exact"/>
        <w:ind w:firstLine="640" w:firstLineChars="200"/>
        <w:rPr>
          <w:rFonts w:hAnsi="仿宋"/>
          <w:sz w:val="32"/>
          <w:szCs w:val="32"/>
        </w:rPr>
      </w:pPr>
      <w:r>
        <w:rPr>
          <w:rFonts w:hint="eastAsia" w:hAnsi="仿宋"/>
          <w:sz w:val="32"/>
          <w:szCs w:val="32"/>
        </w:rPr>
        <w:t>40</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27E67C">
      <w:pPr>
        <w:pStyle w:val="17"/>
        <w:spacing w:line="560" w:lineRule="exact"/>
        <w:ind w:firstLine="640" w:firstLineChars="200"/>
        <w:rPr>
          <w:rFonts w:hAnsi="仿宋"/>
          <w:sz w:val="32"/>
          <w:szCs w:val="32"/>
        </w:rPr>
      </w:pPr>
    </w:p>
    <w:p w14:paraId="4DD10E04">
      <w:pPr>
        <w:pStyle w:val="17"/>
        <w:spacing w:line="560" w:lineRule="exact"/>
        <w:ind w:firstLine="640" w:firstLineChars="200"/>
        <w:rPr>
          <w:rFonts w:hAnsi="仿宋"/>
          <w:sz w:val="32"/>
          <w:szCs w:val="32"/>
        </w:rPr>
      </w:pPr>
    </w:p>
    <w:p w14:paraId="07347801">
      <w:pPr>
        <w:pStyle w:val="17"/>
        <w:spacing w:line="560" w:lineRule="exact"/>
        <w:ind w:firstLine="640" w:firstLineChars="200"/>
        <w:rPr>
          <w:rFonts w:hAnsi="仿宋"/>
          <w:sz w:val="32"/>
          <w:szCs w:val="32"/>
        </w:rPr>
      </w:pPr>
    </w:p>
    <w:p w14:paraId="605FE029">
      <w:pPr>
        <w:spacing w:line="600" w:lineRule="exact"/>
        <w:jc w:val="center"/>
        <w:outlineLvl w:val="0"/>
        <w:rPr>
          <w:rStyle w:val="14"/>
          <w:rFonts w:ascii="仿宋" w:hAnsi="仿宋" w:eastAsia="仿宋"/>
          <w:b w:val="0"/>
        </w:rPr>
      </w:pPr>
      <w:r>
        <w:rPr>
          <w:rFonts w:hint="eastAsia" w:ascii="仿宋" w:hAnsi="仿宋" w:eastAsia="仿宋"/>
          <w:color w:val="000000"/>
          <w:sz w:val="44"/>
          <w:szCs w:val="44"/>
        </w:rPr>
        <w:t>第</w:t>
      </w:r>
      <w:r>
        <w:rPr>
          <w:rStyle w:val="14"/>
          <w:rFonts w:hint="eastAsia" w:ascii="仿宋" w:hAnsi="仿宋" w:eastAsia="仿宋"/>
          <w:b w:val="0"/>
        </w:rPr>
        <w:t>四部分 附件</w:t>
      </w:r>
      <w:bookmarkEnd w:id="61"/>
    </w:p>
    <w:p w14:paraId="726D0A7E">
      <w:pPr>
        <w:spacing w:line="600" w:lineRule="exact"/>
        <w:jc w:val="left"/>
        <w:outlineLvl w:val="0"/>
        <w:rPr>
          <w:rFonts w:ascii="仿宋" w:hAnsi="仿宋" w:eastAsia="仿宋" w:cs="方正小标宋简体"/>
          <w:sz w:val="32"/>
          <w:szCs w:val="32"/>
        </w:rPr>
      </w:pPr>
      <w:r>
        <w:rPr>
          <w:rFonts w:hint="eastAsia" w:ascii="仿宋" w:hAnsi="仿宋" w:eastAsia="仿宋" w:cs="黑体"/>
          <w:sz w:val="32"/>
          <w:szCs w:val="32"/>
        </w:rPr>
        <w:t>附件1</w:t>
      </w:r>
    </w:p>
    <w:p w14:paraId="385651DB">
      <w:pPr>
        <w:spacing w:line="580" w:lineRule="exact"/>
        <w:jc w:val="center"/>
        <w:rPr>
          <w:rFonts w:ascii="仿宋" w:hAnsi="仿宋" w:eastAsia="仿宋" w:cs="方正小标宋简体"/>
          <w:sz w:val="44"/>
          <w:szCs w:val="44"/>
        </w:rPr>
      </w:pPr>
    </w:p>
    <w:p w14:paraId="2E992C77">
      <w:pPr>
        <w:spacing w:line="600" w:lineRule="exact"/>
        <w:jc w:val="center"/>
        <w:rPr>
          <w:rFonts w:ascii="仿宋" w:hAnsi="仿宋" w:eastAsia="仿宋"/>
          <w:color w:val="000000"/>
          <w:kern w:val="0"/>
          <w:sz w:val="40"/>
          <w:szCs w:val="44"/>
          <w:lang w:val="zh-CN"/>
        </w:rPr>
      </w:pPr>
      <w:r>
        <w:rPr>
          <w:rFonts w:hint="eastAsia" w:ascii="仿宋" w:hAnsi="仿宋" w:eastAsia="仿宋"/>
          <w:color w:val="000000"/>
          <w:kern w:val="0"/>
          <w:sz w:val="40"/>
          <w:szCs w:val="44"/>
        </w:rPr>
        <w:t>峨眉山市自然资源局</w:t>
      </w:r>
      <w:r>
        <w:rPr>
          <w:rFonts w:ascii="仿宋" w:hAnsi="仿宋" w:eastAsia="仿宋"/>
          <w:color w:val="000000"/>
          <w:kern w:val="0"/>
          <w:sz w:val="40"/>
          <w:szCs w:val="44"/>
        </w:rPr>
        <w:t>20</w:t>
      </w:r>
      <w:r>
        <w:rPr>
          <w:rFonts w:hint="eastAsia" w:ascii="仿宋" w:hAnsi="仿宋" w:eastAsia="仿宋"/>
          <w:color w:val="000000"/>
          <w:kern w:val="0"/>
          <w:sz w:val="40"/>
          <w:szCs w:val="44"/>
        </w:rPr>
        <w:t>20</w:t>
      </w:r>
      <w:r>
        <w:rPr>
          <w:rFonts w:ascii="仿宋" w:hAnsi="仿宋" w:eastAsia="仿宋"/>
          <w:color w:val="000000"/>
          <w:kern w:val="0"/>
          <w:sz w:val="40"/>
          <w:szCs w:val="44"/>
        </w:rPr>
        <w:t>年部门</w:t>
      </w:r>
      <w:r>
        <w:rPr>
          <w:rFonts w:hint="eastAsia" w:ascii="仿宋" w:hAnsi="仿宋" w:eastAsia="仿宋"/>
          <w:color w:val="000000"/>
          <w:kern w:val="0"/>
          <w:sz w:val="40"/>
          <w:szCs w:val="44"/>
          <w:lang w:val="zh-CN"/>
        </w:rPr>
        <w:t>整体支出绩效评价报告</w:t>
      </w:r>
    </w:p>
    <w:p w14:paraId="3AA009C3">
      <w:pPr>
        <w:spacing w:line="600" w:lineRule="exact"/>
        <w:jc w:val="center"/>
        <w:rPr>
          <w:rFonts w:ascii="仿宋" w:hAnsi="仿宋" w:eastAsia="仿宋"/>
          <w:color w:val="000000"/>
          <w:kern w:val="0"/>
          <w:sz w:val="40"/>
          <w:szCs w:val="44"/>
          <w:lang w:val="zh-CN"/>
        </w:rPr>
      </w:pPr>
    </w:p>
    <w:p w14:paraId="05C73F86">
      <w:pPr>
        <w:widowControl/>
        <w:adjustRightInd w:val="0"/>
        <w:snapToGrid w:val="0"/>
        <w:spacing w:line="56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一、</w:t>
      </w:r>
      <w:r>
        <w:rPr>
          <w:rFonts w:hint="eastAsia" w:ascii="仿宋" w:hAnsi="仿宋" w:eastAsia="仿宋" w:cs="宋体"/>
          <w:color w:val="000000"/>
          <w:kern w:val="0"/>
          <w:sz w:val="32"/>
          <w:szCs w:val="32"/>
          <w:shd w:val="clear" w:color="auto" w:fill="FFFFFF"/>
          <w:lang w:val="zh-CN"/>
        </w:rPr>
        <w:t>单位概况</w:t>
      </w:r>
    </w:p>
    <w:p w14:paraId="30644E78">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60F62AC9">
      <w:pPr>
        <w:ind w:firstLine="800" w:firstLineChars="250"/>
        <w:rPr>
          <w:rFonts w:ascii="仿宋" w:hAnsi="仿宋" w:eastAsia="仿宋"/>
          <w:sz w:val="32"/>
          <w:szCs w:val="32"/>
        </w:rPr>
      </w:pPr>
      <w:r>
        <w:rPr>
          <w:rFonts w:hint="eastAsia" w:ascii="仿宋" w:hAnsi="仿宋" w:eastAsia="仿宋"/>
          <w:sz w:val="32"/>
          <w:szCs w:val="32"/>
        </w:rPr>
        <w:t>峨眉山市自然资源局属于行政单位，下属二级单位12个，其中行政单位0个，参照公务员法管理的事业单位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个，其他事业单位11个。</w:t>
      </w:r>
    </w:p>
    <w:p w14:paraId="3CC24D02">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14:paraId="33A0931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1.按照规定权限，履行全民所有土地、矿产、森林、湿地、水等自然资源资产所有者职责和所有国土空间用途管制职责。拟订全市自然资源和国土空间规划的规范性文件，制定有关政策措施并监督检查执行情况。</w:t>
      </w:r>
    </w:p>
    <w:p w14:paraId="5EA4C3F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2.负责全市自然资源调查监测评价。依照自然资源调查监测评价的指标体系和统计标准，贯彻落实自然资源调查监测评价制度。实施自然资源基础调查、专项调查和监测。</w:t>
      </w:r>
    </w:p>
    <w:p w14:paraId="4142110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3.负责全市自然资源统一确权登记工作。组织实施各类自然资源和不动产统一确权登记、权籍调查、不动产测绘、争议调处、成果应用的制度、标准、规范。建立健全自然资源和不动产登记信息管理基础平台。</w:t>
      </w:r>
    </w:p>
    <w:p w14:paraId="47E7F81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4.负责全市自然资源资产有偿使用工作。建立全民所有自然资源资产统计制度，负责全民所有自然资源资产核算。</w:t>
      </w:r>
    </w:p>
    <w:p w14:paraId="0920A90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w:t>
      </w:r>
    </w:p>
    <w:p w14:paraId="01D961A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6.负责建立全市空间规划体系并监督实施。推进主体功能区战略和制度，组织编制并监督实施国土空间规划和相关专项规划。   </w:t>
      </w:r>
    </w:p>
    <w:p w14:paraId="6EBE8E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7.负责统筹国土空间生态修复。牵头组织编制国土空间生态修复规划并组织实施有关生态修复工程。</w:t>
      </w:r>
    </w:p>
    <w:p w14:paraId="378BA03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8.负责组织实施最严格的耕地保护制度。牵头实施全市耕地保护政策，负责耕地数量、质量、生态保护。</w:t>
      </w:r>
    </w:p>
    <w:p w14:paraId="62D6E47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9.负责全市地质勘查管理和地质工作。拟订全市地质勘查规划并监督检査执行情况。</w:t>
      </w:r>
    </w:p>
    <w:p w14:paraId="0E2C363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10.负责落实综合防灾减灾规划相关要求，组织编制全市地质灾害防治规划、森林火灾防治规划并指导实施。</w:t>
      </w:r>
    </w:p>
    <w:p w14:paraId="1C73307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11.负责全市矿产资源管理工作。负责矿产资源储量管理、矿业权管理。</w:t>
      </w:r>
    </w:p>
    <w:p w14:paraId="621C842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12.负责测绘地理信息管理工作。负责基础测绘和测行业管理。负责测绘资质资格、质量、信用管理，监督管理地理信息安全和市场秩序。</w:t>
      </w:r>
    </w:p>
    <w:p w14:paraId="54AC477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w:t>
      </w:r>
    </w:p>
    <w:p w14:paraId="67E9E27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14.配合国家、省、乐山市对全市落实党中央、国务院和省委省政府、乐山市委市政府关于自然资源和国土空间规划的重大方针政策、决策部署及法律法规执行情况进行督察。</w:t>
      </w:r>
    </w:p>
    <w:p w14:paraId="4D33D72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15.负责全市森林、湿地资源的监督管理。组织编制并监督执行全市森林采伐限额。</w:t>
      </w:r>
    </w:p>
    <w:p w14:paraId="0FA6A86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14:paraId="5FA08A4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17.负责全市陆生野生动植物资源监督管理。</w:t>
      </w:r>
    </w:p>
    <w:p w14:paraId="1372C5A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18.负责监督管理全市各类自然保护地。拟订各类自然保护地规划。负责组织自然遗产的申报和监督管理。负责生物多样性保护相关工作。</w:t>
      </w:r>
    </w:p>
    <w:p w14:paraId="4005E3E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19.负责推进全市林业改革相关工作。拟订集体林权制国有林区、国有林场等重大改革意见并监督实施。</w:t>
      </w:r>
    </w:p>
    <w:p w14:paraId="5214093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20.拟订全市林业资源优化配置及木材利用政策，组织指导林产品质量监督，指导山区林业综合开发和生态扶贫相关工作，推进全市林竹产业带和产业基地建设。</w:t>
      </w:r>
    </w:p>
    <w:p w14:paraId="2FC8BF6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21.监督管理全市国有林场基本建设和发展，组织林木种质资源普查，组织建立种质资源库，负责良种选育推广，管理林木种苗经营行为，监管林木种苗质量。</w:t>
      </w:r>
    </w:p>
    <w:p w14:paraId="468EA16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22.监督管理全市林业项目资金和国有资产，提出林业各类预算内投资、市级以上财政性资金安排建议，按本级政府规定权限，核报、核准规划内和年度计划内投资项目。</w:t>
      </w:r>
    </w:p>
    <w:p w14:paraId="326D9BF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23.负责职责范围内的安全生产和职业健康、生态环境保护、审批服务便民化等工作。</w:t>
      </w:r>
    </w:p>
    <w:p w14:paraId="4A0A099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24.完成市委、市政府交办的其他工作。</w:t>
      </w:r>
    </w:p>
    <w:p w14:paraId="2FF920D8">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14:paraId="2E0EEAAB">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2020</w:t>
      </w:r>
      <w:r>
        <w:rPr>
          <w:rFonts w:hint="eastAsia" w:ascii="仿宋" w:hAnsi="仿宋" w:eastAsia="仿宋" w:cs="仿宋"/>
          <w:color w:val="000000"/>
          <w:kern w:val="0"/>
          <w:sz w:val="32"/>
          <w:szCs w:val="32"/>
          <w:shd w:val="clear" w:color="auto" w:fill="FFFFFF"/>
          <w:lang w:val="zh-CN"/>
        </w:rPr>
        <w:t>年自然资源局共有在编人员</w:t>
      </w:r>
      <w:r>
        <w:rPr>
          <w:rFonts w:hint="eastAsia" w:ascii="仿宋" w:hAnsi="仿宋" w:eastAsia="仿宋" w:cs="仿宋"/>
          <w:color w:val="000000"/>
          <w:kern w:val="0"/>
          <w:sz w:val="32"/>
          <w:szCs w:val="32"/>
          <w:shd w:val="clear" w:color="auto" w:fill="FFFFFF"/>
        </w:rPr>
        <w:t>72</w:t>
      </w:r>
      <w:r>
        <w:rPr>
          <w:rFonts w:hint="eastAsia" w:ascii="仿宋" w:hAnsi="仿宋" w:eastAsia="仿宋" w:cs="仿宋"/>
          <w:color w:val="000000"/>
          <w:kern w:val="0"/>
          <w:sz w:val="32"/>
          <w:szCs w:val="32"/>
          <w:shd w:val="clear" w:color="auto" w:fill="FFFFFF"/>
          <w:lang w:val="zh-CN"/>
        </w:rPr>
        <w:t>人，其中：事业人员</w:t>
      </w:r>
      <w:r>
        <w:rPr>
          <w:rFonts w:hint="eastAsia" w:ascii="仿宋" w:hAnsi="仿宋" w:eastAsia="仿宋" w:cs="仿宋"/>
          <w:color w:val="000000"/>
          <w:kern w:val="0"/>
          <w:sz w:val="32"/>
          <w:szCs w:val="32"/>
          <w:shd w:val="clear" w:color="auto" w:fill="FFFFFF"/>
        </w:rPr>
        <w:t>43</w:t>
      </w:r>
      <w:r>
        <w:rPr>
          <w:rFonts w:hint="eastAsia" w:ascii="仿宋" w:hAnsi="仿宋" w:eastAsia="仿宋" w:cs="仿宋"/>
          <w:color w:val="000000"/>
          <w:kern w:val="0"/>
          <w:sz w:val="32"/>
          <w:szCs w:val="32"/>
          <w:shd w:val="clear" w:color="auto" w:fill="FFFFFF"/>
          <w:lang w:val="zh-CN"/>
        </w:rPr>
        <w:t>人，公务员</w:t>
      </w:r>
      <w:r>
        <w:rPr>
          <w:rFonts w:hint="eastAsia" w:ascii="仿宋" w:hAnsi="仿宋" w:eastAsia="仿宋" w:cs="仿宋"/>
          <w:color w:val="000000"/>
          <w:kern w:val="0"/>
          <w:sz w:val="32"/>
          <w:szCs w:val="32"/>
          <w:shd w:val="clear" w:color="auto" w:fill="FFFFFF"/>
        </w:rPr>
        <w:t>27</w:t>
      </w:r>
      <w:r>
        <w:rPr>
          <w:rFonts w:hint="eastAsia" w:ascii="仿宋" w:hAnsi="仿宋" w:eastAsia="仿宋" w:cs="仿宋"/>
          <w:color w:val="000000"/>
          <w:kern w:val="0"/>
          <w:sz w:val="32"/>
          <w:szCs w:val="32"/>
          <w:shd w:val="clear" w:color="auto" w:fill="FFFFFF"/>
          <w:lang w:val="zh-CN"/>
        </w:rPr>
        <w:t>人，机关工人2人。</w:t>
      </w:r>
    </w:p>
    <w:p w14:paraId="5406AFCD">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14:paraId="7A5EB717">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0B54D6B4">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olor w:val="000000"/>
          <w:sz w:val="32"/>
          <w:szCs w:val="32"/>
        </w:rPr>
        <w:t>2020年本年收入合计17096.88万元</w:t>
      </w:r>
      <w:r>
        <w:rPr>
          <w:rFonts w:hint="eastAsia" w:ascii="仿宋" w:hAnsi="仿宋" w:eastAsia="仿宋" w:cs="仿宋"/>
          <w:color w:val="000000"/>
          <w:kern w:val="0"/>
          <w:sz w:val="32"/>
          <w:szCs w:val="32"/>
          <w:shd w:val="clear" w:color="auto" w:fill="FFFFFF"/>
          <w:lang w:val="zh-CN"/>
        </w:rPr>
        <w:t>。</w:t>
      </w:r>
    </w:p>
    <w:p w14:paraId="66DBD269">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（二）部门财政资金支出情况</w:t>
      </w:r>
    </w:p>
    <w:p w14:paraId="536AC080">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ascii="仿宋" w:hAnsi="仿宋" w:eastAsia="仿宋"/>
          <w:color w:val="000000"/>
          <w:sz w:val="32"/>
          <w:szCs w:val="32"/>
        </w:rPr>
        <w:t>20</w:t>
      </w:r>
      <w:r>
        <w:rPr>
          <w:rFonts w:hint="eastAsia" w:ascii="仿宋" w:hAnsi="仿宋" w:eastAsia="仿宋"/>
          <w:color w:val="000000"/>
          <w:sz w:val="32"/>
          <w:szCs w:val="32"/>
        </w:rPr>
        <w:t>20年本年支出合计15767.30万元</w:t>
      </w:r>
      <w:r>
        <w:rPr>
          <w:rFonts w:hint="eastAsia" w:ascii="仿宋" w:hAnsi="仿宋" w:eastAsia="仿宋" w:cs="仿宋"/>
          <w:color w:val="000000"/>
          <w:kern w:val="0"/>
          <w:sz w:val="32"/>
          <w:szCs w:val="32"/>
          <w:shd w:val="clear" w:color="auto" w:fill="FFFFFF"/>
          <w:lang w:val="zh-CN"/>
        </w:rPr>
        <w:t>。</w:t>
      </w:r>
    </w:p>
    <w:p w14:paraId="5DB25DE4">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14:paraId="119ADA33">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（一）部门预算管理</w:t>
      </w:r>
    </w:p>
    <w:p w14:paraId="726A6F95">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1.预算执行管理情况。</w:t>
      </w:r>
    </w:p>
    <w:p w14:paraId="71B50A79">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全年执行进度同项目特点相关，各项目不完全一致，确保都达到预期目的，项目实施均达到了预期的经济、生态、社会效益。</w:t>
      </w:r>
    </w:p>
    <w:p w14:paraId="7FAA0628">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14:paraId="1C6E4F93">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部门自评工作开展和评价结果运用情况。按规定开展了项目绩效自评，评价结果将运用到项目申报、资金使用和以后的绩效评价中。</w:t>
      </w:r>
    </w:p>
    <w:p w14:paraId="73EF5840">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38791E5D">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（一）评价结论。项目资金按规定使用，结果符合预期。</w:t>
      </w:r>
    </w:p>
    <w:p w14:paraId="03ED4671">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（二）存在问题。绩效评价机制尚不健全。</w:t>
      </w:r>
    </w:p>
    <w:p w14:paraId="00869892">
      <w:pPr>
        <w:widowControl/>
        <w:adjustRightInd w:val="0"/>
        <w:snapToGrid w:val="0"/>
        <w:spacing w:line="58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（三）改进建议。加强业务培训，树立绩效意识，加强业务、财务人员的协作、配合。</w:t>
      </w:r>
    </w:p>
    <w:p w14:paraId="439F59E2">
      <w:pPr>
        <w:widowControl/>
        <w:adjustRightInd w:val="0"/>
        <w:snapToGrid w:val="0"/>
        <w:spacing w:line="560" w:lineRule="exact"/>
        <w:ind w:firstLine="420" w:firstLineChars="200"/>
        <w:contextualSpacing/>
        <w:jc w:val="left"/>
        <w:rPr>
          <w:rFonts w:ascii="仿宋" w:hAnsi="仿宋" w:eastAsia="仿宋" w:cs="仿宋"/>
          <w:color w:val="000000"/>
          <w:kern w:val="0"/>
          <w:szCs w:val="32"/>
          <w:shd w:val="clear" w:color="auto" w:fill="FFFFFF"/>
          <w:lang w:val="zh-CN"/>
        </w:rPr>
      </w:pPr>
    </w:p>
    <w:p w14:paraId="67A2D378">
      <w:pPr>
        <w:widowControl/>
        <w:adjustRightInd w:val="0"/>
        <w:snapToGrid w:val="0"/>
        <w:spacing w:line="580" w:lineRule="exact"/>
        <w:ind w:firstLine="480" w:firstLineChars="200"/>
        <w:contextualSpacing/>
        <w:jc w:val="left"/>
        <w:rPr>
          <w:rFonts w:ascii="仿宋" w:hAnsi="仿宋" w:eastAsia="仿宋" w:cs="宋体"/>
          <w:color w:val="000000"/>
          <w:kern w:val="0"/>
          <w:sz w:val="24"/>
          <w:szCs w:val="32"/>
          <w:shd w:val="clear" w:color="auto" w:fill="FFFFFF"/>
        </w:rPr>
      </w:pPr>
    </w:p>
    <w:p w14:paraId="5A7D212E">
      <w:pPr>
        <w:spacing w:line="580" w:lineRule="exact"/>
        <w:ind w:firstLine="640" w:firstLineChars="200"/>
        <w:rPr>
          <w:rFonts w:ascii="仿宋" w:hAnsi="仿宋" w:eastAsia="仿宋" w:cs="仿宋_GB2312"/>
          <w:sz w:val="32"/>
          <w:szCs w:val="32"/>
        </w:rPr>
      </w:pPr>
    </w:p>
    <w:p w14:paraId="49BAA193">
      <w:pPr>
        <w:spacing w:line="580" w:lineRule="exact"/>
        <w:rPr>
          <w:rFonts w:ascii="仿宋" w:hAnsi="仿宋" w:eastAsia="仿宋" w:cs="仿宋_GB2312"/>
          <w:sz w:val="32"/>
          <w:szCs w:val="32"/>
        </w:rPr>
      </w:pPr>
      <w:r>
        <w:rPr>
          <w:rFonts w:hint="eastAsia" w:ascii="仿宋" w:hAnsi="仿宋" w:eastAsia="仿宋" w:cs="黑体"/>
          <w:sz w:val="32"/>
          <w:szCs w:val="32"/>
        </w:rPr>
        <w:t>附件2</w:t>
      </w:r>
    </w:p>
    <w:p w14:paraId="24D02F98">
      <w:pPr>
        <w:spacing w:line="580" w:lineRule="exact"/>
        <w:ind w:firstLine="640" w:firstLineChars="200"/>
        <w:rPr>
          <w:rFonts w:ascii="仿宋" w:hAnsi="仿宋" w:eastAsia="仿宋" w:cs="仿宋_GB2312"/>
          <w:sz w:val="32"/>
          <w:szCs w:val="32"/>
        </w:rPr>
      </w:pPr>
    </w:p>
    <w:p w14:paraId="5458B970">
      <w:pPr>
        <w:spacing w:line="700" w:lineRule="exact"/>
        <w:jc w:val="center"/>
        <w:rPr>
          <w:rFonts w:ascii="仿宋" w:hAnsi="仿宋" w:eastAsia="仿宋" w:cs="方正小标宋简体"/>
          <w:sz w:val="44"/>
          <w:szCs w:val="44"/>
        </w:rPr>
      </w:pPr>
      <w:r>
        <w:rPr>
          <w:rFonts w:hint="eastAsia" w:ascii="仿宋" w:hAnsi="仿宋" w:eastAsia="仿宋" w:cs="方正小标宋简体"/>
          <w:sz w:val="44"/>
          <w:szCs w:val="44"/>
        </w:rPr>
        <w:t>空间规划编制科研经费项目支出绩效</w:t>
      </w:r>
    </w:p>
    <w:p w14:paraId="5DDAD4FF">
      <w:pPr>
        <w:spacing w:line="700" w:lineRule="exact"/>
        <w:jc w:val="center"/>
        <w:rPr>
          <w:rFonts w:ascii="仿宋" w:hAnsi="仿宋" w:eastAsia="仿宋" w:cs="方正小标宋简体"/>
          <w:sz w:val="44"/>
          <w:szCs w:val="44"/>
        </w:rPr>
      </w:pPr>
      <w:r>
        <w:rPr>
          <w:rFonts w:hint="eastAsia" w:ascii="仿宋" w:hAnsi="仿宋" w:eastAsia="仿宋" w:cs="方正小标宋简体"/>
          <w:sz w:val="44"/>
          <w:szCs w:val="44"/>
        </w:rPr>
        <w:t>自评报告</w:t>
      </w:r>
    </w:p>
    <w:p w14:paraId="0FE2223B">
      <w:pPr>
        <w:spacing w:line="600" w:lineRule="exact"/>
        <w:ind w:left="420" w:leftChars="200" w:right="325" w:rightChars="155" w:firstLine="320" w:firstLineChars="100"/>
        <w:rPr>
          <w:rFonts w:ascii="仿宋" w:hAnsi="仿宋" w:eastAsia="仿宋" w:cs="黑体"/>
          <w:sz w:val="32"/>
          <w:szCs w:val="32"/>
        </w:rPr>
      </w:pPr>
      <w:r>
        <w:rPr>
          <w:rFonts w:hint="eastAsia" w:ascii="仿宋" w:hAnsi="仿宋" w:eastAsia="仿宋" w:cs="黑体"/>
          <w:sz w:val="32"/>
          <w:szCs w:val="32"/>
        </w:rPr>
        <w:t>一、项目情况</w:t>
      </w:r>
    </w:p>
    <w:p w14:paraId="6087A892">
      <w:pPr>
        <w:spacing w:line="600" w:lineRule="exact"/>
        <w:ind w:right="325" w:rightChars="155" w:firstLine="640" w:firstLineChars="200"/>
        <w:rPr>
          <w:rFonts w:ascii="仿宋" w:hAnsi="仿宋" w:eastAsia="仿宋" w:cs="楷体"/>
          <w:sz w:val="32"/>
          <w:szCs w:val="32"/>
        </w:rPr>
      </w:pPr>
      <w:r>
        <w:rPr>
          <w:rFonts w:hint="eastAsia" w:ascii="仿宋" w:hAnsi="仿宋" w:eastAsia="仿宋" w:cs="楷体"/>
          <w:sz w:val="32"/>
          <w:szCs w:val="32"/>
        </w:rPr>
        <w:t>（一）项目基本情况</w:t>
      </w:r>
    </w:p>
    <w:p w14:paraId="6F4BC9E6">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1.项目主管部门（单位）职能</w:t>
      </w:r>
    </w:p>
    <w:p w14:paraId="7255B9B5">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承担主体功能区规划、城乡规划等空间规划“多规合一”工作；参与研究制定全市经济和社会发展规划；负责组织编制全市总体规划层面的社会事业、市政和交通基础设施、基本农田保护、历史文化名镇、林地保护利用、矿产资源规划等各类专项规划；负责组织编制城市近期建设规划、协调总体规划与年度建设计划的衔接问题。</w:t>
      </w:r>
    </w:p>
    <w:p w14:paraId="7957022A">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2.项目资金申报依据</w:t>
      </w:r>
    </w:p>
    <w:p w14:paraId="5E0588EA">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因为是规划编制，不是项目建设，故不需立项。主要依据峨眉山市2019年7月31日，十四届市委第77次常务会议研究市政府党组关于峨眉山市国土空间规划编制有关事宜的请示《中共峨眉山市委常委会议决定事项通知》（峨委十四届[2019]77-22号）。按照会议纪要的要求，我局通过招标由四川省城乡规划设计研究院编制。2019年12月签到了规划设计合同，按照合同约定，合同签订生效后，我局于7日内向乙方支付规划编制费的30%，即人民币236.4万。</w:t>
      </w:r>
    </w:p>
    <w:p w14:paraId="64943363">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3.资金管理办法制定情况，资金支持具体项目的条件、范围与支持方式概况。</w:t>
      </w:r>
    </w:p>
    <w:p w14:paraId="6CA3CC46">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资金管理按2020年自然资源局项目资金管理办法进行管理。按照合同约定，严格按照规划编制进度完成情况拨付资金。</w:t>
      </w:r>
    </w:p>
    <w:p w14:paraId="3BEAB80E">
      <w:pPr>
        <w:spacing w:line="600" w:lineRule="exact"/>
        <w:ind w:right="325" w:rightChars="155" w:firstLine="640" w:firstLineChars="200"/>
        <w:rPr>
          <w:rFonts w:ascii="仿宋" w:hAnsi="仿宋" w:eastAsia="仿宋" w:cs="楷体"/>
          <w:sz w:val="32"/>
          <w:szCs w:val="32"/>
        </w:rPr>
      </w:pPr>
      <w:r>
        <w:rPr>
          <w:rFonts w:hint="eastAsia" w:ascii="仿宋" w:hAnsi="仿宋" w:eastAsia="仿宋" w:cs="楷体"/>
          <w:sz w:val="32"/>
          <w:szCs w:val="32"/>
        </w:rPr>
        <w:t>（二）项目绩效目标</w:t>
      </w:r>
    </w:p>
    <w:p w14:paraId="116B877A">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1.项目内容</w:t>
      </w:r>
    </w:p>
    <w:p w14:paraId="0F3B7728">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规划在峨眉山市国土空间现状发展分析和“双评价”、“双评估”的基础上开展重大专题研究，提出峨眉山市国土空间发展总体战略目标，确定市域国土空间保护和开发体系，优化中心城区国土空间总体格局，明确各类用地调控指标，确定国土整治的规模、范围和重点区域，对中心城区空间结构、用地布局、道路系统、景观风貌、人居环境等进行布局，提升城市品质，推动峨眉山高质量发展。</w:t>
      </w:r>
    </w:p>
    <w:p w14:paraId="75B68F6F">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1）分析现状，诊断问题，以第三次全国国土普查结果为基础资料，立足峨眉山市经济社会发展，把握城市空间规划保护利用现状特征及演变规律，针对国家和省的相关政策，研判峨眉山市发展面临的形势、机遇、挑战、风险和存在的问题。</w:t>
      </w:r>
    </w:p>
    <w:p w14:paraId="5BC9E13E">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（2）开展双评价工作，在全面摸清全市自然资源家庭的基础上，客观分析资源环境承载力和国土空间开发适宜性。</w:t>
      </w:r>
    </w:p>
    <w:p w14:paraId="5EC6D0D2">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（3）对峨眉山市与国土空间相关的规划开展实施评估。</w:t>
      </w:r>
    </w:p>
    <w:p w14:paraId="38B16695">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（4）明确峨眉山市的发展定位和发展目标。</w:t>
      </w:r>
    </w:p>
    <w:p w14:paraId="0B0DC413">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（5）科学预测全市城乡人口和旅游人口，规划全市镇村体系。</w:t>
      </w:r>
    </w:p>
    <w:p w14:paraId="5AE149BB">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（6）规划全市空间格局，提出国土空间管控的战略部署和重大任务。合理布局生产、生活、生态空间，划定生态保护红线、永久基本农田保护边界、城镇开发边界三条空间管控线。</w:t>
      </w:r>
    </w:p>
    <w:p w14:paraId="072FC177">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（7）保护历史文化资源和自然景观要素，强化对双遗传的保护与管控要求。</w:t>
      </w:r>
    </w:p>
    <w:p w14:paraId="17C0B01D">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（8）提出自然资源保护与利用要求。</w:t>
      </w:r>
    </w:p>
    <w:p w14:paraId="58AA62B5">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（9）明确城镇化与城乡融合发展方案。</w:t>
      </w:r>
    </w:p>
    <w:p w14:paraId="1FFC2E9B">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（10）提出全市产业空间布局方案。</w:t>
      </w:r>
    </w:p>
    <w:p w14:paraId="5BE359F8">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（11）开展市域国土空间综合整治规划。</w:t>
      </w:r>
    </w:p>
    <w:p w14:paraId="43F44CCB">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（12）统筹规划全市支撑保障体系。</w:t>
      </w:r>
    </w:p>
    <w:p w14:paraId="7CC45F4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（13）开展中心城区空间布局规划。</w:t>
      </w:r>
    </w:p>
    <w:p w14:paraId="479961F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（14）塑造城市风貌特色。</w:t>
      </w:r>
    </w:p>
    <w:p w14:paraId="1B8FD3BB">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（15）明确中心城区要求保障体系。</w:t>
      </w:r>
    </w:p>
    <w:p w14:paraId="488CB66C">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（16）提出规划传导与实施保障机制。</w:t>
      </w:r>
    </w:p>
    <w:p w14:paraId="202F527F">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2.项目应实现的具体绩效目标，包括目标的量化、细化情况以及项目实施进度计划等。</w:t>
      </w:r>
    </w:p>
    <w:p w14:paraId="58540526">
      <w:pPr>
        <w:spacing w:line="600" w:lineRule="exact"/>
        <w:ind w:firstLine="640" w:firstLineChars="200"/>
        <w:rPr>
          <w:rFonts w:ascii="仿宋" w:hAnsi="仿宋" w:eastAsia="仿宋" w:cs="仿宋_GB2312"/>
          <w:bCs/>
          <w:sz w:val="32"/>
          <w:szCs w:val="32"/>
          <w:lang w:val="zh-CN"/>
        </w:rPr>
      </w:pPr>
      <w:r>
        <w:rPr>
          <w:rFonts w:hint="eastAsia" w:ascii="仿宋" w:hAnsi="仿宋" w:eastAsia="仿宋" w:cs="仿宋_GB2312"/>
          <w:bCs/>
          <w:sz w:val="32"/>
          <w:szCs w:val="32"/>
          <w:lang w:val="zh-CN"/>
        </w:rPr>
        <w:t>成果应包括《峨眉山市国土空间规划（2020-2035年）》及《峨眉山市国土空间规划实施评估报告》、《峨眉山市资源环境承载能力评价和国土空间开发适宜性评价报告》等相关专题研究报告。成果形式要求如下：（</w:t>
      </w:r>
      <w:r>
        <w:rPr>
          <w:rFonts w:hint="eastAsia" w:ascii="仿宋" w:hAnsi="仿宋" w:eastAsia="仿宋" w:cs="仿宋_GB2312"/>
          <w:bCs/>
          <w:sz w:val="32"/>
          <w:szCs w:val="32"/>
        </w:rPr>
        <w:t>1</w:t>
      </w:r>
      <w:r>
        <w:rPr>
          <w:rFonts w:hint="eastAsia" w:ascii="仿宋" w:hAnsi="仿宋" w:eastAsia="仿宋" w:cs="仿宋_GB2312"/>
          <w:bCs/>
          <w:sz w:val="32"/>
          <w:szCs w:val="32"/>
          <w:lang w:val="zh-CN"/>
        </w:rPr>
        <w:t>）初步成果阶段提交规划设计简本。（</w:t>
      </w:r>
      <w:r>
        <w:rPr>
          <w:rFonts w:hint="eastAsia" w:ascii="仿宋" w:hAnsi="仿宋" w:eastAsia="仿宋" w:cs="仿宋_GB2312"/>
          <w:bCs/>
          <w:sz w:val="32"/>
          <w:szCs w:val="32"/>
        </w:rPr>
        <w:t>2</w:t>
      </w:r>
      <w:r>
        <w:rPr>
          <w:rFonts w:hint="eastAsia" w:ascii="仿宋" w:hAnsi="仿宋" w:eastAsia="仿宋" w:cs="仿宋_GB2312"/>
          <w:bCs/>
          <w:sz w:val="32"/>
          <w:szCs w:val="32"/>
          <w:lang w:val="zh-CN"/>
        </w:rPr>
        <w:t>）正式成果阶段提交规划设计成果（成果包括：文本、图纸及附件，附件包括说明书、基础资料汇编、专题报告、会议纪要、部门意见、专家论证意见、公众参与记录等）6套，提供相应的电子文件（重要图纸需提供CAD、GIS格式文件）。（</w:t>
      </w:r>
      <w:r>
        <w:rPr>
          <w:rFonts w:hint="eastAsia" w:ascii="仿宋" w:hAnsi="仿宋" w:eastAsia="仿宋" w:cs="仿宋_GB2312"/>
          <w:bCs/>
          <w:sz w:val="32"/>
          <w:szCs w:val="32"/>
        </w:rPr>
        <w:t>3</w:t>
      </w:r>
      <w:r>
        <w:rPr>
          <w:rFonts w:hint="eastAsia" w:ascii="仿宋" w:hAnsi="仿宋" w:eastAsia="仿宋" w:cs="仿宋_GB2312"/>
          <w:bCs/>
          <w:sz w:val="32"/>
          <w:szCs w:val="32"/>
          <w:lang w:val="zh-CN"/>
        </w:rPr>
        <w:t>）设计成果须达到国家相关法律、法规、规范和技术规定要求。</w:t>
      </w:r>
    </w:p>
    <w:p w14:paraId="461D7BA4">
      <w:pPr>
        <w:spacing w:line="600" w:lineRule="exact"/>
        <w:ind w:firstLine="640" w:firstLineChars="200"/>
        <w:rPr>
          <w:rFonts w:ascii="仿宋" w:hAnsi="仿宋" w:eastAsia="仿宋" w:cs="仿宋_GB2312"/>
          <w:bCs/>
          <w:sz w:val="32"/>
          <w:szCs w:val="32"/>
          <w:lang w:val="zh-CN"/>
        </w:rPr>
      </w:pPr>
      <w:r>
        <w:rPr>
          <w:rFonts w:hint="eastAsia" w:ascii="仿宋" w:hAnsi="仿宋" w:eastAsia="仿宋" w:cs="仿宋_GB2312"/>
          <w:bCs/>
          <w:sz w:val="32"/>
          <w:szCs w:val="32"/>
          <w:lang w:val="zh-CN"/>
        </w:rPr>
        <w:t>工作进度安排：（</w:t>
      </w:r>
      <w:r>
        <w:rPr>
          <w:rFonts w:hint="eastAsia" w:ascii="仿宋" w:hAnsi="仿宋" w:eastAsia="仿宋" w:cs="仿宋_GB2312"/>
          <w:bCs/>
          <w:sz w:val="32"/>
          <w:szCs w:val="32"/>
        </w:rPr>
        <w:t>1</w:t>
      </w:r>
      <w:r>
        <w:rPr>
          <w:rFonts w:hint="eastAsia" w:ascii="仿宋" w:hAnsi="仿宋" w:eastAsia="仿宋" w:cs="仿宋_GB2312"/>
          <w:bCs/>
          <w:sz w:val="32"/>
          <w:szCs w:val="32"/>
          <w:lang w:val="zh-CN"/>
        </w:rPr>
        <w:t>）2019年12月底前，形成“双评价”、“双评估”及专题研究成果；（</w:t>
      </w:r>
      <w:r>
        <w:rPr>
          <w:rFonts w:hint="eastAsia" w:ascii="仿宋" w:hAnsi="仿宋" w:eastAsia="仿宋" w:cs="仿宋_GB2312"/>
          <w:bCs/>
          <w:sz w:val="32"/>
          <w:szCs w:val="32"/>
        </w:rPr>
        <w:t>2</w:t>
      </w:r>
      <w:r>
        <w:rPr>
          <w:rFonts w:hint="eastAsia" w:ascii="仿宋" w:hAnsi="仿宋" w:eastAsia="仿宋" w:cs="仿宋_GB2312"/>
          <w:bCs/>
          <w:sz w:val="32"/>
          <w:szCs w:val="32"/>
          <w:lang w:val="zh-CN"/>
        </w:rPr>
        <w:t>）2020年4月底前，形成国土空间规划编制初步成果；（</w:t>
      </w:r>
      <w:r>
        <w:rPr>
          <w:rFonts w:hint="eastAsia" w:ascii="仿宋" w:hAnsi="仿宋" w:eastAsia="仿宋" w:cs="仿宋_GB2312"/>
          <w:bCs/>
          <w:sz w:val="32"/>
          <w:szCs w:val="32"/>
        </w:rPr>
        <w:t>3</w:t>
      </w:r>
      <w:r>
        <w:rPr>
          <w:rFonts w:hint="eastAsia" w:ascii="仿宋" w:hAnsi="仿宋" w:eastAsia="仿宋" w:cs="仿宋_GB2312"/>
          <w:bCs/>
          <w:sz w:val="32"/>
          <w:szCs w:val="32"/>
          <w:lang w:val="zh-CN"/>
        </w:rPr>
        <w:t>）2020年8月底前，形成国土空间规划报批成果。</w:t>
      </w:r>
    </w:p>
    <w:p w14:paraId="3BE38030">
      <w:pPr>
        <w:spacing w:line="600" w:lineRule="exact"/>
        <w:ind w:firstLine="640" w:firstLineChars="200"/>
        <w:rPr>
          <w:rFonts w:ascii="仿宋" w:hAnsi="仿宋" w:eastAsia="仿宋" w:cs="仿宋_GB2312"/>
          <w:bCs/>
          <w:sz w:val="32"/>
          <w:szCs w:val="32"/>
          <w:lang w:val="zh-CN"/>
        </w:rPr>
      </w:pPr>
      <w:r>
        <w:rPr>
          <w:rFonts w:hint="eastAsia" w:ascii="仿宋" w:hAnsi="仿宋" w:eastAsia="仿宋" w:cs="仿宋_GB2312"/>
          <w:bCs/>
          <w:sz w:val="32"/>
          <w:szCs w:val="32"/>
          <w:lang w:val="zh-CN"/>
        </w:rPr>
        <w:t>技术要求：满足现行有效的国家相关标准、行业标准、地方标准以及相关规范等；质量、安全、技术规格、物理特性等参数应满足国家、行业、地方相关标准和要求；</w:t>
      </w:r>
    </w:p>
    <w:p w14:paraId="3E5C6AEA">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3.分析评价申报内容是否与实际相符，申报目标是否合理可行。</w:t>
      </w:r>
    </w:p>
    <w:p w14:paraId="0E5C36B6">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十四届市委第77次常务会要求，因该项目工作时间紧、任务重，为保证规划编制的完成，我局通过招标确定四川省国土空间规划研究院为编制单位，并按照合同督促乙方按照时间进度完成任务，并按程序完成第一阶段资金拨付。所有申报内容与具体实施内容相符、申报目标合理可行。</w:t>
      </w:r>
    </w:p>
    <w:p w14:paraId="62C646D3">
      <w:pPr>
        <w:spacing w:line="600" w:lineRule="exact"/>
        <w:ind w:firstLine="640" w:firstLineChars="200"/>
        <w:rPr>
          <w:rFonts w:ascii="仿宋" w:hAnsi="仿宋" w:eastAsia="仿宋" w:cs="楷体"/>
          <w:sz w:val="32"/>
          <w:szCs w:val="32"/>
        </w:rPr>
      </w:pPr>
      <w:r>
        <w:rPr>
          <w:rFonts w:hint="eastAsia" w:ascii="仿宋" w:hAnsi="仿宋" w:eastAsia="仿宋" w:cs="楷体"/>
          <w:sz w:val="32"/>
          <w:szCs w:val="32"/>
        </w:rPr>
        <w:t>（三）项目自评步骤及方法</w:t>
      </w:r>
    </w:p>
    <w:p w14:paraId="5756AC72">
      <w:pPr>
        <w:spacing w:line="600" w:lineRule="exact"/>
        <w:ind w:firstLine="640" w:firstLineChars="200"/>
        <w:rPr>
          <w:rFonts w:ascii="仿宋" w:hAnsi="仿宋" w:eastAsia="仿宋" w:cs="仿宋_GB2312"/>
          <w:color w:val="FF0000"/>
          <w:sz w:val="32"/>
          <w:szCs w:val="32"/>
        </w:rPr>
      </w:pPr>
      <w:r>
        <w:rPr>
          <w:rFonts w:hint="eastAsia" w:ascii="仿宋" w:hAnsi="仿宋" w:eastAsia="仿宋" w:cs="仿宋_GB2312"/>
          <w:sz w:val="32"/>
          <w:szCs w:val="32"/>
        </w:rPr>
        <w:t>首先由业务股室经办人员、财务人员共同草拟自评报告，分别报分管领导、主要领导审阅后再报送。</w:t>
      </w:r>
    </w:p>
    <w:p w14:paraId="5252068B">
      <w:pPr>
        <w:spacing w:line="600" w:lineRule="exact"/>
        <w:ind w:left="420" w:leftChars="200" w:firstLine="320" w:firstLineChars="100"/>
        <w:rPr>
          <w:rFonts w:ascii="仿宋" w:hAnsi="仿宋" w:eastAsia="仿宋" w:cs="黑体"/>
          <w:sz w:val="32"/>
          <w:szCs w:val="32"/>
        </w:rPr>
      </w:pPr>
      <w:r>
        <w:rPr>
          <w:rFonts w:hint="eastAsia" w:ascii="仿宋" w:hAnsi="仿宋" w:eastAsia="仿宋" w:cs="黑体"/>
          <w:sz w:val="32"/>
          <w:szCs w:val="32"/>
        </w:rPr>
        <w:t>（二）项目资金申报及使用情况</w:t>
      </w:r>
      <w:bookmarkStart w:id="63" w:name="bookmark97"/>
    </w:p>
    <w:bookmarkEnd w:id="63"/>
    <w:p w14:paraId="606E6217">
      <w:pPr>
        <w:spacing w:line="600" w:lineRule="exact"/>
        <w:ind w:firstLine="640" w:firstLineChars="200"/>
        <w:rPr>
          <w:rFonts w:ascii="仿宋" w:hAnsi="仿宋" w:eastAsia="仿宋" w:cs="楷体"/>
          <w:sz w:val="32"/>
          <w:szCs w:val="32"/>
        </w:rPr>
      </w:pPr>
      <w:r>
        <w:rPr>
          <w:rFonts w:hint="eastAsia" w:ascii="仿宋" w:hAnsi="仿宋" w:eastAsia="仿宋" w:cs="楷体"/>
          <w:sz w:val="32"/>
          <w:szCs w:val="32"/>
        </w:rPr>
        <w:t>（一）项目资金申报及批复情况</w:t>
      </w:r>
    </w:p>
    <w:p w14:paraId="75C3662D">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峨眉山市十四届市委第77次常务会议研究市政府党组关于峨眉山市国土空间规划编制有关事宜的请示（峨委十四届[2019]77-22号）。按照会议纪要峨眉山市财政局下达了第一阶段规划研究经费。</w:t>
      </w:r>
    </w:p>
    <w:p w14:paraId="2A24EAAF">
      <w:pPr>
        <w:spacing w:line="600" w:lineRule="exact"/>
        <w:ind w:firstLine="640" w:firstLineChars="200"/>
        <w:rPr>
          <w:rFonts w:ascii="仿宋" w:hAnsi="仿宋" w:eastAsia="仿宋" w:cs="楷体"/>
          <w:sz w:val="32"/>
          <w:szCs w:val="32"/>
        </w:rPr>
      </w:pPr>
      <w:r>
        <w:rPr>
          <w:rFonts w:hint="eastAsia" w:ascii="仿宋" w:hAnsi="仿宋" w:eastAsia="仿宋" w:cs="楷体"/>
          <w:sz w:val="32"/>
          <w:szCs w:val="32"/>
        </w:rPr>
        <w:t>（二）资金计划、到位及使用情况</w:t>
      </w:r>
    </w:p>
    <w:p w14:paraId="799B2A09">
      <w:pPr>
        <w:pStyle w:val="2"/>
        <w:spacing w:before="93" w:line="600" w:lineRule="exact"/>
        <w:ind w:left="638" w:leftChars="304"/>
        <w:jc w:val="left"/>
        <w:rPr>
          <w:rFonts w:ascii="仿宋" w:hAnsi="仿宋" w:eastAsia="仿宋" w:cs="仿宋_GB2312"/>
          <w:sz w:val="32"/>
          <w:szCs w:val="32"/>
        </w:rPr>
      </w:pPr>
      <w:r>
        <w:rPr>
          <w:rFonts w:hint="eastAsia" w:ascii="仿宋" w:hAnsi="仿宋" w:eastAsia="仿宋" w:cs="仿宋_GB2312"/>
          <w:sz w:val="32"/>
          <w:szCs w:val="32"/>
        </w:rPr>
        <w:t>1.资金计划、到位</w:t>
      </w:r>
    </w:p>
    <w:p w14:paraId="74B4EB8E">
      <w:pPr>
        <w:pStyle w:val="2"/>
        <w:spacing w:before="93"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该资金已于2020年1月19日，3月23日分别到达41.3万和236.4万元，由财政局拨付我局。</w:t>
      </w:r>
    </w:p>
    <w:p w14:paraId="59543B04">
      <w:pPr>
        <w:spacing w:line="600" w:lineRule="exact"/>
        <w:ind w:firstLine="640" w:firstLineChars="200"/>
        <w:rPr>
          <w:rFonts w:ascii="仿宋" w:hAnsi="仿宋" w:eastAsia="仿宋" w:cs="仿宋_GB2312"/>
          <w:sz w:val="32"/>
          <w:szCs w:val="32"/>
        </w:rPr>
      </w:pPr>
      <w:bookmarkStart w:id="64" w:name="bookmark101"/>
      <w:bookmarkEnd w:id="64"/>
      <w:bookmarkStart w:id="65" w:name="bookmark99"/>
      <w:bookmarkEnd w:id="65"/>
      <w:r>
        <w:rPr>
          <w:rFonts w:hint="eastAsia" w:ascii="仿宋" w:hAnsi="仿宋" w:eastAsia="仿宋" w:cs="仿宋_GB2312"/>
          <w:sz w:val="32"/>
          <w:szCs w:val="32"/>
        </w:rPr>
        <w:t>2.资金使用</w:t>
      </w:r>
    </w:p>
    <w:p w14:paraId="4A8E9FA8">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该资金直接拨付乙方，不存在资金分配。</w:t>
      </w:r>
    </w:p>
    <w:p w14:paraId="017624F2">
      <w:pPr>
        <w:spacing w:line="600" w:lineRule="exact"/>
        <w:ind w:firstLine="640" w:firstLineChars="200"/>
        <w:rPr>
          <w:rFonts w:ascii="仿宋" w:hAnsi="仿宋" w:eastAsia="仿宋" w:cs="楷体"/>
          <w:sz w:val="32"/>
          <w:szCs w:val="32"/>
        </w:rPr>
      </w:pPr>
      <w:r>
        <w:rPr>
          <w:rFonts w:hint="eastAsia" w:ascii="仿宋" w:hAnsi="仿宋" w:eastAsia="仿宋" w:cs="楷体"/>
          <w:sz w:val="32"/>
          <w:szCs w:val="32"/>
        </w:rPr>
        <w:t>（三）项目财务管理情况</w:t>
      </w:r>
    </w:p>
    <w:p w14:paraId="746677C1">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经费严格按照财务管理制度进行管理，保证专款专用，不存在截留、滞留、挤占、挪用、套取、虚假、冒领等问题，资金发放复查由财务人员按照财务制度进行资金的审核、支付和核算，所有支出均以转账方式进行，在具体支付时，具备了资金发票、合同等相关材料，手续完善，不存在虚假会计凭证的情况，会计严格执行财务管理制度，财务处理及时，核算规范。</w:t>
      </w:r>
    </w:p>
    <w:p w14:paraId="6A7AB59B">
      <w:pPr>
        <w:spacing w:line="600" w:lineRule="exact"/>
        <w:ind w:firstLine="640" w:firstLineChars="200"/>
        <w:rPr>
          <w:rFonts w:ascii="仿宋" w:hAnsi="仿宋" w:eastAsia="仿宋" w:cs="黑体"/>
          <w:sz w:val="32"/>
          <w:szCs w:val="32"/>
        </w:rPr>
      </w:pPr>
      <w:bookmarkStart w:id="66" w:name="bookmark103"/>
      <w:r>
        <w:rPr>
          <w:rFonts w:hint="eastAsia" w:ascii="仿宋" w:hAnsi="仿宋" w:eastAsia="仿宋" w:cs="黑体"/>
          <w:sz w:val="32"/>
          <w:szCs w:val="32"/>
        </w:rPr>
        <w:t>三</w:t>
      </w:r>
      <w:bookmarkEnd w:id="66"/>
      <w:r>
        <w:rPr>
          <w:rFonts w:hint="eastAsia" w:ascii="仿宋" w:hAnsi="仿宋" w:eastAsia="仿宋" w:cs="黑体"/>
          <w:sz w:val="32"/>
          <w:szCs w:val="32"/>
        </w:rPr>
        <w:t>、项目实施及管理情况</w:t>
      </w:r>
    </w:p>
    <w:p w14:paraId="09544A6E">
      <w:pPr>
        <w:spacing w:line="600" w:lineRule="exact"/>
        <w:ind w:firstLine="640" w:firstLineChars="200"/>
        <w:rPr>
          <w:rFonts w:ascii="仿宋" w:hAnsi="仿宋" w:eastAsia="仿宋" w:cs="楷体"/>
          <w:sz w:val="32"/>
          <w:szCs w:val="32"/>
        </w:rPr>
      </w:pPr>
      <w:bookmarkStart w:id="67" w:name="bookmark104"/>
      <w:r>
        <w:rPr>
          <w:rFonts w:hint="eastAsia" w:ascii="仿宋" w:hAnsi="仿宋" w:eastAsia="仿宋" w:cs="楷体"/>
          <w:sz w:val="32"/>
          <w:szCs w:val="32"/>
        </w:rPr>
        <w:t>（</w:t>
      </w:r>
      <w:bookmarkEnd w:id="67"/>
      <w:r>
        <w:rPr>
          <w:rFonts w:hint="eastAsia" w:ascii="仿宋" w:hAnsi="仿宋" w:eastAsia="仿宋" w:cs="楷体"/>
          <w:sz w:val="32"/>
          <w:szCs w:val="32"/>
        </w:rPr>
        <w:t>一）项目组织架构及实施流程</w:t>
      </w:r>
    </w:p>
    <w:p w14:paraId="30A262B0">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1.相关请示文件拟定；</w:t>
      </w:r>
    </w:p>
    <w:p w14:paraId="4004AACE">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2.送呈常务会审议并印发会议纪要；</w:t>
      </w:r>
    </w:p>
    <w:p w14:paraId="11F76429">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3.确定编制单位，签订规划编制合同；</w:t>
      </w:r>
    </w:p>
    <w:p w14:paraId="2BDC53EE">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4.按照合同约定，督促乙方按照合同约定推进编制工作；</w:t>
      </w:r>
    </w:p>
    <w:p w14:paraId="31D3CB8F">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5.按照合同约定，分阶段按照程序拨付资金。</w:t>
      </w:r>
    </w:p>
    <w:p w14:paraId="55D53C1C">
      <w:pPr>
        <w:pStyle w:val="2"/>
        <w:spacing w:before="93" w:line="600" w:lineRule="exact"/>
        <w:ind w:firstLine="640" w:firstLineChars="200"/>
        <w:rPr>
          <w:rFonts w:ascii="仿宋" w:hAnsi="仿宋" w:eastAsia="仿宋" w:cs="楷体"/>
          <w:sz w:val="32"/>
          <w:szCs w:val="32"/>
        </w:rPr>
      </w:pPr>
      <w:r>
        <w:rPr>
          <w:rFonts w:hint="eastAsia" w:ascii="仿宋" w:hAnsi="仿宋" w:eastAsia="仿宋" w:cs="楷体"/>
          <w:sz w:val="32"/>
          <w:szCs w:val="32"/>
        </w:rPr>
        <w:t>（二）项目管理情况</w:t>
      </w:r>
    </w:p>
    <w:p w14:paraId="0454DDF6">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因时间紧、任务重，我局采用公开招标的方式，按照相关法律法规及项目管理制度推进相关工作。</w:t>
      </w:r>
    </w:p>
    <w:p w14:paraId="72FD25DC">
      <w:pPr>
        <w:pStyle w:val="2"/>
        <w:spacing w:before="93" w:line="600" w:lineRule="exact"/>
        <w:ind w:firstLine="640" w:firstLineChars="200"/>
        <w:rPr>
          <w:rFonts w:ascii="仿宋" w:hAnsi="仿宋" w:eastAsia="仿宋" w:cs="楷体"/>
          <w:sz w:val="32"/>
          <w:szCs w:val="32"/>
        </w:rPr>
      </w:pPr>
      <w:r>
        <w:rPr>
          <w:rFonts w:hint="eastAsia" w:ascii="仿宋" w:hAnsi="仿宋" w:eastAsia="仿宋" w:cs="楷体"/>
          <w:sz w:val="32"/>
          <w:szCs w:val="32"/>
        </w:rPr>
        <w:t>（三）项目监管情况</w:t>
      </w:r>
    </w:p>
    <w:p w14:paraId="3DE7ACA6">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合同签订后，我局积极配合设计单位多次开展实地调研，收集提供各类相关资料，并督促设计单位按照合同约定，加快推进各项规划及方案的编制。</w:t>
      </w:r>
    </w:p>
    <w:p w14:paraId="455623D9">
      <w:pPr>
        <w:pStyle w:val="2"/>
        <w:spacing w:before="93" w:line="600" w:lineRule="exact"/>
        <w:ind w:firstLine="960" w:firstLineChars="300"/>
        <w:rPr>
          <w:rFonts w:ascii="仿宋" w:hAnsi="仿宋" w:eastAsia="仿宋" w:cs="黑体"/>
          <w:sz w:val="32"/>
          <w:szCs w:val="32"/>
        </w:rPr>
      </w:pPr>
      <w:r>
        <w:rPr>
          <w:rFonts w:hint="eastAsia" w:ascii="仿宋" w:hAnsi="仿宋" w:eastAsia="仿宋" w:cs="黑体"/>
          <w:sz w:val="32"/>
          <w:szCs w:val="32"/>
        </w:rPr>
        <w:t>四、项目绩效情况</w:t>
      </w:r>
    </w:p>
    <w:p w14:paraId="0D04B24E">
      <w:pPr>
        <w:pStyle w:val="2"/>
        <w:spacing w:before="93" w:line="600" w:lineRule="exact"/>
        <w:ind w:firstLine="640" w:firstLineChars="200"/>
        <w:rPr>
          <w:rFonts w:ascii="仿宋" w:hAnsi="仿宋" w:eastAsia="仿宋" w:cs="楷体"/>
          <w:sz w:val="32"/>
          <w:szCs w:val="32"/>
        </w:rPr>
      </w:pPr>
      <w:r>
        <w:rPr>
          <w:rFonts w:hint="eastAsia" w:ascii="仿宋" w:hAnsi="仿宋" w:eastAsia="仿宋" w:cs="楷体"/>
          <w:sz w:val="32"/>
          <w:szCs w:val="32"/>
        </w:rPr>
        <w:t>（一）项目完成情况</w:t>
      </w:r>
    </w:p>
    <w:p w14:paraId="3A83C862">
      <w:pPr>
        <w:pStyle w:val="2"/>
        <w:spacing w:before="93" w:line="60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通过公开招标确定编制单位为四川省国土空间规划研究院，已完成双评价与双评估工作，并以第三次国土调查成果为基础制作了国土空间规划现状一张图的底图和底数，对三调数据不准确之处给与标注；完成了人口流动与城镇化发展研究专题、城镇开发边界划定与管控研究，以及国土空间生态修复与土地综合整治研究、产业发展空间布局专题研究、市县域综合交通规划研究等专题研究；初步完成国土空间总体布局规划，初步划定三区三线方案，完成生态修复与土地综合整治规划、城镇体系规划、市域综合交通规划、中心城区用地布局初步方案；8月3日召开国土空间规划编制专题会，会后对初步成果再次征求空间规划编制领导小组成员单位意见；8月3日专题会后征求意见及资料收集已反馈给规划编制单位，将由编制单位对意见建议和更新资料进行分析研究，同时结合市委、市政府关于加快打造绿水青山典范城市实现成渝地区双城经济圈节点崛起的决定、社会发展十四五规划等相关政策、战略方向，对空间规划初步成果进行优化调整。7.正在完善中心城区各项规划以及南山发展专题研究和城市设计专题研究，近期编制单位将来我市开一次专题会；一张图信息监督平台建设单位招标工作已完成需求论证，即将进行正式招标阶段；11月19日召开国土空间规划编制工作领导小组成员会，听取了四川省国土空间规划研究院关于峨眉山市国土空间规划编制最新工作汇报，重点讨论了“三区三线”几个方案的划定情况，参会领导和国土空间规划编制工作领导小组相关成员单位提出了相应的意见和建议，明确下一步工作思路和措施；12月31日市委召开国土空间规划编制专题会，重点研究了三区三线试划方案；按乐山要求，于12月底将三区三线试划方案正式上报乐山市自然资源局，市主要领导于2021年1月4日向乐山市委汇报了“三线”方案。</w:t>
      </w:r>
    </w:p>
    <w:p w14:paraId="685DCA5D">
      <w:pPr>
        <w:pStyle w:val="2"/>
        <w:spacing w:before="93" w:line="600" w:lineRule="exact"/>
        <w:ind w:firstLine="640" w:firstLineChars="200"/>
        <w:rPr>
          <w:rFonts w:ascii="仿宋" w:hAnsi="仿宋" w:eastAsia="仿宋" w:cs="楷体"/>
          <w:color w:val="000000" w:themeColor="text1"/>
          <w:sz w:val="32"/>
          <w:szCs w:val="32"/>
        </w:rPr>
      </w:pPr>
      <w:r>
        <w:rPr>
          <w:rFonts w:hint="eastAsia" w:ascii="仿宋" w:hAnsi="仿宋" w:eastAsia="仿宋" w:cs="楷体"/>
          <w:color w:val="000000" w:themeColor="text1"/>
          <w:sz w:val="32"/>
          <w:szCs w:val="32"/>
        </w:rPr>
        <w:t>（二）项目效益情况</w:t>
      </w:r>
    </w:p>
    <w:p w14:paraId="5BC8C8ED">
      <w:pPr>
        <w:spacing w:line="600" w:lineRule="exact"/>
        <w:ind w:right="325" w:rightChars="155" w:firstLine="640" w:firstLineChars="200"/>
        <w:rPr>
          <w:rFonts w:ascii="仿宋" w:hAnsi="仿宋" w:eastAsia="仿宋" w:cs="仿宋_GB2312"/>
          <w:sz w:val="32"/>
          <w:szCs w:val="32"/>
        </w:rPr>
      </w:pPr>
      <w:r>
        <w:rPr>
          <w:rFonts w:hint="eastAsia" w:ascii="仿宋" w:hAnsi="仿宋" w:eastAsia="仿宋" w:cs="仿宋_GB2312"/>
          <w:sz w:val="32"/>
          <w:szCs w:val="32"/>
        </w:rPr>
        <w:t>提出峨眉山市国土空间发展总体战略目标，确定市域国土空间保护和开发体系，优化中心城区国土空间总体格局，明确各类用地调控指标，确定国土整治的规模、范围和重点区域，对中心城区空间结构、用地布局、道路系统、景观风貌、人居环境等进行布局，提升城市品质，推动峨眉山高质量发展。</w:t>
      </w:r>
    </w:p>
    <w:p w14:paraId="20AEB4BC">
      <w:pPr>
        <w:pStyle w:val="2"/>
        <w:numPr>
          <w:ilvl w:val="0"/>
          <w:numId w:val="6"/>
        </w:numPr>
        <w:spacing w:before="93" w:line="600" w:lineRule="exact"/>
        <w:ind w:firstLine="640" w:firstLineChars="200"/>
        <w:rPr>
          <w:rFonts w:ascii="仿宋" w:hAnsi="仿宋" w:eastAsia="仿宋" w:cs="黑体"/>
          <w:sz w:val="32"/>
          <w:szCs w:val="32"/>
        </w:rPr>
      </w:pPr>
      <w:r>
        <w:rPr>
          <w:rFonts w:hint="eastAsia" w:ascii="仿宋" w:hAnsi="仿宋" w:eastAsia="仿宋" w:cs="黑体"/>
          <w:sz w:val="32"/>
          <w:szCs w:val="32"/>
        </w:rPr>
        <w:t>评价结论及建议</w:t>
      </w:r>
    </w:p>
    <w:p w14:paraId="2776E5D6">
      <w:pPr>
        <w:pStyle w:val="2"/>
        <w:numPr>
          <w:ilvl w:val="0"/>
          <w:numId w:val="7"/>
        </w:numPr>
        <w:spacing w:before="93" w:line="600" w:lineRule="exact"/>
        <w:ind w:firstLine="640" w:firstLineChars="200"/>
        <w:rPr>
          <w:rFonts w:ascii="仿宋" w:hAnsi="仿宋" w:eastAsia="仿宋" w:cs="楷体"/>
          <w:sz w:val="32"/>
          <w:szCs w:val="32"/>
        </w:rPr>
      </w:pPr>
      <w:r>
        <w:rPr>
          <w:rFonts w:hint="eastAsia" w:ascii="仿宋" w:hAnsi="仿宋" w:eastAsia="仿宋" w:cs="楷体"/>
          <w:sz w:val="32"/>
          <w:szCs w:val="32"/>
        </w:rPr>
        <w:t>评价结论</w:t>
      </w:r>
    </w:p>
    <w:p w14:paraId="64E70117">
      <w:pPr>
        <w:pStyle w:val="2"/>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为适应新的发展趋势，促进我市发展，我局坚持规划引领，高起点规划，加强规划编制监督管理，力争取得良好的社会效益和经济效益。</w:t>
      </w:r>
    </w:p>
    <w:p w14:paraId="6FC87D2B">
      <w:pPr>
        <w:pStyle w:val="2"/>
        <w:numPr>
          <w:ilvl w:val="0"/>
          <w:numId w:val="7"/>
        </w:numPr>
        <w:spacing w:before="93" w:line="600" w:lineRule="exact"/>
        <w:ind w:firstLine="640" w:firstLineChars="200"/>
        <w:rPr>
          <w:rFonts w:ascii="仿宋" w:hAnsi="仿宋" w:eastAsia="仿宋" w:cs="楷体"/>
          <w:sz w:val="32"/>
          <w:szCs w:val="32"/>
        </w:rPr>
      </w:pPr>
      <w:r>
        <w:rPr>
          <w:rFonts w:hint="eastAsia" w:ascii="仿宋" w:hAnsi="仿宋" w:eastAsia="仿宋" w:cs="楷体"/>
          <w:sz w:val="32"/>
          <w:szCs w:val="32"/>
        </w:rPr>
        <w:t>存在的问题</w:t>
      </w:r>
    </w:p>
    <w:p w14:paraId="36F1662A">
      <w:pPr>
        <w:pStyle w:val="2"/>
        <w:spacing w:before="93" w:line="60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无</w:t>
      </w:r>
    </w:p>
    <w:p w14:paraId="747DDA8B">
      <w:pPr>
        <w:pStyle w:val="2"/>
        <w:numPr>
          <w:ilvl w:val="0"/>
          <w:numId w:val="7"/>
        </w:numPr>
        <w:spacing w:before="93" w:line="600" w:lineRule="exact"/>
        <w:ind w:firstLine="640" w:firstLineChars="200"/>
        <w:rPr>
          <w:rFonts w:ascii="仿宋" w:hAnsi="仿宋" w:eastAsia="仿宋" w:cs="楷体"/>
          <w:color w:val="000000" w:themeColor="text1"/>
          <w:sz w:val="32"/>
          <w:szCs w:val="32"/>
        </w:rPr>
      </w:pPr>
      <w:r>
        <w:rPr>
          <w:rFonts w:hint="eastAsia" w:ascii="仿宋" w:hAnsi="仿宋" w:eastAsia="仿宋" w:cs="楷体"/>
          <w:color w:val="000000" w:themeColor="text1"/>
          <w:sz w:val="32"/>
          <w:szCs w:val="32"/>
        </w:rPr>
        <w:t>相关建议</w:t>
      </w:r>
    </w:p>
    <w:p w14:paraId="75B14F71">
      <w:pPr>
        <w:pStyle w:val="2"/>
        <w:spacing w:before="93" w:line="60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无</w:t>
      </w:r>
    </w:p>
    <w:p w14:paraId="6EA865B7">
      <w:pPr>
        <w:pStyle w:val="2"/>
        <w:spacing w:before="93" w:line="600" w:lineRule="exact"/>
        <w:ind w:firstLine="640" w:firstLineChars="200"/>
        <w:rPr>
          <w:rFonts w:ascii="仿宋" w:hAnsi="仿宋" w:eastAsia="仿宋" w:cs="仿宋_GB2312"/>
          <w:color w:val="000000" w:themeColor="text1"/>
          <w:sz w:val="32"/>
          <w:szCs w:val="32"/>
        </w:rPr>
      </w:pPr>
    </w:p>
    <w:p w14:paraId="2407D8C4">
      <w:pPr>
        <w:spacing w:line="600" w:lineRule="exact"/>
        <w:ind w:firstLine="2640" w:firstLineChars="600"/>
        <w:outlineLvl w:val="0"/>
        <w:rPr>
          <w:rFonts w:ascii="仿宋" w:hAnsi="仿宋" w:eastAsia="仿宋"/>
          <w:color w:val="000000"/>
          <w:sz w:val="44"/>
          <w:szCs w:val="44"/>
        </w:rPr>
      </w:pPr>
      <w:bookmarkStart w:id="68" w:name="_Toc15396618"/>
    </w:p>
    <w:p w14:paraId="15DB56E6">
      <w:pPr>
        <w:spacing w:line="600" w:lineRule="exact"/>
        <w:ind w:firstLine="2640" w:firstLineChars="600"/>
        <w:outlineLvl w:val="0"/>
        <w:rPr>
          <w:rStyle w:val="14"/>
          <w:rFonts w:ascii="仿宋" w:hAnsi="仿宋" w:eastAsia="仿宋"/>
          <w:b w:val="0"/>
        </w:rPr>
      </w:pPr>
      <w:r>
        <w:rPr>
          <w:rFonts w:hint="eastAsia" w:ascii="仿宋" w:hAnsi="仿宋" w:eastAsia="仿宋"/>
          <w:color w:val="000000"/>
          <w:sz w:val="44"/>
          <w:szCs w:val="44"/>
        </w:rPr>
        <w:t>第</w:t>
      </w:r>
      <w:r>
        <w:rPr>
          <w:rStyle w:val="14"/>
          <w:rFonts w:hint="eastAsia" w:ascii="仿宋" w:hAnsi="仿宋" w:eastAsia="仿宋"/>
          <w:b w:val="0"/>
        </w:rPr>
        <w:t>五部分 附表</w:t>
      </w:r>
      <w:bookmarkEnd w:id="62"/>
      <w:bookmarkEnd w:id="68"/>
    </w:p>
    <w:p w14:paraId="48CCC15E">
      <w:pPr>
        <w:spacing w:line="600" w:lineRule="exact"/>
        <w:jc w:val="center"/>
        <w:outlineLvl w:val="0"/>
        <w:rPr>
          <w:rFonts w:ascii="仿宋" w:hAnsi="仿宋" w:eastAsia="仿宋"/>
          <w:b/>
          <w:color w:val="000000"/>
          <w:sz w:val="44"/>
          <w:szCs w:val="44"/>
        </w:rPr>
      </w:pPr>
    </w:p>
    <w:p w14:paraId="24D1D53D">
      <w:pPr>
        <w:pStyle w:val="4"/>
        <w:rPr>
          <w:rFonts w:ascii="仿宋" w:hAnsi="仿宋" w:eastAsia="仿宋"/>
          <w:color w:val="000000"/>
        </w:rPr>
      </w:pPr>
      <w:bookmarkStart w:id="69"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69"/>
    </w:p>
    <w:p w14:paraId="48FEF15E">
      <w:pPr>
        <w:pStyle w:val="4"/>
        <w:rPr>
          <w:rFonts w:ascii="仿宋" w:hAnsi="仿宋" w:eastAsia="仿宋"/>
          <w:color w:val="000000"/>
        </w:rPr>
      </w:pPr>
      <w:bookmarkStart w:id="70" w:name="_Toc15396620"/>
      <w:r>
        <w:rPr>
          <w:rFonts w:hint="eastAsia" w:ascii="仿宋" w:hAnsi="仿宋" w:eastAsia="仿宋"/>
          <w:b w:val="0"/>
          <w:color w:val="000000"/>
        </w:rPr>
        <w:t>二、收</w:t>
      </w:r>
      <w:r>
        <w:rPr>
          <w:rStyle w:val="15"/>
          <w:rFonts w:hint="eastAsia" w:ascii="仿宋" w:hAnsi="仿宋" w:eastAsia="仿宋"/>
          <w:b w:val="0"/>
          <w:bCs w:val="0"/>
        </w:rPr>
        <w:t>入决算表</w:t>
      </w:r>
      <w:bookmarkEnd w:id="70"/>
    </w:p>
    <w:p w14:paraId="4D9F6F0A">
      <w:pPr>
        <w:pStyle w:val="4"/>
        <w:rPr>
          <w:rFonts w:ascii="仿宋" w:hAnsi="仿宋" w:eastAsia="仿宋"/>
          <w:color w:val="000000"/>
        </w:rPr>
      </w:pPr>
      <w:bookmarkStart w:id="71"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71"/>
    </w:p>
    <w:p w14:paraId="08407FD1">
      <w:pPr>
        <w:pStyle w:val="4"/>
        <w:rPr>
          <w:rFonts w:ascii="仿宋" w:hAnsi="仿宋" w:eastAsia="仿宋"/>
          <w:b w:val="0"/>
          <w:color w:val="000000"/>
        </w:rPr>
      </w:pPr>
      <w:bookmarkStart w:id="72"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72"/>
    </w:p>
    <w:p w14:paraId="11A827CE">
      <w:pPr>
        <w:pStyle w:val="4"/>
        <w:rPr>
          <w:rStyle w:val="15"/>
          <w:rFonts w:ascii="仿宋" w:hAnsi="仿宋" w:eastAsia="仿宋"/>
          <w:b w:val="0"/>
          <w:bCs w:val="0"/>
        </w:rPr>
      </w:pPr>
      <w:bookmarkStart w:id="73"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73"/>
      <w:bookmarkStart w:id="74" w:name="_Toc15396624"/>
    </w:p>
    <w:p w14:paraId="4D7B2C8C">
      <w:pPr>
        <w:pStyle w:val="4"/>
        <w:rPr>
          <w:rFonts w:ascii="仿宋" w:hAnsi="仿宋" w:eastAsia="仿宋"/>
          <w:color w:val="000000"/>
        </w:rPr>
      </w:pPr>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74"/>
    </w:p>
    <w:p w14:paraId="327F2C3F">
      <w:pPr>
        <w:pStyle w:val="4"/>
        <w:rPr>
          <w:rFonts w:ascii="仿宋" w:hAnsi="仿宋" w:eastAsia="仿宋"/>
          <w:color w:val="000000"/>
        </w:rPr>
      </w:pPr>
      <w:bookmarkStart w:id="75"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75"/>
    </w:p>
    <w:p w14:paraId="1E27A11A">
      <w:pPr>
        <w:pStyle w:val="4"/>
        <w:rPr>
          <w:rFonts w:ascii="仿宋" w:hAnsi="仿宋" w:eastAsia="仿宋"/>
          <w:color w:val="000000"/>
        </w:rPr>
      </w:pPr>
      <w:bookmarkStart w:id="76"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76"/>
    </w:p>
    <w:p w14:paraId="0B86351C">
      <w:pPr>
        <w:pStyle w:val="4"/>
        <w:rPr>
          <w:rFonts w:ascii="仿宋" w:hAnsi="仿宋" w:eastAsia="仿宋"/>
          <w:color w:val="000000"/>
        </w:rPr>
      </w:pPr>
      <w:bookmarkStart w:id="77"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77"/>
    </w:p>
    <w:p w14:paraId="13A9B4A3">
      <w:pPr>
        <w:pStyle w:val="4"/>
        <w:rPr>
          <w:rFonts w:ascii="仿宋" w:hAnsi="仿宋" w:eastAsia="仿宋"/>
          <w:color w:val="000000"/>
        </w:rPr>
      </w:pPr>
      <w:bookmarkStart w:id="78"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78"/>
    </w:p>
    <w:p w14:paraId="09D04FCE">
      <w:pPr>
        <w:pStyle w:val="4"/>
        <w:rPr>
          <w:rFonts w:ascii="仿宋" w:hAnsi="仿宋" w:eastAsia="仿宋"/>
          <w:color w:val="000000"/>
        </w:rPr>
      </w:pPr>
      <w:bookmarkStart w:id="79"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79"/>
    </w:p>
    <w:p w14:paraId="57DA8AD6">
      <w:pPr>
        <w:pStyle w:val="4"/>
        <w:rPr>
          <w:rFonts w:ascii="仿宋" w:hAnsi="仿宋" w:eastAsia="仿宋"/>
          <w:color w:val="000000"/>
        </w:rPr>
      </w:pPr>
      <w:bookmarkStart w:id="80"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80"/>
    </w:p>
    <w:p w14:paraId="1EEA2275">
      <w:pPr>
        <w:pStyle w:val="4"/>
        <w:rPr>
          <w:rStyle w:val="15"/>
          <w:rFonts w:hint="eastAsia" w:ascii="仿宋" w:hAnsi="仿宋" w:eastAsia="仿宋"/>
          <w:b w:val="0"/>
          <w:bCs w:val="0"/>
        </w:rPr>
      </w:pPr>
      <w:r>
        <w:rPr>
          <w:rStyle w:val="15"/>
          <w:rFonts w:hint="eastAsia" w:ascii="仿宋" w:hAnsi="仿宋" w:eastAsia="仿宋"/>
          <w:b w:val="0"/>
          <w:bCs w:val="0"/>
        </w:rPr>
        <w:t>十三、国有资本经营预算财政拨款收入支出决算表(本表无数据)</w:t>
      </w:r>
    </w:p>
    <w:p w14:paraId="53615044">
      <w:pPr>
        <w:pStyle w:val="4"/>
        <w:rPr>
          <w:rFonts w:ascii="仿宋" w:hAnsi="仿宋" w:eastAsia="仿宋"/>
          <w:color w:val="000000"/>
        </w:rPr>
      </w:pPr>
      <w:r>
        <w:rPr>
          <w:rStyle w:val="15"/>
          <w:rFonts w:hint="eastAsia" w:ascii="仿宋" w:hAnsi="仿宋" w:eastAsia="仿宋"/>
          <w:b w:val="0"/>
          <w:bCs w:val="0"/>
        </w:rPr>
        <w:t>十四、国有</w:t>
      </w:r>
      <w:r>
        <w:rPr>
          <w:rStyle w:val="20"/>
          <w:rFonts w:hint="eastAsia" w:ascii="仿宋" w:hAnsi="仿宋" w:eastAsia="仿宋"/>
          <w:b w:val="0"/>
          <w:bCs w:val="0"/>
        </w:rPr>
        <w:t>资本经营预算财政拨款支出决算表(本表无数据)</w:t>
      </w:r>
    </w:p>
    <w:p w14:paraId="140ECBFE"/>
    <w:p w14:paraId="57656335"/>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8A34">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14:paraId="244118FC">
                <w:pPr>
                  <w:pStyle w:val="6"/>
                </w:pPr>
                <w:r>
                  <w:fldChar w:fldCharType="begin"/>
                </w:r>
                <w:r>
                  <w:instrText xml:space="preserve"> PAGE  \* MERGEFORMAT </w:instrText>
                </w:r>
                <w:r>
                  <w:fldChar w:fldCharType="separate"/>
                </w:r>
                <w:r>
                  <w:t>36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1DF8A6B"/>
    <w:multiLevelType w:val="singleLevel"/>
    <w:tmpl w:val="D1DF8A6B"/>
    <w:lvl w:ilvl="0" w:tentative="0">
      <w:start w:val="5"/>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7C8B443"/>
    <w:multiLevelType w:val="singleLevel"/>
    <w:tmpl w:val="37C8B443"/>
    <w:lvl w:ilvl="0" w:tentative="0">
      <w:start w:val="1"/>
      <w:numFmt w:val="decimal"/>
      <w:suff w:val="nothing"/>
      <w:lvlText w:val="（%1）"/>
      <w:lvlJc w:val="left"/>
      <w:pPr>
        <w:ind w:left="-10"/>
      </w:pPr>
    </w:lvl>
  </w:abstractNum>
  <w:abstractNum w:abstractNumId="5">
    <w:nsid w:val="5BD79B5B"/>
    <w:multiLevelType w:val="singleLevel"/>
    <w:tmpl w:val="5BD79B5B"/>
    <w:lvl w:ilvl="0" w:tentative="0">
      <w:start w:val="1"/>
      <w:numFmt w:val="decimal"/>
      <w:lvlText w:val="%1."/>
      <w:lvlJc w:val="left"/>
      <w:pPr>
        <w:tabs>
          <w:tab w:val="left" w:pos="312"/>
        </w:tabs>
      </w:pPr>
    </w:lvl>
  </w:abstractNum>
  <w:abstractNum w:abstractNumId="6">
    <w:nsid w:val="67175E6D"/>
    <w:multiLevelType w:val="singleLevel"/>
    <w:tmpl w:val="67175E6D"/>
    <w:lvl w:ilvl="0" w:tentative="0">
      <w:start w:val="1"/>
      <w:numFmt w:val="chineseCounting"/>
      <w:suff w:val="nothing"/>
      <w:lvlText w:val="（%1）"/>
      <w:lvlJc w:val="left"/>
      <w:rPr>
        <w:rFonts w:hint="eastAsia"/>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C6D4BE7"/>
    <w:rsid w:val="00162CF5"/>
    <w:rsid w:val="00172F0A"/>
    <w:rsid w:val="003D01CE"/>
    <w:rsid w:val="00556CF0"/>
    <w:rsid w:val="006E0C0A"/>
    <w:rsid w:val="00776DD2"/>
    <w:rsid w:val="007B742F"/>
    <w:rsid w:val="008035BE"/>
    <w:rsid w:val="009A5DC2"/>
    <w:rsid w:val="009C114C"/>
    <w:rsid w:val="00CA3F82"/>
    <w:rsid w:val="00CE0E5B"/>
    <w:rsid w:val="00F8351F"/>
    <w:rsid w:val="040C02AD"/>
    <w:rsid w:val="09EE3364"/>
    <w:rsid w:val="0AE253E2"/>
    <w:rsid w:val="0CC979F2"/>
    <w:rsid w:val="117826C1"/>
    <w:rsid w:val="1417175A"/>
    <w:rsid w:val="16AF7028"/>
    <w:rsid w:val="217B6F50"/>
    <w:rsid w:val="22F46005"/>
    <w:rsid w:val="24461BEC"/>
    <w:rsid w:val="28E96544"/>
    <w:rsid w:val="2FE20806"/>
    <w:rsid w:val="33A173EF"/>
    <w:rsid w:val="38D97CA5"/>
    <w:rsid w:val="3F482F14"/>
    <w:rsid w:val="40A607EC"/>
    <w:rsid w:val="4C6D4BE7"/>
    <w:rsid w:val="4F19629D"/>
    <w:rsid w:val="57EE55AD"/>
    <w:rsid w:val="5B3F6E59"/>
    <w:rsid w:val="5B4355C1"/>
    <w:rsid w:val="5D30755A"/>
    <w:rsid w:val="5D9358A7"/>
    <w:rsid w:val="60B943C4"/>
    <w:rsid w:val="63FB66F7"/>
    <w:rsid w:val="6633127D"/>
    <w:rsid w:val="735323DF"/>
    <w:rsid w:val="747636F7"/>
    <w:rsid w:val="75F344F9"/>
    <w:rsid w:val="7741667C"/>
    <w:rsid w:val="7D716186"/>
    <w:rsid w:val="7F0C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Balloon Text"/>
    <w:basedOn w:val="1"/>
    <w:link w:val="19"/>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rPr>
  </w:style>
  <w:style w:type="character" w:customStyle="1" w:styleId="14">
    <w:name w:val="标题 1 Char"/>
    <w:basedOn w:val="11"/>
    <w:link w:val="3"/>
    <w:qFormat/>
    <w:uiPriority w:val="9"/>
    <w:rPr>
      <w:b/>
      <w:bCs/>
      <w:kern w:val="44"/>
      <w:sz w:val="44"/>
      <w:szCs w:val="44"/>
    </w:rPr>
  </w:style>
  <w:style w:type="character" w:customStyle="1" w:styleId="15">
    <w:name w:val="标题 2 Char"/>
    <w:basedOn w:val="11"/>
    <w:link w:val="4"/>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正文2"/>
    <w:basedOn w:val="1"/>
    <w:next w:val="1"/>
    <w:unhideWhenUsed/>
    <w:qFormat/>
    <w:uiPriority w:val="99"/>
    <w:rPr>
      <w:rFonts w:hint="eastAsia"/>
    </w:rPr>
  </w:style>
  <w:style w:type="character" w:customStyle="1" w:styleId="19">
    <w:name w:val="批注框文本 Char"/>
    <w:basedOn w:val="11"/>
    <w:link w:val="5"/>
    <w:qFormat/>
    <w:uiPriority w:val="0"/>
    <w:rPr>
      <w:rFonts w:ascii="Times New Roman" w:hAnsi="Times New Roman" w:eastAsia="宋体" w:cs="Times New Roman"/>
      <w:kern w:val="2"/>
      <w:sz w:val="18"/>
      <w:szCs w:val="18"/>
    </w:rPr>
  </w:style>
  <w:style w:type="character" w:customStyle="1" w:styleId="20">
    <w:name w:val="标题 2 Char1"/>
    <w:qFormat/>
    <w:locked/>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manualLayout>
          <c:xMode val="edge"/>
          <c:yMode val="edge"/>
          <c:x val="0.207700877315137"/>
          <c:y val="0.0214648533508111"/>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19439.32</c:v>
                </c:pt>
                <c:pt idx="1">
                  <c:v>18911.35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34415488"/>
        <c:axId val="134436352"/>
      </c:barChart>
      <c:catAx>
        <c:axId val="1344154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436352"/>
        <c:crosses val="autoZero"/>
        <c:auto val="1"/>
        <c:lblAlgn val="ctr"/>
        <c:lblOffset val="100"/>
        <c:noMultiLvlLbl val="0"/>
      </c:catAx>
      <c:valAx>
        <c:axId val="134436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415488"/>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789653251636262"/>
          <c:y val="0.06931017532361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d7def2-906f-48ed-b491-eecbffacd4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6125"/>
          <c:y val="0.1275"/>
          <c:w val="0.945000000000001"/>
          <c:h val="0.760333333333334"/>
        </c:manualLayout>
      </c:layout>
      <c:pie3DChart>
        <c:varyColors val="1"/>
        <c:ser>
          <c:idx val="0"/>
          <c:order val="0"/>
          <c:tx>
            <c:strRef>
              <c:f>Sheet1!$B$1</c:f>
              <c:strCache>
                <c:ptCount val="1"/>
                <c:pt idx="0">
                  <c:v>收入金额（万元）</c:v>
                </c:pt>
              </c:strCache>
            </c:strRef>
          </c:tx>
          <c:spPr>
            <a:solidFill>
              <a:srgbClr val="C92733"/>
            </a:solidFill>
            <a:ln w="25400">
              <a:noFill/>
            </a:ln>
            <a:scene3d>
              <a:camera prst="orthographicFront"/>
              <a:lightRig rig="threePt" dir="t"/>
            </a:scene3d>
            <a:sp3d contourW="25400"/>
          </c:spPr>
          <c:explosion val="19"/>
          <c:dPt>
            <c:idx val="0"/>
            <c:bubble3D val="0"/>
            <c:spPr>
              <a:solidFill>
                <a:srgbClr val="0070C0"/>
              </a:solidFill>
              <a:ln w="25400">
                <a:noFill/>
              </a:ln>
              <a:effectLst/>
              <a:scene3d>
                <a:camera prst="orthographicFront"/>
                <a:lightRig rig="threePt" dir="t"/>
              </a:scene3d>
              <a:sp3d contourW="25400"/>
            </c:spPr>
          </c:dPt>
          <c:dPt>
            <c:idx val="1"/>
            <c:bubble3D val="0"/>
            <c:spPr>
              <a:solidFill>
                <a:srgbClr val="C92733"/>
              </a:solidFill>
              <a:ln w="25400">
                <a:no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4486.8</c:v>
                </c:pt>
                <c:pt idx="1">
                  <c:v>12610.08</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99d4fbb-bc6a-46c4-97ce-63115ef4ca5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800" b="1" i="0" u="none" strike="noStrike" kern="1200" cap="all"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支出金额（万元）</c:v>
                </c:pt>
              </c:strCache>
            </c:strRef>
          </c:tx>
          <c:spPr>
            <a:ln w="19050">
              <a:noFill/>
            </a:ln>
          </c:spPr>
          <c:explosion val="0"/>
          <c:dPt>
            <c:idx val="0"/>
            <c:bubble3D val="0"/>
            <c:spPr>
              <a:solidFill>
                <a:srgbClr val="A84542">
                  <a:alpha val="90000"/>
                </a:srgbClr>
              </a:solidFill>
              <a:ln w="19050">
                <a:noFill/>
              </a:ln>
              <a:effectLst>
                <a:innerShdw blurRad="114300">
                  <a:schemeClr val="accent3">
                    <a:shade val="76667"/>
                    <a:lumMod val="75000"/>
                  </a:schemeClr>
                </a:innerShdw>
              </a:effectLst>
            </c:spPr>
          </c:dPt>
          <c:dPt>
            <c:idx val="1"/>
            <c:bubble3D val="0"/>
            <c:spPr>
              <a:solidFill>
                <a:srgbClr val="4471A5">
                  <a:alpha val="90000"/>
                </a:srgbClr>
              </a:solidFill>
              <a:ln w="19050">
                <a:noFill/>
              </a:ln>
              <a:effectLst>
                <a:innerShdw blurRad="114300">
                  <a:schemeClr val="accent3">
                    <a:tint val="76667"/>
                    <a:lumMod val="75000"/>
                  </a:schemeClr>
                </a:innerShdw>
              </a:effectLst>
            </c:spPr>
          </c:dPt>
          <c:dLbls>
            <c:dLbl>
              <c:idx val="0"/>
              <c:layout>
                <c:manualLayout>
                  <c:x val="0.04325"/>
                  <c:y val="-0.0173333333333333"/>
                </c:manualLayout>
              </c:layout>
              <c:numFmt formatCode="General" sourceLinked="1"/>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shade val="76667"/>
                        </a:schemeClr>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875"/>
                  <c:y val="-0.0846666666666669"/>
                </c:manualLayout>
              </c:layout>
              <c:numFmt formatCode="General" sourceLinked="1"/>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tint val="76667"/>
                        </a:schemeClr>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solidFill>
                    <a:effectLst/>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1357.12</c:v>
                </c:pt>
                <c:pt idx="1">
                  <c:v>14410.18</c:v>
                </c:pt>
              </c:numCache>
            </c:numRef>
          </c:val>
        </c:ser>
        <c:dLbls>
          <c:showLegendKey val="0"/>
          <c:showVal val="0"/>
          <c:showCatName val="1"/>
          <c:showSerName val="0"/>
          <c:showPercent val="0"/>
          <c:showBubbleSize val="0"/>
        </c:dLbls>
      </c:pie3DChart>
      <c:spPr>
        <a:noFill/>
        <a:ln>
          <a:noFill/>
        </a:ln>
        <a:effectLst/>
      </c:spPr>
    </c:plotArea>
    <c:plotVisOnly val="1"/>
    <c:dispBlanksAs val="zero"/>
    <c:showDLblsOverMax val="0"/>
    <c:extLst>
      <c:ext uri="{0b15fc19-7d7d-44ad-8c2d-2c3a37ce22c3}">
        <chartProps xmlns="https://web.wps.cn/et/2018/main" chartId="{88c90a55-a18b-47fb-9af7-bab8f9c2547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19439.32</c:v>
                </c:pt>
                <c:pt idx="1">
                  <c:v>18911.35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30"/>
        <c:overlap val="100"/>
        <c:axId val="137233152"/>
        <c:axId val="138011008"/>
      </c:barChart>
      <c:catAx>
        <c:axId val="1372331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011008"/>
        <c:crosses val="autoZero"/>
        <c:auto val="1"/>
        <c:lblAlgn val="ctr"/>
        <c:lblOffset val="100"/>
        <c:noMultiLvlLbl val="0"/>
      </c:catAx>
      <c:valAx>
        <c:axId val="138011008"/>
        <c:scaling>
          <c:orientation val="minMax"/>
          <c:max val="20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33152"/>
        <c:crosses val="autoZero"/>
        <c:crossBetween val="between"/>
        <c:majorUnit val="1500"/>
      </c:valAx>
      <c:spPr>
        <a:noFill/>
        <a:ln>
          <a:noFill/>
        </a:ln>
        <a:effectLst/>
      </c:spPr>
    </c:plotArea>
    <c:plotVisOnly val="1"/>
    <c:dispBlanksAs val="gap"/>
    <c:showDLblsOverMax val="0"/>
    <c:extLst>
      <c:ext uri="{0b15fc19-7d7d-44ad-8c2d-2c3a37ce22c3}">
        <chartProps xmlns="https://web.wps.cn/et/2018/main" chartId="{8533d790-f29d-4d27-b41a-217f80f6ca1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3346.87</c:v>
                </c:pt>
                <c:pt idx="1">
                  <c:v>3152.22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40442240"/>
        <c:axId val="143004032"/>
      </c:barChart>
      <c:catAx>
        <c:axId val="1404422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004032"/>
        <c:crosses val="autoZero"/>
        <c:auto val="1"/>
        <c:lblAlgn val="ctr"/>
        <c:lblOffset val="100"/>
        <c:noMultiLvlLbl val="0"/>
      </c:catAx>
      <c:valAx>
        <c:axId val="143004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442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0975ab-f4fc-4b47-910b-64944aad80f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：一般公共预算财政拨款支出决算</a:t>
            </a:r>
            <a:endParaRPr altLang="en-US"/>
          </a:p>
        </c:rich>
      </c:tx>
      <c:layout>
        <c:manualLayout>
          <c:xMode val="edge"/>
          <c:yMode val="edge"/>
          <c:x val="0.2605"/>
          <c:y val="0.0425"/>
        </c:manualLayout>
      </c:layout>
      <c:overlay val="0"/>
      <c:spPr>
        <a:noFill/>
        <a:ln>
          <a:noFill/>
        </a:ln>
        <a:effectLst/>
      </c:spPr>
    </c:title>
    <c:autoTitleDeleted val="0"/>
    <c:view3D>
      <c:rotX val="30"/>
      <c:rotY val="17"/>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9"/>
          <c:y val="0.11359649122807"/>
          <c:w val="0.945000000000001"/>
          <c:h val="0.709356725146199"/>
        </c:manualLayout>
      </c:layout>
      <c:pie3DChart>
        <c:varyColors val="1"/>
        <c:ser>
          <c:idx val="0"/>
          <c:order val="0"/>
          <c:tx>
            <c:strRef>
              <c:f>Sheet1!$B$1</c:f>
              <c:strCache>
                <c:ptCount val="1"/>
                <c:pt idx="0">
                  <c:v>一般公共预算财政拨款支出（万元）</c:v>
                </c:pt>
              </c:strCache>
            </c:strRef>
          </c:tx>
          <c:spPr>
            <a:ln w="25400">
              <a:noFill/>
            </a:ln>
            <a:scene3d>
              <a:camera prst="orthographicFront"/>
              <a:lightRig rig="threePt" dir="t"/>
            </a:scene3d>
            <a:sp3d contourW="25400"/>
          </c:spPr>
          <c:explosion val="0"/>
          <c:dPt>
            <c:idx val="0"/>
            <c:bubble3D val="0"/>
            <c:spPr>
              <a:solidFill>
                <a:schemeClr val="accent1"/>
              </a:solidFill>
              <a:ln w="25400">
                <a:noFill/>
              </a:ln>
              <a:effectLst/>
              <a:scene3d>
                <a:camera prst="orthographicFront"/>
                <a:lightRig rig="threePt" dir="t"/>
              </a:scene3d>
              <a:sp3d contourW="25400"/>
            </c:spPr>
          </c:dPt>
          <c:dPt>
            <c:idx val="1"/>
            <c:bubble3D val="0"/>
            <c:spPr>
              <a:solidFill>
                <a:schemeClr val="accent2"/>
              </a:solidFill>
              <a:ln w="25400">
                <a:noFill/>
              </a:ln>
              <a:effectLst/>
              <a:scene3d>
                <a:camera prst="orthographicFront"/>
                <a:lightRig rig="threePt" dir="t"/>
              </a:scene3d>
              <a:sp3d contourW="25400"/>
            </c:spPr>
          </c:dPt>
          <c:dPt>
            <c:idx val="2"/>
            <c:bubble3D val="0"/>
            <c:spPr>
              <a:solidFill>
                <a:schemeClr val="accent3"/>
              </a:solidFill>
              <a:ln w="25400">
                <a:noFill/>
              </a:ln>
              <a:effectLst/>
              <a:scene3d>
                <a:camera prst="orthographicFront"/>
                <a:lightRig rig="threePt" dir="t"/>
              </a:scene3d>
              <a:sp3d contourW="25400"/>
            </c:spPr>
          </c:dPt>
          <c:dPt>
            <c:idx val="3"/>
            <c:bubble3D val="0"/>
            <c:spPr>
              <a:solidFill>
                <a:schemeClr val="accent4"/>
              </a:solidFill>
              <a:ln w="25400">
                <a:noFill/>
              </a:ln>
              <a:effectLst/>
              <a:scene3d>
                <a:camera prst="orthographicFront"/>
                <a:lightRig rig="threePt" dir="t"/>
              </a:scene3d>
              <a:sp3d contourW="25400"/>
            </c:spPr>
          </c:dPt>
          <c:dPt>
            <c:idx val="4"/>
            <c:bubble3D val="0"/>
            <c:spPr>
              <a:solidFill>
                <a:schemeClr val="accent5"/>
              </a:solidFill>
              <a:ln w="25400">
                <a:noFill/>
              </a:ln>
              <a:effectLst/>
              <a:scene3d>
                <a:camera prst="orthographicFront"/>
                <a:lightRig rig="threePt" dir="t"/>
              </a:scene3d>
              <a:sp3d contourW="25400"/>
            </c:spPr>
          </c:dPt>
          <c:dPt>
            <c:idx val="5"/>
            <c:bubble3D val="0"/>
            <c:spPr>
              <a:solidFill>
                <a:schemeClr val="accent6"/>
              </a:solidFill>
              <a:ln w="25400">
                <a:noFill/>
              </a:ln>
              <a:effectLst/>
              <a:scene3d>
                <a:camera prst="orthographicFront"/>
                <a:lightRig rig="threePt" dir="t"/>
              </a:scene3d>
              <a:sp3d contourW="25400"/>
            </c:spPr>
          </c:dPt>
          <c:dPt>
            <c:idx val="6"/>
            <c:bubble3D val="0"/>
            <c:spPr>
              <a:solidFill>
                <a:schemeClr val="accent1">
                  <a:lumMod val="60000"/>
                </a:schemeClr>
              </a:solidFill>
              <a:ln w="25400">
                <a:noFill/>
              </a:ln>
              <a:effectLst/>
              <a:scene3d>
                <a:camera prst="orthographicFront"/>
                <a:lightRig rig="threePt" dir="t"/>
              </a:scene3d>
              <a:sp3d contourW="25400"/>
            </c:spPr>
          </c:dPt>
          <c:dLbls>
            <c:dLbl>
              <c:idx val="0"/>
              <c:layout>
                <c:manualLayout>
                  <c:x val="-0.05925"/>
                  <c:y val="-0.04546783625730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0675"/>
                  <c:y val="-0.028508771929824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187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05002384901663"/>
                  <c:y val="-0.04128785336811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02953632555698"/>
                  <c:y val="-0.1624275787724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3325"/>
                  <c:y val="-0.008333333333333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69"/>
                  <c:y val="-0.02192982456140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Sheet1!$A$2:$A$8</c:f>
              <c:strCache>
                <c:ptCount val="7"/>
                <c:pt idx="0">
                  <c:v>社会保障和就业</c:v>
                </c:pt>
                <c:pt idx="1">
                  <c:v>卫生健康</c:v>
                </c:pt>
                <c:pt idx="2">
                  <c:v>节能环保</c:v>
                </c:pt>
                <c:pt idx="3">
                  <c:v>农林水</c:v>
                </c:pt>
                <c:pt idx="4">
                  <c:v>自然资源海洋气象</c:v>
                </c:pt>
                <c:pt idx="5">
                  <c:v>住房保障</c:v>
                </c:pt>
                <c:pt idx="6">
                  <c:v>灾害防治及应急管理</c:v>
                </c:pt>
              </c:strCache>
            </c:strRef>
          </c:cat>
          <c:val>
            <c:numRef>
              <c:f>Sheet1!$B$2:$B$8</c:f>
              <c:numCache>
                <c:formatCode>General</c:formatCode>
                <c:ptCount val="7"/>
                <c:pt idx="0">
                  <c:v>120.66</c:v>
                </c:pt>
                <c:pt idx="1">
                  <c:v>29.22</c:v>
                </c:pt>
                <c:pt idx="2">
                  <c:v>359.2</c:v>
                </c:pt>
                <c:pt idx="3">
                  <c:v>467.57</c:v>
                </c:pt>
                <c:pt idx="4">
                  <c:v>1340.17</c:v>
                </c:pt>
                <c:pt idx="5">
                  <c:v>102.75</c:v>
                </c:pt>
                <c:pt idx="6">
                  <c:v>732.65</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c39cb48-3e53-44ab-8a4c-e09d83c183b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olidFill>
              <a:srgbClr val="0070C0"/>
            </a:solidFill>
            <a:ln w="25400">
              <a:noFill/>
            </a:ln>
          </c:spPr>
          <c:explosion val="23"/>
          <c:dPt>
            <c:idx val="0"/>
            <c:bubble3D val="0"/>
            <c:spPr>
              <a:solidFill>
                <a:srgbClr val="4471A5"/>
              </a:solidFill>
              <a:ln w="25400">
                <a:noFill/>
              </a:ln>
              <a:effectLst/>
            </c:spPr>
          </c:dPt>
          <c:dPt>
            <c:idx val="1"/>
            <c:bubble3D val="0"/>
            <c:spPr>
              <a:solidFill>
                <a:srgbClr val="A84542"/>
              </a:solidFill>
              <a:ln w="25400">
                <a:noFill/>
              </a:ln>
              <a:effectLst/>
            </c:spPr>
          </c:dPt>
          <c:dLbls>
            <c:dLbl>
              <c:idx val="0"/>
              <c:layout>
                <c:manualLayout>
                  <c:x val="0.222125"/>
                  <c:y val="-0.0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9625"/>
                      <c:h val="0.118"/>
                    </c:manualLayout>
                  </c15:layout>
                </c:ext>
              </c:extLst>
            </c:dLbl>
            <c:dLbl>
              <c:idx val="1"/>
              <c:layout>
                <c:manualLayout>
                  <c:x val="-0.0907500000000001"/>
                  <c:y val="-0.04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chemeClr val="tx1"/>
                      </a:solidFill>
                      <a:prstDash val="solid"/>
                      <a:round/>
                    </a:ln>
                    <a:effectLst/>
                  </c:spPr>
                </c15:leaderLines>
              </c:ext>
            </c:extLst>
          </c:dLbls>
          <c:cat>
            <c:strRef>
              <c:f>Sheet1!$A$3:$A$4</c:f>
              <c:strCache>
                <c:ptCount val="2"/>
                <c:pt idx="0">
                  <c:v>公务用车购置及运行维护费支出</c:v>
                </c:pt>
                <c:pt idx="1">
                  <c:v>公务接待费支出</c:v>
                </c:pt>
              </c:strCache>
            </c:strRef>
          </c:cat>
          <c:val>
            <c:numRef>
              <c:f>Sheet1!$B$3:$B$4</c:f>
              <c:numCache>
                <c:formatCode>General</c:formatCode>
                <c:ptCount val="2"/>
                <c:pt idx="0">
                  <c:v>55.49</c:v>
                </c:pt>
                <c:pt idx="1">
                  <c:v>1.03</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438e4061-a68f-4505-933e-a4714da426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5945</Words>
  <Characters>6438</Characters>
  <Lines>142</Lines>
  <Paragraphs>40</Paragraphs>
  <TotalTime>1</TotalTime>
  <ScaleCrop>false</ScaleCrop>
  <LinksUpToDate>false</LinksUpToDate>
  <CharactersWithSpaces>6483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2020-10-30T06:40:00Z</dcterms:created>
  <dc:creator>Administrator</dc:creator>
  <cp:lastModifiedBy>Administrator</cp:lastModifiedBy>
  <cp:lastPrinted>2021-10-25T01:19:00Z</cp:lastPrinted>
  <dcterms:modified xsi:type="dcterms:W3CDTF">2025-03-16T04:17:15Z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eyJoZGlkIjoiMDMxNDVkYjQ5ODgzNTI4NjIwNGQ3NzAzOGI0MTM2Y2UifQ==</vt:lpwstr>
  </property>
  <property fmtid="{D5CDD505-2E9C-101B-9397-08002B2CF9AE}" pid="4" name="ICV">
    <vt:lpwstr>A94835CD479D42C3B2BDD8DC3360360D_12</vt:lpwstr>
  </property>
</Properties>
</file>