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仿宋" w:hAnsi="仿宋" w:eastAsia="仿宋"/>
          <w:color w:val="000000"/>
          <w:sz w:val="72"/>
          <w:szCs w:val="72"/>
        </w:rPr>
      </w:pPr>
    </w:p>
    <w:p>
      <w:pPr>
        <w:spacing w:line="600" w:lineRule="exact"/>
        <w:jc w:val="center"/>
        <w:outlineLvl w:val="0"/>
        <w:rPr>
          <w:rFonts w:ascii="仿宋" w:hAnsi="仿宋" w:eastAsia="仿宋"/>
          <w:color w:val="000000"/>
          <w:sz w:val="72"/>
          <w:szCs w:val="72"/>
        </w:rPr>
      </w:pPr>
    </w:p>
    <w:p>
      <w:pPr>
        <w:spacing w:line="600" w:lineRule="exact"/>
        <w:jc w:val="center"/>
        <w:outlineLvl w:val="0"/>
        <w:rPr>
          <w:rFonts w:ascii="仿宋" w:hAnsi="仿宋" w:eastAsia="仿宋"/>
          <w:color w:val="000000"/>
          <w:sz w:val="72"/>
          <w:szCs w:val="72"/>
        </w:rPr>
      </w:pPr>
    </w:p>
    <w:p>
      <w:pPr>
        <w:spacing w:line="600" w:lineRule="exact"/>
        <w:jc w:val="center"/>
        <w:outlineLvl w:val="0"/>
        <w:rPr>
          <w:rFonts w:ascii="仿宋" w:hAnsi="仿宋" w:eastAsia="仿宋"/>
          <w:color w:val="000000"/>
          <w:sz w:val="72"/>
          <w:szCs w:val="72"/>
        </w:rPr>
      </w:pPr>
    </w:p>
    <w:p>
      <w:pPr>
        <w:adjustRightInd w:val="0"/>
        <w:snapToGrid w:val="0"/>
        <w:spacing w:line="360" w:lineRule="auto"/>
        <w:jc w:val="center"/>
        <w:outlineLvl w:val="0"/>
        <w:rPr>
          <w:rFonts w:ascii="仿宋" w:hAnsi="仿宋" w:eastAsia="仿宋"/>
          <w:color w:val="000000"/>
          <w:sz w:val="72"/>
          <w:szCs w:val="72"/>
        </w:rPr>
      </w:pPr>
      <w:bookmarkStart w:id="0" w:name="_Toc15377425"/>
      <w:bookmarkStart w:id="1" w:name="_Toc15396475"/>
      <w:bookmarkStart w:id="2" w:name="_Toc15377193"/>
      <w:bookmarkStart w:id="3" w:name="_Toc15378441"/>
      <w:bookmarkStart w:id="4" w:name="_Toc15396597"/>
      <w:r>
        <w:rPr>
          <w:rFonts w:hint="eastAsia" w:ascii="仿宋" w:hAnsi="仿宋" w:eastAsia="仿宋"/>
          <w:color w:val="000000"/>
          <w:sz w:val="72"/>
          <w:szCs w:val="72"/>
        </w:rPr>
        <w:t>关于编制</w:t>
      </w:r>
      <w:r>
        <w:rPr>
          <w:rFonts w:ascii="仿宋" w:hAnsi="仿宋" w:eastAsia="仿宋"/>
          <w:color w:val="000000"/>
          <w:sz w:val="72"/>
          <w:szCs w:val="72"/>
        </w:rPr>
        <w:t>20</w:t>
      </w:r>
      <w:r>
        <w:rPr>
          <w:rFonts w:hint="eastAsia" w:ascii="仿宋" w:hAnsi="仿宋" w:eastAsia="仿宋"/>
          <w:color w:val="000000"/>
          <w:sz w:val="72"/>
          <w:szCs w:val="72"/>
        </w:rPr>
        <w:t>20年度</w:t>
      </w:r>
      <w:bookmarkEnd w:id="0"/>
      <w:bookmarkEnd w:id="1"/>
      <w:bookmarkEnd w:id="2"/>
      <w:bookmarkEnd w:id="3"/>
      <w:bookmarkEnd w:id="4"/>
      <w:r>
        <w:rPr>
          <w:rFonts w:hint="eastAsia" w:ascii="仿宋" w:hAnsi="仿宋" w:eastAsia="仿宋"/>
          <w:color w:val="000000"/>
          <w:sz w:val="72"/>
          <w:szCs w:val="72"/>
        </w:rPr>
        <w:t>四川省</w:t>
      </w:r>
    </w:p>
    <w:p>
      <w:pPr>
        <w:adjustRightInd w:val="0"/>
        <w:snapToGrid w:val="0"/>
        <w:spacing w:line="360" w:lineRule="auto"/>
        <w:jc w:val="center"/>
        <w:outlineLvl w:val="0"/>
        <w:rPr>
          <w:rFonts w:ascii="仿宋" w:hAnsi="仿宋" w:eastAsia="仿宋"/>
          <w:color w:val="000000"/>
          <w:sz w:val="48"/>
          <w:szCs w:val="48"/>
        </w:rPr>
        <w:sectPr>
          <w:pgSz w:w="11906" w:h="16838"/>
          <w:pgMar w:top="1440" w:right="1800" w:bottom="1440" w:left="1800" w:header="851" w:footer="992" w:gutter="0"/>
          <w:pgNumType w:start="0"/>
          <w:cols w:space="425" w:num="1"/>
          <w:docGrid w:type="lines" w:linePitch="312" w:charSpace="0"/>
        </w:sectPr>
      </w:pPr>
      <w:bookmarkStart w:id="5" w:name="_Toc15396598"/>
      <w:bookmarkStart w:id="6" w:name="_Toc15396476"/>
      <w:bookmarkStart w:id="7" w:name="_Toc15306268"/>
      <w:bookmarkStart w:id="8" w:name="_Toc15377194"/>
      <w:bookmarkStart w:id="9" w:name="_Toc15378442"/>
      <w:bookmarkStart w:id="10" w:name="_Toc15377426"/>
      <w:r>
        <w:rPr>
          <w:rFonts w:hint="eastAsia" w:ascii="仿宋" w:hAnsi="仿宋" w:eastAsia="仿宋"/>
          <w:color w:val="000000"/>
          <w:sz w:val="72"/>
          <w:szCs w:val="72"/>
        </w:rPr>
        <w:t>乐山市峨眉山市土地储备整理中心部门</w:t>
      </w:r>
      <w:bookmarkEnd w:id="5"/>
      <w:bookmarkEnd w:id="6"/>
      <w:bookmarkEnd w:id="7"/>
      <w:bookmarkEnd w:id="8"/>
      <w:bookmarkEnd w:id="9"/>
      <w:bookmarkEnd w:id="10"/>
      <w:r>
        <w:rPr>
          <w:rFonts w:hint="eastAsia" w:ascii="仿宋" w:hAnsi="仿宋" w:eastAsia="仿宋"/>
          <w:color w:val="000000"/>
          <w:sz w:val="72"/>
          <w:szCs w:val="72"/>
        </w:rPr>
        <w:t>决算的说明</w:t>
      </w:r>
    </w:p>
    <w:p>
      <w:pPr>
        <w:widowControl/>
        <w:jc w:val="center"/>
        <w:rPr>
          <w:rFonts w:ascii="仿宋" w:hAnsi="仿宋" w:eastAsia="仿宋"/>
          <w:color w:val="000000"/>
          <w:sz w:val="48"/>
          <w:szCs w:val="48"/>
        </w:rPr>
      </w:pPr>
      <w:r>
        <w:rPr>
          <w:rFonts w:hint="eastAsia" w:ascii="仿宋" w:hAnsi="仿宋" w:eastAsia="仿宋"/>
          <w:color w:val="000000"/>
          <w:sz w:val="48"/>
          <w:szCs w:val="48"/>
        </w:rPr>
        <w:t>目 录</w:t>
      </w:r>
    </w:p>
    <w:p>
      <w:pPr>
        <w:pStyle w:val="8"/>
      </w:pPr>
      <w:r>
        <w:rPr>
          <w:rFonts w:hint="eastAsia"/>
        </w:rPr>
        <w:t>公开时间：2021年10月2</w:t>
      </w:r>
      <w:r>
        <w:rPr>
          <w:rFonts w:hint="eastAsia"/>
          <w:lang w:val="en-US" w:eastAsia="zh-CN"/>
        </w:rPr>
        <w:t>6</w:t>
      </w:r>
      <w:r>
        <w:rPr>
          <w:rFonts w:hint="eastAsia"/>
        </w:rPr>
        <w:t>日</w:t>
      </w:r>
    </w:p>
    <w:p>
      <w:pPr>
        <w:widowControl/>
        <w:jc w:val="center"/>
        <w:rPr>
          <w:rFonts w:ascii="仿宋" w:hAnsi="仿宋" w:eastAsia="仿宋"/>
          <w:color w:val="000000"/>
          <w:sz w:val="48"/>
          <w:szCs w:val="48"/>
        </w:rPr>
      </w:pPr>
    </w:p>
    <w:p>
      <w:pPr>
        <w:rPr>
          <w:rFonts w:ascii="仿宋" w:hAnsi="仿宋" w:eastAsia="仿宋"/>
        </w:rPr>
      </w:pPr>
    </w:p>
    <w:p>
      <w:pPr>
        <w:pStyle w:val="8"/>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pPr>
        <w:pStyle w:val="9"/>
        <w:adjustRightInd w:val="0"/>
        <w:snapToGrid w:val="0"/>
        <w:spacing w:line="440" w:lineRule="exact"/>
        <w:jc w:val="left"/>
        <w:rPr>
          <w:rFonts w:ascii="仿宋" w:hAnsi="仿宋" w:eastAsia="仿宋"/>
          <w:sz w:val="24"/>
        </w:rPr>
      </w:pPr>
      <w:r>
        <w:rPr>
          <w:rFonts w:hint="eastAsia" w:ascii="仿宋" w:hAnsi="仿宋" w:eastAsia="仿宋"/>
          <w:sz w:val="24"/>
        </w:rPr>
        <w:t>一、基本职能及主要工作</w:t>
      </w:r>
    </w:p>
    <w:p>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二、机构设置</w:t>
      </w:r>
    </w:p>
    <w:p>
      <w:pPr>
        <w:pStyle w:val="8"/>
        <w:adjustRightInd w:val="0"/>
        <w:snapToGrid w:val="0"/>
        <w:spacing w:before="0" w:line="440" w:lineRule="exact"/>
        <w:jc w:val="left"/>
        <w:rPr>
          <w:sz w:val="24"/>
          <w:szCs w:val="24"/>
        </w:rPr>
      </w:pPr>
      <w:r>
        <w:rPr>
          <w:rFonts w:hint="eastAsia"/>
          <w:sz w:val="24"/>
        </w:rPr>
        <w:t>第二部分度部门决算情况说明</w:t>
      </w:r>
    </w:p>
    <w:p>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一、收入支出决算总体情况说明</w:t>
      </w:r>
    </w:p>
    <w:p>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二、收入决算情况说明</w:t>
      </w:r>
    </w:p>
    <w:p>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三、支出决算情况说明</w:t>
      </w:r>
    </w:p>
    <w:p>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四、财政拨款收入支出决算总体情况说明</w:t>
      </w:r>
    </w:p>
    <w:p>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五、一般公共预算财政拨款支出决算情况说明</w:t>
      </w:r>
    </w:p>
    <w:p>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六、一般公共预算财政拨款基本支出决算情况说明</w:t>
      </w:r>
    </w:p>
    <w:p>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ascii="仿宋" w:hAnsi="仿宋" w:eastAsia="仿宋"/>
          <w:sz w:val="24"/>
        </w:rPr>
        <w:t>“</w:t>
      </w:r>
      <w:r>
        <w:rPr>
          <w:rFonts w:hint="eastAsia" w:ascii="仿宋" w:hAnsi="仿宋" w:eastAsia="仿宋"/>
          <w:sz w:val="24"/>
        </w:rPr>
        <w:t>三公”经费财政拨款支出决算情况说明</w:t>
      </w:r>
    </w:p>
    <w:p>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八、政府性基金预算支出决算情况说明</w:t>
      </w:r>
    </w:p>
    <w:p>
      <w:pPr>
        <w:pStyle w:val="9"/>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rFonts w:ascii="仿宋" w:hAnsi="仿宋" w:eastAsia="仿宋"/>
          <w:sz w:val="24"/>
        </w:rPr>
        <w:t xml:space="preserve"> 国</w:t>
      </w:r>
      <w:r>
        <w:rPr>
          <w:rFonts w:hint="eastAsia" w:ascii="仿宋" w:hAnsi="仿宋" w:eastAsia="仿宋"/>
          <w:sz w:val="24"/>
        </w:rPr>
        <w:t>有资本经营预算支出决算情况说明</w:t>
      </w:r>
    </w:p>
    <w:p>
      <w:pPr>
        <w:adjustRightInd w:val="0"/>
        <w:snapToGrid w:val="0"/>
        <w:spacing w:line="440" w:lineRule="exact"/>
        <w:ind w:firstLine="480" w:firstLineChars="200"/>
        <w:jc w:val="left"/>
        <w:rPr>
          <w:rFonts w:ascii="仿宋" w:hAnsi="仿宋" w:eastAsia="仿宋" w:cstheme="minorBidi"/>
          <w:sz w:val="24"/>
        </w:rPr>
      </w:pPr>
      <w:r>
        <w:rPr>
          <w:rStyle w:val="13"/>
          <w:rFonts w:hint="eastAsia" w:ascii="仿宋" w:hAnsi="仿宋" w:eastAsia="仿宋"/>
          <w:color w:val="000000" w:themeColor="text1"/>
          <w:sz w:val="24"/>
          <w:u w:val="none"/>
        </w:rPr>
        <w:t>十、</w:t>
      </w:r>
      <w:r>
        <w:rPr>
          <w:rFonts w:hint="eastAsia" w:ascii="仿宋" w:hAnsi="仿宋" w:eastAsia="仿宋"/>
          <w:sz w:val="24"/>
        </w:rPr>
        <w:t>其他重要事项的情况说明</w:t>
      </w:r>
      <w:r>
        <w:rPr>
          <w:rFonts w:ascii="仿宋" w:hAnsi="仿宋" w:eastAsia="仿宋"/>
          <w:sz w:val="24"/>
        </w:rPr>
        <w:tab/>
      </w:r>
    </w:p>
    <w:p>
      <w:pPr>
        <w:pStyle w:val="8"/>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8"/>
        <w:adjustRightInd w:val="0"/>
        <w:snapToGrid w:val="0"/>
        <w:spacing w:before="0" w:line="440" w:lineRule="exact"/>
        <w:jc w:val="left"/>
        <w:rPr>
          <w:rFonts w:cstheme="minorBidi"/>
          <w:sz w:val="24"/>
          <w:szCs w:val="24"/>
        </w:rPr>
      </w:pPr>
      <w:r>
        <w:rPr>
          <w:rFonts w:hint="eastAsia"/>
          <w:sz w:val="24"/>
        </w:rPr>
        <w:t>第四部分  附表</w:t>
      </w:r>
    </w:p>
    <w:p>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一、收入支出决算总表</w:t>
      </w:r>
    </w:p>
    <w:p>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二、收入决算表</w:t>
      </w:r>
    </w:p>
    <w:p>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三、支出决算表</w:t>
      </w:r>
    </w:p>
    <w:p>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四、财政拨款收入支出决算总表</w:t>
      </w:r>
    </w:p>
    <w:p>
      <w:pPr>
        <w:pStyle w:val="9"/>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六、一般公共预算财政拨款支出决算表</w:t>
      </w:r>
    </w:p>
    <w:p>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七、一般公共预算财政拨款支出决算明细表</w:t>
      </w:r>
    </w:p>
    <w:p>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八、一般公共预算财政拨款基本支出决算表</w:t>
      </w:r>
    </w:p>
    <w:p>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九、一般公共预算财政拨款项目支出决算表</w:t>
      </w:r>
    </w:p>
    <w:p>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十、一般公共预算财政拨款“三公”经费支出决算表</w:t>
      </w:r>
    </w:p>
    <w:p>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十一、政府性基金预算财政拨款收入支出决算表</w:t>
      </w:r>
    </w:p>
    <w:p>
      <w:pPr>
        <w:pStyle w:val="9"/>
        <w:adjustRightInd w:val="0"/>
        <w:snapToGrid w:val="0"/>
        <w:spacing w:line="440" w:lineRule="exact"/>
        <w:jc w:val="left"/>
        <w:rPr>
          <w:rFonts w:ascii="仿宋" w:hAnsi="仿宋" w:eastAsia="仿宋" w:cstheme="minorBidi"/>
          <w:sz w:val="24"/>
        </w:rPr>
      </w:pPr>
      <w:r>
        <w:rPr>
          <w:rFonts w:hint="eastAsia" w:ascii="仿宋" w:hAnsi="仿宋" w:eastAsia="仿宋"/>
          <w:sz w:val="24"/>
        </w:rPr>
        <w:t>十二、政府性基金预算财政拨款“三公”经费支出决算表</w:t>
      </w:r>
    </w:p>
    <w:p>
      <w:pPr>
        <w:pStyle w:val="9"/>
        <w:adjustRightInd w:val="0"/>
        <w:snapToGrid w:val="0"/>
        <w:spacing w:line="440" w:lineRule="exact"/>
        <w:jc w:val="left"/>
        <w:rPr>
          <w:rFonts w:hint="eastAsia" w:ascii="仿宋" w:hAnsi="仿宋" w:eastAsia="仿宋"/>
          <w:sz w:val="24"/>
        </w:rPr>
      </w:pPr>
      <w:bookmarkStart w:id="11" w:name="_Toc15396599"/>
      <w:bookmarkStart w:id="12" w:name="_Toc15377196"/>
      <w:r>
        <w:rPr>
          <w:rFonts w:hint="eastAsia" w:ascii="仿宋" w:hAnsi="仿宋" w:eastAsia="仿宋"/>
          <w:sz w:val="24"/>
        </w:rPr>
        <w:t>十三、国有资本经营预算财政拨款收入支出决算表</w:t>
      </w:r>
    </w:p>
    <w:p>
      <w:pPr>
        <w:pStyle w:val="9"/>
        <w:adjustRightInd w:val="0"/>
        <w:snapToGrid w:val="0"/>
        <w:spacing w:line="440" w:lineRule="exact"/>
        <w:jc w:val="left"/>
        <w:rPr>
          <w:rFonts w:ascii="仿宋" w:hAnsi="仿宋" w:eastAsia="仿宋"/>
          <w:color w:val="000000"/>
          <w:sz w:val="24"/>
          <w:szCs w:val="24"/>
        </w:rPr>
      </w:pPr>
      <w:r>
        <w:rPr>
          <w:rFonts w:hint="eastAsia" w:ascii="仿宋" w:hAnsi="仿宋" w:eastAsia="仿宋"/>
          <w:sz w:val="24"/>
        </w:rPr>
        <w:t>十四、国有</w:t>
      </w:r>
      <w:r>
        <w:rPr>
          <w:rStyle w:val="18"/>
          <w:rFonts w:hint="eastAsia" w:ascii="仿宋" w:hAnsi="仿宋" w:eastAsia="仿宋"/>
          <w:b w:val="0"/>
          <w:bCs w:val="0"/>
          <w:sz w:val="24"/>
          <w:szCs w:val="24"/>
        </w:rPr>
        <w:t>资本经营预算财政拨款支出决算表</w:t>
      </w:r>
    </w:p>
    <w:p>
      <w:pPr>
        <w:widowControl/>
        <w:spacing w:line="440" w:lineRule="exact"/>
        <w:jc w:val="left"/>
        <w:rPr>
          <w:rFonts w:ascii="仿宋" w:hAnsi="仿宋" w:eastAsia="仿宋"/>
          <w:bCs/>
          <w:kern w:val="44"/>
          <w:sz w:val="24"/>
        </w:rPr>
      </w:pPr>
      <w:r>
        <w:rPr>
          <w:rFonts w:ascii="仿宋" w:hAnsi="仿宋" w:eastAsia="仿宋"/>
          <w:b/>
          <w:sz w:val="24"/>
        </w:rPr>
        <w:br w:type="page"/>
      </w:r>
    </w:p>
    <w:p>
      <w:pPr>
        <w:pStyle w:val="3"/>
        <w:jc w:val="center"/>
        <w:rPr>
          <w:rStyle w:val="14"/>
          <w:rFonts w:ascii="仿宋" w:hAnsi="仿宋" w:eastAsia="仿宋"/>
          <w:b/>
          <w:bCs w:val="0"/>
        </w:rPr>
      </w:pPr>
      <w:r>
        <w:rPr>
          <w:rFonts w:hint="eastAsia" w:ascii="仿宋" w:hAnsi="仿宋" w:eastAsia="仿宋"/>
          <w:b w:val="0"/>
        </w:rPr>
        <w:t xml:space="preserve">第一部分 </w:t>
      </w:r>
      <w:r>
        <w:rPr>
          <w:rStyle w:val="14"/>
          <w:rFonts w:hint="eastAsia" w:ascii="仿宋" w:hAnsi="仿宋" w:eastAsia="仿宋"/>
          <w:b w:val="0"/>
          <w:bCs w:val="0"/>
        </w:rPr>
        <w:t>部门概况</w:t>
      </w:r>
      <w:bookmarkEnd w:id="11"/>
      <w:bookmarkEnd w:id="12"/>
    </w:p>
    <w:p>
      <w:pPr>
        <w:widowControl/>
        <w:jc w:val="left"/>
        <w:rPr>
          <w:rFonts w:ascii="仿宋" w:hAnsi="仿宋" w:eastAsia="仿宋"/>
          <w:color w:val="000000"/>
          <w:sz w:val="32"/>
          <w:szCs w:val="32"/>
        </w:rPr>
      </w:pPr>
    </w:p>
    <w:p>
      <w:pPr>
        <w:pStyle w:val="4"/>
        <w:rPr>
          <w:rStyle w:val="15"/>
          <w:rFonts w:ascii="仿宋" w:hAnsi="仿宋" w:eastAsia="仿宋"/>
          <w:b w:val="0"/>
          <w:bCs w:val="0"/>
        </w:rPr>
      </w:pPr>
      <w:bookmarkStart w:id="13" w:name="_Toc15396600"/>
      <w:bookmarkStart w:id="14" w:name="_Toc15377197"/>
      <w:r>
        <w:rPr>
          <w:rFonts w:hint="eastAsia" w:ascii="仿宋" w:hAnsi="仿宋" w:eastAsia="仿宋"/>
          <w:b w:val="0"/>
          <w:color w:val="000000"/>
        </w:rPr>
        <w:t>一、基</w:t>
      </w:r>
      <w:r>
        <w:rPr>
          <w:rStyle w:val="15"/>
          <w:rFonts w:hint="eastAsia" w:ascii="仿宋" w:hAnsi="仿宋" w:eastAsia="仿宋"/>
          <w:b w:val="0"/>
          <w:bCs w:val="0"/>
        </w:rPr>
        <w:t>本职能及主要工作</w:t>
      </w:r>
      <w:bookmarkEnd w:id="13"/>
      <w:bookmarkEnd w:id="14"/>
    </w:p>
    <w:p>
      <w:pPr>
        <w:pStyle w:val="2"/>
        <w:adjustRightInd w:val="0"/>
        <w:snapToGrid w:val="0"/>
        <w:spacing w:before="93" w:line="600" w:lineRule="exact"/>
        <w:ind w:firstLine="672" w:firstLineChars="210"/>
        <w:outlineLvl w:val="2"/>
        <w:rPr>
          <w:rFonts w:ascii="仿宋" w:hAnsi="仿宋" w:eastAsia="仿宋"/>
          <w:bCs/>
          <w:color w:val="000000"/>
          <w:sz w:val="32"/>
          <w:szCs w:val="32"/>
        </w:rPr>
      </w:pPr>
      <w:bookmarkStart w:id="15" w:name="_Toc15378445"/>
      <w:bookmarkStart w:id="16" w:name="_Toc15377198"/>
      <w:r>
        <w:rPr>
          <w:rFonts w:hint="eastAsia" w:ascii="仿宋" w:hAnsi="仿宋" w:eastAsia="仿宋"/>
          <w:bCs/>
          <w:color w:val="000000"/>
          <w:sz w:val="32"/>
          <w:szCs w:val="32"/>
        </w:rPr>
        <w:t>（一）主要职能。</w:t>
      </w:r>
      <w:bookmarkEnd w:id="15"/>
      <w:bookmarkEnd w:id="16"/>
      <w:bookmarkStart w:id="17" w:name="_Toc15377199"/>
      <w:bookmarkStart w:id="18" w:name="_Toc15378446"/>
    </w:p>
    <w:p>
      <w:pPr>
        <w:snapToGrid w:val="0"/>
        <w:spacing w:line="520" w:lineRule="exact"/>
        <w:ind w:firstLine="640" w:firstLineChars="200"/>
        <w:rPr>
          <w:rFonts w:ascii="仿宋" w:hAnsi="仿宋" w:eastAsia="仿宋"/>
          <w:bCs/>
          <w:color w:val="000000"/>
          <w:sz w:val="32"/>
          <w:szCs w:val="32"/>
        </w:rPr>
      </w:pPr>
      <w:r>
        <w:rPr>
          <w:rFonts w:hint="eastAsia" w:ascii="仿宋" w:hAnsi="仿宋" w:eastAsia="仿宋"/>
          <w:sz w:val="32"/>
          <w:szCs w:val="32"/>
        </w:rPr>
        <w:t>通过征用、收回、收购的方式具体实施土地储备工作。按要求对储备的土地进行前期开发整理，达到建设用地条件。承担全市范围内的土地开发整理工作。</w:t>
      </w:r>
    </w:p>
    <w:p>
      <w:pPr>
        <w:pStyle w:val="2"/>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w:t>
      </w:r>
      <w:r>
        <w:rPr>
          <w:rFonts w:hint="eastAsia" w:ascii="仿宋" w:hAnsi="仿宋" w:eastAsia="仿宋"/>
          <w:bCs/>
          <w:color w:val="000000"/>
          <w:sz w:val="32"/>
          <w:szCs w:val="32"/>
        </w:rPr>
        <w:t>20年重点工作完成情况。</w:t>
      </w:r>
      <w:bookmarkEnd w:id="17"/>
      <w:bookmarkEnd w:id="18"/>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2020年，我中心完成了峨山煤矿、四川峨眉山佛光水泥有限公司、峨眉山旅游股份有限公司、成都铁路地区旧城改造中心峨眉山旧城改造分中心、739新厂区、四川峨眉华荣房地产开发有限公司、乐山盛和置业有限公司、峨眉山发展（控股）有限责任公司5宗闲置等国有土地收储工作，总面积1085.63亩。完成了四川省峨眉山市绥山镇、乐都镇、龙池镇、大为镇、普兴乡、龙门乡历史遗留工矿废弃地复垦利用试点项目和四川省峨眉山市高桥镇、罗目镇、桂花桥镇、九里镇、川主乡、沙溪乡历史遗留工矿废弃地复垦利用试点项目，涉及435.9345亩周转指标的立项及竣工备案工作。</w:t>
      </w:r>
    </w:p>
    <w:p>
      <w:pPr>
        <w:pStyle w:val="4"/>
        <w:rPr>
          <w:rStyle w:val="15"/>
          <w:rFonts w:ascii="仿宋" w:hAnsi="仿宋" w:eastAsia="仿宋"/>
          <w:b w:val="0"/>
          <w:bCs w:val="0"/>
        </w:rPr>
      </w:pPr>
      <w:bookmarkStart w:id="19" w:name="_Toc15396601"/>
      <w:bookmarkStart w:id="20" w:name="_Toc15377200"/>
      <w:r>
        <w:rPr>
          <w:rFonts w:hint="eastAsia" w:ascii="仿宋" w:hAnsi="仿宋" w:eastAsia="仿宋"/>
          <w:b w:val="0"/>
          <w:color w:val="000000"/>
        </w:rPr>
        <w:t>二、机</w:t>
      </w:r>
      <w:r>
        <w:rPr>
          <w:rStyle w:val="15"/>
          <w:rFonts w:hint="eastAsia" w:ascii="仿宋" w:hAnsi="仿宋" w:eastAsia="仿宋"/>
          <w:b w:val="0"/>
          <w:bCs w:val="0"/>
        </w:rPr>
        <w:t>构设置</w:t>
      </w:r>
      <w:bookmarkEnd w:id="19"/>
      <w:bookmarkEnd w:id="20"/>
    </w:p>
    <w:p>
      <w:pPr>
        <w:spacing w:line="600" w:lineRule="exact"/>
        <w:ind w:firstLine="640" w:firstLineChars="200"/>
        <w:rPr>
          <w:rFonts w:ascii="仿宋" w:hAnsi="仿宋" w:eastAsia="仿宋"/>
          <w:sz w:val="32"/>
          <w:szCs w:val="32"/>
        </w:rPr>
      </w:pPr>
      <w:r>
        <w:rPr>
          <w:rFonts w:hint="eastAsia" w:ascii="仿宋" w:hAnsi="仿宋" w:eastAsia="仿宋"/>
          <w:sz w:val="32"/>
          <w:szCs w:val="32"/>
        </w:rPr>
        <w:t>峨眉山市土地储备整理中心为市自然资源局管理的公益一类事业单位。</w:t>
      </w: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3"/>
        <w:ind w:right="440"/>
        <w:jc w:val="right"/>
        <w:rPr>
          <w:rStyle w:val="14"/>
          <w:rFonts w:ascii="仿宋" w:hAnsi="仿宋" w:eastAsia="仿宋"/>
          <w:b w:val="0"/>
          <w:bCs w:val="0"/>
        </w:rPr>
      </w:pPr>
      <w:bookmarkStart w:id="21" w:name="_Toc15377204"/>
      <w:bookmarkStart w:id="22" w:name="_Toc15396602"/>
      <w:r>
        <w:rPr>
          <w:rFonts w:hint="eastAsia" w:ascii="仿宋" w:hAnsi="仿宋" w:eastAsia="仿宋"/>
          <w:b w:val="0"/>
          <w:color w:val="000000"/>
        </w:rPr>
        <w:t>第二部分</w:t>
      </w:r>
      <w:r>
        <w:rPr>
          <w:rFonts w:hint="eastAsia" w:ascii="仿宋" w:hAnsi="仿宋" w:eastAsia="仿宋"/>
          <w:color w:val="000000"/>
        </w:rPr>
        <w:t xml:space="preserve"> </w:t>
      </w:r>
      <w:r>
        <w:rPr>
          <w:rStyle w:val="14"/>
          <w:rFonts w:hint="eastAsia" w:ascii="仿宋" w:hAnsi="仿宋" w:eastAsia="仿宋"/>
          <w:b w:val="0"/>
          <w:bCs w:val="0"/>
        </w:rPr>
        <w:t>2020年度部门决算情况说明</w:t>
      </w:r>
      <w:bookmarkEnd w:id="21"/>
      <w:bookmarkEnd w:id="22"/>
    </w:p>
    <w:p>
      <w:pPr>
        <w:pStyle w:val="16"/>
        <w:numPr>
          <w:ilvl w:val="0"/>
          <w:numId w:val="1"/>
        </w:numPr>
        <w:spacing w:line="600" w:lineRule="exact"/>
        <w:ind w:firstLineChars="0"/>
        <w:outlineLvl w:val="1"/>
        <w:rPr>
          <w:rStyle w:val="15"/>
          <w:rFonts w:ascii="仿宋" w:hAnsi="仿宋" w:eastAsia="仿宋"/>
          <w:b w:val="0"/>
        </w:rPr>
      </w:pPr>
      <w:bookmarkStart w:id="23" w:name="_Toc15396603"/>
      <w:bookmarkStart w:id="24" w:name="_Toc15377205"/>
      <w:r>
        <w:rPr>
          <w:rFonts w:hint="eastAsia" w:ascii="仿宋" w:hAnsi="仿宋" w:eastAsia="仿宋"/>
          <w:color w:val="000000"/>
          <w:sz w:val="32"/>
          <w:szCs w:val="32"/>
        </w:rPr>
        <w:t>收</w:t>
      </w:r>
      <w:r>
        <w:rPr>
          <w:rStyle w:val="15"/>
          <w:rFonts w:hint="eastAsia" w:ascii="仿宋" w:hAnsi="仿宋" w:eastAsia="仿宋"/>
          <w:b w:val="0"/>
        </w:rPr>
        <w:t>入支出决算总体情况说明</w:t>
      </w:r>
      <w:bookmarkEnd w:id="23"/>
      <w:bookmarkEnd w:id="24"/>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2020年度收、支总计103478.82万元。与2019年相比，收、支总计各增加54199.57万元，增加109</w:t>
      </w:r>
      <w:r>
        <w:rPr>
          <w:rFonts w:ascii="仿宋" w:hAnsi="仿宋" w:eastAsia="仿宋"/>
          <w:color w:val="000000"/>
          <w:sz w:val="32"/>
          <w:szCs w:val="32"/>
        </w:rPr>
        <w:t>%</w:t>
      </w:r>
      <w:r>
        <w:rPr>
          <w:rFonts w:hint="eastAsia" w:ascii="仿宋" w:hAnsi="仿宋" w:eastAsia="仿宋"/>
          <w:color w:val="000000"/>
          <w:sz w:val="32"/>
          <w:szCs w:val="32"/>
        </w:rPr>
        <w:t>。主要变动原因是收储土地支出增加。</w:t>
      </w:r>
    </w:p>
    <w:p>
      <w:pPr>
        <w:rPr>
          <w:rFonts w:ascii="仿宋" w:hAnsi="仿宋" w:eastAsia="仿宋"/>
        </w:rPr>
      </w:pPr>
      <w:r>
        <w:rPr>
          <w:rFonts w:hint="eastAsia" w:ascii="仿宋" w:hAnsi="仿宋" w:eastAsia="仿宋"/>
        </w:rPr>
        <w:drawing>
          <wp:inline distT="0" distB="0" distL="114300" distR="114300">
            <wp:extent cx="5080000" cy="3810000"/>
            <wp:effectExtent l="4445" t="4445" r="2095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16"/>
        <w:numPr>
          <w:ilvl w:val="0"/>
          <w:numId w:val="1"/>
        </w:numPr>
        <w:spacing w:line="600" w:lineRule="exact"/>
        <w:ind w:firstLineChars="0"/>
        <w:outlineLvl w:val="1"/>
        <w:rPr>
          <w:rStyle w:val="15"/>
          <w:rFonts w:ascii="仿宋" w:hAnsi="仿宋" w:eastAsia="仿宋"/>
          <w:b w:val="0"/>
        </w:rPr>
      </w:pPr>
      <w:bookmarkStart w:id="25" w:name="_Toc15377206"/>
      <w:bookmarkStart w:id="26" w:name="_Toc15396604"/>
      <w:r>
        <w:rPr>
          <w:rFonts w:hint="eastAsia" w:ascii="仿宋" w:hAnsi="仿宋" w:eastAsia="仿宋"/>
          <w:color w:val="000000"/>
          <w:sz w:val="32"/>
          <w:szCs w:val="32"/>
        </w:rPr>
        <w:t>收</w:t>
      </w:r>
      <w:r>
        <w:rPr>
          <w:rStyle w:val="15"/>
          <w:rFonts w:hint="eastAsia" w:ascii="仿宋" w:hAnsi="仿宋" w:eastAsia="仿宋"/>
          <w:b w:val="0"/>
        </w:rPr>
        <w:t>入决算情况说明</w:t>
      </w:r>
      <w:bookmarkEnd w:id="25"/>
      <w:bookmarkEnd w:id="26"/>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20年本年收入合计100702.74万元，其中：政府性基金预算财政拨款收入100702.74万元，占100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上级补助收入0</w:t>
      </w:r>
      <w:r>
        <w:rPr>
          <w:rFonts w:hint="eastAsia" w:ascii="仿宋" w:hAnsi="仿宋" w:eastAsia="仿宋"/>
          <w:color w:val="000000"/>
          <w:sz w:val="32"/>
          <w:szCs w:val="32"/>
        </w:rPr>
        <w:t>万元；事业收入0万元；经营收入0万元；附属单位上缴收入0万元；其他收入0万元。</w:t>
      </w:r>
    </w:p>
    <w:p>
      <w:pPr>
        <w:rPr>
          <w:rFonts w:ascii="仿宋" w:hAnsi="仿宋" w:eastAsia="仿宋"/>
        </w:rPr>
      </w:pPr>
      <w:r>
        <w:rPr>
          <w:rFonts w:hint="eastAsia" w:ascii="仿宋" w:hAnsi="仿宋" w:eastAsia="仿宋"/>
        </w:rPr>
        <w:drawing>
          <wp:inline distT="0" distB="0" distL="114300" distR="114300">
            <wp:extent cx="5080000" cy="3810000"/>
            <wp:effectExtent l="4445" t="4445" r="20955" b="146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16"/>
        <w:numPr>
          <w:ilvl w:val="0"/>
          <w:numId w:val="1"/>
        </w:numPr>
        <w:spacing w:line="600" w:lineRule="exact"/>
        <w:ind w:firstLineChars="0"/>
        <w:outlineLvl w:val="1"/>
        <w:rPr>
          <w:rStyle w:val="15"/>
          <w:rFonts w:ascii="仿宋" w:hAnsi="仿宋" w:eastAsia="仿宋"/>
          <w:b w:val="0"/>
        </w:rPr>
      </w:pPr>
      <w:r>
        <w:rPr>
          <w:rFonts w:hint="eastAsia" w:ascii="仿宋" w:hAnsi="仿宋" w:eastAsia="仿宋"/>
          <w:color w:val="000000"/>
          <w:sz w:val="32"/>
          <w:szCs w:val="32"/>
        </w:rPr>
        <w:t>支</w:t>
      </w:r>
      <w:r>
        <w:rPr>
          <w:rStyle w:val="15"/>
          <w:rFonts w:hint="eastAsia" w:ascii="仿宋" w:hAnsi="仿宋" w:eastAsia="仿宋"/>
          <w:b w:val="0"/>
        </w:rPr>
        <w:t>出决算情况说明</w:t>
      </w:r>
    </w:p>
    <w:p>
      <w:pPr>
        <w:ind w:firstLine="640" w:firstLineChars="20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20年本年支出合计103478.82万元，其中：基本支出0万元；项目支出103478.82万元，占100</w:t>
      </w:r>
      <w:r>
        <w:rPr>
          <w:rFonts w:ascii="仿宋" w:hAnsi="仿宋" w:eastAsia="仿宋"/>
          <w:color w:val="000000"/>
          <w:sz w:val="32"/>
          <w:szCs w:val="32"/>
        </w:rPr>
        <w:t>%</w:t>
      </w:r>
      <w:r>
        <w:rPr>
          <w:rFonts w:hint="eastAsia" w:ascii="仿宋" w:hAnsi="仿宋" w:eastAsia="仿宋"/>
          <w:color w:val="000000"/>
          <w:sz w:val="32"/>
          <w:szCs w:val="32"/>
        </w:rPr>
        <w:t>；上缴上级支出0万元；经营支出0万元；对附属单位补助支出0万元。</w:t>
      </w:r>
    </w:p>
    <w:p>
      <w:pPr>
        <w:rPr>
          <w:rFonts w:ascii="仿宋" w:hAnsi="仿宋" w:eastAsia="仿宋"/>
          <w:color w:val="000000"/>
          <w:sz w:val="32"/>
          <w:szCs w:val="32"/>
        </w:rPr>
      </w:pPr>
      <w:r>
        <w:rPr>
          <w:rFonts w:hint="eastAsia" w:ascii="仿宋" w:hAnsi="仿宋" w:eastAsia="仿宋"/>
          <w:color w:val="000000"/>
          <w:sz w:val="32"/>
          <w:szCs w:val="32"/>
        </w:rPr>
        <w:drawing>
          <wp:inline distT="0" distB="0" distL="114300" distR="114300">
            <wp:extent cx="5080000" cy="3810000"/>
            <wp:effectExtent l="4445" t="4445" r="20955" b="1460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outlineLvl w:val="1"/>
        <w:rPr>
          <w:rStyle w:val="15"/>
          <w:rFonts w:ascii="仿宋" w:hAnsi="仿宋" w:eastAsia="仿宋"/>
          <w:b w:val="0"/>
        </w:rPr>
      </w:pPr>
      <w:r>
        <w:rPr>
          <w:rFonts w:hint="eastAsia" w:ascii="仿宋" w:hAnsi="仿宋" w:eastAsia="仿宋"/>
          <w:color w:val="000000"/>
          <w:sz w:val="32"/>
          <w:szCs w:val="32"/>
        </w:rPr>
        <w:t>四、财</w:t>
      </w:r>
      <w:r>
        <w:rPr>
          <w:rStyle w:val="15"/>
          <w:rFonts w:hint="eastAsia" w:ascii="仿宋" w:hAnsi="仿宋" w:eastAsia="仿宋"/>
          <w:b w:val="0"/>
        </w:rPr>
        <w:t>政拨款收入支出决算总体情况说明</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2020年度财政拨款收、支总计103478.82万元。与2019年相比，收、支总计各增加54199.57万元，增加109</w:t>
      </w:r>
      <w:r>
        <w:rPr>
          <w:rFonts w:ascii="仿宋" w:hAnsi="仿宋" w:eastAsia="仿宋"/>
          <w:color w:val="000000"/>
          <w:sz w:val="32"/>
          <w:szCs w:val="32"/>
        </w:rPr>
        <w:t>%</w:t>
      </w:r>
      <w:r>
        <w:rPr>
          <w:rFonts w:hint="eastAsia" w:ascii="仿宋" w:hAnsi="仿宋" w:eastAsia="仿宋"/>
          <w:color w:val="000000"/>
          <w:sz w:val="32"/>
          <w:szCs w:val="32"/>
        </w:rPr>
        <w:t>。主要变动原因是收储土地支出增加。</w:t>
      </w:r>
    </w:p>
    <w:p>
      <w:pPr>
        <w:spacing w:line="600" w:lineRule="exact"/>
        <w:ind w:firstLine="640" w:firstLineChars="200"/>
        <w:rPr>
          <w:rFonts w:ascii="仿宋" w:hAnsi="仿宋" w:eastAsia="仿宋"/>
          <w:color w:val="000000"/>
          <w:sz w:val="32"/>
          <w:szCs w:val="32"/>
        </w:rPr>
      </w:pPr>
    </w:p>
    <w:p>
      <w:pPr>
        <w:rPr>
          <w:rFonts w:ascii="仿宋" w:hAnsi="仿宋" w:eastAsia="仿宋"/>
          <w:color w:val="000000"/>
          <w:sz w:val="32"/>
          <w:szCs w:val="32"/>
        </w:rPr>
      </w:pPr>
      <w:r>
        <w:rPr>
          <w:rFonts w:hint="eastAsia" w:ascii="仿宋" w:hAnsi="仿宋" w:eastAsia="仿宋"/>
          <w:color w:val="000000"/>
          <w:sz w:val="32"/>
          <w:szCs w:val="32"/>
        </w:rPr>
        <w:drawing>
          <wp:inline distT="0" distB="0" distL="114300" distR="114300">
            <wp:extent cx="5080000" cy="3810000"/>
            <wp:effectExtent l="4445" t="4445" r="20955" b="1460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outlineLvl w:val="1"/>
        <w:rPr>
          <w:rStyle w:val="15"/>
          <w:rFonts w:ascii="仿宋" w:hAnsi="仿宋" w:eastAsia="仿宋"/>
          <w:b w:val="0"/>
        </w:rPr>
      </w:pPr>
      <w:bookmarkStart w:id="27" w:name="_Toc15377209"/>
      <w:bookmarkStart w:id="28" w:name="_Toc15396607"/>
      <w:r>
        <w:rPr>
          <w:rFonts w:hint="eastAsia" w:ascii="仿宋" w:hAnsi="仿宋" w:eastAsia="仿宋"/>
          <w:color w:val="000000"/>
          <w:sz w:val="32"/>
          <w:szCs w:val="32"/>
        </w:rPr>
        <w:t>五、</w:t>
      </w:r>
      <w:r>
        <w:rPr>
          <w:rFonts w:hint="eastAsia" w:ascii="仿宋" w:hAnsi="仿宋" w:eastAsia="仿宋"/>
          <w:b/>
          <w:color w:val="000000"/>
          <w:sz w:val="32"/>
          <w:szCs w:val="32"/>
        </w:rPr>
        <w:t>一</w:t>
      </w:r>
      <w:r>
        <w:rPr>
          <w:rStyle w:val="15"/>
          <w:rFonts w:hint="eastAsia" w:ascii="仿宋" w:hAnsi="仿宋" w:eastAsia="仿宋"/>
          <w:b w:val="0"/>
        </w:rPr>
        <w:t>般公共预算财政拨款支出决算情况说明</w:t>
      </w:r>
      <w:bookmarkEnd w:id="27"/>
      <w:bookmarkEnd w:id="28"/>
    </w:p>
    <w:p>
      <w:pPr>
        <w:tabs>
          <w:tab w:val="right" w:pos="8306"/>
        </w:tabs>
        <w:spacing w:line="600" w:lineRule="exact"/>
        <w:ind w:firstLine="640"/>
        <w:outlineLvl w:val="1"/>
        <w:rPr>
          <w:rFonts w:ascii="仿宋" w:hAnsi="仿宋" w:eastAsia="仿宋" w:cs="仿宋"/>
          <w:color w:val="000000"/>
          <w:sz w:val="32"/>
          <w:szCs w:val="32"/>
        </w:rPr>
      </w:pPr>
      <w:bookmarkStart w:id="29" w:name="_Toc15377214"/>
      <w:bookmarkStart w:id="30" w:name="_Toc15396608"/>
      <w:r>
        <w:rPr>
          <w:rFonts w:hint="eastAsia" w:ascii="仿宋" w:hAnsi="仿宋" w:eastAsia="仿宋" w:cs="仿宋"/>
          <w:color w:val="000000"/>
          <w:sz w:val="32"/>
          <w:szCs w:val="32"/>
        </w:rPr>
        <w:t>本年没有一般公共预算拨款支出。</w:t>
      </w:r>
    </w:p>
    <w:p>
      <w:pPr>
        <w:tabs>
          <w:tab w:val="right" w:pos="8306"/>
        </w:tabs>
        <w:spacing w:line="600" w:lineRule="exact"/>
        <w:ind w:firstLine="640"/>
        <w:outlineLvl w:val="1"/>
        <w:rPr>
          <w:rStyle w:val="15"/>
          <w:rFonts w:ascii="仿宋" w:hAnsi="仿宋" w:eastAsia="仿宋"/>
        </w:rPr>
      </w:pPr>
      <w:r>
        <w:rPr>
          <w:rFonts w:hint="eastAsia" w:ascii="仿宋" w:hAnsi="仿宋" w:eastAsia="仿宋"/>
          <w:color w:val="000000"/>
          <w:sz w:val="32"/>
          <w:szCs w:val="32"/>
        </w:rPr>
        <w:t>六</w:t>
      </w:r>
      <w:r>
        <w:rPr>
          <w:rFonts w:hint="eastAsia" w:ascii="仿宋" w:hAnsi="仿宋" w:eastAsia="仿宋"/>
          <w:b/>
          <w:color w:val="000000"/>
          <w:sz w:val="32"/>
          <w:szCs w:val="32"/>
        </w:rPr>
        <w:t>、一</w:t>
      </w:r>
      <w:r>
        <w:rPr>
          <w:rStyle w:val="15"/>
          <w:rFonts w:hint="eastAsia" w:ascii="仿宋" w:hAnsi="仿宋" w:eastAsia="仿宋"/>
          <w:b w:val="0"/>
        </w:rPr>
        <w:t>般公共预算财政拨款基本支出决算情况说明</w:t>
      </w:r>
      <w:bookmarkEnd w:id="29"/>
      <w:bookmarkEnd w:id="30"/>
      <w:r>
        <w:rPr>
          <w:rStyle w:val="15"/>
          <w:rFonts w:ascii="仿宋" w:hAnsi="仿宋" w:eastAsia="仿宋"/>
          <w:b w:val="0"/>
        </w:rPr>
        <w:tab/>
      </w:r>
    </w:p>
    <w:p>
      <w:pPr>
        <w:tabs>
          <w:tab w:val="right" w:pos="8306"/>
        </w:tabs>
        <w:spacing w:line="600" w:lineRule="exact"/>
        <w:ind w:firstLine="640"/>
        <w:outlineLvl w:val="1"/>
        <w:rPr>
          <w:rFonts w:ascii="仿宋" w:hAnsi="仿宋" w:eastAsia="仿宋" w:cs="仿宋"/>
          <w:color w:val="000000"/>
          <w:sz w:val="32"/>
          <w:szCs w:val="32"/>
        </w:rPr>
      </w:pPr>
      <w:r>
        <w:rPr>
          <w:rFonts w:hint="eastAsia" w:ascii="仿宋" w:hAnsi="仿宋" w:eastAsia="仿宋" w:cs="仿宋"/>
          <w:color w:val="000000"/>
          <w:sz w:val="32"/>
          <w:szCs w:val="32"/>
        </w:rPr>
        <w:t>本年没有一般公共预算拨款支出。</w:t>
      </w:r>
    </w:p>
    <w:p>
      <w:pPr>
        <w:spacing w:line="600" w:lineRule="exact"/>
        <w:ind w:firstLine="640"/>
        <w:outlineLvl w:val="1"/>
        <w:rPr>
          <w:rStyle w:val="15"/>
          <w:rFonts w:ascii="仿宋" w:hAnsi="仿宋" w:eastAsia="仿宋"/>
          <w:b w:val="0"/>
        </w:rPr>
      </w:pPr>
      <w:bookmarkStart w:id="31" w:name="_Toc15377215"/>
      <w:bookmarkStart w:id="32" w:name="_Toc15396609"/>
      <w:r>
        <w:rPr>
          <w:rFonts w:hint="eastAsia" w:ascii="仿宋" w:hAnsi="仿宋" w:eastAsia="仿宋"/>
          <w:color w:val="000000"/>
          <w:sz w:val="32"/>
          <w:szCs w:val="32"/>
        </w:rPr>
        <w:t>七、</w:t>
      </w:r>
      <w:r>
        <w:rPr>
          <w:rStyle w:val="15"/>
          <w:rFonts w:hint="eastAsia" w:ascii="仿宋" w:hAnsi="仿宋" w:eastAsia="仿宋"/>
        </w:rPr>
        <w:t>“</w:t>
      </w:r>
      <w:r>
        <w:rPr>
          <w:rStyle w:val="15"/>
          <w:rFonts w:hint="eastAsia" w:ascii="仿宋" w:hAnsi="仿宋" w:eastAsia="仿宋"/>
          <w:b w:val="0"/>
        </w:rPr>
        <w:t>三公”经费财政拨款支出决算情况说明</w:t>
      </w:r>
      <w:bookmarkEnd w:id="31"/>
      <w:bookmarkEnd w:id="32"/>
    </w:p>
    <w:p>
      <w:pPr>
        <w:spacing w:line="600" w:lineRule="exact"/>
        <w:ind w:firstLine="640"/>
        <w:rPr>
          <w:rFonts w:ascii="仿宋" w:hAnsi="仿宋" w:eastAsia="仿宋"/>
          <w:color w:val="333333"/>
          <w:sz w:val="32"/>
          <w:szCs w:val="32"/>
        </w:rPr>
      </w:pPr>
      <w:r>
        <w:rPr>
          <w:rFonts w:ascii="仿宋" w:hAnsi="仿宋" w:eastAsia="仿宋"/>
          <w:color w:val="000000"/>
          <w:sz w:val="32"/>
          <w:szCs w:val="32"/>
        </w:rPr>
        <w:t>20</w:t>
      </w:r>
      <w:r>
        <w:rPr>
          <w:rFonts w:hint="eastAsia" w:ascii="仿宋" w:hAnsi="仿宋" w:eastAsia="仿宋"/>
          <w:color w:val="000000"/>
          <w:sz w:val="32"/>
          <w:szCs w:val="32"/>
        </w:rPr>
        <w:t>20年没有“三公”经费财政拨款支出</w:t>
      </w:r>
      <w:r>
        <w:rPr>
          <w:rFonts w:hint="eastAsia" w:ascii="仿宋" w:hAnsi="仿宋" w:eastAsia="仿宋"/>
          <w:color w:val="333333"/>
          <w:sz w:val="32"/>
          <w:szCs w:val="32"/>
        </w:rPr>
        <w:t>。</w:t>
      </w:r>
    </w:p>
    <w:p>
      <w:pPr>
        <w:spacing w:line="600" w:lineRule="exact"/>
        <w:ind w:firstLine="640"/>
        <w:outlineLvl w:val="1"/>
        <w:rPr>
          <w:rStyle w:val="15"/>
          <w:rFonts w:ascii="仿宋" w:hAnsi="仿宋" w:eastAsia="仿宋"/>
        </w:rPr>
      </w:pPr>
      <w:bookmarkStart w:id="33" w:name="_Toc15396610"/>
      <w:bookmarkStart w:id="34" w:name="_Toc15377218"/>
      <w:r>
        <w:rPr>
          <w:rFonts w:hint="eastAsia" w:ascii="仿宋" w:hAnsi="仿宋" w:eastAsia="仿宋"/>
          <w:color w:val="000000"/>
          <w:sz w:val="32"/>
          <w:szCs w:val="32"/>
        </w:rPr>
        <w:t>八、</w:t>
      </w:r>
      <w:r>
        <w:rPr>
          <w:rStyle w:val="15"/>
          <w:rFonts w:hint="eastAsia" w:ascii="仿宋" w:hAnsi="仿宋" w:eastAsia="仿宋"/>
          <w:b w:val="0"/>
        </w:rPr>
        <w:t>政府性基金预算支出决算情况说明</w:t>
      </w:r>
      <w:bookmarkEnd w:id="33"/>
      <w:bookmarkEnd w:id="34"/>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20年政府性基金预算拨款支出103478.82万元。</w:t>
      </w:r>
    </w:p>
    <w:p>
      <w:pPr>
        <w:numPr>
          <w:ilvl w:val="0"/>
          <w:numId w:val="2"/>
        </w:numPr>
        <w:spacing w:line="600" w:lineRule="exact"/>
        <w:ind w:firstLine="640"/>
        <w:outlineLvl w:val="1"/>
        <w:rPr>
          <w:rStyle w:val="15"/>
          <w:rFonts w:ascii="仿宋" w:hAnsi="仿宋" w:eastAsia="仿宋"/>
          <w:b w:val="0"/>
        </w:rPr>
      </w:pPr>
      <w:bookmarkStart w:id="35" w:name="_Toc15377219"/>
      <w:bookmarkStart w:id="36" w:name="_Toc15396611"/>
      <w:r>
        <w:rPr>
          <w:rStyle w:val="15"/>
          <w:rFonts w:hint="eastAsia" w:ascii="仿宋" w:hAnsi="仿宋" w:eastAsia="仿宋"/>
          <w:b w:val="0"/>
        </w:rPr>
        <w:t>国有资本经营预算支出决算情况说明</w:t>
      </w:r>
      <w:bookmarkEnd w:id="35"/>
      <w:bookmarkEnd w:id="36"/>
    </w:p>
    <w:p>
      <w:pPr>
        <w:spacing w:line="600" w:lineRule="exact"/>
        <w:ind w:firstLine="640"/>
        <w:rPr>
          <w:rFonts w:ascii="仿宋" w:hAnsi="仿宋" w:eastAsia="仿宋" w:cs="方正小标宋简体"/>
          <w:sz w:val="44"/>
          <w:szCs w:val="44"/>
        </w:rPr>
      </w:pPr>
      <w:r>
        <w:rPr>
          <w:rFonts w:ascii="仿宋" w:hAnsi="仿宋" w:eastAsia="仿宋"/>
          <w:color w:val="000000"/>
          <w:sz w:val="32"/>
          <w:szCs w:val="32"/>
        </w:rPr>
        <w:t>20</w:t>
      </w:r>
      <w:r>
        <w:rPr>
          <w:rFonts w:hint="eastAsia" w:ascii="仿宋" w:hAnsi="仿宋" w:eastAsia="仿宋"/>
          <w:color w:val="000000"/>
          <w:sz w:val="32"/>
          <w:szCs w:val="32"/>
        </w:rPr>
        <w:t>20年国有资本经营预算拨款支出0万元。</w:t>
      </w:r>
    </w:p>
    <w:p>
      <w:pPr>
        <w:spacing w:line="600" w:lineRule="exact"/>
        <w:ind w:firstLine="640" w:firstLineChars="200"/>
        <w:outlineLvl w:val="1"/>
        <w:rPr>
          <w:rStyle w:val="15"/>
          <w:rFonts w:ascii="仿宋" w:hAnsi="仿宋" w:eastAsia="仿宋"/>
        </w:rPr>
      </w:pPr>
      <w:bookmarkStart w:id="37" w:name="_Toc15396612"/>
      <w:bookmarkStart w:id="38" w:name="_Toc15377221"/>
      <w:r>
        <w:rPr>
          <w:rFonts w:hint="eastAsia" w:ascii="仿宋" w:hAnsi="仿宋" w:eastAsia="仿宋"/>
          <w:color w:val="000000"/>
          <w:sz w:val="32"/>
          <w:szCs w:val="32"/>
        </w:rPr>
        <w:t>十</w:t>
      </w:r>
      <w:r>
        <w:rPr>
          <w:rStyle w:val="15"/>
          <w:rFonts w:hint="eastAsia" w:ascii="仿宋" w:hAnsi="仿宋" w:eastAsia="仿宋"/>
        </w:rPr>
        <w:t>、</w:t>
      </w:r>
      <w:r>
        <w:rPr>
          <w:rStyle w:val="15"/>
          <w:rFonts w:hint="eastAsia" w:ascii="仿宋" w:hAnsi="仿宋" w:eastAsia="仿宋"/>
          <w:b w:val="0"/>
        </w:rPr>
        <w:t>其他重要事项的情况说明</w:t>
      </w:r>
      <w:bookmarkEnd w:id="37"/>
      <w:bookmarkEnd w:id="38"/>
    </w:p>
    <w:p>
      <w:pPr>
        <w:spacing w:line="600" w:lineRule="exact"/>
        <w:ind w:firstLine="643" w:firstLineChars="200"/>
        <w:outlineLvl w:val="2"/>
        <w:rPr>
          <w:rFonts w:ascii="仿宋" w:hAnsi="仿宋" w:eastAsia="仿宋"/>
          <w:color w:val="000000"/>
          <w:sz w:val="32"/>
          <w:szCs w:val="32"/>
        </w:rPr>
      </w:pPr>
      <w:bookmarkStart w:id="39" w:name="_Toc15377222"/>
      <w:r>
        <w:rPr>
          <w:rFonts w:hint="eastAsia" w:ascii="仿宋" w:hAnsi="仿宋" w:eastAsia="仿宋"/>
          <w:b/>
          <w:color w:val="000000"/>
          <w:sz w:val="32"/>
          <w:szCs w:val="32"/>
        </w:rPr>
        <w:t>（一）机关运行经费支出情况</w:t>
      </w:r>
      <w:bookmarkEnd w:id="39"/>
    </w:p>
    <w:p>
      <w:pPr>
        <w:spacing w:line="580" w:lineRule="exact"/>
        <w:ind w:firstLine="640" w:firstLineChars="200"/>
        <w:rPr>
          <w:rFonts w:ascii="仿宋" w:hAnsi="仿宋" w:eastAsia="仿宋"/>
          <w:color w:val="000000"/>
          <w:sz w:val="32"/>
          <w:szCs w:val="32"/>
        </w:rPr>
      </w:pPr>
      <w:bookmarkStart w:id="40" w:name="_Toc15377223"/>
      <w:r>
        <w:rPr>
          <w:rFonts w:hint="eastAsia" w:ascii="仿宋" w:hAnsi="仿宋" w:eastAsia="仿宋"/>
          <w:color w:val="000000"/>
          <w:sz w:val="32"/>
          <w:szCs w:val="32"/>
        </w:rPr>
        <w:t>2020年度，土地储备整理中心运行经费支出0万元，与2019年决算数持平。</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（二）政府采购支出情况</w:t>
      </w:r>
      <w:bookmarkEnd w:id="40"/>
    </w:p>
    <w:p>
      <w:pPr>
        <w:spacing w:line="580" w:lineRule="exact"/>
        <w:ind w:firstLine="640" w:firstLineChars="200"/>
        <w:rPr>
          <w:rFonts w:ascii="仿宋" w:hAnsi="仿宋" w:eastAsia="仿宋"/>
          <w:b/>
          <w:color w:val="FF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20年，土地储备整理中心政府采购支出总额0万元，其中：政府采购货物支出0万元、政府采购工程支出0万元、政府采购服务支出0万元。</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41" w:name="_Toc15377224"/>
      <w:r>
        <w:rPr>
          <w:rFonts w:hint="eastAsia" w:ascii="仿宋" w:hAnsi="仿宋" w:eastAsia="仿宋"/>
          <w:b/>
          <w:color w:val="000000"/>
          <w:sz w:val="32"/>
          <w:szCs w:val="32"/>
        </w:rPr>
        <w:t>（三）国有资产占有使用情况</w:t>
      </w:r>
      <w:bookmarkEnd w:id="41"/>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 w:hAnsi="仿宋" w:eastAsia="仿宋"/>
          <w:color w:val="000000"/>
          <w:sz w:val="32"/>
          <w:szCs w:val="32"/>
        </w:rPr>
        <w:t>截至</w:t>
      </w:r>
      <w:r>
        <w:rPr>
          <w:rFonts w:ascii="仿宋" w:hAnsi="仿宋" w:eastAsia="仿宋"/>
          <w:color w:val="000000"/>
          <w:sz w:val="32"/>
          <w:szCs w:val="32"/>
        </w:rPr>
        <w:t>20</w:t>
      </w:r>
      <w:r>
        <w:rPr>
          <w:rFonts w:hint="eastAsia" w:ascii="仿宋" w:hAnsi="仿宋" w:eastAsia="仿宋"/>
          <w:color w:val="000000"/>
          <w:sz w:val="32"/>
          <w:szCs w:val="32"/>
        </w:rPr>
        <w:t>20年</w:t>
      </w:r>
      <w:r>
        <w:rPr>
          <w:rFonts w:ascii="仿宋" w:hAnsi="仿宋" w:eastAsia="仿宋"/>
          <w:color w:val="000000"/>
          <w:sz w:val="32"/>
          <w:szCs w:val="32"/>
        </w:rPr>
        <w:t>12</w:t>
      </w:r>
      <w:r>
        <w:rPr>
          <w:rFonts w:hint="eastAsia" w:ascii="仿宋" w:hAnsi="仿宋" w:eastAsia="仿宋"/>
          <w:color w:val="000000"/>
          <w:sz w:val="32"/>
          <w:szCs w:val="32"/>
        </w:rPr>
        <w:t>月</w:t>
      </w:r>
      <w:r>
        <w:rPr>
          <w:rFonts w:ascii="仿宋" w:hAnsi="仿宋" w:eastAsia="仿宋"/>
          <w:color w:val="000000"/>
          <w:sz w:val="32"/>
          <w:szCs w:val="32"/>
        </w:rPr>
        <w:t>31</w:t>
      </w:r>
      <w:r>
        <w:rPr>
          <w:rFonts w:hint="eastAsia" w:ascii="仿宋" w:hAnsi="仿宋" w:eastAsia="仿宋"/>
          <w:color w:val="000000"/>
          <w:sz w:val="32"/>
          <w:szCs w:val="32"/>
        </w:rPr>
        <w:t>日，土地储备整理中心没有车辆；单价50万元以上通用设备0台（套），单价100万元以上专用设备0台（套）。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按照预算绩效管理要求，本部门对2020年预算项目支出开展了绩效目标管理，共编制绩效目标1个，涉及财政资金</w:t>
      </w:r>
      <w:r>
        <w:rPr>
          <w:rFonts w:hint="eastAsia" w:ascii="仿宋" w:hAnsi="仿宋" w:eastAsia="仿宋"/>
          <w:color w:val="000000"/>
          <w:sz w:val="32"/>
          <w:szCs w:val="32"/>
        </w:rPr>
        <w:t>103478.82</w:t>
      </w:r>
      <w:r>
        <w:rPr>
          <w:rFonts w:hint="eastAsia" w:ascii="仿宋" w:hAnsi="仿宋" w:eastAsia="仿宋"/>
          <w:sz w:val="32"/>
          <w:szCs w:val="32"/>
        </w:rPr>
        <w:t>万元，覆盖率达到100%。</w:t>
      </w:r>
    </w:p>
    <w:p>
      <w:pPr>
        <w:numPr>
          <w:ilvl w:val="0"/>
          <w:numId w:val="3"/>
        </w:numPr>
        <w:spacing w:line="580" w:lineRule="exact"/>
        <w:ind w:firstLine="640" w:firstLineChars="200"/>
        <w:rPr>
          <w:rFonts w:ascii="仿宋" w:hAnsi="仿宋" w:eastAsia="仿宋" w:cs="仿宋_GB2312"/>
          <w:sz w:val="32"/>
          <w:szCs w:val="32"/>
        </w:rPr>
      </w:pPr>
      <w:r>
        <w:rPr>
          <w:rFonts w:hint="eastAsia" w:ascii="仿宋" w:hAnsi="仿宋" w:eastAsia="仿宋" w:cs="楷体_GB2312"/>
          <w:sz w:val="32"/>
          <w:szCs w:val="32"/>
        </w:rPr>
        <w:t>项目绩效目标完成情况。</w:t>
      </w:r>
      <w:r>
        <w:rPr>
          <w:rFonts w:hint="eastAsia" w:ascii="仿宋" w:hAnsi="仿宋" w:eastAsia="仿宋" w:cs="楷体_GB2312"/>
          <w:sz w:val="32"/>
          <w:szCs w:val="32"/>
        </w:rPr>
        <w:br w:type="textWrapping"/>
      </w:r>
      <w:r>
        <w:rPr>
          <w:rFonts w:hint="eastAsia" w:ascii="仿宋" w:hAnsi="仿宋" w:eastAsia="仿宋" w:cs="仿宋_GB2312"/>
          <w:sz w:val="32"/>
          <w:szCs w:val="32"/>
        </w:rPr>
        <w:t xml:space="preserve">    本部门在2020年度部门决算中反映“土地收储</w:t>
      </w:r>
      <w:r>
        <w:rPr>
          <w:rFonts w:ascii="仿宋" w:hAnsi="仿宋" w:eastAsia="仿宋" w:cs="仿宋_GB2312"/>
          <w:sz w:val="32"/>
          <w:szCs w:val="32"/>
        </w:rPr>
        <w:t>”</w:t>
      </w:r>
      <w:r>
        <w:rPr>
          <w:rFonts w:hint="eastAsia" w:ascii="仿宋" w:hAnsi="仿宋" w:eastAsia="仿宋" w:cs="仿宋_GB2312"/>
          <w:sz w:val="32"/>
          <w:szCs w:val="32"/>
        </w:rPr>
        <w:t>1个项目绩效目标实际完成情况：</w:t>
      </w:r>
    </w:p>
    <w:p>
      <w:pPr>
        <w:numPr>
          <w:ilvl w:val="0"/>
          <w:numId w:val="4"/>
        </w:num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土地收储项目绩效目标完成情况综述。项目全年预算数</w:t>
      </w:r>
      <w:r>
        <w:rPr>
          <w:rFonts w:hint="eastAsia" w:ascii="仿宋" w:hAnsi="仿宋" w:eastAsia="仿宋"/>
          <w:color w:val="000000"/>
          <w:sz w:val="32"/>
          <w:szCs w:val="32"/>
        </w:rPr>
        <w:t>103478.82</w:t>
      </w:r>
      <w:r>
        <w:rPr>
          <w:rFonts w:hint="eastAsia" w:ascii="仿宋" w:hAnsi="仿宋" w:eastAsia="仿宋" w:cs="仿宋_GB2312"/>
          <w:sz w:val="32"/>
          <w:szCs w:val="32"/>
        </w:rPr>
        <w:t>万元，执行数为</w:t>
      </w:r>
      <w:r>
        <w:rPr>
          <w:rFonts w:hint="eastAsia" w:ascii="仿宋" w:hAnsi="仿宋" w:eastAsia="仿宋"/>
          <w:color w:val="000000"/>
          <w:sz w:val="32"/>
          <w:szCs w:val="32"/>
        </w:rPr>
        <w:t>103478.82</w:t>
      </w:r>
      <w:r>
        <w:rPr>
          <w:rFonts w:hint="eastAsia" w:ascii="仿宋" w:hAnsi="仿宋" w:eastAsia="仿宋" w:cs="仿宋_GB2312"/>
          <w:sz w:val="32"/>
          <w:szCs w:val="32"/>
        </w:rPr>
        <w:t>万元，完成预算的100%。通过项目实施，根据市委、市政府安排完成收储工作，保证了我市项目工作的正常开展。</w:t>
      </w:r>
    </w:p>
    <w:p>
      <w:pPr>
        <w:spacing w:line="580" w:lineRule="exact"/>
        <w:rPr>
          <w:rFonts w:ascii="仿宋" w:hAnsi="仿宋" w:eastAsia="仿宋" w:cs="仿宋_GB2312"/>
          <w:sz w:val="32"/>
          <w:szCs w:val="32"/>
        </w:rPr>
      </w:pPr>
    </w:p>
    <w:p>
      <w:pPr>
        <w:spacing w:line="580" w:lineRule="exact"/>
        <w:rPr>
          <w:rFonts w:ascii="仿宋" w:hAnsi="仿宋" w:eastAsia="仿宋" w:cs="仿宋_GB2312"/>
          <w:sz w:val="32"/>
          <w:szCs w:val="32"/>
        </w:rPr>
      </w:pPr>
    </w:p>
    <w:tbl>
      <w:tblPr>
        <w:tblStyle w:val="10"/>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80"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仿宋" w:hAnsi="仿宋" w:eastAsia="仿宋" w:cs="宋体"/>
                <w:color w:val="000000"/>
                <w:sz w:val="36"/>
                <w:szCs w:val="36"/>
              </w:rPr>
            </w:pPr>
            <w:r>
              <w:rPr>
                <w:rFonts w:hint="eastAsia" w:ascii="仿宋" w:hAnsi="仿宋" w:eastAsia="仿宋" w:cs="宋体"/>
                <w:b/>
                <w:bCs/>
                <w:color w:val="000000"/>
                <w:kern w:val="0"/>
                <w:sz w:val="36"/>
                <w:szCs w:val="36"/>
              </w:rPr>
              <w:t>项目绩效目标完成情况表</w:t>
            </w:r>
            <w:r>
              <w:rPr>
                <w:rFonts w:hint="eastAsia" w:ascii="仿宋" w:hAnsi="仿宋" w:eastAsia="仿宋" w:cs="宋体"/>
                <w:b/>
                <w:bCs/>
                <w:color w:val="000000"/>
                <w:kern w:val="0"/>
                <w:sz w:val="36"/>
                <w:szCs w:val="36"/>
              </w:rPr>
              <w:br w:type="textWrapping"/>
            </w:r>
            <w:r>
              <w:rPr>
                <w:rFonts w:hint="eastAsia" w:ascii="仿宋" w:hAnsi="仿宋" w:eastAsia="仿宋" w:cs="宋体"/>
                <w:color w:val="000000"/>
                <w:kern w:val="0"/>
                <w:sz w:val="36"/>
                <w:szCs w:val="36"/>
              </w:rPr>
              <w:t>(2020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土地收储</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峨眉山市土地储备整理中心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olor w:val="000000"/>
                <w:sz w:val="32"/>
                <w:szCs w:val="32"/>
              </w:rPr>
              <w:t>103478.82</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olor w:val="000000"/>
                <w:sz w:val="32"/>
                <w:szCs w:val="32"/>
              </w:rPr>
              <w:t>103478.82</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olor w:val="000000"/>
                <w:sz w:val="32"/>
                <w:szCs w:val="32"/>
              </w:rPr>
              <w:t>103478.82</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olor w:val="000000"/>
                <w:sz w:val="32"/>
                <w:szCs w:val="32"/>
              </w:rPr>
              <w:t>103478.82</w:t>
            </w:r>
          </w:p>
        </w:tc>
      </w:tr>
      <w:tr>
        <w:tblPrEx>
          <w:tblCellMar>
            <w:top w:w="0" w:type="dxa"/>
            <w:left w:w="0" w:type="dxa"/>
            <w:bottom w:w="0" w:type="dxa"/>
            <w:right w:w="0" w:type="dxa"/>
          </w:tblCellMar>
        </w:tblPrEx>
        <w:trPr>
          <w:trHeight w:val="1127"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r>
              <w:rPr>
                <w:rFonts w:hint="eastAsia" w:ascii="仿宋" w:hAnsi="仿宋" w:eastAsia="仿宋" w:cs="宋体"/>
                <w:color w:val="000000"/>
                <w:sz w:val="24"/>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实际完成目标</w:t>
            </w:r>
          </w:p>
        </w:tc>
      </w:tr>
      <w:tr>
        <w:tblPrEx>
          <w:tblCellMar>
            <w:top w:w="0" w:type="dxa"/>
            <w:left w:w="0" w:type="dxa"/>
            <w:bottom w:w="0" w:type="dxa"/>
            <w:right w:w="0" w:type="dxa"/>
          </w:tblCellMar>
        </w:tblPrEx>
        <w:trPr>
          <w:trHeight w:val="158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根据市委、市政府安排完成收储工作</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sz w:val="24"/>
              </w:rPr>
              <w:t>市委市政府安排的收储项目已完成。</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实际完成指标值(包含数字及文字描述)</w:t>
            </w:r>
          </w:p>
        </w:tc>
      </w:tr>
      <w:tr>
        <w:tblPrEx>
          <w:tblCellMar>
            <w:top w:w="0" w:type="dxa"/>
            <w:left w:w="0" w:type="dxa"/>
            <w:bottom w:w="0" w:type="dxa"/>
            <w:right w:w="0" w:type="dxa"/>
          </w:tblCellMar>
        </w:tblPrEx>
        <w:trPr>
          <w:trHeight w:val="260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总体目标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根据市委、市政府安排完成收储工作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根据市委、市政府安排完成收储工作</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市委市政府安排的收储项目已完成。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sz w:val="24"/>
              </w:rPr>
              <w:t>为我市项目的正常开展准备资源</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 w:hAnsi="仿宋" w:eastAsia="仿宋" w:cs="宋体"/>
                <w:color w:val="000000"/>
                <w:sz w:val="24"/>
              </w:rPr>
            </w:pPr>
            <w:r>
              <w:rPr>
                <w:rFonts w:hint="eastAsia" w:ascii="仿宋" w:hAnsi="仿宋" w:eastAsia="仿宋" w:cs="宋体"/>
                <w:color w:val="000000"/>
                <w:sz w:val="24"/>
              </w:rPr>
              <w:t>为我市项目的正常开展准备资源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保证了我市项目工作的正常开展。</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kern w:val="0"/>
                <w:sz w:val="24"/>
              </w:rPr>
            </w:pPr>
            <w:r>
              <w:rPr>
                <w:rFonts w:hint="eastAsia" w:ascii="仿宋" w:hAnsi="仿宋" w:eastAsia="仿宋"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720" w:firstLineChars="300"/>
              <w:jc w:val="left"/>
              <w:textAlignment w:val="center"/>
              <w:rPr>
                <w:rFonts w:ascii="仿宋" w:hAnsi="仿宋" w:eastAsia="仿宋" w:cs="宋体"/>
                <w:color w:val="000000"/>
                <w:sz w:val="22"/>
                <w:szCs w:val="22"/>
              </w:rPr>
            </w:pPr>
            <w:r>
              <w:rPr>
                <w:rFonts w:hint="eastAsia" w:ascii="仿宋" w:hAnsi="仿宋" w:eastAsia="仿宋" w:cs="宋体"/>
                <w:color w:val="000000"/>
                <w:sz w:val="24"/>
              </w:rPr>
              <w:t>≥90%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≥90%</w:t>
            </w:r>
          </w:p>
        </w:tc>
      </w:tr>
    </w:tbl>
    <w:p>
      <w:pPr>
        <w:widowControl/>
        <w:jc w:val="left"/>
        <w:rPr>
          <w:rFonts w:ascii="仿宋" w:hAnsi="仿宋" w:eastAsia="仿宋"/>
          <w:b/>
          <w:color w:val="000000"/>
          <w:sz w:val="32"/>
          <w:szCs w:val="32"/>
        </w:rPr>
      </w:pPr>
    </w:p>
    <w:p>
      <w:pPr>
        <w:numPr>
          <w:ilvl w:val="0"/>
          <w:numId w:val="5"/>
        </w:numPr>
        <w:spacing w:line="600" w:lineRule="exact"/>
        <w:ind w:firstLine="660" w:firstLineChars="150"/>
        <w:jc w:val="center"/>
        <w:outlineLvl w:val="0"/>
        <w:rPr>
          <w:rStyle w:val="14"/>
          <w:rFonts w:ascii="仿宋" w:hAnsi="仿宋" w:eastAsia="仿宋"/>
          <w:b w:val="0"/>
        </w:rPr>
      </w:pPr>
      <w:bookmarkStart w:id="42" w:name="_Toc15377225"/>
      <w:bookmarkStart w:id="43" w:name="_Toc15396613"/>
      <w:r>
        <w:rPr>
          <w:rFonts w:hint="eastAsia" w:ascii="仿宋" w:hAnsi="仿宋" w:eastAsia="仿宋"/>
          <w:color w:val="000000"/>
          <w:sz w:val="44"/>
          <w:szCs w:val="44"/>
        </w:rPr>
        <w:t>名</w:t>
      </w:r>
      <w:r>
        <w:rPr>
          <w:rStyle w:val="14"/>
          <w:rFonts w:hint="eastAsia" w:ascii="仿宋" w:hAnsi="仿宋" w:eastAsia="仿宋"/>
          <w:b w:val="0"/>
        </w:rPr>
        <w:t>词解释</w:t>
      </w:r>
      <w:bookmarkEnd w:id="42"/>
      <w:bookmarkEnd w:id="43"/>
    </w:p>
    <w:p>
      <w:pPr>
        <w:spacing w:line="600" w:lineRule="exact"/>
        <w:jc w:val="left"/>
        <w:rPr>
          <w:rFonts w:ascii="仿宋" w:hAnsi="仿宋" w:eastAsia="仿宋"/>
          <w:b/>
          <w:color w:val="000000"/>
          <w:sz w:val="44"/>
          <w:szCs w:val="44"/>
        </w:rPr>
      </w:pPr>
    </w:p>
    <w:p>
      <w:pPr>
        <w:pStyle w:val="17"/>
        <w:spacing w:line="560" w:lineRule="exact"/>
        <w:ind w:firstLine="640" w:firstLineChars="200"/>
        <w:rPr>
          <w:rFonts w:hAnsi="仿宋"/>
          <w:sz w:val="32"/>
          <w:szCs w:val="32"/>
        </w:rPr>
      </w:pPr>
      <w:r>
        <w:rPr>
          <w:rFonts w:hAnsi="仿宋"/>
          <w:sz w:val="32"/>
          <w:szCs w:val="32"/>
        </w:rPr>
        <w:t>1.</w:t>
      </w:r>
      <w:r>
        <w:rPr>
          <w:rFonts w:hint="eastAsia" w:hAnsi="仿宋"/>
          <w:sz w:val="32"/>
          <w:szCs w:val="32"/>
        </w:rPr>
        <w:t>财政拨款收入：指单位从同级财政部门取得的财政预算资金。</w:t>
      </w:r>
    </w:p>
    <w:p>
      <w:pPr>
        <w:pStyle w:val="17"/>
        <w:spacing w:line="560" w:lineRule="exact"/>
        <w:ind w:firstLine="640" w:firstLineChars="200"/>
        <w:rPr>
          <w:rFonts w:hAnsi="仿宋"/>
          <w:sz w:val="32"/>
          <w:szCs w:val="32"/>
        </w:rPr>
      </w:pPr>
      <w:r>
        <w:rPr>
          <w:rFonts w:hAnsi="仿宋"/>
          <w:sz w:val="32"/>
          <w:szCs w:val="32"/>
        </w:rPr>
        <w:t>2.</w:t>
      </w:r>
      <w:r>
        <w:rPr>
          <w:rFonts w:hint="eastAsia" w:hAnsi="仿宋"/>
          <w:sz w:val="32"/>
          <w:szCs w:val="32"/>
        </w:rPr>
        <w:t>事业收入：指事业单位开展专业业务活动及辅助活动取得的收入。</w:t>
      </w:r>
    </w:p>
    <w:p>
      <w:pPr>
        <w:pStyle w:val="17"/>
        <w:spacing w:line="560" w:lineRule="exact"/>
        <w:ind w:firstLine="640" w:firstLineChars="200"/>
        <w:rPr>
          <w:rFonts w:hAnsi="仿宋"/>
          <w:sz w:val="32"/>
          <w:szCs w:val="32"/>
        </w:rPr>
      </w:pPr>
      <w:r>
        <w:rPr>
          <w:rFonts w:hAnsi="仿宋"/>
          <w:sz w:val="32"/>
          <w:szCs w:val="32"/>
        </w:rPr>
        <w:t>3.</w:t>
      </w:r>
      <w:r>
        <w:rPr>
          <w:rFonts w:hint="eastAsia" w:hAnsi="仿宋"/>
          <w:sz w:val="32"/>
          <w:szCs w:val="32"/>
        </w:rPr>
        <w:t>经营收入：指事业单位在专业业务活动及其辅助活动之外开展非独立核算经营活动取得的收入。</w:t>
      </w:r>
    </w:p>
    <w:p>
      <w:pPr>
        <w:pStyle w:val="17"/>
        <w:spacing w:line="560" w:lineRule="exact"/>
        <w:ind w:firstLine="640" w:firstLineChars="200"/>
        <w:rPr>
          <w:rFonts w:hAnsi="仿宋"/>
          <w:sz w:val="32"/>
          <w:szCs w:val="32"/>
        </w:rPr>
      </w:pPr>
      <w:r>
        <w:rPr>
          <w:rFonts w:hAnsi="仿宋"/>
          <w:sz w:val="32"/>
          <w:szCs w:val="32"/>
        </w:rPr>
        <w:t>4.</w:t>
      </w:r>
      <w:r>
        <w:rPr>
          <w:rFonts w:hint="eastAsia" w:hAnsi="仿宋"/>
          <w:sz w:val="32"/>
          <w:szCs w:val="32"/>
        </w:rPr>
        <w:t>其他收入：指单位取得的除上述收入以外的各项收入。</w:t>
      </w:r>
      <w:r>
        <w:rPr>
          <w:rFonts w:hAnsi="仿宋"/>
          <w:sz w:val="32"/>
          <w:szCs w:val="32"/>
        </w:rPr>
        <w:t xml:space="preserve"> </w:t>
      </w:r>
    </w:p>
    <w:p>
      <w:pPr>
        <w:pStyle w:val="17"/>
        <w:spacing w:line="560" w:lineRule="exact"/>
        <w:ind w:firstLine="640" w:firstLineChars="200"/>
        <w:rPr>
          <w:rFonts w:hAnsi="仿宋"/>
          <w:sz w:val="32"/>
          <w:szCs w:val="32"/>
        </w:rPr>
      </w:pPr>
      <w:r>
        <w:rPr>
          <w:rFonts w:hAnsi="仿宋"/>
          <w:sz w:val="32"/>
          <w:szCs w:val="32"/>
        </w:rPr>
        <w:t>5.</w:t>
      </w:r>
      <w:r>
        <w:rPr>
          <w:rFonts w:hint="eastAsia" w:hAnsi="仿宋"/>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hAnsi="仿宋"/>
          <w:sz w:val="32"/>
          <w:szCs w:val="32"/>
        </w:rPr>
        <w:t xml:space="preserve"> </w:t>
      </w:r>
    </w:p>
    <w:p>
      <w:pPr>
        <w:pStyle w:val="17"/>
        <w:spacing w:line="560" w:lineRule="exact"/>
        <w:ind w:firstLine="640" w:firstLineChars="200"/>
        <w:rPr>
          <w:rFonts w:hAnsi="仿宋"/>
          <w:sz w:val="32"/>
          <w:szCs w:val="32"/>
        </w:rPr>
      </w:pPr>
      <w:r>
        <w:rPr>
          <w:rFonts w:hAnsi="仿宋"/>
          <w:sz w:val="32"/>
          <w:szCs w:val="32"/>
        </w:rPr>
        <w:t>6.</w:t>
      </w:r>
      <w:r>
        <w:rPr>
          <w:rFonts w:hint="eastAsia" w:hAnsi="仿宋"/>
          <w:sz w:val="32"/>
          <w:szCs w:val="32"/>
        </w:rPr>
        <w:t>年初结转和结余：指以前年度尚未完成、结转到本年按有关规定继续使用的资金。</w:t>
      </w:r>
      <w:r>
        <w:rPr>
          <w:rFonts w:hAnsi="仿宋"/>
          <w:sz w:val="32"/>
          <w:szCs w:val="32"/>
        </w:rPr>
        <w:t xml:space="preserve"> </w:t>
      </w:r>
    </w:p>
    <w:p>
      <w:pPr>
        <w:pStyle w:val="17"/>
        <w:spacing w:line="560" w:lineRule="exact"/>
        <w:ind w:firstLine="640" w:firstLineChars="200"/>
        <w:rPr>
          <w:rFonts w:hAnsi="仿宋"/>
          <w:sz w:val="32"/>
          <w:szCs w:val="32"/>
        </w:rPr>
      </w:pPr>
      <w:r>
        <w:rPr>
          <w:rFonts w:hAnsi="仿宋"/>
          <w:sz w:val="32"/>
          <w:szCs w:val="32"/>
        </w:rPr>
        <w:t>7.</w:t>
      </w:r>
      <w:r>
        <w:rPr>
          <w:rFonts w:hint="eastAsia" w:hAnsi="仿宋"/>
          <w:sz w:val="32"/>
          <w:szCs w:val="32"/>
        </w:rPr>
        <w:t>结余分配：指事业单位按照事业单位会计制度的规定从非财政补助结余中分配的事业基金和职工福利基金等。</w:t>
      </w:r>
    </w:p>
    <w:p>
      <w:pPr>
        <w:pStyle w:val="17"/>
        <w:spacing w:line="560" w:lineRule="exact"/>
        <w:ind w:firstLine="640" w:firstLineChars="200"/>
        <w:rPr>
          <w:rFonts w:hAnsi="仿宋"/>
          <w:sz w:val="32"/>
          <w:szCs w:val="32"/>
        </w:rPr>
      </w:pPr>
      <w:r>
        <w:rPr>
          <w:rFonts w:hAnsi="仿宋"/>
          <w:sz w:val="32"/>
          <w:szCs w:val="32"/>
        </w:rPr>
        <w:t>8</w:t>
      </w:r>
      <w:r>
        <w:rPr>
          <w:rFonts w:hint="eastAsia" w:hAnsi="仿宋"/>
          <w:sz w:val="32"/>
          <w:szCs w:val="32"/>
        </w:rPr>
        <w:t>、年末结转和结余：指单位按有关规定结转到下年或以后年度继续使用的资金。</w:t>
      </w:r>
    </w:p>
    <w:p>
      <w:pPr>
        <w:ind w:firstLine="640" w:firstLineChars="20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9</w:t>
      </w:r>
      <w:r>
        <w:rPr>
          <w:rFonts w:ascii="仿宋" w:hAnsi="仿宋" w:eastAsia="仿宋" w:cs="仿宋"/>
          <w:color w:val="000000"/>
          <w:kern w:val="0"/>
          <w:sz w:val="32"/>
          <w:szCs w:val="32"/>
          <w:lang w:val="en-US" w:eastAsia="zh-CN" w:bidi="ar-SA"/>
        </w:rPr>
        <w:t>.</w:t>
      </w:r>
      <w:r>
        <w:rPr>
          <w:rFonts w:hint="eastAsia" w:ascii="仿宋" w:hAnsi="仿宋" w:eastAsia="仿宋" w:cs="仿宋"/>
          <w:color w:val="000000"/>
          <w:kern w:val="0"/>
          <w:sz w:val="32"/>
          <w:szCs w:val="32"/>
          <w:lang w:val="en-US" w:eastAsia="zh-CN" w:bidi="ar-SA"/>
        </w:rPr>
        <w:t>城乡社区支出（类）国有土地使用权出让收入及对应专项债务收入安排的支出（款） 征地和拆迁补偿支出（项）</w:t>
      </w:r>
      <w:r>
        <w:rPr>
          <w:rFonts w:ascii="仿宋" w:hAnsi="仿宋" w:eastAsia="仿宋" w:cs="仿宋"/>
          <w:color w:val="000000"/>
          <w:kern w:val="0"/>
          <w:sz w:val="32"/>
          <w:szCs w:val="32"/>
          <w:lang w:val="en-US" w:eastAsia="zh-CN" w:bidi="ar-SA"/>
        </w:rPr>
        <w:t>:</w:t>
      </w:r>
      <w:r>
        <w:rPr>
          <w:rFonts w:hint="eastAsia" w:ascii="仿宋" w:hAnsi="仿宋" w:eastAsia="仿宋"/>
          <w:color w:val="000000"/>
          <w:sz w:val="32"/>
          <w:szCs w:val="32"/>
        </w:rPr>
        <w:t>指新疆生产建设兵团和地方政府在征地和收购土地过程中支付的土地补偿费、安置补助费、地上附着和青苗补偿费、拆迁</w:t>
      </w:r>
      <w:r>
        <w:rPr>
          <w:rFonts w:hint="eastAsia" w:ascii="仿宋" w:hAnsi="仿宋" w:eastAsia="仿宋" w:cs="仿宋"/>
          <w:color w:val="000000"/>
          <w:kern w:val="0"/>
          <w:sz w:val="32"/>
          <w:szCs w:val="32"/>
          <w:lang w:val="en-US" w:eastAsia="zh-CN" w:bidi="ar-SA"/>
        </w:rPr>
        <w:t>补偿费支出。</w:t>
      </w:r>
    </w:p>
    <w:p>
      <w:pPr>
        <w:ind w:firstLine="640" w:firstLineChars="200"/>
        <w:rPr>
          <w:rFonts w:ascii="仿宋" w:hAnsi="仿宋" w:eastAsia="仿宋"/>
          <w:color w:val="000000"/>
          <w:sz w:val="32"/>
          <w:szCs w:val="32"/>
        </w:rPr>
      </w:pPr>
      <w:r>
        <w:rPr>
          <w:rFonts w:hint="eastAsia" w:ascii="仿宋" w:hAnsi="仿宋" w:eastAsia="仿宋" w:cs="仿宋"/>
          <w:color w:val="000000"/>
          <w:kern w:val="0"/>
          <w:sz w:val="32"/>
          <w:szCs w:val="32"/>
          <w:lang w:val="en-US" w:eastAsia="zh-CN" w:bidi="ar-SA"/>
        </w:rPr>
        <w:t xml:space="preserve">10.城乡社区支出（类）国有土地使用权出让收入及对应专项债务收入安排的支出（款） 土地开发支出（项）: </w:t>
      </w:r>
      <w:r>
        <w:rPr>
          <w:rFonts w:hint="eastAsia" w:ascii="仿宋" w:hAnsi="仿宋" w:eastAsia="仿宋"/>
          <w:color w:val="000000"/>
          <w:sz w:val="32"/>
          <w:szCs w:val="32"/>
        </w:rPr>
        <w:t>指新疆生产建设兵团和地方政府用于前期土地开发性支出以及与前期土地开发相关的费用支出。</w:t>
      </w:r>
    </w:p>
    <w:p>
      <w:pPr>
        <w:ind w:firstLine="640" w:firstLineChars="200"/>
        <w:rPr>
          <w:rFonts w:ascii="仿宋" w:hAnsi="仿宋" w:eastAsia="仿宋"/>
          <w:color w:val="000000"/>
          <w:sz w:val="32"/>
          <w:szCs w:val="32"/>
        </w:rPr>
      </w:pPr>
      <w:r>
        <w:rPr>
          <w:rFonts w:hint="eastAsia" w:ascii="仿宋" w:hAnsi="仿宋" w:eastAsia="仿宋" w:cs="仿宋"/>
          <w:color w:val="000000"/>
          <w:kern w:val="0"/>
          <w:sz w:val="32"/>
          <w:szCs w:val="32"/>
          <w:lang w:val="en-US" w:eastAsia="zh-CN" w:bidi="ar-SA"/>
        </w:rPr>
        <w:t>11.城乡社区支出（类）土地储备专项债券收入安排的支出（款）征地和拆迁补偿支出（项）:指土</w:t>
      </w:r>
      <w:r>
        <w:rPr>
          <w:rFonts w:hint="eastAsia" w:ascii="仿宋" w:hAnsi="仿宋" w:eastAsia="仿宋"/>
          <w:color w:val="000000"/>
          <w:sz w:val="32"/>
          <w:szCs w:val="32"/>
        </w:rPr>
        <w:t>地储备专项债券用于新疆生产建设兵团和地方政府在征地和收购土地过程中支付的土地补偿费、安置补助费、地上附着和青苗补偿费、拆迁补偿费支出。</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12</w:t>
      </w:r>
      <w:r>
        <w:rPr>
          <w:rFonts w:ascii="仿宋" w:hAnsi="仿宋" w:eastAsia="仿宋"/>
          <w:color w:val="000000"/>
          <w:sz w:val="32"/>
          <w:szCs w:val="32"/>
        </w:rPr>
        <w:t>.</w:t>
      </w:r>
      <w:r>
        <w:rPr>
          <w:rFonts w:hint="eastAsia" w:ascii="仿宋" w:hAnsi="仿宋" w:eastAsia="仿宋"/>
          <w:color w:val="000000"/>
          <w:sz w:val="32"/>
          <w:szCs w:val="32"/>
        </w:rPr>
        <w:t>基本支出：指为保障机构正常运转、完成日常工作任务而发生的人员支出和公用支出。</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13</w:t>
      </w:r>
      <w:r>
        <w:rPr>
          <w:rFonts w:ascii="仿宋" w:hAnsi="仿宋" w:eastAsia="仿宋"/>
          <w:color w:val="000000"/>
          <w:sz w:val="32"/>
          <w:szCs w:val="32"/>
        </w:rPr>
        <w:t>.</w:t>
      </w:r>
      <w:r>
        <w:rPr>
          <w:rFonts w:hint="eastAsia" w:ascii="仿宋" w:hAnsi="仿宋" w:eastAsia="仿宋"/>
          <w:color w:val="000000"/>
          <w:sz w:val="32"/>
          <w:szCs w:val="32"/>
        </w:rPr>
        <w:t>项目支出：指在基本支出之外为完成特定行政任务和事业发展目标所发生的支出。</w:t>
      </w:r>
      <w:r>
        <w:rPr>
          <w:rFonts w:ascii="仿宋" w:hAnsi="仿宋" w:eastAsia="仿宋"/>
          <w:color w:val="000000"/>
          <w:sz w:val="32"/>
          <w:szCs w:val="32"/>
        </w:rPr>
        <w:t xml:space="preserve"> </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14</w:t>
      </w:r>
      <w:r>
        <w:rPr>
          <w:rFonts w:ascii="仿宋" w:hAnsi="仿宋" w:eastAsia="仿宋"/>
          <w:color w:val="000000"/>
          <w:sz w:val="32"/>
          <w:szCs w:val="32"/>
        </w:rPr>
        <w:t>.</w:t>
      </w:r>
      <w:r>
        <w:rPr>
          <w:rFonts w:hint="eastAsia" w:ascii="仿宋" w:hAnsi="仿宋" w:eastAsia="仿宋"/>
          <w:color w:val="000000"/>
          <w:sz w:val="32"/>
          <w:szCs w:val="32"/>
        </w:rPr>
        <w:t>经营支出：指事业单位在专业业务活动及其辅助活动之外开展非独立核算经营活动发生的支出。</w:t>
      </w:r>
    </w:p>
    <w:p>
      <w:pPr>
        <w:pStyle w:val="17"/>
        <w:spacing w:line="560" w:lineRule="exact"/>
        <w:ind w:firstLine="640" w:firstLineChars="200"/>
        <w:rPr>
          <w:rFonts w:hAnsi="仿宋"/>
          <w:sz w:val="32"/>
          <w:szCs w:val="32"/>
        </w:rPr>
      </w:pPr>
      <w:r>
        <w:rPr>
          <w:rFonts w:hint="eastAsia" w:hAnsi="仿宋"/>
          <w:sz w:val="32"/>
          <w:szCs w:val="32"/>
        </w:rPr>
        <w:t>15</w:t>
      </w:r>
      <w:r>
        <w:rPr>
          <w:rFonts w:hAnsi="仿宋"/>
          <w:sz w:val="32"/>
          <w:szCs w:val="32"/>
        </w:rPr>
        <w:t>.</w:t>
      </w:r>
      <w:r>
        <w:rPr>
          <w:rFonts w:hint="eastAsia" w:hAnsi="仿宋"/>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7"/>
        <w:spacing w:line="560" w:lineRule="exact"/>
        <w:ind w:firstLine="640" w:firstLineChars="200"/>
        <w:rPr>
          <w:rFonts w:hAnsi="仿宋"/>
          <w:sz w:val="32"/>
          <w:szCs w:val="32"/>
        </w:rPr>
      </w:pPr>
      <w:r>
        <w:rPr>
          <w:rFonts w:hint="eastAsia" w:hAnsi="仿宋"/>
          <w:sz w:val="32"/>
          <w:szCs w:val="32"/>
        </w:rPr>
        <w:t>16</w:t>
      </w:r>
      <w:r>
        <w:rPr>
          <w:rFonts w:hAnsi="仿宋"/>
          <w:sz w:val="32"/>
          <w:szCs w:val="32"/>
        </w:rPr>
        <w:t>.</w:t>
      </w:r>
      <w:r>
        <w:rPr>
          <w:rFonts w:hint="eastAsia" w:hAnsi="仿宋"/>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outlineLvl w:val="0"/>
        <w:rPr>
          <w:rFonts w:ascii="仿宋" w:hAnsi="仿宋" w:eastAsia="仿宋"/>
          <w:color w:val="000000"/>
          <w:sz w:val="44"/>
          <w:szCs w:val="44"/>
        </w:rPr>
      </w:pPr>
      <w:bookmarkStart w:id="44" w:name="_Toc15377226"/>
      <w:bookmarkStart w:id="45" w:name="_Toc15396618"/>
    </w:p>
    <w:p>
      <w:pPr>
        <w:spacing w:line="600" w:lineRule="exact"/>
        <w:outlineLvl w:val="0"/>
        <w:rPr>
          <w:rFonts w:ascii="仿宋" w:hAnsi="仿宋" w:eastAsia="仿宋"/>
          <w:color w:val="000000"/>
          <w:sz w:val="44"/>
          <w:szCs w:val="44"/>
        </w:rPr>
      </w:pPr>
    </w:p>
    <w:p>
      <w:pPr>
        <w:spacing w:line="600" w:lineRule="exact"/>
        <w:outlineLvl w:val="0"/>
        <w:rPr>
          <w:rFonts w:ascii="仿宋" w:hAnsi="仿宋" w:eastAsia="仿宋"/>
          <w:color w:val="000000"/>
          <w:sz w:val="44"/>
          <w:szCs w:val="44"/>
        </w:rPr>
      </w:pPr>
    </w:p>
    <w:p>
      <w:pPr>
        <w:spacing w:line="600" w:lineRule="exact"/>
        <w:outlineLvl w:val="0"/>
        <w:rPr>
          <w:rFonts w:ascii="仿宋" w:hAnsi="仿宋" w:eastAsia="仿宋"/>
          <w:color w:val="000000"/>
          <w:sz w:val="44"/>
          <w:szCs w:val="44"/>
        </w:rPr>
      </w:pPr>
    </w:p>
    <w:p>
      <w:pPr>
        <w:spacing w:line="600" w:lineRule="exact"/>
        <w:outlineLvl w:val="0"/>
        <w:rPr>
          <w:rFonts w:ascii="仿宋" w:hAnsi="仿宋" w:eastAsia="仿宋"/>
          <w:color w:val="000000"/>
          <w:sz w:val="44"/>
          <w:szCs w:val="44"/>
        </w:rPr>
      </w:pPr>
    </w:p>
    <w:p>
      <w:pPr>
        <w:spacing w:line="600" w:lineRule="exact"/>
        <w:outlineLvl w:val="0"/>
        <w:rPr>
          <w:rFonts w:ascii="仿宋" w:hAnsi="仿宋" w:eastAsia="仿宋"/>
          <w:color w:val="000000"/>
          <w:sz w:val="44"/>
          <w:szCs w:val="44"/>
        </w:rPr>
      </w:pPr>
    </w:p>
    <w:p>
      <w:pPr>
        <w:spacing w:line="600" w:lineRule="exact"/>
        <w:outlineLvl w:val="0"/>
        <w:rPr>
          <w:rFonts w:ascii="仿宋" w:hAnsi="仿宋" w:eastAsia="仿宋"/>
          <w:color w:val="000000"/>
          <w:sz w:val="44"/>
          <w:szCs w:val="44"/>
        </w:rPr>
      </w:pPr>
    </w:p>
    <w:p>
      <w:pPr>
        <w:spacing w:line="600" w:lineRule="exact"/>
        <w:outlineLvl w:val="0"/>
        <w:rPr>
          <w:rFonts w:ascii="仿宋" w:hAnsi="仿宋" w:eastAsia="仿宋"/>
          <w:color w:val="000000"/>
          <w:sz w:val="44"/>
          <w:szCs w:val="44"/>
        </w:rPr>
      </w:pPr>
    </w:p>
    <w:p>
      <w:pPr>
        <w:spacing w:line="600" w:lineRule="exact"/>
        <w:outlineLvl w:val="0"/>
        <w:rPr>
          <w:rFonts w:ascii="仿宋" w:hAnsi="仿宋" w:eastAsia="仿宋"/>
          <w:color w:val="000000"/>
          <w:sz w:val="44"/>
          <w:szCs w:val="44"/>
        </w:rPr>
      </w:pPr>
    </w:p>
    <w:p>
      <w:pPr>
        <w:spacing w:line="600" w:lineRule="exact"/>
        <w:outlineLvl w:val="0"/>
        <w:rPr>
          <w:rFonts w:ascii="仿宋" w:hAnsi="仿宋" w:eastAsia="仿宋"/>
          <w:color w:val="000000"/>
          <w:sz w:val="44"/>
          <w:szCs w:val="44"/>
        </w:rPr>
      </w:pPr>
    </w:p>
    <w:p>
      <w:pPr>
        <w:spacing w:line="600" w:lineRule="exact"/>
        <w:outlineLvl w:val="0"/>
        <w:rPr>
          <w:rFonts w:ascii="仿宋" w:hAnsi="仿宋" w:eastAsia="仿宋"/>
          <w:color w:val="000000"/>
          <w:sz w:val="44"/>
          <w:szCs w:val="44"/>
        </w:rPr>
      </w:pPr>
    </w:p>
    <w:p>
      <w:pPr>
        <w:spacing w:line="600" w:lineRule="exact"/>
        <w:outlineLvl w:val="0"/>
        <w:rPr>
          <w:rFonts w:ascii="仿宋" w:hAnsi="仿宋" w:eastAsia="仿宋"/>
          <w:color w:val="000000"/>
          <w:sz w:val="44"/>
          <w:szCs w:val="44"/>
        </w:rPr>
      </w:pPr>
    </w:p>
    <w:p>
      <w:pPr>
        <w:spacing w:line="600" w:lineRule="exact"/>
        <w:outlineLvl w:val="0"/>
        <w:rPr>
          <w:rFonts w:ascii="仿宋" w:hAnsi="仿宋" w:eastAsia="仿宋"/>
          <w:color w:val="000000"/>
          <w:sz w:val="44"/>
          <w:szCs w:val="44"/>
        </w:rPr>
      </w:pPr>
    </w:p>
    <w:p>
      <w:pPr>
        <w:spacing w:line="600" w:lineRule="exact"/>
        <w:outlineLvl w:val="0"/>
        <w:rPr>
          <w:rFonts w:ascii="仿宋" w:hAnsi="仿宋" w:eastAsia="仿宋"/>
          <w:color w:val="000000"/>
          <w:sz w:val="44"/>
          <w:szCs w:val="44"/>
        </w:rPr>
      </w:pPr>
    </w:p>
    <w:p>
      <w:pPr>
        <w:spacing w:line="600" w:lineRule="exact"/>
        <w:outlineLvl w:val="0"/>
        <w:rPr>
          <w:rFonts w:ascii="仿宋" w:hAnsi="仿宋" w:eastAsia="仿宋"/>
          <w:color w:val="000000"/>
          <w:sz w:val="44"/>
          <w:szCs w:val="44"/>
        </w:rPr>
      </w:pPr>
    </w:p>
    <w:p>
      <w:pPr>
        <w:spacing w:line="600" w:lineRule="exact"/>
        <w:outlineLvl w:val="0"/>
        <w:rPr>
          <w:rFonts w:ascii="仿宋" w:hAnsi="仿宋" w:eastAsia="仿宋"/>
          <w:color w:val="000000"/>
          <w:sz w:val="44"/>
          <w:szCs w:val="44"/>
        </w:rPr>
      </w:pPr>
    </w:p>
    <w:p>
      <w:pPr>
        <w:spacing w:line="600" w:lineRule="exact"/>
        <w:jc w:val="center"/>
        <w:outlineLvl w:val="0"/>
        <w:rPr>
          <w:rStyle w:val="14"/>
          <w:rFonts w:ascii="仿宋" w:hAnsi="仿宋" w:eastAsia="仿宋"/>
          <w:b w:val="0"/>
        </w:rPr>
      </w:pPr>
      <w:r>
        <w:rPr>
          <w:rFonts w:hint="eastAsia" w:ascii="仿宋" w:hAnsi="仿宋" w:eastAsia="仿宋"/>
          <w:color w:val="000000"/>
          <w:sz w:val="44"/>
          <w:szCs w:val="44"/>
        </w:rPr>
        <w:t>第</w:t>
      </w:r>
      <w:r>
        <w:rPr>
          <w:rStyle w:val="14"/>
          <w:rFonts w:hint="eastAsia" w:ascii="仿宋" w:hAnsi="仿宋" w:eastAsia="仿宋"/>
          <w:b w:val="0"/>
        </w:rPr>
        <w:t>四部分 附表</w:t>
      </w:r>
      <w:bookmarkEnd w:id="44"/>
      <w:bookmarkEnd w:id="45"/>
      <w:bookmarkStart w:id="58" w:name="_GoBack"/>
      <w:bookmarkEnd w:id="58"/>
    </w:p>
    <w:p>
      <w:pPr>
        <w:pStyle w:val="4"/>
        <w:rPr>
          <w:rFonts w:ascii="仿宋" w:hAnsi="仿宋" w:eastAsia="仿宋"/>
          <w:color w:val="000000"/>
        </w:rPr>
      </w:pPr>
      <w:bookmarkStart w:id="46" w:name="_Toc15396619"/>
      <w:r>
        <w:rPr>
          <w:rFonts w:hint="eastAsia" w:ascii="仿宋" w:hAnsi="仿宋" w:eastAsia="仿宋"/>
          <w:b w:val="0"/>
          <w:color w:val="000000"/>
        </w:rPr>
        <w:t>一、收</w:t>
      </w:r>
      <w:r>
        <w:rPr>
          <w:rStyle w:val="15"/>
          <w:rFonts w:hint="eastAsia" w:ascii="仿宋" w:hAnsi="仿宋" w:eastAsia="仿宋"/>
          <w:b w:val="0"/>
          <w:bCs w:val="0"/>
        </w:rPr>
        <w:t>入支出决算总表</w:t>
      </w:r>
      <w:bookmarkEnd w:id="46"/>
    </w:p>
    <w:p>
      <w:pPr>
        <w:pStyle w:val="4"/>
        <w:rPr>
          <w:rFonts w:ascii="仿宋" w:hAnsi="仿宋" w:eastAsia="仿宋"/>
          <w:color w:val="000000"/>
        </w:rPr>
      </w:pPr>
      <w:bookmarkStart w:id="47" w:name="_Toc15396620"/>
      <w:r>
        <w:rPr>
          <w:rFonts w:hint="eastAsia" w:ascii="仿宋" w:hAnsi="仿宋" w:eastAsia="仿宋"/>
          <w:b w:val="0"/>
          <w:color w:val="000000"/>
        </w:rPr>
        <w:t>二、收</w:t>
      </w:r>
      <w:r>
        <w:rPr>
          <w:rStyle w:val="15"/>
          <w:rFonts w:hint="eastAsia" w:ascii="仿宋" w:hAnsi="仿宋" w:eastAsia="仿宋"/>
          <w:b w:val="0"/>
          <w:bCs w:val="0"/>
        </w:rPr>
        <w:t>入决算表</w:t>
      </w:r>
      <w:bookmarkEnd w:id="47"/>
    </w:p>
    <w:p>
      <w:pPr>
        <w:pStyle w:val="4"/>
        <w:rPr>
          <w:rFonts w:ascii="仿宋" w:hAnsi="仿宋" w:eastAsia="仿宋"/>
          <w:color w:val="000000"/>
        </w:rPr>
      </w:pPr>
      <w:bookmarkStart w:id="48" w:name="_Toc15396621"/>
      <w:r>
        <w:rPr>
          <w:rStyle w:val="15"/>
          <w:rFonts w:hint="eastAsia" w:ascii="仿宋" w:hAnsi="仿宋" w:eastAsia="仿宋"/>
          <w:b w:val="0"/>
          <w:bCs w:val="0"/>
        </w:rPr>
        <w:t>三、</w:t>
      </w:r>
      <w:r>
        <w:rPr>
          <w:rFonts w:hint="eastAsia" w:ascii="仿宋" w:hAnsi="仿宋" w:eastAsia="仿宋"/>
          <w:b w:val="0"/>
          <w:color w:val="000000"/>
        </w:rPr>
        <w:t>支</w:t>
      </w:r>
      <w:r>
        <w:rPr>
          <w:rStyle w:val="15"/>
          <w:rFonts w:hint="eastAsia" w:ascii="仿宋" w:hAnsi="仿宋" w:eastAsia="仿宋"/>
          <w:b w:val="0"/>
          <w:bCs w:val="0"/>
        </w:rPr>
        <w:t>出决算表</w:t>
      </w:r>
      <w:bookmarkEnd w:id="48"/>
    </w:p>
    <w:p>
      <w:pPr>
        <w:pStyle w:val="4"/>
        <w:rPr>
          <w:rFonts w:ascii="仿宋" w:hAnsi="仿宋" w:eastAsia="仿宋"/>
          <w:b w:val="0"/>
          <w:color w:val="000000"/>
        </w:rPr>
      </w:pPr>
      <w:bookmarkStart w:id="49" w:name="_Toc15396622"/>
      <w:r>
        <w:rPr>
          <w:rStyle w:val="15"/>
          <w:rFonts w:hint="eastAsia" w:ascii="仿宋" w:hAnsi="仿宋" w:eastAsia="仿宋"/>
          <w:b w:val="0"/>
          <w:bCs w:val="0"/>
        </w:rPr>
        <w:t>四、</w:t>
      </w:r>
      <w:r>
        <w:rPr>
          <w:rFonts w:hint="eastAsia" w:ascii="仿宋" w:hAnsi="仿宋" w:eastAsia="仿宋"/>
          <w:b w:val="0"/>
          <w:color w:val="000000"/>
        </w:rPr>
        <w:t>财</w:t>
      </w:r>
      <w:r>
        <w:rPr>
          <w:rStyle w:val="15"/>
          <w:rFonts w:hint="eastAsia" w:ascii="仿宋" w:hAnsi="仿宋" w:eastAsia="仿宋"/>
          <w:b w:val="0"/>
          <w:bCs w:val="0"/>
        </w:rPr>
        <w:t>政拨款收入支出决算总表</w:t>
      </w:r>
      <w:bookmarkEnd w:id="49"/>
    </w:p>
    <w:p>
      <w:pPr>
        <w:pStyle w:val="4"/>
        <w:rPr>
          <w:rStyle w:val="15"/>
          <w:rFonts w:ascii="仿宋" w:hAnsi="仿宋" w:eastAsia="仿宋"/>
          <w:b w:val="0"/>
          <w:bCs w:val="0"/>
        </w:rPr>
      </w:pPr>
      <w:bookmarkStart w:id="50" w:name="_Toc15396623"/>
      <w:r>
        <w:rPr>
          <w:rStyle w:val="15"/>
          <w:rFonts w:hint="eastAsia" w:ascii="仿宋" w:hAnsi="仿宋" w:eastAsia="仿宋"/>
          <w:b w:val="0"/>
          <w:bCs w:val="0"/>
        </w:rPr>
        <w:t>五、</w:t>
      </w:r>
      <w:r>
        <w:rPr>
          <w:rFonts w:hint="eastAsia" w:ascii="仿宋" w:hAnsi="仿宋" w:eastAsia="仿宋"/>
          <w:b w:val="0"/>
          <w:color w:val="000000"/>
        </w:rPr>
        <w:t>财</w:t>
      </w:r>
      <w:r>
        <w:rPr>
          <w:rStyle w:val="15"/>
          <w:rFonts w:hint="eastAsia" w:ascii="仿宋" w:hAnsi="仿宋" w:eastAsia="仿宋"/>
          <w:b w:val="0"/>
          <w:bCs w:val="0"/>
        </w:rPr>
        <w:t>政拨款支出决算明细表</w:t>
      </w:r>
      <w:bookmarkEnd w:id="50"/>
      <w:bookmarkStart w:id="51" w:name="_Toc15396624"/>
    </w:p>
    <w:p>
      <w:pPr>
        <w:pStyle w:val="4"/>
        <w:rPr>
          <w:rFonts w:ascii="仿宋" w:hAnsi="仿宋" w:eastAsia="仿宋"/>
          <w:color w:val="000000"/>
        </w:rPr>
      </w:pPr>
      <w:r>
        <w:rPr>
          <w:rStyle w:val="15"/>
          <w:rFonts w:hint="eastAsia" w:ascii="仿宋" w:hAnsi="仿宋" w:eastAsia="仿宋"/>
          <w:b w:val="0"/>
          <w:bCs w:val="0"/>
        </w:rPr>
        <w:t>六、</w:t>
      </w:r>
      <w:r>
        <w:rPr>
          <w:rFonts w:hint="eastAsia" w:ascii="仿宋" w:hAnsi="仿宋" w:eastAsia="仿宋"/>
          <w:b w:val="0"/>
          <w:color w:val="000000"/>
        </w:rPr>
        <w:t>一</w:t>
      </w:r>
      <w:r>
        <w:rPr>
          <w:rStyle w:val="15"/>
          <w:rFonts w:hint="eastAsia" w:ascii="仿宋" w:hAnsi="仿宋" w:eastAsia="仿宋"/>
          <w:b w:val="0"/>
          <w:bCs w:val="0"/>
        </w:rPr>
        <w:t>般公共预算财政拨款支出决算表</w:t>
      </w:r>
      <w:bookmarkEnd w:id="51"/>
      <w:r>
        <w:rPr>
          <w:rStyle w:val="18"/>
          <w:rFonts w:hint="eastAsia" w:ascii="仿宋" w:hAnsi="仿宋" w:eastAsia="仿宋"/>
          <w:b w:val="0"/>
          <w:bCs w:val="0"/>
        </w:rPr>
        <w:t>(本表无数据)</w:t>
      </w:r>
    </w:p>
    <w:p>
      <w:pPr>
        <w:pStyle w:val="4"/>
        <w:rPr>
          <w:rFonts w:ascii="仿宋" w:hAnsi="仿宋" w:eastAsia="仿宋"/>
          <w:color w:val="000000"/>
        </w:rPr>
      </w:pPr>
      <w:bookmarkStart w:id="52" w:name="_Toc15396625"/>
      <w:r>
        <w:rPr>
          <w:rStyle w:val="15"/>
          <w:rFonts w:hint="eastAsia" w:ascii="仿宋" w:hAnsi="仿宋" w:eastAsia="仿宋"/>
          <w:b w:val="0"/>
          <w:bCs w:val="0"/>
        </w:rPr>
        <w:t>七、</w:t>
      </w:r>
      <w:r>
        <w:rPr>
          <w:rFonts w:hint="eastAsia" w:ascii="仿宋" w:hAnsi="仿宋" w:eastAsia="仿宋"/>
          <w:b w:val="0"/>
          <w:color w:val="000000"/>
        </w:rPr>
        <w:t>一</w:t>
      </w:r>
      <w:r>
        <w:rPr>
          <w:rStyle w:val="15"/>
          <w:rFonts w:hint="eastAsia" w:ascii="仿宋" w:hAnsi="仿宋" w:eastAsia="仿宋"/>
          <w:b w:val="0"/>
          <w:bCs w:val="0"/>
        </w:rPr>
        <w:t>般公共预算财政拨款支出决算明细表</w:t>
      </w:r>
      <w:bookmarkEnd w:id="52"/>
      <w:r>
        <w:rPr>
          <w:rStyle w:val="18"/>
          <w:rFonts w:hint="eastAsia" w:ascii="仿宋" w:hAnsi="仿宋" w:eastAsia="仿宋"/>
          <w:b w:val="0"/>
          <w:bCs w:val="0"/>
        </w:rPr>
        <w:t>(本表无数据)</w:t>
      </w:r>
    </w:p>
    <w:p>
      <w:pPr>
        <w:pStyle w:val="4"/>
        <w:rPr>
          <w:rFonts w:ascii="仿宋" w:hAnsi="仿宋" w:eastAsia="仿宋"/>
          <w:color w:val="000000"/>
        </w:rPr>
      </w:pPr>
      <w:bookmarkStart w:id="53" w:name="_Toc15396626"/>
      <w:r>
        <w:rPr>
          <w:rStyle w:val="15"/>
          <w:rFonts w:hint="eastAsia" w:ascii="仿宋" w:hAnsi="仿宋" w:eastAsia="仿宋"/>
          <w:b w:val="0"/>
          <w:bCs w:val="0"/>
        </w:rPr>
        <w:t>八、</w:t>
      </w:r>
      <w:r>
        <w:rPr>
          <w:rFonts w:hint="eastAsia" w:ascii="仿宋" w:hAnsi="仿宋" w:eastAsia="仿宋"/>
          <w:b w:val="0"/>
          <w:color w:val="000000"/>
        </w:rPr>
        <w:t>一</w:t>
      </w:r>
      <w:r>
        <w:rPr>
          <w:rStyle w:val="15"/>
          <w:rFonts w:hint="eastAsia" w:ascii="仿宋" w:hAnsi="仿宋" w:eastAsia="仿宋"/>
          <w:b w:val="0"/>
          <w:bCs w:val="0"/>
        </w:rPr>
        <w:t>般公共预算财政拨款基本支出决算表</w:t>
      </w:r>
      <w:bookmarkEnd w:id="53"/>
      <w:r>
        <w:rPr>
          <w:rStyle w:val="18"/>
          <w:rFonts w:hint="eastAsia" w:ascii="仿宋" w:hAnsi="仿宋" w:eastAsia="仿宋"/>
          <w:b w:val="0"/>
          <w:bCs w:val="0"/>
        </w:rPr>
        <w:t>(本表无数据)</w:t>
      </w:r>
    </w:p>
    <w:p>
      <w:pPr>
        <w:pStyle w:val="4"/>
        <w:rPr>
          <w:rFonts w:ascii="仿宋" w:hAnsi="仿宋" w:eastAsia="仿宋"/>
          <w:color w:val="000000"/>
        </w:rPr>
      </w:pPr>
      <w:bookmarkStart w:id="54" w:name="_Toc15396627"/>
      <w:r>
        <w:rPr>
          <w:rStyle w:val="15"/>
          <w:rFonts w:hint="eastAsia" w:ascii="仿宋" w:hAnsi="仿宋" w:eastAsia="仿宋"/>
          <w:b w:val="0"/>
          <w:bCs w:val="0"/>
        </w:rPr>
        <w:t>九、</w:t>
      </w:r>
      <w:r>
        <w:rPr>
          <w:rFonts w:hint="eastAsia" w:ascii="仿宋" w:hAnsi="仿宋" w:eastAsia="仿宋"/>
          <w:b w:val="0"/>
          <w:color w:val="000000"/>
        </w:rPr>
        <w:t>一</w:t>
      </w:r>
      <w:r>
        <w:rPr>
          <w:rStyle w:val="15"/>
          <w:rFonts w:hint="eastAsia" w:ascii="仿宋" w:hAnsi="仿宋" w:eastAsia="仿宋"/>
          <w:b w:val="0"/>
          <w:bCs w:val="0"/>
        </w:rPr>
        <w:t>般公共预算财政拨款项目支出决算表</w:t>
      </w:r>
      <w:bookmarkEnd w:id="54"/>
      <w:r>
        <w:rPr>
          <w:rStyle w:val="18"/>
          <w:rFonts w:hint="eastAsia" w:ascii="仿宋" w:hAnsi="仿宋" w:eastAsia="仿宋"/>
          <w:b w:val="0"/>
          <w:bCs w:val="0"/>
        </w:rPr>
        <w:t>(本表无数据)</w:t>
      </w:r>
    </w:p>
    <w:p>
      <w:pPr>
        <w:pStyle w:val="4"/>
        <w:rPr>
          <w:rFonts w:ascii="仿宋" w:hAnsi="仿宋" w:eastAsia="仿宋"/>
          <w:color w:val="000000"/>
        </w:rPr>
      </w:pPr>
      <w:bookmarkStart w:id="55" w:name="_Toc15396628"/>
      <w:r>
        <w:rPr>
          <w:rStyle w:val="15"/>
          <w:rFonts w:hint="eastAsia" w:ascii="仿宋" w:hAnsi="仿宋" w:eastAsia="仿宋"/>
          <w:b w:val="0"/>
          <w:bCs w:val="0"/>
        </w:rPr>
        <w:t>十、</w:t>
      </w:r>
      <w:r>
        <w:rPr>
          <w:rFonts w:hint="eastAsia" w:ascii="仿宋" w:hAnsi="仿宋" w:eastAsia="仿宋"/>
          <w:b w:val="0"/>
          <w:color w:val="000000"/>
        </w:rPr>
        <w:t>一</w:t>
      </w:r>
      <w:r>
        <w:rPr>
          <w:rStyle w:val="15"/>
          <w:rFonts w:hint="eastAsia" w:ascii="仿宋" w:hAnsi="仿宋" w:eastAsia="仿宋"/>
          <w:b w:val="0"/>
          <w:bCs w:val="0"/>
        </w:rPr>
        <w:t>般公共预算财政拨款“三公”经费支出决算表</w:t>
      </w:r>
      <w:bookmarkEnd w:id="55"/>
      <w:r>
        <w:rPr>
          <w:rStyle w:val="18"/>
          <w:rFonts w:hint="eastAsia" w:ascii="仿宋" w:hAnsi="仿宋" w:eastAsia="仿宋"/>
          <w:b w:val="0"/>
          <w:bCs w:val="0"/>
        </w:rPr>
        <w:t>(本表无数据)</w:t>
      </w:r>
    </w:p>
    <w:p>
      <w:pPr>
        <w:pStyle w:val="4"/>
        <w:rPr>
          <w:rFonts w:ascii="仿宋" w:hAnsi="仿宋" w:eastAsia="仿宋"/>
          <w:color w:val="000000"/>
        </w:rPr>
      </w:pPr>
      <w:bookmarkStart w:id="56" w:name="_Toc15396629"/>
      <w:r>
        <w:rPr>
          <w:rStyle w:val="15"/>
          <w:rFonts w:hint="eastAsia" w:ascii="仿宋" w:hAnsi="仿宋" w:eastAsia="仿宋"/>
          <w:b w:val="0"/>
          <w:bCs w:val="0"/>
        </w:rPr>
        <w:t>十一、</w:t>
      </w:r>
      <w:r>
        <w:rPr>
          <w:rFonts w:hint="eastAsia" w:ascii="仿宋" w:hAnsi="仿宋" w:eastAsia="仿宋"/>
          <w:b w:val="0"/>
          <w:color w:val="000000"/>
        </w:rPr>
        <w:t>政</w:t>
      </w:r>
      <w:r>
        <w:rPr>
          <w:rStyle w:val="15"/>
          <w:rFonts w:hint="eastAsia" w:ascii="仿宋" w:hAnsi="仿宋" w:eastAsia="仿宋"/>
          <w:b w:val="0"/>
          <w:bCs w:val="0"/>
        </w:rPr>
        <w:t>府性基金预算财政拨款收入支出决算表</w:t>
      </w:r>
      <w:bookmarkEnd w:id="56"/>
    </w:p>
    <w:p>
      <w:pPr>
        <w:pStyle w:val="4"/>
        <w:rPr>
          <w:rFonts w:ascii="仿宋" w:hAnsi="仿宋" w:eastAsia="仿宋"/>
          <w:color w:val="000000"/>
        </w:rPr>
      </w:pPr>
      <w:bookmarkStart w:id="57" w:name="_Toc15396630"/>
      <w:r>
        <w:rPr>
          <w:rStyle w:val="15"/>
          <w:rFonts w:hint="eastAsia" w:ascii="仿宋" w:hAnsi="仿宋" w:eastAsia="仿宋"/>
          <w:b w:val="0"/>
          <w:bCs w:val="0"/>
        </w:rPr>
        <w:t>十二、</w:t>
      </w:r>
      <w:r>
        <w:rPr>
          <w:rFonts w:hint="eastAsia" w:ascii="仿宋" w:hAnsi="仿宋" w:eastAsia="仿宋"/>
          <w:b w:val="0"/>
          <w:color w:val="000000"/>
        </w:rPr>
        <w:t>政</w:t>
      </w:r>
      <w:r>
        <w:rPr>
          <w:rStyle w:val="15"/>
          <w:rFonts w:hint="eastAsia" w:ascii="仿宋" w:hAnsi="仿宋" w:eastAsia="仿宋"/>
          <w:b w:val="0"/>
          <w:bCs w:val="0"/>
        </w:rPr>
        <w:t>府性基金预算财政拨款“三公”经费支出决算表</w:t>
      </w:r>
      <w:bookmarkEnd w:id="57"/>
      <w:r>
        <w:rPr>
          <w:rStyle w:val="18"/>
          <w:rFonts w:hint="eastAsia" w:ascii="仿宋" w:hAnsi="仿宋" w:eastAsia="仿宋"/>
          <w:b w:val="0"/>
          <w:bCs w:val="0"/>
        </w:rPr>
        <w:t>(本表无数据)</w:t>
      </w:r>
    </w:p>
    <w:p>
      <w:pPr>
        <w:pStyle w:val="4"/>
        <w:rPr>
          <w:rStyle w:val="15"/>
          <w:rFonts w:hint="eastAsia" w:ascii="仿宋" w:hAnsi="仿宋" w:eastAsia="仿宋"/>
          <w:b w:val="0"/>
          <w:bCs w:val="0"/>
        </w:rPr>
      </w:pPr>
      <w:r>
        <w:rPr>
          <w:rStyle w:val="15"/>
          <w:rFonts w:hint="eastAsia" w:ascii="仿宋" w:hAnsi="仿宋" w:eastAsia="仿宋"/>
          <w:b w:val="0"/>
          <w:bCs w:val="0"/>
        </w:rPr>
        <w:t>十三、国有资本经营预算财政拨款收入支出决算表(本表无数据)</w:t>
      </w:r>
    </w:p>
    <w:p>
      <w:pPr>
        <w:pStyle w:val="4"/>
        <w:rPr>
          <w:rFonts w:ascii="仿宋" w:hAnsi="仿宋" w:eastAsia="仿宋"/>
          <w:color w:val="000000"/>
          <w:sz w:val="32"/>
          <w:szCs w:val="32"/>
        </w:rPr>
      </w:pPr>
      <w:r>
        <w:rPr>
          <w:rStyle w:val="15"/>
          <w:rFonts w:hint="eastAsia" w:ascii="仿宋" w:hAnsi="仿宋" w:eastAsia="仿宋"/>
          <w:b w:val="0"/>
          <w:bCs w:val="0"/>
        </w:rPr>
        <w:t>十四、国有资本经营预</w:t>
      </w:r>
      <w:r>
        <w:rPr>
          <w:rStyle w:val="18"/>
          <w:rFonts w:hint="eastAsia" w:ascii="仿宋" w:hAnsi="仿宋" w:eastAsia="仿宋"/>
          <w:b w:val="0"/>
          <w:bCs w:val="0"/>
        </w:rPr>
        <w:t>算财政拨款支出决算表(本表无数据)</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path/>
          <v:fill on="f" focussize="0,0"/>
          <v:stroke on="f" weight="0.5pt" joinstyle="miter"/>
          <v:imagedata o:title=""/>
          <o:lock v:ext="edit"/>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ADA1B46"/>
    <w:multiLevelType w:val="singleLevel"/>
    <w:tmpl w:val="CADA1B46"/>
    <w:lvl w:ilvl="0" w:tentative="0">
      <w:start w:val="1"/>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72387337"/>
    <w:multiLevelType w:val="singleLevel"/>
    <w:tmpl w:val="72387337"/>
    <w:lvl w:ilvl="0" w:tentative="0">
      <w:start w:val="1"/>
      <w:numFmt w:val="decimal"/>
      <w:suff w:val="nothing"/>
      <w:lvlText w:val="（%1）"/>
      <w:lvlJc w:val="left"/>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67A159F4"/>
    <w:rsid w:val="005257D2"/>
    <w:rsid w:val="00C30493"/>
    <w:rsid w:val="00DE7A00"/>
    <w:rsid w:val="015C4D5F"/>
    <w:rsid w:val="04983D35"/>
    <w:rsid w:val="08823841"/>
    <w:rsid w:val="13180B54"/>
    <w:rsid w:val="15C3317D"/>
    <w:rsid w:val="18F3216E"/>
    <w:rsid w:val="230E09C1"/>
    <w:rsid w:val="29DF3A77"/>
    <w:rsid w:val="3C3D61E8"/>
    <w:rsid w:val="405E3ABE"/>
    <w:rsid w:val="4F57509F"/>
    <w:rsid w:val="65E63AAB"/>
    <w:rsid w:val="67A159F4"/>
    <w:rsid w:val="72717981"/>
    <w:rsid w:val="7456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beforeLines="30"/>
    </w:pPr>
    <w:rPr>
      <w:rFonts w:ascii="仿宋_GB2312" w:eastAsia="仿宋_GB2312"/>
      <w:kern w:val="0"/>
      <w:sz w:val="30"/>
    </w:rPr>
  </w:style>
  <w:style w:type="paragraph" w:styleId="5">
    <w:name w:val="Balloon Text"/>
    <w:basedOn w:val="1"/>
    <w:link w:val="19"/>
    <w:qFormat/>
    <w:uiPriority w:val="0"/>
    <w:rPr>
      <w:sz w:val="18"/>
      <w:szCs w:val="18"/>
    </w:rPr>
  </w:style>
  <w:style w:type="paragraph" w:styleId="6">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7">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8">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9">
    <w:name w:val="toc 2"/>
    <w:basedOn w:val="1"/>
    <w:next w:val="1"/>
    <w:unhideWhenUsed/>
    <w:qFormat/>
    <w:uiPriority w:val="39"/>
    <w:pPr>
      <w:tabs>
        <w:tab w:val="right" w:leader="dot" w:pos="8296"/>
      </w:tabs>
      <w:ind w:left="420" w:leftChars="200"/>
    </w:pPr>
  </w:style>
  <w:style w:type="character" w:styleId="12">
    <w:name w:val="Strong"/>
    <w:basedOn w:val="11"/>
    <w:qFormat/>
    <w:uiPriority w:val="99"/>
    <w:rPr>
      <w:b/>
    </w:rPr>
  </w:style>
  <w:style w:type="character" w:styleId="13">
    <w:name w:val="Hyperlink"/>
    <w:basedOn w:val="11"/>
    <w:unhideWhenUsed/>
    <w:qFormat/>
    <w:uiPriority w:val="99"/>
    <w:rPr>
      <w:color w:val="0563C1" w:themeColor="hyperlink"/>
      <w:u w:val="single"/>
    </w:rPr>
  </w:style>
  <w:style w:type="character" w:customStyle="1" w:styleId="14">
    <w:name w:val="标题 1 Char"/>
    <w:basedOn w:val="11"/>
    <w:link w:val="3"/>
    <w:qFormat/>
    <w:uiPriority w:val="9"/>
    <w:rPr>
      <w:b/>
      <w:bCs/>
      <w:kern w:val="44"/>
      <w:sz w:val="44"/>
      <w:szCs w:val="44"/>
    </w:rPr>
  </w:style>
  <w:style w:type="character" w:customStyle="1" w:styleId="15">
    <w:name w:val="标题 2 Char"/>
    <w:basedOn w:val="11"/>
    <w:link w:val="4"/>
    <w:qFormat/>
    <w:uiPriority w:val="9"/>
    <w:rPr>
      <w:rFonts w:asciiTheme="majorHAnsi" w:hAnsiTheme="majorHAnsi" w:eastAsiaTheme="majorEastAsia" w:cstheme="majorBidi"/>
      <w:b/>
      <w:bCs/>
      <w:sz w:val="32"/>
      <w:szCs w:val="32"/>
    </w:rPr>
  </w:style>
  <w:style w:type="paragraph" w:styleId="16">
    <w:name w:val="List Paragraph"/>
    <w:basedOn w:val="1"/>
    <w:qFormat/>
    <w:uiPriority w:val="34"/>
    <w:pPr>
      <w:ind w:firstLine="420" w:firstLineChars="200"/>
    </w:pPr>
  </w:style>
  <w:style w:type="paragraph" w:customStyle="1" w:styleId="1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18">
    <w:name w:val="标题 2 Char1"/>
    <w:qFormat/>
    <w:locked/>
    <w:uiPriority w:val="9"/>
    <w:rPr>
      <w:rFonts w:ascii="Cambria" w:hAnsi="Cambria" w:eastAsia="宋体" w:cs="Times New Roman"/>
      <w:b/>
      <w:bCs/>
      <w:sz w:val="32"/>
      <w:szCs w:val="32"/>
    </w:rPr>
  </w:style>
  <w:style w:type="character" w:customStyle="1" w:styleId="19">
    <w:name w:val="批注框文本 Char"/>
    <w:basedOn w:val="11"/>
    <w:link w:val="5"/>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1</a:t>
            </a:r>
            <a:r>
              <a:rPr altLang="en-US"/>
              <a:t>：收支决算总计变动情况</a:t>
            </a:r>
            <a:endParaRPr altLang="en-US"/>
          </a:p>
        </c:rich>
      </c:tx>
      <c:layout/>
      <c:overlay val="0"/>
      <c:spPr>
        <a:noFill/>
        <a:ln>
          <a:noFill/>
        </a:ln>
        <a:effectLst/>
      </c:spPr>
    </c:title>
    <c:autoTitleDeleted val="0"/>
    <c:plotArea>
      <c:layout/>
      <c:barChart>
        <c:barDir val="col"/>
        <c:grouping val="stacked"/>
        <c:varyColors val="0"/>
        <c:ser>
          <c:idx val="0"/>
          <c:order val="0"/>
          <c:tx>
            <c:strRef>
              <c:f>Sheet1!$B$1</c:f>
              <c:strCache>
                <c:ptCount val="1"/>
                <c:pt idx="0">
                  <c:v>收支总计（万元）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2019年</c:v>
                </c:pt>
                <c:pt idx="1">
                  <c:v>2020年</c:v>
                </c:pt>
              </c:strCache>
            </c:strRef>
          </c:cat>
          <c:val>
            <c:numRef>
              <c:f>Sheet1!$B$2:$B$3</c:f>
              <c:numCache>
                <c:formatCode>General</c:formatCode>
                <c:ptCount val="2"/>
                <c:pt idx="0">
                  <c:v>49279.25</c:v>
                </c:pt>
                <c:pt idx="1">
                  <c:v>103478.82</c:v>
                </c:pt>
              </c:numCache>
            </c:numRef>
          </c:val>
        </c:ser>
        <c:dLbls>
          <c:showLegendKey val="0"/>
          <c:showVal val="1"/>
          <c:showCatName val="0"/>
          <c:showSerName val="0"/>
          <c:showPercent val="0"/>
          <c:showBubbleSize val="0"/>
        </c:dLbls>
        <c:gapWidth val="150"/>
        <c:overlap val="100"/>
        <c:axId val="57404800"/>
        <c:axId val="59194752"/>
      </c:barChart>
      <c:catAx>
        <c:axId val="57404800"/>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9194752"/>
        <c:crosses val="autoZero"/>
        <c:auto val="1"/>
        <c:lblAlgn val="ctr"/>
        <c:lblOffset val="100"/>
        <c:noMultiLvlLbl val="0"/>
      </c:catAx>
      <c:valAx>
        <c:axId val="5919475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40480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2</a:t>
            </a:r>
            <a:r>
              <a:rPr altLang="en-US"/>
              <a:t>：</a:t>
            </a:r>
            <a:r>
              <a:t>收入决算结构</a:t>
            </a:r>
          </a:p>
        </c:rich>
      </c:tx>
      <c:layout/>
      <c:overlay val="0"/>
      <c:spPr>
        <a:noFill/>
        <a:ln>
          <a:noFill/>
        </a:ln>
        <a:effectLst/>
      </c:spPr>
    </c:title>
    <c:autoTitleDeleted val="0"/>
    <c:view3D>
      <c:rotX val="30"/>
      <c:rotY val="0"/>
      <c:depthPercent val="100"/>
      <c:rAngAx val="0"/>
      <c:perspective val="3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收入总计</c:v>
                </c:pt>
              </c:strCache>
            </c:strRef>
          </c:tx>
          <c:spPr>
            <a:ln w="25400">
              <a:noFill/>
            </a:ln>
            <a:scene3d>
              <a:camera prst="orthographicFront"/>
              <a:lightRig rig="threePt" dir="t"/>
            </a:scene3d>
            <a:sp3d contourW="25400"/>
          </c:spPr>
          <c:explosion val="0"/>
          <c:dPt>
            <c:idx val="0"/>
            <c:bubble3D val="0"/>
            <c:spPr>
              <a:solidFill>
                <a:schemeClr val="accent1"/>
              </a:solidFill>
              <a:ln w="25400">
                <a:noFill/>
              </a:ln>
              <a:effectLst/>
              <a:scene3d>
                <a:camera prst="orthographicFront"/>
                <a:lightRig rig="threePt" dir="t"/>
              </a:scene3d>
              <a:sp3d contourW="25400"/>
            </c:spPr>
          </c:dPt>
          <c:dLbls>
            <c:delete val="1"/>
          </c:dLbls>
          <c:cat>
            <c:strRef>
              <c:f>Sheet1!$A$2</c:f>
              <c:strCache>
                <c:ptCount val="1"/>
                <c:pt idx="0">
                  <c:v>政府性基金财政拨款</c:v>
                </c:pt>
              </c:strCache>
            </c:strRef>
          </c:cat>
          <c:val>
            <c:numRef>
              <c:f>Sheet1!$B$2</c:f>
              <c:numCache>
                <c:formatCode>General</c:formatCode>
                <c:ptCount val="1"/>
                <c:pt idx="0">
                  <c:v>100702.74</c:v>
                </c:pt>
              </c:numCache>
            </c:numRef>
          </c:val>
        </c:ser>
        <c:dLbls>
          <c:showLegendKey val="0"/>
          <c:showVal val="0"/>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3</a:t>
            </a:r>
            <a:r>
              <a:rPr altLang="en-US"/>
              <a:t>：支出决算结构图</a:t>
            </a:r>
            <a:endParaRPr altLang="en-US"/>
          </a:p>
        </c:rich>
      </c:tx>
      <c:layout/>
      <c:overlay val="0"/>
      <c:spPr>
        <a:noFill/>
        <a:ln>
          <a:noFill/>
        </a:ln>
        <a:effectLst/>
      </c:spPr>
    </c:title>
    <c:autoTitleDeleted val="0"/>
    <c:view3D>
      <c:rotX val="30"/>
      <c:rotY val="0"/>
      <c:depthPercent val="100"/>
      <c:rAngAx val="0"/>
      <c:perspective val="3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支出总计</c:v>
                </c:pt>
              </c:strCache>
            </c:strRef>
          </c:tx>
          <c:spPr>
            <a:scene3d>
              <a:camera prst="orthographicFront"/>
              <a:lightRig rig="threePt" dir="t"/>
            </a:scene3d>
            <a:sp3d contourW="25400"/>
          </c:spPr>
          <c:explosion val="35"/>
          <c:dPt>
            <c:idx val="0"/>
            <c:bubble3D val="0"/>
            <c:spPr>
              <a:solidFill>
                <a:schemeClr val="accent1"/>
              </a:solidFill>
              <a:ln w="25400">
                <a:noFill/>
              </a:ln>
              <a:effectLst/>
              <a:scene3d>
                <a:camera prst="orthographicFront"/>
                <a:lightRig rig="threePt" dir="t"/>
              </a:scene3d>
              <a:sp3d contourW="25400"/>
            </c:spPr>
          </c:dPt>
          <c:dLbls>
            <c:delete val="1"/>
          </c:dLbls>
          <c:cat>
            <c:strRef>
              <c:f>Sheet1!$A$2</c:f>
              <c:strCache>
                <c:ptCount val="1"/>
                <c:pt idx="0">
                  <c:v>项目支出</c:v>
                </c:pt>
              </c:strCache>
            </c:strRef>
          </c:cat>
          <c:val>
            <c:numRef>
              <c:f>Sheet1!$B$2</c:f>
              <c:numCache>
                <c:formatCode>General</c:formatCode>
                <c:ptCount val="1"/>
                <c:pt idx="0">
                  <c:v>103478.82</c:v>
                </c:pt>
              </c:numCache>
            </c:numRef>
          </c:val>
        </c:ser>
        <c:dLbls>
          <c:showLegendKey val="0"/>
          <c:showVal val="0"/>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4</a:t>
            </a:r>
            <a:r>
              <a:rPr altLang="en-US"/>
              <a:t>：财政拨款收支总计变动</a:t>
            </a:r>
            <a:endParaRPr altLang="en-US"/>
          </a:p>
        </c:rich>
      </c:tx>
      <c:layout/>
      <c:overlay val="0"/>
      <c:spPr>
        <a:noFill/>
        <a:ln>
          <a:noFill/>
        </a:ln>
        <a:effectLst/>
      </c:spPr>
    </c:title>
    <c:autoTitleDeleted val="0"/>
    <c:plotArea>
      <c:layout/>
      <c:barChart>
        <c:barDir val="col"/>
        <c:grouping val="stacked"/>
        <c:varyColors val="0"/>
        <c:ser>
          <c:idx val="0"/>
          <c:order val="0"/>
          <c:tx>
            <c:strRef>
              <c:f>Sheet1!$B$1</c:f>
              <c:strCache>
                <c:ptCount val="1"/>
                <c:pt idx="0">
                  <c:v>单位：万元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2019年</c:v>
                </c:pt>
                <c:pt idx="1">
                  <c:v>2020年</c:v>
                </c:pt>
              </c:strCache>
            </c:strRef>
          </c:cat>
          <c:val>
            <c:numRef>
              <c:f>Sheet1!$B$2:$B$3</c:f>
              <c:numCache>
                <c:formatCode>General</c:formatCode>
                <c:ptCount val="2"/>
                <c:pt idx="0">
                  <c:v>49279.25</c:v>
                </c:pt>
                <c:pt idx="1">
                  <c:v>103478.82</c:v>
                </c:pt>
              </c:numCache>
            </c:numRef>
          </c:val>
        </c:ser>
        <c:dLbls>
          <c:showLegendKey val="0"/>
          <c:showVal val="1"/>
          <c:showCatName val="0"/>
          <c:showSerName val="0"/>
          <c:showPercent val="0"/>
          <c:showBubbleSize val="0"/>
        </c:dLbls>
        <c:gapWidth val="150"/>
        <c:overlap val="100"/>
        <c:axId val="66614400"/>
        <c:axId val="66616320"/>
      </c:barChart>
      <c:catAx>
        <c:axId val="66614400"/>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616320"/>
        <c:crosses val="autoZero"/>
        <c:auto val="1"/>
        <c:lblAlgn val="ctr"/>
        <c:lblOffset val="100"/>
        <c:noMultiLvlLbl val="0"/>
      </c:catAx>
      <c:valAx>
        <c:axId val="6661632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614400"/>
        <c:crosses val="autoZero"/>
        <c:crossBetween val="between"/>
      </c:valAx>
      <c:spPr>
        <a:noFill/>
        <a:ln>
          <a:noFill/>
        </a:ln>
        <a:effectLst/>
      </c:spPr>
    </c:plotArea>
    <c:legend>
      <c:legendPos val="b"/>
      <c:layout>
        <c:manualLayout>
          <c:xMode val="edge"/>
          <c:yMode val="edge"/>
          <c:x val="0.81625"/>
          <c:y val="0.06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598</Words>
  <Characters>3409</Characters>
  <Lines>28</Lines>
  <Paragraphs>7</Paragraphs>
  <TotalTime>14</TotalTime>
  <ScaleCrop>false</ScaleCrop>
  <LinksUpToDate>false</LinksUpToDate>
  <CharactersWithSpaces>4000</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2020-10-30T08:58:00Z</dcterms:created>
  <dc:creator>Administrator</dc:creator>
  <cp:lastModifiedBy>峨眉山市土地储备中心</cp:lastModifiedBy>
  <cp:lastPrinted>2021-10-25T02:04:00Z</cp:lastPrinted>
  <dcterms:modified xsi:type="dcterms:W3CDTF">2021-10-26T08:45:43Z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