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default" w:ascii="方正小标宋简体" w:hAnsi="宋体" w:eastAsia="方正小标宋简体"/>
          <w:b/>
          <w:bCs/>
          <w:color w:val="000000"/>
          <w:sz w:val="72"/>
          <w:szCs w:val="72"/>
          <w:lang w:val="en-US" w:eastAsia="zh-CN"/>
        </w:rPr>
      </w:pPr>
      <w:bookmarkStart w:id="1" w:name="_Toc15396597"/>
      <w:bookmarkStart w:id="2" w:name="_Toc15378441"/>
      <w:bookmarkStart w:id="3" w:name="_Toc15377425"/>
      <w:bookmarkStart w:id="4" w:name="_Toc15377193"/>
      <w:bookmarkStart w:id="5" w:name="_Toc15396475"/>
      <w:r>
        <w:rPr>
          <w:rFonts w:ascii="黑体" w:hAnsi="黑体" w:eastAsia="黑体"/>
          <w:b/>
          <w:bCs/>
          <w:color w:val="000000"/>
          <w:sz w:val="72"/>
          <w:szCs w:val="72"/>
        </w:rPr>
        <w:t>20</w:t>
      </w:r>
      <w:r>
        <w:rPr>
          <w:rFonts w:hint="eastAsia" w:ascii="黑体" w:hAnsi="黑体" w:eastAsia="黑体"/>
          <w:b/>
          <w:bCs/>
          <w:color w:val="000000"/>
          <w:sz w:val="72"/>
          <w:szCs w:val="72"/>
          <w:lang w:val="en-US" w:eastAsia="zh-CN"/>
        </w:rPr>
        <w:t>20</w:t>
      </w:r>
      <w:r>
        <w:rPr>
          <w:rFonts w:hint="eastAsia" w:ascii="方正小标宋简体" w:hAnsi="宋体" w:eastAsia="方正小标宋简体"/>
          <w:b/>
          <w:bCs/>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b/>
          <w:bCs/>
          <w:color w:val="000000"/>
          <w:sz w:val="72"/>
          <w:szCs w:val="72"/>
          <w:lang w:eastAsia="zh-CN"/>
        </w:rPr>
      </w:pPr>
      <w:bookmarkStart w:id="6" w:name="_Toc15377194"/>
      <w:bookmarkStart w:id="7" w:name="_Toc15378442"/>
      <w:bookmarkStart w:id="8" w:name="_Toc15396598"/>
      <w:bookmarkStart w:id="9" w:name="_Toc15396476"/>
      <w:bookmarkStart w:id="10" w:name="_Toc15377426"/>
      <w:r>
        <w:rPr>
          <w:rFonts w:hint="eastAsia" w:ascii="方正小标宋简体" w:hAnsi="宋体" w:eastAsia="方正小标宋简体"/>
          <w:b/>
          <w:bCs/>
          <w:color w:val="000000"/>
          <w:sz w:val="72"/>
          <w:szCs w:val="72"/>
        </w:rPr>
        <w:t>四川省</w:t>
      </w:r>
      <w:bookmarkEnd w:id="0"/>
      <w:bookmarkStart w:id="11" w:name="_Toc15306268"/>
      <w:r>
        <w:rPr>
          <w:rFonts w:hint="eastAsia" w:ascii="方正小标宋简体" w:hAnsi="宋体" w:eastAsia="方正小标宋简体"/>
          <w:b/>
          <w:bCs/>
          <w:color w:val="000000"/>
          <w:sz w:val="72"/>
          <w:szCs w:val="72"/>
          <w:lang w:eastAsia="zh-CN"/>
        </w:rPr>
        <w:t>峨眉山市财政局</w:t>
      </w:r>
    </w:p>
    <w:p>
      <w:pPr>
        <w:adjustRightInd w:val="0"/>
        <w:snapToGrid w:val="0"/>
        <w:spacing w:line="360" w:lineRule="auto"/>
        <w:jc w:val="center"/>
        <w:outlineLvl w:val="0"/>
        <w:rPr>
          <w:rFonts w:ascii="方正小标宋简体" w:hAnsi="宋体" w:eastAsia="方正小标宋简体"/>
          <w:b/>
          <w:bCs/>
          <w:color w:val="000000"/>
          <w:sz w:val="72"/>
          <w:szCs w:val="72"/>
        </w:rPr>
      </w:pPr>
      <w:r>
        <w:rPr>
          <w:rFonts w:hint="eastAsia" w:ascii="方正小标宋简体" w:hAnsi="宋体" w:eastAsia="方正小标宋简体"/>
          <w:b/>
          <w:bCs/>
          <w:color w:val="000000"/>
          <w:sz w:val="72"/>
          <w:szCs w:val="72"/>
          <w:lang w:eastAsia="zh-CN"/>
        </w:rPr>
        <w:t>部门</w:t>
      </w:r>
      <w:r>
        <w:rPr>
          <w:rFonts w:hint="eastAsia" w:ascii="方正小标宋简体" w:hAnsi="宋体" w:eastAsia="方正小标宋简体"/>
          <w:b/>
          <w:bCs/>
          <w:color w:val="000000"/>
          <w:sz w:val="72"/>
          <w:szCs w:val="72"/>
        </w:rPr>
        <w:t>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b/>
          <w:bCs/>
          <w:color w:val="000000"/>
          <w:sz w:val="48"/>
          <w:szCs w:val="48"/>
        </w:rPr>
      </w:pPr>
      <w:r>
        <w:rPr>
          <w:rFonts w:ascii="方正小标宋简体" w:hAnsi="宋体" w:eastAsia="方正小标宋简体"/>
          <w:color w:val="000000"/>
          <w:sz w:val="36"/>
          <w:szCs w:val="36"/>
        </w:rPr>
        <w:br w:type="page"/>
      </w:r>
      <w:r>
        <w:rPr>
          <w:rFonts w:hint="eastAsia" w:ascii="黑体" w:hAnsi="黑体" w:eastAsia="黑体"/>
          <w:b/>
          <w:bCs/>
          <w:color w:val="000000"/>
          <w:sz w:val="48"/>
          <w:szCs w:val="48"/>
        </w:rPr>
        <w:t>目</w:t>
      </w:r>
      <w:r>
        <w:rPr>
          <w:rFonts w:hint="eastAsia" w:ascii="黑体" w:hAnsi="黑体" w:eastAsia="黑体"/>
          <w:b/>
          <w:bCs/>
          <w:color w:val="000000"/>
          <w:sz w:val="48"/>
          <w:szCs w:val="48"/>
          <w:lang w:val="en-US" w:eastAsia="zh-CN"/>
        </w:rPr>
        <w:t xml:space="preserve">  </w:t>
      </w:r>
      <w:r>
        <w:rPr>
          <w:rFonts w:hint="eastAsia" w:ascii="黑体" w:hAnsi="黑体" w:eastAsia="黑体"/>
          <w:b/>
          <w:bCs/>
          <w:color w:val="000000"/>
          <w:sz w:val="48"/>
          <w:szCs w:val="48"/>
        </w:rPr>
        <w:t>录</w:t>
      </w:r>
    </w:p>
    <w:p>
      <w:pPr>
        <w:widowControl/>
        <w:jc w:val="center"/>
        <w:rPr>
          <w:rFonts w:ascii="黑体" w:hAnsi="黑体" w:eastAsia="黑体" w:cs="Times New Roman"/>
          <w:sz w:val="28"/>
          <w:szCs w:val="28"/>
        </w:rPr>
      </w:pPr>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p>
    <w:p>
      <w:pPr>
        <w:pStyle w:val="10"/>
        <w:adjustRightInd w:val="0"/>
        <w:snapToGrid w:val="0"/>
        <w:spacing w:before="0" w:line="440" w:lineRule="exact"/>
        <w:jc w:val="left"/>
        <w:rPr>
          <w:rFonts w:cs="Times New Roman"/>
          <w:sz w:val="32"/>
          <w:szCs w:val="32"/>
        </w:rPr>
      </w:pPr>
      <w:r>
        <w:rPr>
          <w:rFonts w:hint="eastAsia" w:ascii="黑体" w:hAnsi="黑体" w:eastAsia="黑体" w:cs="黑体"/>
          <w:sz w:val="32"/>
          <w:szCs w:val="32"/>
        </w:rPr>
        <w:t>第一部分 部门概况</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0"/>
        <w:adjustRightInd w:val="0"/>
        <w:snapToGrid w:val="0"/>
        <w:spacing w:before="0" w:line="440" w:lineRule="exact"/>
        <w:jc w:val="left"/>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部门决算情况说明</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2"/>
        <w:adjustRightInd w:val="0"/>
        <w:snapToGrid w:val="0"/>
        <w:spacing w:line="440" w:lineRule="exact"/>
        <w:ind w:leftChars="0"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adjustRightInd w:val="0"/>
        <w:snapToGrid w:val="0"/>
        <w:spacing w:line="440" w:lineRule="exact"/>
        <w:ind w:firstLine="640" w:firstLineChars="20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0"/>
        <w:adjustRightInd w:val="0"/>
        <w:snapToGrid w:val="0"/>
        <w:spacing w:before="0" w:line="440" w:lineRule="exact"/>
        <w:jc w:val="left"/>
        <w:rPr>
          <w:rFonts w:hint="eastAsia" w:ascii="黑体" w:hAnsi="黑体" w:eastAsia="黑体" w:cs="黑体"/>
          <w:sz w:val="32"/>
          <w:szCs w:val="32"/>
        </w:rPr>
      </w:pPr>
      <w:r>
        <w:rPr>
          <w:rFonts w:hint="eastAsia" w:ascii="黑体" w:hAnsi="黑体" w:eastAsia="黑体" w:cs="黑体"/>
          <w:sz w:val="32"/>
          <w:szCs w:val="32"/>
        </w:rPr>
        <w:t>第三部分 名词解释</w:t>
      </w:r>
    </w:p>
    <w:p>
      <w:pPr>
        <w:pStyle w:val="10"/>
        <w:adjustRightInd w:val="0"/>
        <w:snapToGrid w:val="0"/>
        <w:spacing w:before="0" w:line="440" w:lineRule="exact"/>
        <w:jc w:val="left"/>
        <w:rPr>
          <w:rFonts w:hint="eastAsia" w:ascii="黑体" w:hAnsi="黑体" w:eastAsia="黑体" w:cs="黑体"/>
          <w:sz w:val="32"/>
          <w:szCs w:val="32"/>
        </w:rPr>
      </w:pPr>
      <w:r>
        <w:rPr>
          <w:rFonts w:hint="eastAsia" w:ascii="黑体" w:hAnsi="黑体" w:eastAsia="黑体" w:cs="黑体"/>
          <w:sz w:val="32"/>
          <w:szCs w:val="32"/>
        </w:rPr>
        <w:t>第四部分 附件</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10"/>
        <w:adjustRightInd w:val="0"/>
        <w:snapToGrid w:val="0"/>
        <w:spacing w:before="0" w:line="440" w:lineRule="exact"/>
        <w:jc w:val="left"/>
        <w:rPr>
          <w:rFonts w:hint="eastAsia" w:ascii="黑体" w:hAnsi="黑体" w:eastAsia="黑体" w:cs="黑体"/>
          <w:sz w:val="32"/>
          <w:szCs w:val="32"/>
        </w:rPr>
      </w:pPr>
      <w:r>
        <w:rPr>
          <w:rFonts w:hint="eastAsia" w:ascii="黑体" w:hAnsi="黑体" w:eastAsia="黑体" w:cs="黑体"/>
          <w:sz w:val="32"/>
          <w:szCs w:val="32"/>
        </w:rPr>
        <w:t>第五部分 附表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bookmarkStart w:id="12" w:name="_Toc15396599"/>
      <w:bookmarkStart w:id="13" w:name="_Toc15377196"/>
      <w:r>
        <w:rPr>
          <w:rFonts w:hint="eastAsia" w:ascii="仿宋_GB2312" w:hAnsi="仿宋_GB2312" w:eastAsia="仿宋_GB2312" w:cs="仿宋_GB2312"/>
          <w:sz w:val="32"/>
          <w:szCs w:val="32"/>
        </w:rPr>
        <w:t>十三、国有资本经营预算财政拨款收入支出决算表</w:t>
      </w:r>
    </w:p>
    <w:p>
      <w:pPr>
        <w:pStyle w:val="12"/>
        <w:adjustRightInd w:val="0"/>
        <w:snapToGrid w:val="0"/>
        <w:spacing w:line="44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spacing w:line="440" w:lineRule="exact"/>
        <w:jc w:val="left"/>
        <w:rPr>
          <w:rFonts w:ascii="仿宋" w:hAnsi="仿宋" w:eastAsia="仿宋"/>
          <w:bCs/>
          <w:kern w:val="44"/>
          <w:sz w:val="24"/>
        </w:rPr>
      </w:pPr>
      <w:r>
        <w:rPr>
          <w:rFonts w:ascii="仿宋" w:hAnsi="仿宋" w:eastAsia="仿宋"/>
          <w:b/>
          <w:sz w:val="24"/>
        </w:rPr>
        <w:br w:type="page"/>
      </w:r>
    </w:p>
    <w:p>
      <w:pPr>
        <w:keepNext w:val="0"/>
        <w:keepLines w:val="0"/>
        <w:pageBreakBefore w:val="0"/>
        <w:widowControl w:val="0"/>
        <w:numPr>
          <w:ilvl w:val="0"/>
          <w:numId w:val="1"/>
        </w:numPr>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部门概况</w:t>
      </w:r>
      <w:bookmarkEnd w:id="12"/>
      <w:bookmarkEnd w:id="13"/>
    </w:p>
    <w:p>
      <w:pPr>
        <w:keepNext w:val="0"/>
        <w:keepLines w:val="0"/>
        <w:pageBreakBefore w:val="0"/>
        <w:widowControl w:val="0"/>
        <w:numPr>
          <w:ilvl w:val="0"/>
          <w:numId w:val="0"/>
        </w:numPr>
        <w:kinsoku/>
        <w:wordWrap/>
        <w:overflowPunct/>
        <w:topLinePunct w:val="0"/>
        <w:autoSpaceDE/>
        <w:autoSpaceDN/>
        <w:bidi w:val="0"/>
        <w:spacing w:line="600" w:lineRule="exact"/>
        <w:jc w:val="both"/>
        <w:textAlignment w:val="auto"/>
        <w:rPr>
          <w:rFonts w:hint="eastAsia" w:ascii="方正小标宋_GBK" w:hAnsi="方正小标宋_GBK" w:eastAsia="方正小标宋_GBK" w:cs="方正小标宋_GBK"/>
          <w:b/>
          <w:bCs/>
          <w:sz w:val="44"/>
          <w:szCs w:val="44"/>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bookmarkStart w:id="14" w:name="_Toc15377197"/>
      <w:bookmarkStart w:id="15" w:name="_Toc15396600"/>
      <w:r>
        <w:rPr>
          <w:rFonts w:hint="eastAsia" w:ascii="黑体" w:hAnsi="黑体" w:eastAsia="黑体" w:cs="黑体"/>
          <w:sz w:val="32"/>
          <w:szCs w:val="32"/>
          <w:lang w:eastAsia="zh-CN"/>
        </w:rPr>
        <w:t>一、</w:t>
      </w:r>
      <w:r>
        <w:rPr>
          <w:rFonts w:hint="eastAsia" w:ascii="黑体" w:hAnsi="黑体" w:eastAsia="黑体" w:cs="黑体"/>
          <w:sz w:val="32"/>
          <w:szCs w:val="32"/>
        </w:rPr>
        <w:t>基本职能及主要工作</w:t>
      </w:r>
      <w:bookmarkEnd w:id="14"/>
      <w:bookmarkEnd w:id="15"/>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bookmarkStart w:id="16" w:name="_Toc15378445"/>
      <w:bookmarkStart w:id="17" w:name="_Toc15377198"/>
      <w:r>
        <w:rPr>
          <w:rFonts w:hint="eastAsia" w:ascii="楷体_GB2312" w:hAnsi="楷体_GB2312" w:eastAsia="楷体_GB2312" w:cs="楷体_GB2312"/>
          <w:sz w:val="32"/>
          <w:szCs w:val="32"/>
        </w:rPr>
        <w:t>（一）主要职能</w:t>
      </w:r>
      <w:bookmarkEnd w:id="16"/>
      <w:bookmarkEnd w:id="17"/>
      <w:bookmarkStart w:id="18" w:name="_Toc15378446"/>
      <w:bookmarkStart w:id="19" w:name="_Toc15377199"/>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eastAsia="仿宋_GB2312"/>
          <w:sz w:val="32"/>
          <w:szCs w:val="32"/>
          <w:lang w:eastAsia="zh-CN"/>
        </w:rPr>
        <w:t>峨眉山</w:t>
      </w:r>
      <w:r>
        <w:rPr>
          <w:rFonts w:hint="eastAsia" w:ascii="Times New Roman" w:hAnsi="Times New Roman" w:eastAsia="仿宋_GB2312"/>
          <w:sz w:val="32"/>
          <w:szCs w:val="32"/>
        </w:rPr>
        <w:t>市财政局基本职能为贯彻执行国家、省财税方面的方针、政策和法律、法规，按照管理权限管理全市税政事项，拟订全市财税（含财政、预算、税收、非税收入、财务、会计、国有资产等）发展战略、规划、政策和改革方案并组织实施，分析预测宏观经济形势，参与制定各项宏观经济政策。承担各项财政收支管理的责任，按规定开展国库现金管理工作。负责制定政府采购制度，监督管理全市政府采购工作。负责制定国有资本经营预算的制度和办法，收取市本级企业国有资本收益，组织实施企业财务制度，按规定管理金融类企业国有资产。负责管理政府债务，防范财政风险。负责管理全市的会计工作，组织和管理全市财政业务培训，监督和规范会计行为，协助指导和管理社会审计。依法查处违反财经法纪的行为。</w:t>
      </w:r>
    </w:p>
    <w:p>
      <w:pPr>
        <w:pStyle w:val="5"/>
        <w:keepNext w:val="0"/>
        <w:keepLines w:val="0"/>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2"/>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（二）20</w:t>
      </w:r>
      <w:r>
        <w:rPr>
          <w:rFonts w:hint="eastAsia" w:ascii="楷体_GB2312" w:hAnsi="楷体_GB2312" w:eastAsia="楷体_GB2312" w:cs="楷体_GB2312"/>
          <w:bCs/>
          <w:color w:val="000000"/>
          <w:sz w:val="32"/>
          <w:szCs w:val="32"/>
          <w:lang w:val="en-US" w:eastAsia="zh-CN"/>
        </w:rPr>
        <w:t>20</w:t>
      </w:r>
      <w:r>
        <w:rPr>
          <w:rFonts w:hint="eastAsia" w:ascii="楷体_GB2312" w:hAnsi="楷体_GB2312" w:eastAsia="楷体_GB2312" w:cs="楷体_GB2312"/>
          <w:bCs/>
          <w:color w:val="000000"/>
          <w:sz w:val="32"/>
          <w:szCs w:val="32"/>
        </w:rPr>
        <w:t>年重点工作完成情况</w:t>
      </w:r>
      <w:bookmarkEnd w:id="18"/>
      <w:bookmarkEnd w:id="19"/>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楷体_GB2312" w:hAnsi="楷体_GB2312" w:eastAsia="楷体_GB2312" w:cs="楷体_GB2312"/>
          <w:color w:val="auto"/>
          <w:kern w:val="0"/>
          <w:sz w:val="32"/>
          <w:szCs w:val="32"/>
          <w:highlight w:val="none"/>
        </w:rPr>
      </w:pPr>
      <w:r>
        <w:rPr>
          <w:rFonts w:hint="eastAsia" w:ascii="仿宋_GB2312" w:hAnsi="仿宋_GB2312" w:eastAsia="仿宋_GB2312" w:cs="仿宋_GB2312"/>
          <w:kern w:val="0"/>
          <w:sz w:val="32"/>
          <w:szCs w:val="32"/>
          <w:lang w:val="en-US" w:eastAsia="zh-CN"/>
        </w:rPr>
        <w:t>1．</w:t>
      </w:r>
      <w:r>
        <w:rPr>
          <w:rFonts w:hint="eastAsia" w:ascii="楷体_GB2312" w:hAnsi="楷体_GB2312" w:eastAsia="楷体_GB2312" w:cs="楷体_GB2312"/>
          <w:color w:val="auto"/>
          <w:kern w:val="0"/>
          <w:sz w:val="32"/>
          <w:szCs w:val="32"/>
          <w:highlight w:val="none"/>
        </w:rPr>
        <w:t>积极向上争取资金</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结合我市2020年政府投资计划和重点领域对标补短五年行动计划，会同市发改局拟定了《峨眉山市2020年市级部门向上争取项目资金考核细则》，明确了2020年向上争取项目资金指导性计划。</w:t>
      </w:r>
      <w:r>
        <w:rPr>
          <w:rFonts w:hint="eastAsia" w:ascii="仿宋_GB2312" w:hAnsi="仿宋" w:eastAsia="仿宋_GB2312"/>
          <w:color w:val="auto"/>
          <w:sz w:val="32"/>
          <w:szCs w:val="32"/>
          <w:highlight w:val="none"/>
          <w:lang w:val="en-US" w:eastAsia="zh-CN"/>
        </w:rPr>
        <w:t>2020年</w:t>
      </w:r>
      <w:r>
        <w:rPr>
          <w:rFonts w:hint="eastAsia" w:ascii="仿宋_GB2312" w:hAnsi="仿宋" w:eastAsia="仿宋_GB2312"/>
          <w:color w:val="auto"/>
          <w:sz w:val="32"/>
          <w:szCs w:val="32"/>
          <w:highlight w:val="none"/>
        </w:rPr>
        <w:t>，我市向上争取资金共计19.59亿元</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同比增长64.62%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有力的保障了民生工程建设所需。</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楷体_GB2312" w:hAnsi="楷体_GB2312" w:eastAsia="楷体_GB2312" w:cs="楷体_GB2312"/>
          <w:color w:val="auto"/>
          <w:kern w:val="0"/>
          <w:sz w:val="32"/>
          <w:szCs w:val="32"/>
          <w:highlight w:val="none"/>
        </w:rPr>
      </w:pPr>
      <w:r>
        <w:rPr>
          <w:rFonts w:hint="eastAsia" w:ascii="仿宋_GB2312" w:hAnsi="仿宋_GB2312" w:eastAsia="仿宋_GB2312" w:cs="仿宋_GB2312"/>
          <w:kern w:val="0"/>
          <w:sz w:val="32"/>
          <w:szCs w:val="32"/>
          <w:lang w:val="en-US" w:eastAsia="zh-CN"/>
        </w:rPr>
        <w:t>2．</w:t>
      </w:r>
      <w:r>
        <w:rPr>
          <w:rFonts w:hint="eastAsia" w:ascii="楷体_GB2312" w:hAnsi="楷体_GB2312" w:eastAsia="楷体_GB2312" w:cs="楷体_GB2312"/>
          <w:color w:val="auto"/>
          <w:kern w:val="0"/>
          <w:sz w:val="32"/>
          <w:szCs w:val="32"/>
          <w:highlight w:val="none"/>
        </w:rPr>
        <w:t>“三保”保障有力</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坚决贯彻落实中央“六稳”“六保”要求，千方百计兜住“三保”底线。一是年初预算不留缺口，全额编制“三保”支出预算。提高政治站位，坚持把“三保”放在财政支出的优先位置，做到预算安排不出现“三保”支出缺口，预算执行不出现挤占拖欠，确保上级制定的民生政策等全面落实到位。二是加大税源挖潜力度，切实增强“三保”可用财力。在加快复工复产的同时，全面排查和梳理税源，全力挖掘收入增长点，进一步缓减疫情和经济下行压力等因素造成的减收增支影响。压实责任，深入查找税收收入短板，通过对重点税源排查清理，加强征管，落实缴税，确保及时足额入库。同时加大财政资金整合力度，积极盘活存量资金，增强“三保”支出保障能力。三是大力压减一般性支出，2020年“三公”经费预算在2019年的基础上压减5.4%</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各部门压减一般性支出达到18%。将节约的资金优先用于民生、支持打赢“三大攻坚战”等重点领域。四是强化“三保”运行分析调度，提高库款监测确保优先顺序。及时发现“三保”工作中存在的问题，并有效处理。同时对库款流动性紧张的状况，加大资金调度，确保工资按时发放、机构正常运转、基本民生有力保障。进一步规范国库库款管理，分清轻重缓急安排调度财政资金，确保国库库款足额保障“三保”支出需求，坚决兜牢“三保”底线。</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楷体_GB2312" w:hAnsi="楷体_GB2312" w:eastAsia="楷体_GB2312" w:cs="楷体_GB2312"/>
          <w:color w:val="auto"/>
          <w:kern w:val="0"/>
          <w:sz w:val="32"/>
          <w:szCs w:val="32"/>
          <w:highlight w:val="none"/>
          <w:lang w:eastAsia="zh-CN"/>
        </w:rPr>
      </w:pPr>
      <w:r>
        <w:rPr>
          <w:rFonts w:hint="eastAsia" w:ascii="仿宋_GB2312" w:hAnsi="仿宋_GB2312" w:eastAsia="仿宋_GB2312" w:cs="仿宋_GB2312"/>
          <w:kern w:val="0"/>
          <w:sz w:val="32"/>
          <w:szCs w:val="32"/>
          <w:lang w:val="en-US" w:eastAsia="zh-CN"/>
        </w:rPr>
        <w:t>3．</w:t>
      </w:r>
      <w:r>
        <w:rPr>
          <w:rFonts w:hint="eastAsia" w:ascii="楷体_GB2312" w:hAnsi="楷体_GB2312" w:eastAsia="楷体_GB2312" w:cs="楷体_GB2312"/>
          <w:color w:val="auto"/>
          <w:kern w:val="0"/>
          <w:sz w:val="32"/>
          <w:szCs w:val="32"/>
          <w:highlight w:val="none"/>
          <w:lang w:eastAsia="zh-CN"/>
        </w:rPr>
        <w:t>国资国企管理水平不断提升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仿宋_GB2312" w:eastAsia="仿宋_GB2312"/>
          <w:sz w:val="32"/>
          <w:szCs w:val="32"/>
          <w:highlight w:val="none"/>
          <w:lang w:val="en-US"/>
        </w:rPr>
      </w:pPr>
      <w:r>
        <w:rPr>
          <w:rFonts w:hint="eastAsia" w:ascii="仿宋_GB2312" w:eastAsia="仿宋_GB2312"/>
          <w:color w:val="auto"/>
          <w:sz w:val="32"/>
          <w:szCs w:val="32"/>
          <w:highlight w:val="none"/>
        </w:rPr>
        <w:t>一是全面开展国有资源资产清查。</w:t>
      </w:r>
      <w:r>
        <w:rPr>
          <w:rFonts w:hint="eastAsia" w:ascii="仿宋_GB2312" w:eastAsia="仿宋_GB2312"/>
          <w:color w:val="auto"/>
          <w:sz w:val="32"/>
          <w:szCs w:val="32"/>
          <w:highlight w:val="none"/>
          <w:lang w:eastAsia="zh-CN"/>
        </w:rPr>
        <w:t>制订</w:t>
      </w:r>
      <w:r>
        <w:rPr>
          <w:rFonts w:hint="eastAsia" w:ascii="仿宋_GB2312" w:hAnsi="黑体" w:eastAsia="仿宋_GB2312"/>
          <w:color w:val="auto"/>
          <w:sz w:val="32"/>
          <w:szCs w:val="32"/>
          <w:highlight w:val="none"/>
        </w:rPr>
        <w:t>了《国有资产界定政策解读》</w:t>
      </w:r>
      <w:r>
        <w:rPr>
          <w:rFonts w:hint="eastAsia" w:ascii="仿宋_GB2312" w:eastAsia="仿宋_GB2312"/>
          <w:color w:val="auto"/>
          <w:sz w:val="32"/>
          <w:szCs w:val="32"/>
          <w:highlight w:val="none"/>
        </w:rPr>
        <w:t>《关于明确全市国有资源资产清查工作的纪律要求的通知》</w:t>
      </w:r>
      <w:r>
        <w:rPr>
          <w:rFonts w:hint="eastAsia" w:ascii="仿宋_GB2312" w:hAnsi="黑体" w:eastAsia="仿宋_GB2312"/>
          <w:color w:val="auto"/>
          <w:sz w:val="32"/>
          <w:szCs w:val="32"/>
          <w:highlight w:val="none"/>
        </w:rPr>
        <w:t>《关于集中彻底清查国有资源资产核查指导有关事宜的通知》等，</w:t>
      </w:r>
      <w:r>
        <w:rPr>
          <w:rFonts w:hint="eastAsia" w:ascii="仿宋_GB2312" w:hAnsi="仿宋_GB2312" w:eastAsia="仿宋_GB2312" w:cs="仿宋_GB2312"/>
          <w:color w:val="auto"/>
          <w:sz w:val="32"/>
          <w:szCs w:val="32"/>
          <w:highlight w:val="none"/>
          <w:shd w:val="clear" w:color="auto" w:fill="FFFFFF"/>
          <w:lang w:val="en-US" w:eastAsia="zh-CN"/>
        </w:rPr>
        <w:t>对全市</w:t>
      </w:r>
      <w:r>
        <w:rPr>
          <w:rFonts w:ascii="仿宋_GB2312" w:eastAsia="仿宋_GB2312"/>
          <w:color w:val="auto"/>
          <w:sz w:val="32"/>
          <w:szCs w:val="32"/>
          <w:highlight w:val="none"/>
        </w:rPr>
        <w:t>191</w:t>
      </w:r>
      <w:r>
        <w:rPr>
          <w:rFonts w:hint="eastAsia" w:ascii="仿宋_GB2312" w:eastAsia="仿宋_GB2312"/>
          <w:color w:val="auto"/>
          <w:sz w:val="32"/>
          <w:szCs w:val="32"/>
          <w:highlight w:val="none"/>
        </w:rPr>
        <w:t>个单位（含</w:t>
      </w:r>
      <w:r>
        <w:rPr>
          <w:rFonts w:ascii="仿宋_GB2312" w:eastAsia="仿宋_GB2312"/>
          <w:color w:val="auto"/>
          <w:sz w:val="32"/>
          <w:szCs w:val="32"/>
          <w:highlight w:val="none"/>
        </w:rPr>
        <w:t>32</w:t>
      </w:r>
      <w:r>
        <w:rPr>
          <w:rFonts w:hint="eastAsia" w:ascii="仿宋_GB2312" w:eastAsia="仿宋_GB2312"/>
          <w:color w:val="auto"/>
          <w:sz w:val="32"/>
          <w:szCs w:val="32"/>
          <w:highlight w:val="none"/>
        </w:rPr>
        <w:t>家市属国企）</w:t>
      </w:r>
      <w:r>
        <w:rPr>
          <w:rFonts w:hint="eastAsia" w:ascii="仿宋_GB2312" w:hAnsi="仿宋_GB2312" w:eastAsia="仿宋_GB2312" w:cs="仿宋_GB2312"/>
          <w:color w:val="auto"/>
          <w:sz w:val="32"/>
          <w:szCs w:val="32"/>
          <w:highlight w:val="none"/>
          <w:shd w:val="clear" w:color="auto" w:fill="FFFFFF"/>
          <w:lang w:val="en-US" w:eastAsia="zh-CN"/>
        </w:rPr>
        <w:t>国有资产进行全面彻底清理，全面解决资产管理中存在的历史遗留问题120件。对清理出的经营性资产，实行统一集中监管，推动国有资产规范管理。</w:t>
      </w:r>
      <w:r>
        <w:rPr>
          <w:rFonts w:hint="eastAsia" w:ascii="仿宋_GB2312" w:eastAsia="仿宋_GB2312"/>
          <w:color w:val="auto"/>
          <w:sz w:val="32"/>
          <w:szCs w:val="32"/>
          <w:highlight w:val="none"/>
        </w:rPr>
        <w:t>二是推进资产权证办理注入。办理光辉、甘河、龚竹三个农贸市场资产不动产权证不动产权证36本，评估价值5387.56万元，已依规注入峨眉发展；完成525土地资产注入市属国有企业工作。公开处置机关事业单位闲置固定资产</w:t>
      </w:r>
      <w:r>
        <w:rPr>
          <w:rFonts w:hint="eastAsia" w:ascii="仿宋_GB2312" w:eastAsia="仿宋_GB2312"/>
          <w:color w:val="auto"/>
          <w:sz w:val="32"/>
          <w:szCs w:val="32"/>
          <w:highlight w:val="none"/>
          <w:lang w:val="en-US" w:eastAsia="zh-CN"/>
        </w:rPr>
        <w:t>163</w:t>
      </w:r>
      <w:r>
        <w:rPr>
          <w:rFonts w:hint="eastAsia" w:ascii="仿宋_GB2312" w:eastAsia="仿宋_GB2312"/>
          <w:color w:val="auto"/>
          <w:sz w:val="32"/>
          <w:szCs w:val="32"/>
          <w:highlight w:val="none"/>
        </w:rPr>
        <w:t>宗，</w:t>
      </w:r>
      <w:r>
        <w:rPr>
          <w:rFonts w:hint="eastAsia" w:ascii="仿宋_GB2312" w:eastAsia="仿宋_GB2312"/>
          <w:color w:val="auto"/>
          <w:sz w:val="32"/>
          <w:szCs w:val="32"/>
          <w:highlight w:val="none"/>
          <w:lang w:eastAsia="zh-CN"/>
        </w:rPr>
        <w:t>按程序公开拍卖</w:t>
      </w:r>
      <w:r>
        <w:rPr>
          <w:rFonts w:hint="eastAsia" w:ascii="仿宋_GB2312" w:eastAsia="仿宋_GB2312"/>
          <w:color w:val="auto"/>
          <w:sz w:val="32"/>
          <w:szCs w:val="32"/>
          <w:highlight w:val="none"/>
        </w:rPr>
        <w:t>农村人居环境一体化污水处理设施和</w:t>
      </w:r>
      <w:bookmarkStart w:id="73" w:name="_GoBack"/>
      <w:bookmarkEnd w:id="73"/>
      <w:r>
        <w:rPr>
          <w:rFonts w:hint="eastAsia" w:ascii="仿宋_GB2312" w:eastAsia="仿宋_GB2312"/>
          <w:color w:val="auto"/>
          <w:sz w:val="32"/>
          <w:szCs w:val="32"/>
          <w:highlight w:val="none"/>
        </w:rPr>
        <w:t>乡镇污水处理站污水处理特许经营权及垃圾处理特许经营权等</w:t>
      </w:r>
      <w:r>
        <w:rPr>
          <w:rFonts w:ascii="仿宋_GB2312" w:eastAsia="仿宋_GB2312"/>
          <w:color w:val="auto"/>
          <w:sz w:val="32"/>
          <w:szCs w:val="32"/>
          <w:highlight w:val="none"/>
        </w:rPr>
        <w:t>2</w:t>
      </w:r>
      <w:r>
        <w:rPr>
          <w:rFonts w:hint="eastAsia" w:ascii="仿宋_GB2312" w:eastAsia="仿宋_GB2312"/>
          <w:color w:val="auto"/>
          <w:sz w:val="32"/>
          <w:szCs w:val="32"/>
          <w:highlight w:val="none"/>
        </w:rPr>
        <w:t>个特许经营权。三是开展国有企业职工家属区“三供一业”分离移交改造。</w:t>
      </w:r>
      <w:r>
        <w:rPr>
          <w:rFonts w:hint="eastAsia" w:eastAsia="仿宋_GB2312" w:cs="仿宋_GB2312"/>
          <w:color w:val="auto"/>
          <w:sz w:val="32"/>
          <w:szCs w:val="32"/>
          <w:highlight w:val="none"/>
        </w:rPr>
        <w:t>截至目前，“三供一业”分离移交工作已基本结束</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并完成整个“三供一业”资金清算材料上报。</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lang w:val="en-US" w:eastAsia="zh-CN"/>
        </w:rPr>
        <w:t>4．</w:t>
      </w:r>
      <w:r>
        <w:rPr>
          <w:rFonts w:hint="eastAsia" w:ascii="楷体_GB2312" w:hAnsi="楷体_GB2312" w:eastAsia="楷体_GB2312" w:cs="楷体_GB2312"/>
          <w:color w:val="auto"/>
          <w:kern w:val="0"/>
          <w:sz w:val="32"/>
          <w:szCs w:val="32"/>
          <w:highlight w:val="none"/>
          <w:lang w:eastAsia="zh-CN"/>
        </w:rPr>
        <w:t>财政投资评审不断规范</w:t>
      </w:r>
    </w:p>
    <w:p>
      <w:pPr>
        <w:keepNext w:val="0"/>
        <w:keepLines w:val="0"/>
        <w:pageBreakBefore w:val="0"/>
        <w:widowControl w:val="0"/>
        <w:kinsoku/>
        <w:wordWrap/>
        <w:overflowPunct/>
        <w:topLinePunct w:val="0"/>
        <w:autoSpaceDE/>
        <w:autoSpaceDN/>
        <w:bidi w:val="0"/>
        <w:spacing w:line="600" w:lineRule="exact"/>
        <w:ind w:right="-332" w:rightChars="-158" w:firstLine="640" w:firstLineChars="200"/>
        <w:jc w:val="left"/>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Times New Roman" w:eastAsia="仿宋_GB2312" w:cs="Times New Roman"/>
          <w:color w:val="auto"/>
          <w:sz w:val="32"/>
          <w:szCs w:val="32"/>
          <w:highlight w:val="none"/>
          <w:lang w:val="zh-CN" w:eastAsia="zh-CN"/>
        </w:rPr>
        <w:t>一是积极开展项目评审。</w:t>
      </w:r>
      <w:r>
        <w:rPr>
          <w:rFonts w:hint="eastAsia" w:ascii="仿宋_GB2312" w:hAnsi="Times New Roman" w:eastAsia="仿宋_GB2312" w:cs="Times New Roman"/>
          <w:color w:val="auto"/>
          <w:sz w:val="32"/>
          <w:szCs w:val="32"/>
          <w:highlight w:val="none"/>
          <w:lang w:val="en-US" w:eastAsia="zh-CN"/>
        </w:rPr>
        <w:t>完成项目评审749个(包括电力类115个和峨眉山景区管委会项目16个)。送审金额156757.69万元，审定金额135521.8万元，审减金额21235.89万元，审减率13.55%。其中：预算项目评审368个，送审金额113922.71万元，审定金额95972.22万元，审减金额17950.49万元，审减率15.76%。结算项目评审381个，送审金额42834.98万元，</w:t>
      </w:r>
      <w:r>
        <w:rPr>
          <w:rFonts w:hint="eastAsia" w:ascii="仿宋_GB2312" w:hAnsi="仿宋_GB2312" w:eastAsia="仿宋_GB2312" w:cs="仿宋_GB2312"/>
          <w:color w:val="auto"/>
          <w:sz w:val="32"/>
          <w:szCs w:val="32"/>
          <w:highlight w:val="none"/>
        </w:rPr>
        <w:t>审定金额</w:t>
      </w:r>
      <w:r>
        <w:rPr>
          <w:rFonts w:hint="eastAsia" w:ascii="仿宋_GB2312" w:hAnsi="仿宋_GB2312" w:eastAsia="仿宋_GB2312" w:cs="仿宋_GB2312"/>
          <w:color w:val="auto"/>
          <w:sz w:val="32"/>
          <w:szCs w:val="32"/>
          <w:highlight w:val="none"/>
          <w:lang w:val="en-US" w:eastAsia="zh-CN"/>
        </w:rPr>
        <w:t>39549.58</w:t>
      </w:r>
      <w:r>
        <w:rPr>
          <w:rFonts w:hint="eastAsia" w:ascii="仿宋_GB2312" w:hAnsi="仿宋_GB2312" w:eastAsia="仿宋_GB2312" w:cs="仿宋_GB2312"/>
          <w:color w:val="auto"/>
          <w:sz w:val="32"/>
          <w:szCs w:val="32"/>
          <w:highlight w:val="none"/>
        </w:rPr>
        <w:t>万元，审减金额</w:t>
      </w:r>
      <w:r>
        <w:rPr>
          <w:rFonts w:hint="eastAsia" w:ascii="仿宋_GB2312" w:hAnsi="仿宋_GB2312" w:eastAsia="仿宋_GB2312" w:cs="仿宋_GB2312"/>
          <w:color w:val="auto"/>
          <w:sz w:val="32"/>
          <w:szCs w:val="32"/>
          <w:highlight w:val="none"/>
          <w:lang w:val="en-US" w:eastAsia="zh-CN"/>
        </w:rPr>
        <w:t>3285.4</w:t>
      </w:r>
      <w:r>
        <w:rPr>
          <w:rFonts w:hint="eastAsia" w:ascii="仿宋_GB2312" w:hAnsi="仿宋_GB2312" w:eastAsia="仿宋_GB2312" w:cs="仿宋_GB2312"/>
          <w:color w:val="auto"/>
          <w:sz w:val="32"/>
          <w:szCs w:val="32"/>
          <w:highlight w:val="none"/>
        </w:rPr>
        <w:t>万元，审减率</w:t>
      </w:r>
      <w:r>
        <w:rPr>
          <w:rFonts w:hint="eastAsia" w:ascii="仿宋_GB2312" w:hAnsi="仿宋_GB2312" w:eastAsia="仿宋_GB2312" w:cs="仿宋_GB2312"/>
          <w:color w:val="auto"/>
          <w:sz w:val="32"/>
          <w:szCs w:val="32"/>
          <w:highlight w:val="none"/>
          <w:lang w:val="en-US" w:eastAsia="zh-CN"/>
        </w:rPr>
        <w:t>7.67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CN"/>
        </w:rPr>
        <w:t>二是认真履行项目监管。将全市重大项目落实专人监管，对市属国有企业在建项目集中进行现场踏勘，不定期主动到现场跟踪查看合同履约情况。根据项目实施情况和存在问题，向建设单位提出了相关建议和要求。</w:t>
      </w:r>
      <w:r>
        <w:rPr>
          <w:rFonts w:hint="eastAsia" w:ascii="仿宋_GB2312" w:hAnsi="仿宋_GB2312" w:eastAsia="仿宋_GB2312" w:cs="仿宋_GB2312"/>
          <w:color w:val="auto"/>
          <w:sz w:val="32"/>
          <w:szCs w:val="32"/>
          <w:highlight w:val="none"/>
        </w:rPr>
        <w:t>完成招标文件符合性审查</w:t>
      </w:r>
      <w:r>
        <w:rPr>
          <w:rFonts w:hint="eastAsia" w:ascii="仿宋_GB2312" w:hAnsi="仿宋_GB2312" w:eastAsia="仿宋_GB2312" w:cs="仿宋_GB2312"/>
          <w:color w:val="auto"/>
          <w:sz w:val="32"/>
          <w:szCs w:val="32"/>
          <w:highlight w:val="none"/>
          <w:lang w:val="en-US" w:eastAsia="zh-CN"/>
        </w:rPr>
        <w:t>88</w:t>
      </w:r>
      <w:r>
        <w:rPr>
          <w:rFonts w:hint="eastAsia" w:ascii="仿宋_GB2312" w:hAnsi="仿宋_GB2312" w:eastAsia="仿宋_GB2312" w:cs="仿宋_GB2312"/>
          <w:color w:val="auto"/>
          <w:sz w:val="32"/>
          <w:szCs w:val="32"/>
          <w:highlight w:val="none"/>
        </w:rPr>
        <w:t>个，合同</w:t>
      </w:r>
      <w:r>
        <w:rPr>
          <w:rFonts w:hint="eastAsia" w:ascii="仿宋_GB2312" w:hAnsi="仿宋_GB2312" w:eastAsia="仿宋_GB2312" w:cs="仿宋_GB2312"/>
          <w:color w:val="auto"/>
          <w:sz w:val="32"/>
          <w:szCs w:val="32"/>
          <w:highlight w:val="none"/>
          <w:lang w:eastAsia="zh-CN"/>
        </w:rPr>
        <w:t>备案</w:t>
      </w:r>
      <w:r>
        <w:rPr>
          <w:rFonts w:hint="eastAsia" w:ascii="仿宋_GB2312" w:hAnsi="仿宋_GB2312" w:eastAsia="仿宋_GB2312" w:cs="仿宋_GB2312"/>
          <w:color w:val="auto"/>
          <w:sz w:val="32"/>
          <w:szCs w:val="32"/>
          <w:highlight w:val="none"/>
        </w:rPr>
        <w:t>审查</w:t>
      </w:r>
      <w:r>
        <w:rPr>
          <w:rFonts w:hint="eastAsia" w:ascii="仿宋_GB2312" w:hAnsi="仿宋_GB2312" w:eastAsia="仿宋_GB2312" w:cs="仿宋_GB2312"/>
          <w:color w:val="auto"/>
          <w:sz w:val="32"/>
          <w:szCs w:val="32"/>
          <w:highlight w:val="none"/>
          <w:lang w:val="en-US" w:eastAsia="zh-CN"/>
        </w:rPr>
        <w:t>142</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val="zh-CN"/>
        </w:rPr>
        <w:t>三是优化内部管理。制定了《峨眉山市财政投资评审项目管理办法》和《峨眉山市财政投资评审中心专业技术人员项目绩效考核办法（2020年修订）》，进一步明确了项目评审流程，确保评审工作质量，提高了评审人员工作积极性和工作效率。</w:t>
      </w:r>
      <w:r>
        <w:rPr>
          <w:rFonts w:hint="eastAsia" w:ascii="仿宋_GB2312" w:hAnsi="仿宋_GB2312" w:eastAsia="仿宋_GB2312" w:cs="仿宋_GB2312"/>
          <w:color w:val="auto"/>
          <w:sz w:val="32"/>
          <w:szCs w:val="32"/>
          <w:highlight w:val="none"/>
          <w:lang w:val="zh-CN" w:eastAsia="zh-CN"/>
        </w:rPr>
        <w:t>四是强化廉政建设。</w:t>
      </w:r>
      <w:r>
        <w:rPr>
          <w:rFonts w:hint="eastAsia" w:ascii="仿宋_GB2312" w:hAnsi="仿宋_GB2312" w:eastAsia="仿宋_GB2312" w:cs="仿宋_GB2312"/>
          <w:color w:val="auto"/>
          <w:sz w:val="32"/>
          <w:szCs w:val="32"/>
          <w:highlight w:val="none"/>
          <w:lang w:eastAsia="zh-CN"/>
        </w:rPr>
        <w:t>完善了《峨眉山市财政投资评审中心廉政制度》，并出台《工作人员八小时之外行为规范》，时刻筑牢反腐倡廉道德防线，加强职业道德教育，将廉政工作</w:t>
      </w:r>
      <w:r>
        <w:rPr>
          <w:rFonts w:hint="eastAsia" w:ascii="仿宋_GB2312" w:hAnsi="仿宋_GB2312" w:eastAsia="仿宋_GB2312" w:cs="仿宋_GB2312"/>
          <w:color w:val="auto"/>
          <w:sz w:val="32"/>
          <w:szCs w:val="32"/>
          <w:highlight w:val="none"/>
          <w:lang w:val="en-US" w:eastAsia="zh-CN"/>
        </w:rPr>
        <w:t>贯穿于评审工作的每一环节。</w:t>
      </w:r>
    </w:p>
    <w:p>
      <w:pPr>
        <w:keepNext w:val="0"/>
        <w:keepLines w:val="0"/>
        <w:pageBreakBefore w:val="0"/>
        <w:widowControl w:val="0"/>
        <w:kinsoku/>
        <w:wordWrap/>
        <w:overflowPunct/>
        <w:topLinePunct w:val="0"/>
        <w:autoSpaceDE/>
        <w:autoSpaceDN/>
        <w:bidi w:val="0"/>
        <w:spacing w:line="600" w:lineRule="exact"/>
        <w:ind w:right="-332" w:rightChars="-158" w:firstLine="640" w:firstLineChars="200"/>
        <w:jc w:val="left"/>
        <w:textAlignment w:val="auto"/>
        <w:rPr>
          <w:rFonts w:hint="eastAsia" w:ascii="楷体_GB2312" w:hAnsi="楷体_GB2312" w:eastAsia="楷体_GB2312" w:cs="楷体_GB2312"/>
          <w:color w:val="auto"/>
          <w:kern w:val="0"/>
          <w:sz w:val="32"/>
          <w:szCs w:val="32"/>
          <w:highlight w:val="none"/>
          <w:lang w:eastAsia="zh-CN"/>
        </w:rPr>
      </w:pPr>
      <w:r>
        <w:rPr>
          <w:rFonts w:hint="eastAsia" w:ascii="仿宋_GB2312" w:hAnsi="仿宋_GB2312" w:eastAsia="仿宋_GB2312" w:cs="仿宋_GB2312"/>
          <w:kern w:val="0"/>
          <w:sz w:val="32"/>
          <w:szCs w:val="32"/>
          <w:lang w:val="en-US" w:eastAsia="zh-CN"/>
        </w:rPr>
        <w:t>5．</w:t>
      </w:r>
      <w:r>
        <w:rPr>
          <w:rFonts w:hint="eastAsia" w:ascii="楷体_GB2312" w:hAnsi="楷体_GB2312" w:eastAsia="楷体_GB2312" w:cs="楷体_GB2312"/>
          <w:color w:val="auto"/>
          <w:kern w:val="0"/>
          <w:sz w:val="32"/>
          <w:szCs w:val="32"/>
          <w:highlight w:val="none"/>
          <w:lang w:eastAsia="zh-CN"/>
        </w:rPr>
        <w:t>财政监督管理水平不断提升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一是深入开展监督检查。先后开展了</w:t>
      </w:r>
      <w:r>
        <w:rPr>
          <w:rFonts w:hint="default"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违规发放工资奖金津贴补贴专项整治工作</w:t>
      </w:r>
      <w:r>
        <w:rPr>
          <w:rFonts w:hint="default"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和</w:t>
      </w:r>
      <w:r>
        <w:rPr>
          <w:rFonts w:hint="default"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举一反三全面抓好整治工作</w:t>
      </w:r>
      <w:r>
        <w:rPr>
          <w:rFonts w:hint="default"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174个预算单位完成自查并签订了《承诺书》，自查发现涉及差旅费、资金管理等问题14个，金额16.4万元。选取两家预算单位开展会计质量监督检查，发现涉及会计基础工作、收入资产核算、政府采购程序等问题9个，金额56万元。开展产业扶贫资金风险排查和小额信贷资金保全工作，对财政支持扶贫政策执行情况进行核查，了解掌握实施效果，防范财政金融风险。按照强农惠农资金</w:t>
      </w:r>
      <w:r>
        <w:rPr>
          <w:rFonts w:hint="default"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一卡通</w:t>
      </w:r>
      <w:r>
        <w:rPr>
          <w:rFonts w:hint="default"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监管要求，发现疑似问题8个，督促项目发放主管部门切实整改，修改完善信息，追缴死亡多发放资金10万元。二是加强会计管理。对我市7家代理记账机构进行行业发展的研究和数据分析，强化代理记账行业执业质量监管；组织开展会计专业技术人员职称考试、继续教育和村级财务等培训会；完成行政事业单位内部控制报告编报工作，强化单位内控意识。三是积极落实疫情防控等政府采购制度，深化政府采购制度改革。督促各单位做好贫困地区农副产品采购工作，深化营商环境专项治理，全面清理政府采购领域妨碍公平竞争的问题和做法，检查发现涉及合同签订、评审过程违规、逾期退还保证金等问题10个并及时进行查处，对1名采购人、2家供应商处以警告、罚款等行政处罚，促进政府采购市场公平。针对政府采购乱象，制定《规范政府采购行为完善政府采购手续》管理办法，加强政府采购监管。</w:t>
      </w:r>
    </w:p>
    <w:p>
      <w:pPr>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sz w:val="32"/>
          <w:szCs w:val="32"/>
        </w:rPr>
      </w:pPr>
      <w:bookmarkStart w:id="20" w:name="_Toc15396601"/>
      <w:bookmarkStart w:id="21" w:name="_Toc15377200"/>
      <w:r>
        <w:rPr>
          <w:rFonts w:hint="eastAsia" w:ascii="黑体" w:hAnsi="黑体" w:eastAsia="黑体" w:cs="黑体"/>
          <w:sz w:val="32"/>
          <w:szCs w:val="32"/>
          <w:lang w:eastAsia="zh-CN"/>
        </w:rPr>
        <w:t>　　</w:t>
      </w:r>
      <w:r>
        <w:rPr>
          <w:rFonts w:hint="eastAsia" w:ascii="黑体" w:hAnsi="黑体" w:eastAsia="黑体" w:cs="黑体"/>
          <w:sz w:val="32"/>
          <w:szCs w:val="32"/>
        </w:rPr>
        <w:t>二、机构设置</w:t>
      </w:r>
      <w:bookmarkEnd w:id="20"/>
      <w:bookmarkEnd w:id="21"/>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峨眉山市财政局</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个，其中参照公务员法管理的事业单位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分别为峨眉山市国库支付中心、峨眉山市财政局收费票据监管中心，</w:t>
      </w:r>
      <w:r>
        <w:rPr>
          <w:rFonts w:hint="eastAsia" w:ascii="仿宋_GB2312" w:hAnsi="仿宋_GB2312" w:eastAsia="仿宋_GB2312" w:cs="仿宋_GB2312"/>
          <w:sz w:val="32"/>
          <w:szCs w:val="32"/>
        </w:rPr>
        <w:t>其他事业单位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，分别为峨眉山市财政投资评审中心、峨眉山市国有资产服务中心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决算编制范围的</w:t>
      </w:r>
      <w:r>
        <w:rPr>
          <w:rFonts w:hint="eastAsia" w:ascii="仿宋_GB2312" w:hAnsi="仿宋_GB2312" w:eastAsia="仿宋_GB2312" w:cs="仿宋_GB2312"/>
          <w:sz w:val="32"/>
          <w:szCs w:val="32"/>
          <w:lang w:eastAsia="zh-CN"/>
        </w:rPr>
        <w:t>包括峨眉山市财政局机关、峨眉山市财政局收费票据监管中心、峨眉山市国库支付中心、峨眉山市财政投资评审中心、峨眉山市国有资产服务中心。</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rPr>
      </w:pPr>
      <w:bookmarkStart w:id="22" w:name="_Toc15396602"/>
      <w:bookmarkStart w:id="23" w:name="_Toc15377204"/>
      <w:r>
        <w:rPr>
          <w:rFonts w:hint="eastAsia" w:ascii="方正小标宋_GBK" w:hAnsi="方正小标宋_GBK" w:eastAsia="方正小标宋_GBK" w:cs="方正小标宋_GBK"/>
          <w:b/>
          <w:bCs/>
          <w:sz w:val="44"/>
          <w:szCs w:val="44"/>
        </w:rPr>
        <w:t>第二部分 20</w:t>
      </w:r>
      <w:r>
        <w:rPr>
          <w:rFonts w:hint="eastAsia" w:ascii="方正小标宋_GBK" w:hAnsi="方正小标宋_GBK" w:eastAsia="方正小标宋_GBK" w:cs="方正小标宋_GBK"/>
          <w:b/>
          <w:bCs/>
          <w:sz w:val="44"/>
          <w:szCs w:val="44"/>
          <w:lang w:val="en-US" w:eastAsia="zh-CN"/>
        </w:rPr>
        <w:t>20</w:t>
      </w:r>
      <w:r>
        <w:rPr>
          <w:rFonts w:hint="eastAsia" w:ascii="方正小标宋_GBK" w:hAnsi="方正小标宋_GBK" w:eastAsia="方正小标宋_GBK" w:cs="方正小标宋_GBK"/>
          <w:b/>
          <w:bCs/>
          <w:sz w:val="44"/>
          <w:szCs w:val="44"/>
        </w:rPr>
        <w:t>年度部门决算情况说明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24" w:name="_Toc15377205"/>
      <w:bookmarkStart w:id="25" w:name="_Toc1539660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6225.24</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2948.15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89.96</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2019年项目增加。</w:t>
      </w:r>
    </w:p>
    <w:p>
      <w:pPr>
        <w:spacing w:line="600" w:lineRule="exact"/>
        <w:ind w:firstLine="420" w:firstLineChars="200"/>
        <w:rPr>
          <w:rFonts w:hint="eastAsia" w:ascii="仿宋" w:hAnsi="仿宋" w:eastAsia="仿宋"/>
          <w:color w:val="000000"/>
          <w:sz w:val="32"/>
          <w:szCs w:val="32"/>
          <w:lang w:val="en-US" w:eastAsia="zh-CN"/>
        </w:rPr>
      </w:pPr>
      <w:r>
        <w:drawing>
          <wp:anchor distT="0" distB="0" distL="114300" distR="114300" simplePos="0" relativeHeight="251659264" behindDoc="1" locked="0" layoutInCell="1" allowOverlap="1">
            <wp:simplePos x="0" y="0"/>
            <wp:positionH relativeFrom="column">
              <wp:posOffset>334645</wp:posOffset>
            </wp:positionH>
            <wp:positionV relativeFrom="paragraph">
              <wp:posOffset>80645</wp:posOffset>
            </wp:positionV>
            <wp:extent cx="4572000" cy="2743200"/>
            <wp:effectExtent l="4445" t="4445" r="14605" b="14605"/>
            <wp:wrapTight wrapText="bothSides">
              <wp:wrapPolygon>
                <wp:start x="-21" y="-35"/>
                <wp:lineTo x="-21" y="21565"/>
                <wp:lineTo x="21579" y="21565"/>
                <wp:lineTo x="21579" y="-35"/>
                <wp:lineTo x="-21" y="-35"/>
              </wp:wrapPolygon>
            </wp:wrapTight>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（图1：收、支决算总计变动情况图）（柱状图）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2"/>
          <w:rFonts w:ascii="黑体" w:hAnsi="黑体" w:eastAsia="黑体"/>
          <w:b w:val="0"/>
        </w:rPr>
      </w:pPr>
      <w:bookmarkStart w:id="26" w:name="_Toc15396604"/>
      <w:bookmarkStart w:id="27"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2"/>
          <w:rFonts w:hint="eastAsia" w:ascii="黑体" w:hAnsi="黑体" w:eastAsia="黑体"/>
          <w:b w:val="0"/>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6210.09</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2579.49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41.54</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3053.54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49.17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；国有资本经营预算财政拨款收入</w:t>
      </w:r>
      <w:r>
        <w:rPr>
          <w:rFonts w:hint="eastAsia" w:ascii="仿宋_GB2312" w:hAnsi="仿宋_GB2312" w:eastAsia="仿宋_GB2312" w:cs="仿宋_GB2312"/>
          <w:color w:val="000000"/>
          <w:sz w:val="32"/>
          <w:szCs w:val="32"/>
          <w:lang w:val="en-US" w:eastAsia="zh-CN"/>
        </w:rPr>
        <w:t>576.66万元，占9.28%；其他收入0.40万元，占0.01%</w:t>
      </w:r>
      <w:r>
        <w:rPr>
          <w:rFonts w:hint="eastAsia" w:ascii="仿宋_GB2312" w:hAnsi="仿宋_GB2312" w:eastAsia="仿宋_GB2312" w:cs="仿宋_GB2312"/>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420" w:firstLineChars="200"/>
        <w:outlineLvl w:val="1"/>
        <w:rPr>
          <w:rFonts w:hint="eastAsia" w:ascii="仿宋" w:hAnsi="仿宋" w:eastAsia="仿宋"/>
          <w:color w:val="000000"/>
          <w:sz w:val="32"/>
          <w:szCs w:val="32"/>
        </w:rPr>
      </w:pPr>
      <w:r>
        <w:drawing>
          <wp:anchor distT="0" distB="0" distL="114300" distR="114300" simplePos="0" relativeHeight="251661312" behindDoc="1" locked="0" layoutInCell="1" allowOverlap="1">
            <wp:simplePos x="0" y="0"/>
            <wp:positionH relativeFrom="column">
              <wp:posOffset>220345</wp:posOffset>
            </wp:positionH>
            <wp:positionV relativeFrom="paragraph">
              <wp:posOffset>35560</wp:posOffset>
            </wp:positionV>
            <wp:extent cx="4572000" cy="2743200"/>
            <wp:effectExtent l="4445" t="4445" r="14605" b="14605"/>
            <wp:wrapTight wrapText="bothSides">
              <wp:wrapPolygon>
                <wp:start x="-21" y="-35"/>
                <wp:lineTo x="-21" y="21565"/>
                <wp:lineTo x="21579" y="21565"/>
                <wp:lineTo x="21579" y="-35"/>
                <wp:lineTo x="-21" y="-35"/>
              </wp:wrapPolygon>
            </wp:wrapTight>
            <wp:docPr id="3"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1920" w:firstLineChars="6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（图2：收入决算结构图）</w:t>
      </w:r>
    </w:p>
    <w:p>
      <w:pPr>
        <w:pStyle w:val="27"/>
        <w:numPr>
          <w:ilvl w:val="0"/>
          <w:numId w:val="0"/>
        </w:numPr>
        <w:spacing w:line="600" w:lineRule="exact"/>
        <w:ind w:left="640" w:leftChars="0"/>
        <w:outlineLvl w:val="1"/>
        <w:rPr>
          <w:rStyle w:val="22"/>
          <w:rFonts w:hint="eastAsia" w:ascii="黑体" w:hAnsi="黑体" w:eastAsia="黑体" w:cs="黑体"/>
          <w:b w:val="0"/>
        </w:rPr>
      </w:pPr>
      <w:bookmarkStart w:id="28" w:name="_Toc15396605"/>
      <w:bookmarkStart w:id="29" w:name="_Toc15377207"/>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支</w:t>
      </w:r>
      <w:r>
        <w:rPr>
          <w:rStyle w:val="22"/>
          <w:rFonts w:hint="eastAsia" w:ascii="黑体" w:hAnsi="黑体" w:eastAsia="黑体" w:cs="黑体"/>
          <w:b w:val="0"/>
        </w:rPr>
        <w:t>出决算情况说明</w:t>
      </w:r>
      <w:bookmarkEnd w:id="28"/>
      <w:bookmarkEnd w:id="29"/>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6210.22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其中：基本支出</w:t>
      </w:r>
      <w:r>
        <w:rPr>
          <w:rFonts w:hint="eastAsia" w:ascii="仿宋_GB2312" w:hAnsi="仿宋_GB2312" w:eastAsia="仿宋_GB2312" w:cs="仿宋_GB2312"/>
          <w:color w:val="000000"/>
          <w:sz w:val="32"/>
          <w:szCs w:val="32"/>
          <w:lang w:val="en-US" w:eastAsia="zh-CN"/>
        </w:rPr>
        <w:t>1668.11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26.86</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4542.11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73.14</w:t>
      </w:r>
      <w:r>
        <w:rPr>
          <w:rFonts w:hint="eastAsia" w:ascii="仿宋_GB2312" w:hAnsi="仿宋_GB2312" w:eastAsia="仿宋_GB2312" w:cs="仿宋_GB2312"/>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420" w:firstLineChars="200"/>
        <w:outlineLvl w:val="1"/>
      </w:pPr>
      <w:r>
        <w:drawing>
          <wp:anchor distT="0" distB="0" distL="114300" distR="114300" simplePos="0" relativeHeight="251660288" behindDoc="1" locked="0" layoutInCell="1" allowOverlap="1">
            <wp:simplePos x="0" y="0"/>
            <wp:positionH relativeFrom="column">
              <wp:posOffset>271145</wp:posOffset>
            </wp:positionH>
            <wp:positionV relativeFrom="paragraph">
              <wp:posOffset>-2453005</wp:posOffset>
            </wp:positionV>
            <wp:extent cx="4572000" cy="2743200"/>
            <wp:effectExtent l="4445" t="4445" r="14605" b="14605"/>
            <wp:wrapTight wrapText="bothSides">
              <wp:wrapPolygon>
                <wp:start x="-21" y="-35"/>
                <wp:lineTo x="-21" y="21565"/>
                <wp:lineTo x="21579" y="21565"/>
                <wp:lineTo x="21579" y="-35"/>
                <wp:lineTo x="-21" y="-35"/>
              </wp:wrapPolygon>
            </wp:wrapTight>
            <wp:docPr id="2"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1600" w:firstLineChars="5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w:t>
      </w:r>
    </w:p>
    <w:p>
      <w:pPr>
        <w:spacing w:line="600" w:lineRule="exact"/>
        <w:ind w:firstLine="640" w:firstLineChars="200"/>
        <w:outlineLvl w:val="1"/>
        <w:rPr>
          <w:rFonts w:hint="eastAsia" w:ascii="黑体" w:hAnsi="黑体" w:eastAsia="黑体"/>
          <w:color w:val="000000"/>
          <w:sz w:val="32"/>
          <w:szCs w:val="32"/>
        </w:rPr>
      </w:pPr>
      <w:bookmarkStart w:id="30" w:name="_Toc15377208"/>
      <w:bookmarkStart w:id="31" w:name="_Toc15396606"/>
    </w:p>
    <w:p>
      <w:pPr>
        <w:spacing w:line="600" w:lineRule="exact"/>
        <w:ind w:firstLine="640" w:firstLineChars="200"/>
        <w:outlineLvl w:val="1"/>
        <w:rPr>
          <w:rStyle w:val="22"/>
          <w:rFonts w:ascii="黑体" w:hAnsi="黑体" w:eastAsia="黑体"/>
          <w:b w:val="0"/>
        </w:rPr>
      </w:pPr>
      <w:r>
        <w:rPr>
          <w:rFonts w:hint="eastAsia" w:ascii="黑体" w:hAnsi="黑体" w:eastAsia="黑体"/>
          <w:color w:val="000000"/>
          <w:sz w:val="32"/>
          <w:szCs w:val="32"/>
        </w:rPr>
        <w:t>四、财</w:t>
      </w:r>
      <w:r>
        <w:rPr>
          <w:rStyle w:val="22"/>
          <w:rFonts w:hint="eastAsia" w:ascii="黑体" w:hAnsi="黑体" w:eastAsia="黑体"/>
          <w:b w:val="0"/>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snapToGrid/>
        <w:spacing w:line="660" w:lineRule="exact"/>
        <w:ind w:firstLine="641"/>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年财政拨款收、支总计</w:t>
      </w:r>
      <w:r>
        <w:rPr>
          <w:rFonts w:hint="eastAsia" w:ascii="仿宋_GB2312" w:hAnsi="仿宋_GB2312" w:eastAsia="仿宋_GB2312" w:cs="仿宋_GB2312"/>
          <w:color w:val="000000"/>
          <w:sz w:val="32"/>
          <w:szCs w:val="32"/>
          <w:lang w:val="en-US" w:eastAsia="zh-CN"/>
        </w:rPr>
        <w:t>6209.69</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年相比，财政拨款收、支总计各增加</w:t>
      </w:r>
      <w:r>
        <w:rPr>
          <w:rFonts w:hint="eastAsia" w:ascii="仿宋_GB2312" w:hAnsi="仿宋_GB2312" w:eastAsia="仿宋_GB2312" w:cs="仿宋_GB2312"/>
          <w:color w:val="000000"/>
          <w:sz w:val="32"/>
          <w:szCs w:val="32"/>
          <w:lang w:val="en-US" w:eastAsia="zh-CN"/>
        </w:rPr>
        <w:t>3047.67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96.38</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2020年项目数量增加。</w:t>
      </w:r>
    </w:p>
    <w:p>
      <w:pPr>
        <w:spacing w:line="600" w:lineRule="exact"/>
        <w:ind w:firstLine="640"/>
        <w:rPr>
          <w:rFonts w:hint="default" w:ascii="仿宋_GB2312" w:hAnsi="仿宋_GB2312" w:eastAsia="仿宋_GB2312" w:cs="仿宋_GB2312"/>
          <w:color w:val="000000"/>
          <w:sz w:val="32"/>
          <w:szCs w:val="32"/>
          <w:lang w:val="en-US" w:eastAsia="zh-CN"/>
        </w:rPr>
      </w:pPr>
      <w:r>
        <w:drawing>
          <wp:anchor distT="0" distB="0" distL="114300" distR="114300" simplePos="0" relativeHeight="251662336" behindDoc="1" locked="0" layoutInCell="1" allowOverlap="1">
            <wp:simplePos x="0" y="0"/>
            <wp:positionH relativeFrom="column">
              <wp:posOffset>398145</wp:posOffset>
            </wp:positionH>
            <wp:positionV relativeFrom="paragraph">
              <wp:posOffset>207645</wp:posOffset>
            </wp:positionV>
            <wp:extent cx="4591050" cy="3028950"/>
            <wp:effectExtent l="4445" t="4445" r="14605" b="14605"/>
            <wp:wrapTight wrapText="bothSides">
              <wp:wrapPolygon>
                <wp:start x="-21" y="-32"/>
                <wp:lineTo x="-21" y="21482"/>
                <wp:lineTo x="21579" y="21482"/>
                <wp:lineTo x="21579" y="-32"/>
                <wp:lineTo x="-21" y="-32"/>
              </wp:wrapPolygon>
            </wp:wrapTight>
            <wp:docPr id="4"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rPr>
          <w:rFonts w:hint="default" w:ascii="仿宋" w:hAnsi="仿宋" w:eastAsia="仿宋"/>
          <w:color w:val="000000"/>
          <w:sz w:val="32"/>
          <w:szCs w:val="32"/>
          <w:lang w:val="en-US" w:eastAsia="zh-CN"/>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1"/>
        <w:rPr>
          <w:rStyle w:val="22"/>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2"/>
          <w:rFonts w:hint="eastAsia" w:ascii="黑体" w:hAnsi="黑体" w:eastAsia="黑体"/>
          <w:b w:val="0"/>
        </w:rPr>
        <w:t>般公共预算财政拨款支出决算情况说明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34" w:name="_Toc15377210"/>
      <w:r>
        <w:rPr>
          <w:rFonts w:hint="eastAsia" w:ascii="楷体_GB2312" w:hAnsi="楷体_GB2312" w:eastAsia="楷体_GB2312" w:cs="楷体_GB2312"/>
          <w:b w:val="0"/>
          <w:bCs/>
          <w:color w:val="000000"/>
          <w:sz w:val="32"/>
          <w:szCs w:val="32"/>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2579.49</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41.54</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381.00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降低</w:t>
      </w:r>
      <w:r>
        <w:rPr>
          <w:rFonts w:hint="eastAsia" w:ascii="仿宋_GB2312" w:hAnsi="仿宋_GB2312" w:eastAsia="仿宋_GB2312" w:cs="仿宋_GB2312"/>
          <w:color w:val="000000"/>
          <w:sz w:val="32"/>
          <w:szCs w:val="32"/>
          <w:lang w:val="en-US" w:eastAsia="zh-CN"/>
        </w:rPr>
        <w:t>12.87</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2020年一般公共预算财政拨款项目金额压缩。</w:t>
      </w:r>
    </w:p>
    <w:p>
      <w:pPr>
        <w:spacing w:line="600" w:lineRule="exact"/>
        <w:ind w:firstLine="640" w:firstLineChars="200"/>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r>
        <w:drawing>
          <wp:anchor distT="0" distB="0" distL="114300" distR="114300" simplePos="0" relativeHeight="251663360" behindDoc="1" locked="0" layoutInCell="1" allowOverlap="1">
            <wp:simplePos x="0" y="0"/>
            <wp:positionH relativeFrom="column">
              <wp:posOffset>429895</wp:posOffset>
            </wp:positionH>
            <wp:positionV relativeFrom="paragraph">
              <wp:posOffset>-103505</wp:posOffset>
            </wp:positionV>
            <wp:extent cx="4667250" cy="2819400"/>
            <wp:effectExtent l="4445" t="5080" r="14605" b="13970"/>
            <wp:wrapTight wrapText="bothSides">
              <wp:wrapPolygon>
                <wp:start x="-21" y="-34"/>
                <wp:lineTo x="-21" y="21513"/>
                <wp:lineTo x="21565" y="21513"/>
                <wp:lineTo x="21565" y="-34"/>
                <wp:lineTo x="-21" y="-34"/>
              </wp:wrapPolygon>
            </wp:wrapTight>
            <wp:docPr id="5"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（图5：一般公共预算财政拨款支出决算变动情况）（柱状图）</w:t>
      </w:r>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5" w:name="_Toc15377211"/>
      <w:r>
        <w:rPr>
          <w:rFonts w:hint="eastAsia" w:ascii="楷体_GB2312" w:hAnsi="楷体_GB2312" w:eastAsia="楷体_GB2312" w:cs="楷体_GB2312"/>
          <w:b w:val="0"/>
          <w:bCs/>
          <w:color w:val="000000"/>
          <w:sz w:val="32"/>
          <w:szCs w:val="32"/>
        </w:rPr>
        <w:t>（二）一般公共预算财政拨款支出决算结构情况</w:t>
      </w:r>
      <w:bookmarkEnd w:id="35"/>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2579.49</w:t>
      </w:r>
      <w:r>
        <w:rPr>
          <w:rFonts w:hint="eastAsia" w:ascii="仿宋_GB2312" w:hAnsi="仿宋_GB2312" w:eastAsia="仿宋_GB2312" w:cs="仿宋_GB2312"/>
          <w:color w:val="000000"/>
          <w:sz w:val="32"/>
          <w:szCs w:val="32"/>
        </w:rPr>
        <w:t>万元，主要用于以下方面:一般公共服务（类）支出</w:t>
      </w:r>
      <w:r>
        <w:rPr>
          <w:rFonts w:hint="eastAsia" w:ascii="仿宋_GB2312" w:hAnsi="仿宋_GB2312" w:eastAsia="仿宋_GB2312" w:cs="仿宋_GB2312"/>
          <w:color w:val="000000"/>
          <w:sz w:val="32"/>
          <w:szCs w:val="32"/>
          <w:lang w:val="en-US" w:eastAsia="zh-CN"/>
        </w:rPr>
        <w:t>2221.70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86.13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教育</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支出32.67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1.27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社会保障和就业</w:t>
      </w:r>
      <w:r>
        <w:rPr>
          <w:rFonts w:hint="eastAsia" w:ascii="仿宋_GB2312" w:hAnsi="仿宋_GB2312" w:eastAsia="仿宋_GB2312" w:cs="仿宋_GB2312"/>
          <w:color w:val="000000"/>
          <w:sz w:val="32"/>
          <w:szCs w:val="32"/>
        </w:rPr>
        <w:t>（类）支出</w:t>
      </w:r>
      <w:r>
        <w:rPr>
          <w:rFonts w:hint="eastAsia" w:ascii="仿宋_GB2312" w:hAnsi="仿宋_GB2312" w:eastAsia="仿宋_GB2312" w:cs="仿宋_GB2312"/>
          <w:color w:val="000000"/>
          <w:sz w:val="32"/>
          <w:szCs w:val="32"/>
          <w:lang w:val="en-US" w:eastAsia="zh-CN"/>
        </w:rPr>
        <w:t>179.93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6.98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卫生健康</w:t>
      </w:r>
      <w:r>
        <w:rPr>
          <w:rFonts w:hint="eastAsia" w:ascii="仿宋_GB2312" w:hAnsi="仿宋_GB2312" w:eastAsia="仿宋_GB2312" w:cs="仿宋_GB2312"/>
          <w:color w:val="000000"/>
          <w:sz w:val="32"/>
          <w:szCs w:val="32"/>
        </w:rPr>
        <w:t>（类）支出</w:t>
      </w:r>
      <w:r>
        <w:rPr>
          <w:rFonts w:hint="eastAsia" w:ascii="仿宋_GB2312" w:hAnsi="仿宋_GB2312" w:eastAsia="仿宋_GB2312" w:cs="仿宋_GB2312"/>
          <w:color w:val="000000"/>
          <w:sz w:val="32"/>
          <w:szCs w:val="32"/>
          <w:lang w:val="en-US" w:eastAsia="zh-CN"/>
        </w:rPr>
        <w:t>31.40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农林水</w:t>
      </w:r>
      <w:r>
        <w:rPr>
          <w:rFonts w:hint="eastAsia" w:ascii="仿宋_GB2312" w:hAnsi="仿宋_GB2312" w:eastAsia="仿宋_GB2312" w:cs="仿宋_GB2312"/>
          <w:color w:val="000000"/>
          <w:sz w:val="32"/>
          <w:szCs w:val="32"/>
        </w:rPr>
        <w:t>（类）支出</w:t>
      </w:r>
      <w:r>
        <w:rPr>
          <w:rFonts w:hint="eastAsia" w:ascii="仿宋_GB2312" w:hAnsi="仿宋_GB2312" w:eastAsia="仿宋_GB2312" w:cs="仿宋_GB2312"/>
          <w:color w:val="000000"/>
          <w:sz w:val="32"/>
          <w:szCs w:val="32"/>
          <w:lang w:val="en-US" w:eastAsia="zh-CN"/>
        </w:rPr>
        <w:t>3.00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0.11</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eastAsia="zh-CN"/>
        </w:rPr>
        <w:t>（类）支出</w:t>
      </w:r>
      <w:r>
        <w:rPr>
          <w:rFonts w:hint="eastAsia" w:ascii="仿宋_GB2312" w:hAnsi="仿宋_GB2312" w:eastAsia="仿宋_GB2312" w:cs="仿宋_GB2312"/>
          <w:color w:val="000000"/>
          <w:sz w:val="32"/>
          <w:szCs w:val="32"/>
          <w:lang w:val="en-US" w:eastAsia="zh-CN"/>
        </w:rPr>
        <w:t>110.79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4.29</w:t>
      </w:r>
      <w:r>
        <w:rPr>
          <w:rFonts w:hint="eastAsia" w:ascii="仿宋_GB2312" w:hAnsi="仿宋_GB2312" w:eastAsia="仿宋_GB2312" w:cs="仿宋_GB2312"/>
          <w:color w:val="000000"/>
          <w:sz w:val="32"/>
          <w:szCs w:val="32"/>
        </w:rPr>
        <w:t>%。</w:t>
      </w:r>
    </w:p>
    <w:p>
      <w:pPr>
        <w:spacing w:line="600" w:lineRule="exact"/>
        <w:ind w:firstLine="640"/>
        <w:rPr>
          <w:rFonts w:hint="eastAsia" w:ascii="仿宋" w:hAnsi="仿宋" w:eastAsia="仿宋"/>
          <w:color w:val="000000"/>
          <w:sz w:val="32"/>
          <w:szCs w:val="32"/>
        </w:rPr>
      </w:pPr>
      <w:r>
        <w:drawing>
          <wp:anchor distT="0" distB="0" distL="114300" distR="114300" simplePos="0" relativeHeight="251664384" behindDoc="1" locked="0" layoutInCell="1" allowOverlap="1">
            <wp:simplePos x="0" y="0"/>
            <wp:positionH relativeFrom="column">
              <wp:posOffset>313055</wp:posOffset>
            </wp:positionH>
            <wp:positionV relativeFrom="paragraph">
              <wp:posOffset>93345</wp:posOffset>
            </wp:positionV>
            <wp:extent cx="5048250" cy="2324100"/>
            <wp:effectExtent l="4445" t="4445" r="14605" b="14605"/>
            <wp:wrapTight wrapText="bothSides">
              <wp:wrapPolygon>
                <wp:start x="-19" y="-41"/>
                <wp:lineTo x="-19" y="21399"/>
                <wp:lineTo x="21565" y="21399"/>
                <wp:lineTo x="21565" y="-41"/>
                <wp:lineTo x="-19" y="-41"/>
              </wp:wrapPolygon>
            </wp:wrapTight>
            <wp:docPr id="6"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36" w:name="_Toc15377212"/>
      <w:r>
        <w:rPr>
          <w:rFonts w:hint="eastAsia" w:ascii="楷体_GB2312" w:hAnsi="楷体_GB2312" w:eastAsia="楷体_GB2312" w:cs="楷体_GB2312"/>
          <w:b w:val="0"/>
          <w:bCs/>
          <w:color w:val="000000"/>
          <w:sz w:val="32"/>
          <w:szCs w:val="32"/>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color w:val="FF0000"/>
          <w:sz w:val="32"/>
          <w:szCs w:val="32"/>
        </w:rPr>
      </w:pPr>
      <w:bookmarkStart w:id="37" w:name="_Toc15377213"/>
      <w:bookmarkStart w:id="38" w:name="_Toc15378460"/>
      <w:bookmarkStart w:id="39" w:name="_Toc15377444"/>
      <w:r>
        <w:rPr>
          <w:rFonts w:hint="eastAsia" w:ascii="仿宋_GB2312" w:hAnsi="仿宋_GB2312" w:eastAsia="仿宋_GB2312" w:cs="仿宋_GB2312"/>
          <w:b w:val="0"/>
          <w:bCs/>
          <w:color w:val="000000"/>
          <w:sz w:val="32"/>
          <w:szCs w:val="32"/>
        </w:rPr>
        <w:t>20</w:t>
      </w:r>
      <w:r>
        <w:rPr>
          <w:rFonts w:hint="eastAsia" w:ascii="仿宋_GB2312" w:hAnsi="仿宋_GB2312" w:eastAsia="仿宋_GB2312" w:cs="仿宋_GB2312"/>
          <w:b w:val="0"/>
          <w:bCs/>
          <w:color w:val="000000"/>
          <w:sz w:val="32"/>
          <w:szCs w:val="32"/>
          <w:lang w:val="en-US" w:eastAsia="zh-CN"/>
        </w:rPr>
        <w:t>20</w:t>
      </w:r>
      <w:r>
        <w:rPr>
          <w:rFonts w:hint="eastAsia" w:ascii="仿宋_GB2312" w:hAnsi="仿宋_GB2312" w:eastAsia="仿宋_GB2312" w:cs="仿宋_GB2312"/>
          <w:b w:val="0"/>
          <w:bCs/>
          <w:color w:val="000000"/>
          <w:sz w:val="32"/>
          <w:szCs w:val="32"/>
        </w:rPr>
        <w:t>年</w:t>
      </w:r>
      <w:r>
        <w:rPr>
          <w:rFonts w:hint="eastAsia" w:ascii="仿宋_GB2312" w:hAnsi="仿宋_GB2312" w:eastAsia="仿宋_GB2312" w:cs="仿宋_GB2312"/>
          <w:b w:val="0"/>
          <w:bCs/>
          <w:color w:val="000000"/>
          <w:sz w:val="32"/>
          <w:szCs w:val="32"/>
          <w:lang w:eastAsia="zh-CN"/>
        </w:rPr>
        <w:t>一</w:t>
      </w:r>
      <w:r>
        <w:rPr>
          <w:rFonts w:hint="eastAsia" w:ascii="仿宋_GB2312" w:hAnsi="仿宋_GB2312" w:eastAsia="仿宋_GB2312" w:cs="仿宋_GB2312"/>
          <w:b w:val="0"/>
          <w:bCs/>
          <w:color w:val="000000"/>
          <w:sz w:val="32"/>
          <w:szCs w:val="32"/>
        </w:rPr>
        <w:t>般公共预算</w:t>
      </w:r>
      <w:r>
        <w:rPr>
          <w:rFonts w:hint="eastAsia" w:ascii="仿宋_GB2312" w:hAnsi="仿宋_GB2312" w:eastAsia="仿宋_GB2312" w:cs="仿宋_GB2312"/>
          <w:b w:val="0"/>
          <w:bCs/>
          <w:color w:val="000000"/>
          <w:sz w:val="32"/>
          <w:szCs w:val="32"/>
          <w:lang w:eastAsia="zh-CN"/>
        </w:rPr>
        <w:t>财政拨款</w:t>
      </w:r>
      <w:r>
        <w:rPr>
          <w:rFonts w:hint="eastAsia" w:ascii="仿宋_GB2312" w:hAnsi="仿宋_GB2312" w:eastAsia="仿宋_GB2312" w:cs="仿宋_GB2312"/>
          <w:b w:val="0"/>
          <w:bCs/>
          <w:color w:val="000000"/>
          <w:sz w:val="32"/>
          <w:szCs w:val="32"/>
        </w:rPr>
        <w:t>支出决算数为</w:t>
      </w:r>
      <w:r>
        <w:rPr>
          <w:rFonts w:hint="eastAsia" w:ascii="仿宋_GB2312" w:hAnsi="仿宋_GB2312" w:eastAsia="仿宋_GB2312" w:cs="仿宋_GB2312"/>
          <w:b w:val="0"/>
          <w:bCs/>
          <w:color w:val="000000"/>
          <w:sz w:val="32"/>
          <w:szCs w:val="32"/>
          <w:lang w:val="en-US" w:eastAsia="zh-CN"/>
        </w:rPr>
        <w:t>2579.49万元</w:t>
      </w:r>
      <w:r>
        <w:rPr>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000000"/>
          <w:sz w:val="32"/>
          <w:szCs w:val="32"/>
        </w:rPr>
        <w:t>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1</w:t>
      </w:r>
      <w:r>
        <w:rPr>
          <w:rStyle w:val="15"/>
          <w:rFonts w:hint="eastAsia" w:ascii="仿宋_GB2312" w:hAnsi="仿宋_GB2312" w:eastAsia="仿宋_GB2312" w:cs="仿宋_GB2312"/>
          <w:b w:val="0"/>
          <w:bCs/>
          <w:color w:val="000000"/>
          <w:sz w:val="32"/>
          <w:szCs w:val="32"/>
          <w:lang w:eastAsia="zh-CN"/>
        </w:rPr>
        <w:t>．</w:t>
      </w:r>
      <w:r>
        <w:rPr>
          <w:rStyle w:val="15"/>
          <w:rFonts w:hint="eastAsia" w:ascii="仿宋_GB2312" w:hAnsi="仿宋_GB2312" w:eastAsia="仿宋_GB2312" w:cs="仿宋_GB2312"/>
          <w:b w:val="0"/>
          <w:bCs/>
          <w:color w:val="000000"/>
          <w:sz w:val="32"/>
          <w:szCs w:val="32"/>
        </w:rPr>
        <w:t>一般公共服务（类）</w:t>
      </w:r>
      <w:r>
        <w:rPr>
          <w:rStyle w:val="15"/>
          <w:rFonts w:hint="eastAsia" w:ascii="仿宋_GB2312" w:hAnsi="仿宋_GB2312" w:eastAsia="仿宋_GB2312" w:cs="仿宋_GB2312"/>
          <w:b w:val="0"/>
          <w:bCs/>
          <w:color w:val="000000"/>
          <w:sz w:val="32"/>
          <w:szCs w:val="32"/>
          <w:lang w:eastAsia="zh-CN"/>
        </w:rPr>
        <w:t>财政事务</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行政运行</w:t>
      </w:r>
      <w:r>
        <w:rPr>
          <w:rStyle w:val="15"/>
          <w:rFonts w:hint="eastAsia" w:ascii="仿宋_GB2312" w:hAnsi="仿宋_GB2312" w:eastAsia="仿宋_GB2312" w:cs="仿宋_GB2312"/>
          <w:b w:val="0"/>
          <w:bCs/>
          <w:color w:val="000000"/>
          <w:sz w:val="32"/>
          <w:szCs w:val="32"/>
        </w:rPr>
        <w:t>（项）: 支出决算为</w:t>
      </w:r>
      <w:r>
        <w:rPr>
          <w:rStyle w:val="15"/>
          <w:rFonts w:hint="eastAsia" w:ascii="仿宋_GB2312" w:hAnsi="仿宋_GB2312" w:eastAsia="仿宋_GB2312" w:cs="仿宋_GB2312"/>
          <w:b w:val="0"/>
          <w:bCs/>
          <w:color w:val="000000"/>
          <w:sz w:val="32"/>
          <w:szCs w:val="32"/>
          <w:lang w:val="en-US" w:eastAsia="zh-CN"/>
        </w:rPr>
        <w:t>880.00</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2</w:t>
      </w:r>
      <w:r>
        <w:rPr>
          <w:rStyle w:val="15"/>
          <w:rFonts w:hint="eastAsia" w:ascii="仿宋_GB2312" w:hAnsi="仿宋_GB2312" w:eastAsia="仿宋_GB2312" w:cs="仿宋_GB2312"/>
          <w:b w:val="0"/>
          <w:bCs/>
          <w:color w:val="000000"/>
          <w:sz w:val="32"/>
          <w:szCs w:val="32"/>
          <w:lang w:eastAsia="zh-CN"/>
        </w:rPr>
        <w:t>．</w:t>
      </w:r>
      <w:r>
        <w:rPr>
          <w:rStyle w:val="15"/>
          <w:rFonts w:hint="eastAsia" w:ascii="仿宋_GB2312" w:hAnsi="仿宋_GB2312" w:eastAsia="仿宋_GB2312" w:cs="仿宋_GB2312"/>
          <w:b w:val="0"/>
          <w:bCs/>
          <w:color w:val="000000"/>
          <w:sz w:val="32"/>
          <w:szCs w:val="32"/>
        </w:rPr>
        <w:t>一般公共服务（类）</w:t>
      </w:r>
      <w:r>
        <w:rPr>
          <w:rStyle w:val="15"/>
          <w:rFonts w:hint="eastAsia" w:ascii="仿宋_GB2312" w:hAnsi="仿宋_GB2312" w:eastAsia="仿宋_GB2312" w:cs="仿宋_GB2312"/>
          <w:b w:val="0"/>
          <w:bCs/>
          <w:color w:val="000000"/>
          <w:sz w:val="32"/>
          <w:szCs w:val="32"/>
          <w:lang w:eastAsia="zh-CN"/>
        </w:rPr>
        <w:t>财政事务</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一般行政管理事务</w:t>
      </w:r>
      <w:r>
        <w:rPr>
          <w:rStyle w:val="15"/>
          <w:rFonts w:hint="eastAsia" w:ascii="仿宋_GB2312" w:hAnsi="仿宋_GB2312" w:eastAsia="仿宋_GB2312" w:cs="仿宋_GB2312"/>
          <w:b w:val="0"/>
          <w:bCs/>
          <w:color w:val="000000"/>
          <w:sz w:val="32"/>
          <w:szCs w:val="32"/>
        </w:rPr>
        <w:t>（项）: 支出决算为</w:t>
      </w:r>
      <w:r>
        <w:rPr>
          <w:rStyle w:val="15"/>
          <w:rFonts w:hint="eastAsia" w:ascii="仿宋_GB2312" w:hAnsi="仿宋_GB2312" w:eastAsia="仿宋_GB2312" w:cs="仿宋_GB2312"/>
          <w:b w:val="0"/>
          <w:bCs/>
          <w:color w:val="000000"/>
          <w:sz w:val="32"/>
          <w:szCs w:val="32"/>
          <w:lang w:val="en-US" w:eastAsia="zh-CN"/>
        </w:rPr>
        <w:t>277.06</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3</w:t>
      </w:r>
      <w:r>
        <w:rPr>
          <w:rStyle w:val="15"/>
          <w:rFonts w:hint="eastAsia" w:ascii="仿宋_GB2312" w:hAnsi="仿宋_GB2312" w:eastAsia="仿宋_GB2312" w:cs="仿宋_GB2312"/>
          <w:b w:val="0"/>
          <w:bCs/>
          <w:color w:val="000000"/>
          <w:sz w:val="32"/>
          <w:szCs w:val="32"/>
          <w:lang w:eastAsia="zh-CN"/>
        </w:rPr>
        <w:t>．</w:t>
      </w:r>
      <w:r>
        <w:rPr>
          <w:rStyle w:val="15"/>
          <w:rFonts w:hint="eastAsia" w:ascii="仿宋_GB2312" w:hAnsi="仿宋_GB2312" w:eastAsia="仿宋_GB2312" w:cs="仿宋_GB2312"/>
          <w:b w:val="0"/>
          <w:bCs/>
          <w:color w:val="000000"/>
          <w:sz w:val="32"/>
          <w:szCs w:val="32"/>
        </w:rPr>
        <w:t>一般公共服务（类）</w:t>
      </w:r>
      <w:r>
        <w:rPr>
          <w:rStyle w:val="15"/>
          <w:rFonts w:hint="eastAsia" w:ascii="仿宋_GB2312" w:hAnsi="仿宋_GB2312" w:eastAsia="仿宋_GB2312" w:cs="仿宋_GB2312"/>
          <w:b w:val="0"/>
          <w:bCs/>
          <w:color w:val="000000"/>
          <w:sz w:val="32"/>
          <w:szCs w:val="32"/>
          <w:lang w:eastAsia="zh-CN"/>
        </w:rPr>
        <w:t>财政事务</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事业运行</w:t>
      </w:r>
      <w:r>
        <w:rPr>
          <w:rStyle w:val="15"/>
          <w:rFonts w:hint="eastAsia" w:ascii="仿宋_GB2312" w:hAnsi="仿宋_GB2312" w:eastAsia="仿宋_GB2312" w:cs="仿宋_GB2312"/>
          <w:b w:val="0"/>
          <w:bCs/>
          <w:color w:val="000000"/>
          <w:sz w:val="32"/>
          <w:szCs w:val="32"/>
        </w:rPr>
        <w:t>（项）: 支出决算为</w:t>
      </w:r>
      <w:r>
        <w:rPr>
          <w:rStyle w:val="15"/>
          <w:rFonts w:hint="eastAsia" w:ascii="仿宋_GB2312" w:hAnsi="仿宋_GB2312" w:eastAsia="仿宋_GB2312" w:cs="仿宋_GB2312"/>
          <w:b w:val="0"/>
          <w:bCs/>
          <w:color w:val="000000"/>
          <w:sz w:val="32"/>
          <w:szCs w:val="32"/>
          <w:lang w:val="en-US" w:eastAsia="zh-CN"/>
        </w:rPr>
        <w:t>518.54</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4.</w:t>
      </w:r>
      <w:r>
        <w:rPr>
          <w:rStyle w:val="15"/>
          <w:rFonts w:hint="eastAsia" w:ascii="仿宋_GB2312" w:hAnsi="仿宋_GB2312" w:eastAsia="仿宋_GB2312" w:cs="仿宋_GB2312"/>
          <w:b w:val="0"/>
          <w:bCs/>
          <w:color w:val="000000"/>
          <w:sz w:val="32"/>
          <w:szCs w:val="32"/>
        </w:rPr>
        <w:t>一般公共服务（类）</w:t>
      </w:r>
      <w:r>
        <w:rPr>
          <w:rStyle w:val="15"/>
          <w:rFonts w:hint="eastAsia" w:ascii="仿宋_GB2312" w:hAnsi="仿宋_GB2312" w:eastAsia="仿宋_GB2312" w:cs="仿宋_GB2312"/>
          <w:b w:val="0"/>
          <w:bCs/>
          <w:color w:val="000000"/>
          <w:sz w:val="32"/>
          <w:szCs w:val="32"/>
          <w:lang w:eastAsia="zh-CN"/>
        </w:rPr>
        <w:t>财政事务</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其他财政事务支出</w:t>
      </w:r>
      <w:r>
        <w:rPr>
          <w:rStyle w:val="15"/>
          <w:rFonts w:hint="eastAsia" w:ascii="仿宋_GB2312" w:hAnsi="仿宋_GB2312" w:eastAsia="仿宋_GB2312" w:cs="仿宋_GB2312"/>
          <w:b w:val="0"/>
          <w:bCs/>
          <w:color w:val="000000"/>
          <w:sz w:val="32"/>
          <w:szCs w:val="32"/>
        </w:rPr>
        <w:t>（项）: 支出决算为</w:t>
      </w:r>
      <w:r>
        <w:rPr>
          <w:rStyle w:val="15"/>
          <w:rFonts w:hint="eastAsia" w:ascii="仿宋_GB2312" w:hAnsi="仿宋_GB2312" w:eastAsia="仿宋_GB2312" w:cs="仿宋_GB2312"/>
          <w:b w:val="0"/>
          <w:bCs/>
          <w:color w:val="000000"/>
          <w:sz w:val="32"/>
          <w:szCs w:val="32"/>
          <w:lang w:val="en-US" w:eastAsia="zh-CN"/>
        </w:rPr>
        <w:t>546.1</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5.</w:t>
      </w:r>
      <w:r>
        <w:rPr>
          <w:rStyle w:val="15"/>
          <w:rFonts w:hint="eastAsia" w:ascii="仿宋_GB2312" w:hAnsi="仿宋_GB2312" w:eastAsia="仿宋_GB2312" w:cs="仿宋_GB2312"/>
          <w:b w:val="0"/>
          <w:bCs/>
          <w:color w:val="000000"/>
          <w:sz w:val="32"/>
          <w:szCs w:val="32"/>
          <w:lang w:eastAsia="zh-CN"/>
        </w:rPr>
        <w:t>教育支出</w:t>
      </w:r>
      <w:r>
        <w:rPr>
          <w:rStyle w:val="15"/>
          <w:rFonts w:hint="eastAsia" w:ascii="仿宋_GB2312" w:hAnsi="仿宋_GB2312" w:eastAsia="仿宋_GB2312" w:cs="仿宋_GB2312"/>
          <w:b w:val="0"/>
          <w:bCs/>
          <w:color w:val="000000"/>
          <w:sz w:val="32"/>
          <w:szCs w:val="32"/>
        </w:rPr>
        <w:t>（类）</w:t>
      </w:r>
      <w:r>
        <w:rPr>
          <w:rStyle w:val="15"/>
          <w:rFonts w:hint="eastAsia" w:ascii="仿宋_GB2312" w:hAnsi="仿宋_GB2312" w:eastAsia="仿宋_GB2312" w:cs="仿宋_GB2312"/>
          <w:b w:val="0"/>
          <w:bCs/>
          <w:color w:val="000000"/>
          <w:sz w:val="32"/>
          <w:szCs w:val="32"/>
          <w:lang w:eastAsia="zh-CN"/>
        </w:rPr>
        <w:t>其他教育支出</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其他教育支出</w:t>
      </w:r>
      <w:r>
        <w:rPr>
          <w:rStyle w:val="15"/>
          <w:rFonts w:hint="eastAsia" w:ascii="仿宋_GB2312" w:hAnsi="仿宋_GB2312" w:eastAsia="仿宋_GB2312" w:cs="仿宋_GB2312"/>
          <w:b w:val="0"/>
          <w:bCs/>
          <w:color w:val="000000"/>
          <w:sz w:val="32"/>
          <w:szCs w:val="32"/>
        </w:rPr>
        <w:t>（项）: 支出决算为</w:t>
      </w:r>
      <w:r>
        <w:rPr>
          <w:rStyle w:val="15"/>
          <w:rFonts w:hint="eastAsia" w:ascii="仿宋_GB2312" w:hAnsi="仿宋_GB2312" w:eastAsia="仿宋_GB2312" w:cs="仿宋_GB2312"/>
          <w:b w:val="0"/>
          <w:bCs/>
          <w:color w:val="000000"/>
          <w:sz w:val="32"/>
          <w:szCs w:val="32"/>
          <w:lang w:val="en-US" w:eastAsia="zh-CN"/>
        </w:rPr>
        <w:t>32.67</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6</w:t>
      </w:r>
      <w:r>
        <w:rPr>
          <w:rStyle w:val="15"/>
          <w:rFonts w:hint="eastAsia" w:ascii="仿宋_GB2312" w:hAnsi="仿宋_GB2312" w:eastAsia="仿宋_GB2312" w:cs="仿宋_GB2312"/>
          <w:b w:val="0"/>
          <w:bCs/>
          <w:color w:val="000000"/>
          <w:sz w:val="32"/>
          <w:szCs w:val="32"/>
          <w:lang w:eastAsia="zh-CN"/>
        </w:rPr>
        <w:t>．社会保障和就业</w:t>
      </w:r>
      <w:r>
        <w:rPr>
          <w:rStyle w:val="15"/>
          <w:rFonts w:hint="eastAsia" w:ascii="仿宋_GB2312" w:hAnsi="仿宋_GB2312" w:eastAsia="仿宋_GB2312" w:cs="仿宋_GB2312"/>
          <w:b w:val="0"/>
          <w:bCs/>
          <w:color w:val="000000"/>
          <w:sz w:val="32"/>
          <w:szCs w:val="32"/>
        </w:rPr>
        <w:t>（类）</w:t>
      </w:r>
      <w:r>
        <w:rPr>
          <w:rStyle w:val="15"/>
          <w:rFonts w:hint="eastAsia" w:ascii="仿宋_GB2312" w:hAnsi="仿宋_GB2312" w:eastAsia="仿宋_GB2312" w:cs="仿宋_GB2312"/>
          <w:b w:val="0"/>
          <w:bCs/>
          <w:color w:val="000000"/>
          <w:sz w:val="32"/>
          <w:szCs w:val="32"/>
          <w:lang w:eastAsia="zh-CN"/>
        </w:rPr>
        <w:t>行政事业单位离退休</w:t>
      </w:r>
      <w:r>
        <w:rPr>
          <w:rStyle w:val="15"/>
          <w:rFonts w:hint="eastAsia" w:ascii="仿宋_GB2312" w:hAnsi="仿宋_GB2312" w:eastAsia="仿宋_GB2312" w:cs="仿宋_GB2312"/>
          <w:b w:val="0"/>
          <w:bCs/>
          <w:color w:val="000000"/>
          <w:sz w:val="32"/>
          <w:szCs w:val="32"/>
        </w:rPr>
        <w:t>（款）机关事业单位基本养老保险缴费（项）: 支出决算为</w:t>
      </w:r>
      <w:r>
        <w:rPr>
          <w:rStyle w:val="15"/>
          <w:rFonts w:hint="eastAsia" w:ascii="仿宋_GB2312" w:hAnsi="仿宋_GB2312" w:eastAsia="仿宋_GB2312" w:cs="仿宋_GB2312"/>
          <w:b w:val="0"/>
          <w:bCs/>
          <w:color w:val="000000"/>
          <w:sz w:val="32"/>
          <w:szCs w:val="32"/>
          <w:lang w:val="en-US" w:eastAsia="zh-CN"/>
        </w:rPr>
        <w:t>81.13</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7</w:t>
      </w:r>
      <w:r>
        <w:rPr>
          <w:rStyle w:val="15"/>
          <w:rFonts w:hint="eastAsia" w:ascii="仿宋_GB2312" w:hAnsi="仿宋_GB2312" w:eastAsia="仿宋_GB2312" w:cs="仿宋_GB2312"/>
          <w:b w:val="0"/>
          <w:bCs/>
          <w:color w:val="000000"/>
          <w:sz w:val="32"/>
          <w:szCs w:val="32"/>
          <w:lang w:eastAsia="zh-CN"/>
        </w:rPr>
        <w:t>．</w:t>
      </w:r>
      <w:r>
        <w:rPr>
          <w:rStyle w:val="15"/>
          <w:rFonts w:hint="eastAsia" w:ascii="仿宋_GB2312" w:hAnsi="仿宋_GB2312" w:eastAsia="仿宋_GB2312" w:cs="仿宋_GB2312"/>
          <w:b w:val="0"/>
          <w:bCs/>
          <w:color w:val="000000"/>
          <w:sz w:val="32"/>
          <w:szCs w:val="32"/>
        </w:rPr>
        <w:t>社会保障和就业（类）</w:t>
      </w:r>
      <w:r>
        <w:rPr>
          <w:rStyle w:val="15"/>
          <w:rFonts w:hint="eastAsia" w:ascii="仿宋_GB2312" w:hAnsi="仿宋_GB2312" w:eastAsia="仿宋_GB2312" w:cs="仿宋_GB2312"/>
          <w:b w:val="0"/>
          <w:bCs/>
          <w:color w:val="000000"/>
          <w:sz w:val="32"/>
          <w:szCs w:val="32"/>
          <w:lang w:eastAsia="zh-CN"/>
        </w:rPr>
        <w:t>行政事业单位离退休</w:t>
      </w:r>
      <w:r>
        <w:rPr>
          <w:rStyle w:val="15"/>
          <w:rFonts w:hint="eastAsia" w:ascii="仿宋_GB2312" w:hAnsi="仿宋_GB2312" w:eastAsia="仿宋_GB2312" w:cs="仿宋_GB2312"/>
          <w:b w:val="0"/>
          <w:bCs/>
          <w:color w:val="000000"/>
          <w:sz w:val="32"/>
          <w:szCs w:val="32"/>
        </w:rPr>
        <w:t>（款）机关事业单位职业年金缴费（项）: 支出决算为</w:t>
      </w:r>
      <w:r>
        <w:rPr>
          <w:rStyle w:val="15"/>
          <w:rFonts w:hint="eastAsia" w:ascii="仿宋_GB2312" w:hAnsi="仿宋_GB2312" w:eastAsia="仿宋_GB2312" w:cs="仿宋_GB2312"/>
          <w:b w:val="0"/>
          <w:bCs/>
          <w:color w:val="000000"/>
          <w:sz w:val="32"/>
          <w:szCs w:val="32"/>
          <w:lang w:val="en-US" w:eastAsia="zh-CN"/>
        </w:rPr>
        <w:t>42.1</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color w:val="000000"/>
          <w:sz w:val="32"/>
          <w:szCs w:val="32"/>
          <w:lang w:val="en-US" w:eastAsia="zh-CN"/>
        </w:rPr>
      </w:pPr>
      <w:r>
        <w:rPr>
          <w:rStyle w:val="15"/>
          <w:rFonts w:hint="eastAsia" w:ascii="仿宋_GB2312" w:hAnsi="仿宋_GB2312" w:eastAsia="仿宋_GB2312" w:cs="仿宋_GB2312"/>
          <w:b w:val="0"/>
          <w:bCs/>
          <w:color w:val="000000"/>
          <w:sz w:val="32"/>
          <w:szCs w:val="32"/>
          <w:lang w:val="en-US" w:eastAsia="zh-CN"/>
        </w:rPr>
        <w:t>8.</w:t>
      </w:r>
      <w:r>
        <w:rPr>
          <w:rStyle w:val="15"/>
          <w:rFonts w:hint="eastAsia" w:ascii="仿宋_GB2312" w:hAnsi="仿宋_GB2312" w:eastAsia="仿宋_GB2312" w:cs="仿宋_GB2312"/>
          <w:b w:val="0"/>
          <w:bCs/>
          <w:color w:val="000000"/>
          <w:sz w:val="32"/>
          <w:szCs w:val="32"/>
        </w:rPr>
        <w:t>社会保障和就业（类）</w:t>
      </w:r>
      <w:r>
        <w:rPr>
          <w:rStyle w:val="15"/>
          <w:rFonts w:hint="eastAsia" w:ascii="仿宋_GB2312" w:hAnsi="仿宋_GB2312" w:eastAsia="仿宋_GB2312" w:cs="仿宋_GB2312"/>
          <w:b w:val="0"/>
          <w:bCs/>
          <w:color w:val="000000"/>
          <w:sz w:val="32"/>
          <w:szCs w:val="32"/>
          <w:lang w:eastAsia="zh-CN"/>
        </w:rPr>
        <w:t>企业改革补助（款）其他企业改革发展补助（项）：支出决算为</w:t>
      </w:r>
      <w:r>
        <w:rPr>
          <w:rStyle w:val="15"/>
          <w:rFonts w:hint="eastAsia" w:ascii="仿宋_GB2312" w:hAnsi="仿宋_GB2312" w:eastAsia="仿宋_GB2312" w:cs="仿宋_GB2312"/>
          <w:b w:val="0"/>
          <w:bCs/>
          <w:color w:val="000000"/>
          <w:sz w:val="32"/>
          <w:szCs w:val="32"/>
          <w:lang w:val="en-US" w:eastAsia="zh-CN"/>
        </w:rPr>
        <w:t>52.66万元，</w:t>
      </w:r>
      <w:r>
        <w:rPr>
          <w:rStyle w:val="15"/>
          <w:rFonts w:hint="eastAsia" w:ascii="仿宋_GB2312" w:hAnsi="仿宋_GB2312" w:eastAsia="仿宋_GB2312" w:cs="仿宋_GB2312"/>
          <w:b w:val="0"/>
          <w:bCs/>
          <w:color w:val="000000"/>
          <w:sz w:val="32"/>
          <w:szCs w:val="32"/>
        </w:rPr>
        <w:t>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9</w:t>
      </w:r>
      <w:r>
        <w:rPr>
          <w:rStyle w:val="15"/>
          <w:rFonts w:hint="eastAsia" w:ascii="仿宋_GB2312" w:hAnsi="仿宋_GB2312" w:eastAsia="仿宋_GB2312" w:cs="仿宋_GB2312"/>
          <w:b w:val="0"/>
          <w:bCs/>
          <w:color w:val="000000"/>
          <w:sz w:val="32"/>
          <w:szCs w:val="32"/>
          <w:lang w:eastAsia="zh-CN"/>
        </w:rPr>
        <w:t>．</w:t>
      </w:r>
      <w:r>
        <w:rPr>
          <w:rStyle w:val="15"/>
          <w:rFonts w:hint="eastAsia" w:ascii="仿宋_GB2312" w:hAnsi="仿宋_GB2312" w:eastAsia="仿宋_GB2312" w:cs="仿宋_GB2312"/>
          <w:b w:val="0"/>
          <w:bCs/>
          <w:color w:val="000000"/>
          <w:sz w:val="32"/>
          <w:szCs w:val="32"/>
        </w:rPr>
        <w:t>社会保障和就业（类）</w:t>
      </w:r>
      <w:r>
        <w:rPr>
          <w:rStyle w:val="15"/>
          <w:rFonts w:hint="eastAsia" w:ascii="仿宋_GB2312" w:hAnsi="仿宋_GB2312" w:eastAsia="仿宋_GB2312" w:cs="仿宋_GB2312"/>
          <w:b w:val="0"/>
          <w:bCs/>
          <w:color w:val="000000"/>
          <w:sz w:val="32"/>
          <w:szCs w:val="32"/>
          <w:lang w:eastAsia="zh-CN"/>
        </w:rPr>
        <w:t>其他社会保障和就业支出</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其他社会保障和就业支出</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4.03</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10</w:t>
      </w:r>
      <w:r>
        <w:rPr>
          <w:rStyle w:val="15"/>
          <w:rFonts w:hint="eastAsia" w:ascii="仿宋_GB2312" w:hAnsi="仿宋_GB2312" w:eastAsia="仿宋_GB2312" w:cs="仿宋_GB2312"/>
          <w:b w:val="0"/>
          <w:bCs/>
          <w:color w:val="000000"/>
          <w:sz w:val="32"/>
          <w:szCs w:val="32"/>
          <w:lang w:eastAsia="zh-CN"/>
        </w:rPr>
        <w:t>．卫生健康</w:t>
      </w:r>
      <w:r>
        <w:rPr>
          <w:rStyle w:val="15"/>
          <w:rFonts w:hint="eastAsia" w:ascii="仿宋_GB2312" w:hAnsi="仿宋_GB2312" w:eastAsia="仿宋_GB2312" w:cs="仿宋_GB2312"/>
          <w:b w:val="0"/>
          <w:bCs/>
          <w:color w:val="000000"/>
          <w:sz w:val="32"/>
          <w:szCs w:val="32"/>
        </w:rPr>
        <w:t>（类）</w:t>
      </w:r>
      <w:r>
        <w:rPr>
          <w:rStyle w:val="15"/>
          <w:rFonts w:hint="eastAsia" w:ascii="仿宋_GB2312" w:hAnsi="仿宋_GB2312" w:eastAsia="仿宋_GB2312" w:cs="仿宋_GB2312"/>
          <w:b w:val="0"/>
          <w:bCs/>
          <w:color w:val="000000"/>
          <w:sz w:val="32"/>
          <w:szCs w:val="32"/>
          <w:lang w:eastAsia="zh-CN"/>
        </w:rPr>
        <w:t>行政事业单位医疗</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行政单位医疗</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22.09</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default" w:ascii="仿宋_GB2312" w:hAnsi="仿宋_GB2312" w:eastAsia="仿宋_GB2312" w:cs="仿宋_GB2312"/>
          <w:b w:val="0"/>
          <w:bCs/>
          <w:color w:val="000000"/>
          <w:sz w:val="32"/>
          <w:szCs w:val="32"/>
          <w:lang w:val="en-US" w:eastAsia="zh-CN"/>
        </w:rPr>
      </w:pPr>
      <w:r>
        <w:rPr>
          <w:rStyle w:val="15"/>
          <w:rFonts w:hint="eastAsia" w:ascii="仿宋_GB2312" w:hAnsi="仿宋_GB2312" w:eastAsia="仿宋_GB2312" w:cs="仿宋_GB2312"/>
          <w:b w:val="0"/>
          <w:bCs/>
          <w:color w:val="000000"/>
          <w:sz w:val="32"/>
          <w:szCs w:val="32"/>
          <w:lang w:val="en-US" w:eastAsia="zh-CN"/>
        </w:rPr>
        <w:t>11.</w:t>
      </w:r>
      <w:r>
        <w:rPr>
          <w:rStyle w:val="15"/>
          <w:rFonts w:hint="eastAsia" w:ascii="仿宋_GB2312" w:hAnsi="仿宋_GB2312" w:eastAsia="仿宋_GB2312" w:cs="仿宋_GB2312"/>
          <w:b w:val="0"/>
          <w:bCs/>
          <w:color w:val="000000"/>
          <w:sz w:val="32"/>
          <w:szCs w:val="32"/>
          <w:lang w:eastAsia="zh-CN"/>
        </w:rPr>
        <w:t>卫生健康</w:t>
      </w:r>
      <w:r>
        <w:rPr>
          <w:rStyle w:val="15"/>
          <w:rFonts w:hint="eastAsia" w:ascii="仿宋_GB2312" w:hAnsi="仿宋_GB2312" w:eastAsia="仿宋_GB2312" w:cs="仿宋_GB2312"/>
          <w:b w:val="0"/>
          <w:bCs/>
          <w:color w:val="000000"/>
          <w:sz w:val="32"/>
          <w:szCs w:val="32"/>
        </w:rPr>
        <w:t>（类）</w:t>
      </w:r>
      <w:r>
        <w:rPr>
          <w:rStyle w:val="15"/>
          <w:rFonts w:hint="eastAsia" w:ascii="仿宋_GB2312" w:hAnsi="仿宋_GB2312" w:eastAsia="仿宋_GB2312" w:cs="仿宋_GB2312"/>
          <w:b w:val="0"/>
          <w:bCs/>
          <w:color w:val="000000"/>
          <w:sz w:val="32"/>
          <w:szCs w:val="32"/>
          <w:lang w:eastAsia="zh-CN"/>
        </w:rPr>
        <w:t>行政事业单位医疗</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事业单位医疗</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9.31</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12</w:t>
      </w:r>
      <w:r>
        <w:rPr>
          <w:rStyle w:val="15"/>
          <w:rFonts w:hint="eastAsia" w:ascii="仿宋_GB2312" w:hAnsi="仿宋_GB2312" w:eastAsia="仿宋_GB2312" w:cs="仿宋_GB2312"/>
          <w:b w:val="0"/>
          <w:bCs/>
          <w:color w:val="000000"/>
          <w:sz w:val="32"/>
          <w:szCs w:val="32"/>
          <w:lang w:eastAsia="zh-CN"/>
        </w:rPr>
        <w:t>．农林水</w:t>
      </w:r>
      <w:r>
        <w:rPr>
          <w:rStyle w:val="15"/>
          <w:rFonts w:hint="eastAsia" w:ascii="仿宋_GB2312" w:hAnsi="仿宋_GB2312" w:eastAsia="仿宋_GB2312" w:cs="仿宋_GB2312"/>
          <w:b w:val="0"/>
          <w:bCs/>
          <w:color w:val="000000"/>
          <w:sz w:val="32"/>
          <w:szCs w:val="32"/>
        </w:rPr>
        <w:t>（类）</w:t>
      </w:r>
      <w:r>
        <w:rPr>
          <w:rStyle w:val="15"/>
          <w:rFonts w:hint="eastAsia" w:ascii="仿宋_GB2312" w:hAnsi="仿宋_GB2312" w:eastAsia="仿宋_GB2312" w:cs="仿宋_GB2312"/>
          <w:b w:val="0"/>
          <w:bCs/>
          <w:color w:val="000000"/>
          <w:sz w:val="32"/>
          <w:szCs w:val="32"/>
          <w:lang w:eastAsia="zh-CN"/>
        </w:rPr>
        <w:t>扶贫</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其他扶贫</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3.00</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13</w:t>
      </w:r>
      <w:r>
        <w:rPr>
          <w:rStyle w:val="15"/>
          <w:rFonts w:hint="eastAsia" w:ascii="仿宋_GB2312" w:hAnsi="仿宋_GB2312" w:eastAsia="仿宋_GB2312" w:cs="仿宋_GB2312"/>
          <w:b w:val="0"/>
          <w:bCs/>
          <w:color w:val="000000"/>
          <w:sz w:val="32"/>
          <w:szCs w:val="32"/>
          <w:lang w:eastAsia="zh-CN"/>
        </w:rPr>
        <w:t>．住房保障</w:t>
      </w:r>
      <w:r>
        <w:rPr>
          <w:rStyle w:val="15"/>
          <w:rFonts w:hint="eastAsia" w:ascii="仿宋_GB2312" w:hAnsi="仿宋_GB2312" w:eastAsia="仿宋_GB2312" w:cs="仿宋_GB2312"/>
          <w:b w:val="0"/>
          <w:bCs/>
          <w:color w:val="000000"/>
          <w:sz w:val="32"/>
          <w:szCs w:val="32"/>
        </w:rPr>
        <w:t>（类）</w:t>
      </w:r>
      <w:r>
        <w:rPr>
          <w:rStyle w:val="15"/>
          <w:rFonts w:hint="eastAsia" w:ascii="仿宋_GB2312" w:hAnsi="仿宋_GB2312" w:eastAsia="仿宋_GB2312" w:cs="仿宋_GB2312"/>
          <w:b w:val="0"/>
          <w:bCs/>
          <w:color w:val="000000"/>
          <w:sz w:val="32"/>
          <w:szCs w:val="32"/>
          <w:lang w:eastAsia="zh-CN"/>
        </w:rPr>
        <w:t>住房改革</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住房公积金</w:t>
      </w:r>
      <w:r>
        <w:rPr>
          <w:rStyle w:val="15"/>
          <w:rFonts w:hint="eastAsia" w:ascii="仿宋_GB2312" w:hAnsi="仿宋_GB2312" w:eastAsia="仿宋_GB2312" w:cs="仿宋_GB2312"/>
          <w:b w:val="0"/>
          <w:bCs/>
          <w:color w:val="000000"/>
          <w:sz w:val="32"/>
          <w:szCs w:val="32"/>
        </w:rPr>
        <w:t>（项）:支出决算为</w:t>
      </w:r>
      <w:r>
        <w:rPr>
          <w:rStyle w:val="15"/>
          <w:rFonts w:hint="eastAsia" w:ascii="仿宋_GB2312" w:hAnsi="仿宋_GB2312" w:eastAsia="仿宋_GB2312" w:cs="仿宋_GB2312"/>
          <w:b w:val="0"/>
          <w:bCs/>
          <w:color w:val="000000"/>
          <w:sz w:val="32"/>
          <w:szCs w:val="32"/>
          <w:lang w:val="en-US" w:eastAsia="zh-CN"/>
        </w:rPr>
        <w:t>110.79</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100.00</w:t>
      </w:r>
      <w:r>
        <w:rPr>
          <w:rStyle w:val="15"/>
          <w:rFonts w:hint="eastAsia" w:ascii="仿宋_GB2312" w:hAnsi="仿宋_GB2312" w:eastAsia="仿宋_GB2312" w:cs="仿宋_GB2312"/>
          <w:b w:val="0"/>
          <w:bCs/>
          <w:color w:val="000000"/>
          <w:sz w:val="32"/>
          <w:szCs w:val="32"/>
        </w:rPr>
        <w:t>%。</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2"/>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2"/>
          <w:rFonts w:hint="eastAsia" w:ascii="黑体" w:hAnsi="黑体" w:eastAsia="黑体"/>
          <w:b w:val="0"/>
        </w:rPr>
        <w:t>般公共预算财政拨款基本支出决算情况说明</w:t>
      </w:r>
      <w:bookmarkEnd w:id="40"/>
      <w:bookmarkEnd w:id="41"/>
      <w:r>
        <w:rPr>
          <w:rStyle w:val="22"/>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1667.98</w:t>
      </w:r>
      <w:r>
        <w:rPr>
          <w:rFonts w:hint="eastAsia" w:ascii="仿宋_GB2312" w:hAnsi="仿宋_GB2312" w:eastAsia="仿宋_GB2312" w:cs="仿宋_GB2312"/>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1252.77</w:t>
      </w:r>
      <w:r>
        <w:rPr>
          <w:rFonts w:hint="eastAsia" w:ascii="仿宋_GB2312" w:hAnsi="仿宋_GB2312" w:eastAsia="仿宋_GB2312" w:cs="仿宋_GB2312"/>
          <w:color w:val="000000"/>
          <w:sz w:val="32"/>
          <w:szCs w:val="32"/>
        </w:rPr>
        <w:t>万元，主要包括：基本工资、津贴补贴、奖金、</w:t>
      </w:r>
      <w:r>
        <w:rPr>
          <w:rFonts w:hint="eastAsia" w:ascii="仿宋_GB2312" w:hAnsi="仿宋_GB2312" w:eastAsia="仿宋_GB2312" w:cs="仿宋_GB2312"/>
          <w:color w:val="000000"/>
          <w:sz w:val="32"/>
          <w:szCs w:val="32"/>
          <w:lang w:eastAsia="zh-CN"/>
        </w:rPr>
        <w:t>绩效工资、</w:t>
      </w:r>
      <w:r>
        <w:rPr>
          <w:rFonts w:hint="eastAsia" w:ascii="仿宋_GB2312" w:hAnsi="仿宋_GB2312" w:eastAsia="仿宋_GB2312" w:cs="仿宋_GB2312"/>
          <w:color w:val="000000"/>
          <w:sz w:val="32"/>
          <w:szCs w:val="32"/>
        </w:rPr>
        <w:t>伙食补助费、机关事业单位基本养老保险缴费、职业年金缴费、</w:t>
      </w:r>
      <w:r>
        <w:rPr>
          <w:rFonts w:hint="eastAsia" w:ascii="仿宋_GB2312" w:hAnsi="仿宋_GB2312" w:eastAsia="仿宋_GB2312" w:cs="仿宋_GB2312"/>
          <w:color w:val="000000"/>
          <w:sz w:val="32"/>
          <w:szCs w:val="32"/>
          <w:lang w:eastAsia="zh-CN"/>
        </w:rPr>
        <w:t>职工基本医疗保险缴费、</w:t>
      </w:r>
      <w:r>
        <w:rPr>
          <w:rFonts w:hint="eastAsia" w:ascii="仿宋_GB2312" w:hAnsi="仿宋_GB2312" w:eastAsia="仿宋_GB2312" w:cs="仿宋_GB2312"/>
          <w:color w:val="000000"/>
          <w:sz w:val="32"/>
          <w:szCs w:val="32"/>
        </w:rPr>
        <w:t>其他社会保障缴费、生活补助、奖励金、住房公积金、其他个人和家庭的补助支出等。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415.21万</w:t>
      </w:r>
      <w:r>
        <w:rPr>
          <w:rFonts w:hint="eastAsia" w:ascii="仿宋_GB2312" w:hAnsi="仿宋_GB2312" w:eastAsia="仿宋_GB2312" w:cs="仿宋_GB2312"/>
          <w:color w:val="000000"/>
          <w:sz w:val="32"/>
          <w:szCs w:val="32"/>
        </w:rPr>
        <w:t>元，主要包括：办公费、印刷费、</w:t>
      </w:r>
      <w:r>
        <w:rPr>
          <w:rFonts w:hint="eastAsia" w:ascii="仿宋_GB2312" w:hAnsi="仿宋_GB2312" w:eastAsia="仿宋_GB2312" w:cs="仿宋_GB2312"/>
          <w:color w:val="000000"/>
          <w:sz w:val="32"/>
          <w:szCs w:val="32"/>
          <w:lang w:eastAsia="zh-CN"/>
        </w:rPr>
        <w:t>手续费、</w:t>
      </w:r>
      <w:r>
        <w:rPr>
          <w:rFonts w:hint="eastAsia" w:ascii="仿宋_GB2312" w:hAnsi="仿宋_GB2312" w:eastAsia="仿宋_GB2312" w:cs="仿宋_GB2312"/>
          <w:color w:val="000000"/>
          <w:sz w:val="32"/>
          <w:szCs w:val="32"/>
        </w:rPr>
        <w:t>水费、电费、邮电费、物业管理费、差旅费、维修（护）费、培训费、劳务费、工会经费、公务用车运行维护费、其他交通费、其他商品和服务支出、办公设备购置等。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2"/>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2"/>
          <w:rFonts w:hint="eastAsia" w:ascii="黑体" w:hAnsi="黑体" w:eastAsia="黑体"/>
        </w:rPr>
        <w:t>“</w:t>
      </w:r>
      <w:r>
        <w:rPr>
          <w:rStyle w:val="22"/>
          <w:rFonts w:hint="eastAsia" w:ascii="黑体" w:hAnsi="黑体" w:eastAsia="黑体"/>
          <w:b w:val="0"/>
        </w:rPr>
        <w:t>三公”经费财政拨款支出决算情况说明</w:t>
      </w:r>
      <w:bookmarkEnd w:id="42"/>
      <w:bookmarkEnd w:id="43"/>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4" w:name="_Toc15377216"/>
      <w:r>
        <w:rPr>
          <w:rFonts w:hint="eastAsia" w:ascii="楷体_GB2312" w:hAnsi="楷体_GB2312" w:eastAsia="楷体_GB2312" w:cs="楷体_GB2312"/>
          <w:b w:val="0"/>
          <w:bCs/>
          <w:color w:val="000000"/>
          <w:sz w:val="32"/>
          <w:szCs w:val="32"/>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10.79</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16.86</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5" w:name="_Toc15377217"/>
      <w:r>
        <w:rPr>
          <w:rFonts w:hint="eastAsia" w:ascii="楷体_GB2312" w:hAnsi="楷体_GB2312" w:eastAsia="楷体_GB2312" w:cs="楷体_GB2312"/>
          <w:b w:val="0"/>
          <w:bCs/>
          <w:color w:val="000000"/>
          <w:sz w:val="32"/>
          <w:szCs w:val="32"/>
        </w:rPr>
        <w:t>（二）“三公”经费财政拨款支出决算具体情况说明</w:t>
      </w:r>
      <w:bookmarkEnd w:id="45"/>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年“三公”经费财政拨款支出决算中，</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因公出国（境）费支出；公务用车购置及运行维护费支出决算</w:t>
      </w:r>
      <w:r>
        <w:rPr>
          <w:rFonts w:hint="eastAsia" w:ascii="仿宋_GB2312" w:hAnsi="仿宋_GB2312" w:eastAsia="仿宋_GB2312" w:cs="仿宋_GB2312"/>
          <w:color w:val="000000"/>
          <w:sz w:val="32"/>
          <w:szCs w:val="32"/>
          <w:lang w:val="en-US" w:eastAsia="zh-CN"/>
        </w:rPr>
        <w:t>10.66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98.80</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0.13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1.20</w:t>
      </w:r>
      <w:r>
        <w:rPr>
          <w:rFonts w:hint="eastAsia" w:ascii="仿宋_GB2312" w:hAnsi="仿宋_GB2312" w:eastAsia="仿宋_GB2312" w:cs="仿宋_GB2312"/>
          <w:color w:val="000000"/>
          <w:sz w:val="32"/>
          <w:szCs w:val="32"/>
        </w:rPr>
        <w:t>%。具体情况如下：</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drawing>
          <wp:anchor distT="0" distB="0" distL="114300" distR="114300" simplePos="0" relativeHeight="251665408" behindDoc="1" locked="0" layoutInCell="1" allowOverlap="1">
            <wp:simplePos x="0" y="0"/>
            <wp:positionH relativeFrom="column">
              <wp:posOffset>410845</wp:posOffset>
            </wp:positionH>
            <wp:positionV relativeFrom="paragraph">
              <wp:posOffset>-2453005</wp:posOffset>
            </wp:positionV>
            <wp:extent cx="4572000" cy="2743200"/>
            <wp:effectExtent l="4445" t="4445" r="14605" b="14605"/>
            <wp:wrapTight wrapText="bothSides">
              <wp:wrapPolygon>
                <wp:start x="-21" y="-35"/>
                <wp:lineTo x="-21" y="21565"/>
                <wp:lineTo x="21579" y="21565"/>
                <wp:lineTo x="21579" y="-35"/>
                <wp:lineTo x="-21" y="-35"/>
              </wp:wrapPolygon>
            </wp:wrapTight>
            <wp:docPr id="7"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1609" w:firstLineChars="503"/>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（图7：“三公”经费财政拨款支出结构）</w:t>
      </w:r>
      <w:r>
        <w:rPr>
          <w:rFonts w:hint="eastAsia" w:ascii="仿宋_GB2312" w:hAnsi="仿宋_GB2312" w:eastAsia="仿宋_GB2312" w:cs="仿宋_GB2312"/>
          <w:b w:val="0"/>
          <w:bCs w:val="0"/>
          <w:color w:val="000000"/>
          <w:sz w:val="32"/>
          <w:szCs w:val="32"/>
          <w:lang w:val="en-US" w:eastAsia="zh-CN"/>
        </w:rPr>
        <w:t xml:space="preserve"> </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因公出国（境）经费支出</w:t>
      </w:r>
    </w:p>
    <w:p>
      <w:pPr>
        <w:spacing w:line="600" w:lineRule="exact"/>
        <w:ind w:firstLine="64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公务用车购置及运行维护费支出</w:t>
      </w:r>
      <w:r>
        <w:rPr>
          <w:rFonts w:hint="eastAsia" w:ascii="仿宋_GB2312" w:hAnsi="仿宋_GB2312" w:eastAsia="仿宋_GB2312" w:cs="仿宋_GB2312"/>
          <w:b w:val="0"/>
          <w:bCs w:val="0"/>
          <w:color w:val="000000"/>
          <w:sz w:val="32"/>
          <w:szCs w:val="32"/>
          <w:lang w:val="en-US" w:eastAsia="zh-CN"/>
        </w:rPr>
        <w:t>10.66</w:t>
      </w:r>
      <w:r>
        <w:rPr>
          <w:rFonts w:hint="eastAsia" w:ascii="仿宋_GB2312" w:hAnsi="仿宋_GB2312" w:eastAsia="仿宋_GB2312" w:cs="仿宋_GB2312"/>
          <w:b w:val="0"/>
          <w:bCs w:val="0"/>
          <w:color w:val="000000"/>
          <w:sz w:val="32"/>
          <w:szCs w:val="32"/>
        </w:rPr>
        <w:t>万元,</w:t>
      </w:r>
      <w:r>
        <w:rPr>
          <w:rStyle w:val="15"/>
          <w:rFonts w:hint="eastAsia" w:ascii="仿宋_GB2312" w:hAnsi="仿宋_GB2312" w:eastAsia="仿宋_GB2312" w:cs="仿宋_GB2312"/>
          <w:b w:val="0"/>
          <w:bCs w:val="0"/>
          <w:color w:val="auto"/>
          <w:sz w:val="32"/>
          <w:szCs w:val="32"/>
        </w:rPr>
        <w:t>完成预算</w:t>
      </w:r>
      <w:r>
        <w:rPr>
          <w:rStyle w:val="15"/>
          <w:rFonts w:hint="eastAsia" w:ascii="仿宋_GB2312" w:hAnsi="仿宋_GB2312" w:eastAsia="仿宋_GB2312" w:cs="仿宋_GB2312"/>
          <w:b w:val="0"/>
          <w:bCs w:val="0"/>
          <w:color w:val="auto"/>
          <w:sz w:val="32"/>
          <w:szCs w:val="32"/>
          <w:lang w:val="en-US" w:eastAsia="zh-CN"/>
        </w:rPr>
        <w:t>22.68</w:t>
      </w:r>
      <w:r>
        <w:rPr>
          <w:rStyle w:val="15"/>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000000"/>
          <w:sz w:val="32"/>
          <w:szCs w:val="32"/>
        </w:rPr>
        <w:t>公务用车购置及运行维护费支出决算比201</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年减少</w:t>
      </w:r>
      <w:r>
        <w:rPr>
          <w:rFonts w:hint="eastAsia" w:ascii="仿宋_GB2312" w:hAnsi="仿宋_GB2312" w:eastAsia="仿宋_GB2312" w:cs="仿宋_GB2312"/>
          <w:b w:val="0"/>
          <w:bCs w:val="0"/>
          <w:color w:val="000000"/>
          <w:sz w:val="32"/>
          <w:szCs w:val="32"/>
          <w:lang w:val="en-US" w:eastAsia="zh-CN"/>
        </w:rPr>
        <w:t>5.44</w:t>
      </w:r>
      <w:r>
        <w:rPr>
          <w:rFonts w:hint="eastAsia" w:ascii="仿宋_GB2312" w:hAnsi="仿宋_GB2312" w:eastAsia="仿宋_GB2312" w:cs="仿宋_GB2312"/>
          <w:b w:val="0"/>
          <w:bCs w:val="0"/>
          <w:color w:val="000000"/>
          <w:sz w:val="32"/>
          <w:szCs w:val="32"/>
        </w:rPr>
        <w:t>万元，下降</w:t>
      </w:r>
      <w:r>
        <w:rPr>
          <w:rFonts w:hint="eastAsia" w:ascii="仿宋_GB2312" w:hAnsi="仿宋_GB2312" w:eastAsia="仿宋_GB2312" w:cs="仿宋_GB2312"/>
          <w:b w:val="0"/>
          <w:bCs w:val="0"/>
          <w:color w:val="000000"/>
          <w:sz w:val="32"/>
          <w:szCs w:val="32"/>
          <w:lang w:val="en-US" w:eastAsia="zh-CN"/>
        </w:rPr>
        <w:t>33.79</w:t>
      </w:r>
      <w:r>
        <w:rPr>
          <w:rFonts w:hint="eastAsia" w:ascii="仿宋_GB2312" w:hAnsi="仿宋_GB2312" w:eastAsia="仿宋_GB2312" w:cs="仿宋_GB2312"/>
          <w:b w:val="0"/>
          <w:bCs w:val="0"/>
          <w:color w:val="000000"/>
          <w:sz w:val="32"/>
          <w:szCs w:val="32"/>
        </w:rPr>
        <w:t>%。主要原因是</w:t>
      </w:r>
      <w:r>
        <w:rPr>
          <w:rFonts w:hint="eastAsia" w:ascii="仿宋_GB2312" w:hAnsi="仿宋_GB2312" w:eastAsia="仿宋_GB2312" w:cs="仿宋_GB2312"/>
          <w:b w:val="0"/>
          <w:bCs w:val="0"/>
          <w:color w:val="000000"/>
          <w:sz w:val="32"/>
          <w:szCs w:val="32"/>
          <w:lang w:eastAsia="zh-CN"/>
        </w:rPr>
        <w:t>厉行节约。</w:t>
      </w:r>
    </w:p>
    <w:p>
      <w:pPr>
        <w:spacing w:line="600" w:lineRule="exact"/>
        <w:ind w:firstLine="640" w:firstLineChars="20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其中：公务用车购置支出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万元。全年按规定更新购置公务用车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辆。截至20</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年12月底，单位共</w:t>
      </w:r>
      <w:r>
        <w:rPr>
          <w:rFonts w:hint="eastAsia" w:ascii="仿宋_GB2312" w:hAnsi="仿宋_GB2312" w:eastAsia="仿宋_GB2312" w:cs="仿宋_GB2312"/>
          <w:b w:val="0"/>
          <w:bCs w:val="0"/>
          <w:color w:val="auto"/>
          <w:sz w:val="32"/>
          <w:szCs w:val="32"/>
        </w:rPr>
        <w:t>有公务用车</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辆，其中：应急保障用车</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辆</w:t>
      </w:r>
      <w:r>
        <w:rPr>
          <w:rFonts w:hint="eastAsia" w:ascii="仿宋_GB2312" w:hAnsi="仿宋_GB2312" w:eastAsia="仿宋_GB2312" w:cs="仿宋_GB2312"/>
          <w:b w:val="0"/>
          <w:bCs w:val="0"/>
          <w:color w:val="000000"/>
          <w:sz w:val="32"/>
          <w:szCs w:val="32"/>
          <w:lang w:eastAsia="zh-CN"/>
        </w:rPr>
        <w:t>。</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公务用车运行维护费支出</w:t>
      </w:r>
      <w:r>
        <w:rPr>
          <w:rFonts w:hint="eastAsia" w:ascii="仿宋_GB2312" w:hAnsi="仿宋_GB2312" w:eastAsia="仿宋_GB2312" w:cs="仿宋_GB2312"/>
          <w:b w:val="0"/>
          <w:bCs w:val="0"/>
          <w:color w:val="000000"/>
          <w:sz w:val="32"/>
          <w:szCs w:val="32"/>
          <w:lang w:val="en-US" w:eastAsia="zh-CN"/>
        </w:rPr>
        <w:t>10.66</w:t>
      </w:r>
      <w:r>
        <w:rPr>
          <w:rFonts w:hint="eastAsia" w:ascii="仿宋_GB2312" w:hAnsi="仿宋_GB2312" w:eastAsia="仿宋_GB2312" w:cs="仿宋_GB2312"/>
          <w:b w:val="0"/>
          <w:bCs w:val="0"/>
          <w:color w:val="000000"/>
          <w:sz w:val="32"/>
          <w:szCs w:val="32"/>
        </w:rPr>
        <w:t>万元。主要用于</w:t>
      </w:r>
      <w:r>
        <w:rPr>
          <w:rFonts w:hint="eastAsia" w:ascii="仿宋_GB2312" w:hAnsi="仿宋_GB2312" w:eastAsia="仿宋_GB2312" w:cs="仿宋_GB2312"/>
          <w:b w:val="0"/>
          <w:bCs w:val="0"/>
          <w:color w:val="000000"/>
          <w:sz w:val="32"/>
          <w:szCs w:val="32"/>
          <w:lang w:eastAsia="zh-CN"/>
        </w:rPr>
        <w:t>精准扶贫、赴上级财政部门及各区市县财政局交流</w:t>
      </w:r>
      <w:r>
        <w:rPr>
          <w:rFonts w:hint="eastAsia" w:ascii="仿宋_GB2312" w:hAnsi="仿宋_GB2312" w:eastAsia="仿宋_GB2312" w:cs="仿宋_GB2312"/>
          <w:b w:val="0"/>
          <w:bCs w:val="0"/>
          <w:color w:val="000000"/>
          <w:sz w:val="32"/>
          <w:szCs w:val="32"/>
        </w:rPr>
        <w:t>等</w:t>
      </w:r>
      <w:r>
        <w:rPr>
          <w:rFonts w:hint="eastAsia" w:ascii="仿宋_GB2312" w:hAnsi="仿宋_GB2312" w:eastAsia="仿宋_GB2312" w:cs="仿宋_GB2312"/>
          <w:b w:val="0"/>
          <w:bCs w:val="0"/>
          <w:color w:val="000000"/>
          <w:sz w:val="32"/>
          <w:szCs w:val="32"/>
          <w:lang w:eastAsia="zh-CN"/>
        </w:rPr>
        <w:t>工作</w:t>
      </w:r>
      <w:r>
        <w:rPr>
          <w:rFonts w:hint="eastAsia" w:ascii="仿宋_GB2312" w:hAnsi="仿宋_GB2312" w:eastAsia="仿宋_GB2312" w:cs="仿宋_GB2312"/>
          <w:b w:val="0"/>
          <w:bCs w:val="0"/>
          <w:color w:val="000000"/>
          <w:sz w:val="32"/>
          <w:szCs w:val="32"/>
        </w:rPr>
        <w:t>所需的公务用车燃料费、维修费、过路过桥费、保险费等支出。</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公务接待费支出</w:t>
      </w:r>
      <w:r>
        <w:rPr>
          <w:rFonts w:hint="eastAsia" w:ascii="仿宋_GB2312" w:hAnsi="仿宋_GB2312" w:eastAsia="仿宋_GB2312" w:cs="仿宋_GB2312"/>
          <w:b w:val="0"/>
          <w:bCs w:val="0"/>
          <w:color w:val="000000"/>
          <w:sz w:val="32"/>
          <w:szCs w:val="32"/>
          <w:lang w:val="en-US" w:eastAsia="zh-CN"/>
        </w:rPr>
        <w:t>0.13</w:t>
      </w:r>
      <w:r>
        <w:rPr>
          <w:rFonts w:hint="eastAsia" w:ascii="仿宋_GB2312" w:hAnsi="仿宋_GB2312" w:eastAsia="仿宋_GB2312" w:cs="仿宋_GB2312"/>
          <w:b w:val="0"/>
          <w:bCs w:val="0"/>
          <w:color w:val="000000"/>
          <w:sz w:val="32"/>
          <w:szCs w:val="32"/>
        </w:rPr>
        <w:t>万元，</w:t>
      </w:r>
      <w:r>
        <w:rPr>
          <w:rStyle w:val="15"/>
          <w:rFonts w:hint="eastAsia" w:ascii="仿宋_GB2312" w:hAnsi="仿宋_GB2312" w:eastAsia="仿宋_GB2312" w:cs="仿宋_GB2312"/>
          <w:b w:val="0"/>
          <w:bCs w:val="0"/>
          <w:color w:val="auto"/>
          <w:sz w:val="32"/>
          <w:szCs w:val="32"/>
        </w:rPr>
        <w:t>完成预算</w:t>
      </w:r>
      <w:r>
        <w:rPr>
          <w:rStyle w:val="15"/>
          <w:rFonts w:hint="eastAsia" w:ascii="仿宋_GB2312" w:hAnsi="仿宋_GB2312" w:eastAsia="仿宋_GB2312" w:cs="仿宋_GB2312"/>
          <w:b w:val="0"/>
          <w:bCs w:val="0"/>
          <w:color w:val="auto"/>
          <w:sz w:val="32"/>
          <w:szCs w:val="32"/>
          <w:lang w:val="en-US" w:eastAsia="zh-CN"/>
        </w:rPr>
        <w:t>0.76</w:t>
      </w:r>
      <w:r>
        <w:rPr>
          <w:rStyle w:val="15"/>
          <w:rFonts w:hint="eastAsia" w:ascii="仿宋_GB2312" w:hAnsi="仿宋_GB2312" w:eastAsia="仿宋_GB2312" w:cs="仿宋_GB2312"/>
          <w:b w:val="0"/>
          <w:bCs w:val="0"/>
          <w:color w:val="auto"/>
          <w:sz w:val="32"/>
          <w:szCs w:val="32"/>
        </w:rPr>
        <w:t>%</w:t>
      </w:r>
      <w:r>
        <w:rPr>
          <w:rStyle w:val="15"/>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公务接待费支出决算比201</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eastAsia="zh-CN"/>
        </w:rPr>
        <w:t>减少</w:t>
      </w:r>
      <w:r>
        <w:rPr>
          <w:rFonts w:hint="eastAsia" w:ascii="仿宋_GB2312" w:hAnsi="仿宋_GB2312" w:eastAsia="仿宋_GB2312" w:cs="仿宋_GB2312"/>
          <w:b w:val="0"/>
          <w:bCs w:val="0"/>
          <w:color w:val="000000"/>
          <w:sz w:val="32"/>
          <w:szCs w:val="32"/>
          <w:lang w:val="en-US" w:eastAsia="zh-CN"/>
        </w:rPr>
        <w:t>0.97</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auto"/>
          <w:sz w:val="32"/>
          <w:szCs w:val="32"/>
        </w:rPr>
        <w:t>主要原因是</w:t>
      </w:r>
      <w:r>
        <w:rPr>
          <w:rFonts w:hint="eastAsia" w:ascii="仿宋_GB2312" w:hAnsi="仿宋_GB2312" w:eastAsia="仿宋_GB2312" w:cs="仿宋_GB2312"/>
          <w:b w:val="0"/>
          <w:bCs w:val="0"/>
          <w:color w:val="auto"/>
          <w:sz w:val="32"/>
          <w:szCs w:val="32"/>
          <w:lang w:eastAsia="zh-CN"/>
        </w:rPr>
        <w:t>疫情期间接待减少。其中：</w:t>
      </w:r>
    </w:p>
    <w:p>
      <w:pPr>
        <w:spacing w:line="600" w:lineRule="exact"/>
        <w:ind w:firstLine="640"/>
        <w:rPr>
          <w:rFonts w:hint="eastAsia" w:ascii="仿宋_GB2312" w:hAnsi="仿宋_GB2312" w:eastAsia="仿宋_GB2312" w:cs="仿宋_GB2312"/>
          <w:b w:val="0"/>
          <w:bCs w:val="0"/>
          <w:color w:val="C00000"/>
          <w:sz w:val="32"/>
          <w:szCs w:val="32"/>
        </w:rPr>
      </w:pPr>
      <w:r>
        <w:rPr>
          <w:rFonts w:hint="eastAsia" w:ascii="仿宋_GB2312" w:hAnsi="仿宋_GB2312" w:eastAsia="仿宋_GB2312" w:cs="仿宋_GB2312"/>
          <w:b w:val="0"/>
          <w:bCs w:val="0"/>
          <w:color w:val="000000"/>
          <w:sz w:val="32"/>
          <w:szCs w:val="32"/>
        </w:rPr>
        <w:t>国内公务接待支出</w:t>
      </w:r>
      <w:r>
        <w:rPr>
          <w:rFonts w:hint="eastAsia" w:ascii="仿宋_GB2312" w:hAnsi="仿宋_GB2312" w:eastAsia="仿宋_GB2312" w:cs="仿宋_GB2312"/>
          <w:b w:val="0"/>
          <w:bCs w:val="0"/>
          <w:color w:val="000000"/>
          <w:sz w:val="32"/>
          <w:szCs w:val="32"/>
          <w:lang w:val="en-US" w:eastAsia="zh-CN"/>
        </w:rPr>
        <w:t>0.13</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auto"/>
          <w:sz w:val="32"/>
          <w:szCs w:val="32"/>
        </w:rPr>
        <w:t>主要用于</w:t>
      </w:r>
      <w:r>
        <w:rPr>
          <w:rFonts w:hint="eastAsia" w:ascii="仿宋_GB2312" w:hAnsi="仿宋_GB2312" w:eastAsia="仿宋_GB2312" w:cs="仿宋_GB2312"/>
          <w:b w:val="0"/>
          <w:bCs w:val="0"/>
          <w:color w:val="auto"/>
          <w:sz w:val="32"/>
          <w:szCs w:val="32"/>
          <w:lang w:eastAsia="zh-CN"/>
        </w:rPr>
        <w:t>区市县财政局交流学习</w:t>
      </w:r>
      <w:r>
        <w:rPr>
          <w:rFonts w:hint="eastAsia" w:ascii="仿宋_GB2312" w:hAnsi="仿宋_GB2312" w:eastAsia="仿宋_GB2312" w:cs="仿宋_GB2312"/>
          <w:b w:val="0"/>
          <w:bCs w:val="0"/>
          <w:color w:val="auto"/>
          <w:sz w:val="32"/>
          <w:szCs w:val="32"/>
        </w:rPr>
        <w:t>。国内公务接待</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批次，</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人次（不包括陪同人员），共计支出</w:t>
      </w:r>
      <w:r>
        <w:rPr>
          <w:rFonts w:hint="eastAsia" w:ascii="仿宋_GB2312" w:hAnsi="仿宋_GB2312" w:eastAsia="仿宋_GB2312" w:cs="仿宋_GB2312"/>
          <w:b w:val="0"/>
          <w:bCs w:val="0"/>
          <w:color w:val="auto"/>
          <w:sz w:val="32"/>
          <w:szCs w:val="32"/>
          <w:lang w:val="en-US" w:eastAsia="zh-CN"/>
        </w:rPr>
        <w:t>0.13</w:t>
      </w:r>
      <w:r>
        <w:rPr>
          <w:rFonts w:hint="eastAsia" w:ascii="仿宋_GB2312" w:hAnsi="仿宋_GB2312" w:eastAsia="仿宋_GB2312" w:cs="仿宋_GB2312"/>
          <w:b w:val="0"/>
          <w:bCs w:val="0"/>
          <w:color w:val="auto"/>
          <w:sz w:val="32"/>
          <w:szCs w:val="32"/>
        </w:rPr>
        <w:t>万元，具体内容包括：</w:t>
      </w:r>
      <w:r>
        <w:rPr>
          <w:rFonts w:hint="eastAsia" w:ascii="仿宋_GB2312" w:hAnsi="仿宋_GB2312" w:eastAsia="仿宋_GB2312" w:cs="仿宋_GB2312"/>
          <w:b w:val="0"/>
          <w:bCs w:val="0"/>
          <w:color w:val="auto"/>
          <w:sz w:val="32"/>
          <w:szCs w:val="32"/>
          <w:lang w:eastAsia="zh-CN"/>
        </w:rPr>
        <w:t>区市县财政局交流学习等</w:t>
      </w:r>
      <w:r>
        <w:rPr>
          <w:rFonts w:hint="eastAsia" w:ascii="仿宋_GB2312" w:hAnsi="仿宋_GB2312" w:eastAsia="仿宋_GB2312" w:cs="仿宋_GB2312"/>
          <w:b w:val="0"/>
          <w:bCs w:val="0"/>
          <w:color w:val="auto"/>
          <w:sz w:val="32"/>
          <w:szCs w:val="32"/>
        </w:rPr>
        <w:t>。</w:t>
      </w:r>
    </w:p>
    <w:p>
      <w:pPr>
        <w:spacing w:line="60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外事接待支出</w:t>
      </w:r>
    </w:p>
    <w:p>
      <w:pPr>
        <w:spacing w:line="600" w:lineRule="exact"/>
        <w:ind w:firstLine="640"/>
        <w:outlineLvl w:val="1"/>
        <w:rPr>
          <w:rStyle w:val="22"/>
          <w:rFonts w:hint="eastAsia" w:ascii="黑体" w:hAnsi="黑体" w:eastAsia="黑体" w:cs="黑体"/>
        </w:rPr>
      </w:pPr>
      <w:bookmarkStart w:id="46" w:name="_Toc15396610"/>
      <w:bookmarkStart w:id="47" w:name="_Toc15377218"/>
      <w:r>
        <w:rPr>
          <w:rFonts w:hint="eastAsia" w:ascii="黑体" w:hAnsi="黑体" w:eastAsia="黑体" w:cs="黑体"/>
          <w:color w:val="000000"/>
          <w:sz w:val="32"/>
          <w:szCs w:val="32"/>
        </w:rPr>
        <w:t>八、</w:t>
      </w:r>
      <w:r>
        <w:rPr>
          <w:rStyle w:val="22"/>
          <w:rFonts w:hint="eastAsia" w:ascii="黑体" w:hAnsi="黑体" w:eastAsia="黑体" w:cs="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3053.54</w:t>
      </w:r>
      <w:r>
        <w:rPr>
          <w:rFonts w:hint="eastAsia" w:ascii="仿宋_GB2312" w:eastAsia="仿宋_GB2312"/>
          <w:color w:val="000000"/>
          <w:sz w:val="32"/>
          <w:szCs w:val="32"/>
        </w:rPr>
        <w:t>万元。</w:t>
      </w:r>
    </w:p>
    <w:p>
      <w:pPr>
        <w:numPr>
          <w:ilvl w:val="0"/>
          <w:numId w:val="2"/>
        </w:numPr>
        <w:spacing w:line="600" w:lineRule="exact"/>
        <w:ind w:firstLine="640"/>
        <w:outlineLvl w:val="1"/>
        <w:rPr>
          <w:rStyle w:val="22"/>
          <w:rFonts w:hint="eastAsia" w:ascii="黑体" w:hAnsi="黑体" w:eastAsia="黑体" w:cs="黑体"/>
          <w:b w:val="0"/>
        </w:rPr>
      </w:pPr>
      <w:bookmarkStart w:id="48" w:name="_Toc15377219"/>
      <w:bookmarkStart w:id="49" w:name="_Toc15396611"/>
      <w:r>
        <w:rPr>
          <w:rStyle w:val="22"/>
          <w:rFonts w:hint="eastAsia" w:ascii="黑体" w:hAnsi="黑体" w:eastAsia="黑体" w:cs="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576.66万元</w:t>
      </w:r>
      <w:r>
        <w:rPr>
          <w:rFonts w:hint="eastAsia" w:ascii="仿宋_GB2312" w:eastAsia="仿宋_GB2312"/>
          <w:color w:val="000000"/>
          <w:sz w:val="32"/>
          <w:szCs w:val="32"/>
        </w:rPr>
        <w:t>。</w:t>
      </w:r>
    </w:p>
    <w:p>
      <w:pPr>
        <w:spacing w:line="600" w:lineRule="exact"/>
        <w:ind w:firstLine="640" w:firstLineChars="200"/>
        <w:outlineLvl w:val="1"/>
        <w:rPr>
          <w:rStyle w:val="22"/>
          <w:rFonts w:hint="eastAsia" w:ascii="黑体" w:hAnsi="黑体" w:eastAsia="黑体" w:cs="黑体"/>
        </w:rPr>
      </w:pPr>
      <w:bookmarkStart w:id="50" w:name="_Toc15396612"/>
      <w:bookmarkStart w:id="51" w:name="_Toc15377221"/>
      <w:r>
        <w:rPr>
          <w:rFonts w:hint="eastAsia" w:ascii="黑体" w:hAnsi="黑体" w:eastAsia="黑体" w:cs="黑体"/>
          <w:color w:val="000000"/>
          <w:sz w:val="32"/>
          <w:szCs w:val="32"/>
        </w:rPr>
        <w:t>十</w:t>
      </w:r>
      <w:r>
        <w:rPr>
          <w:rStyle w:val="22"/>
          <w:rFonts w:hint="eastAsia" w:ascii="黑体" w:hAnsi="黑体" w:eastAsia="黑体" w:cs="黑体"/>
        </w:rPr>
        <w:t>、</w:t>
      </w:r>
      <w:r>
        <w:rPr>
          <w:rStyle w:val="22"/>
          <w:rFonts w:hint="eastAsia" w:ascii="黑体" w:hAnsi="黑体" w:eastAsia="黑体" w:cs="黑体"/>
          <w:b w:val="0"/>
        </w:rPr>
        <w:t>其他重要事项的情况说明</w:t>
      </w:r>
      <w:bookmarkEnd w:id="50"/>
      <w:bookmarkEnd w:id="51"/>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52" w:name="_Toc15377222"/>
      <w:r>
        <w:rPr>
          <w:rFonts w:hint="eastAsia" w:ascii="楷体_GB2312" w:hAnsi="楷体_GB2312" w:eastAsia="楷体_GB2312" w:cs="楷体_GB2312"/>
          <w:b w:val="0"/>
          <w:bCs/>
          <w:color w:val="000000"/>
          <w:sz w:val="32"/>
          <w:szCs w:val="32"/>
        </w:rPr>
        <w:t>（一）机关运行经费支出情况</w:t>
      </w:r>
      <w:bookmarkEnd w:id="52"/>
    </w:p>
    <w:p>
      <w:pPr>
        <w:spacing w:line="600" w:lineRule="exact"/>
        <w:ind w:firstLine="640" w:firstLineChars="200"/>
        <w:rPr>
          <w:rFonts w:hint="eastAsia" w:ascii="仿宋_GB2312" w:eastAsia="仿宋_GB2312"/>
          <w:color w:val="auto"/>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峨眉山市财政局</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169.49</w:t>
      </w:r>
      <w:r>
        <w:rPr>
          <w:rFonts w:hint="eastAsia" w:ascii="仿宋_GB2312" w:eastAsia="仿宋_GB2312"/>
          <w:color w:val="auto"/>
          <w:sz w:val="32"/>
          <w:szCs w:val="32"/>
        </w:rPr>
        <w:t>万元，</w:t>
      </w:r>
      <w:r>
        <w:rPr>
          <w:rFonts w:hint="eastAsia" w:ascii="仿宋_GB2312" w:eastAsia="仿宋_GB2312"/>
          <w:color w:val="000000"/>
          <w:sz w:val="32"/>
          <w:szCs w:val="32"/>
        </w:rPr>
        <w:t>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38.96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18.69</w:t>
      </w:r>
      <w:r>
        <w:rPr>
          <w:rFonts w:ascii="仿宋_GB2312" w:eastAsia="仿宋_GB2312"/>
          <w:color w:val="000000"/>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厉行节约。</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rPr>
      </w:pPr>
      <w:bookmarkStart w:id="53" w:name="_Toc15377223"/>
      <w:r>
        <w:rPr>
          <w:rFonts w:hint="eastAsia" w:ascii="楷体_GB2312" w:hAnsi="楷体_GB2312" w:eastAsia="楷体_GB2312" w:cs="楷体_GB2312"/>
          <w:b w:val="0"/>
          <w:bCs/>
          <w:color w:val="auto"/>
          <w:sz w:val="32"/>
          <w:szCs w:val="32"/>
        </w:rPr>
        <w:t>（二）政府采购支出情况</w:t>
      </w:r>
      <w:bookmarkEnd w:id="53"/>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b/>
          <w:color w:val="C00000"/>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lang w:eastAsia="zh-CN"/>
        </w:rPr>
        <w:t>峨眉山市财政局政府采购支出总额</w:t>
      </w:r>
      <w:r>
        <w:rPr>
          <w:rFonts w:hint="eastAsia" w:ascii="仿宋_GB2312" w:eastAsia="仿宋_GB2312"/>
          <w:color w:val="auto"/>
          <w:sz w:val="32"/>
          <w:szCs w:val="32"/>
          <w:lang w:val="en-US" w:eastAsia="zh-CN"/>
        </w:rPr>
        <w:t>237.00万元，全部为政府采购服务支出，</w:t>
      </w:r>
      <w:r>
        <w:rPr>
          <w:rFonts w:hint="eastAsia" w:ascii="仿宋_GB2312" w:eastAsia="仿宋_GB2312"/>
          <w:color w:val="000000"/>
          <w:sz w:val="32"/>
          <w:szCs w:val="32"/>
          <w:lang w:val="en-US" w:eastAsia="zh-CN"/>
        </w:rPr>
        <w:t>主要用于委托咨询公司对峨眉山市经济建设提供财政管理、国企管理和融资、申请地方政府专项债券等咨询服务</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bookmarkStart w:id="54" w:name="_Toc15377224"/>
      <w:r>
        <w:rPr>
          <w:rFonts w:hint="eastAsia" w:ascii="楷体_GB2312" w:hAnsi="楷体_GB2312" w:eastAsia="楷体_GB2312" w:cs="楷体_GB2312"/>
          <w:b w:val="0"/>
          <w:bCs/>
          <w:color w:val="000000"/>
          <w:sz w:val="32"/>
          <w:szCs w:val="32"/>
        </w:rPr>
        <w:t>（三）国有资产占有使用情况</w:t>
      </w:r>
      <w:bookmarkEnd w:id="54"/>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峨眉山市财政局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辆</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rPr>
        <w:t>（四）预算绩效管理情况</w:t>
      </w:r>
    </w:p>
    <w:p>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财政监督检查业务费、财政信息系统运行维护费、纪委监察派驻机构工作经费、财政专项业务经费、国库集中支付电子化经费、金融办业务费、全市企业财务信息统计工作经费、全市债权债务管理专项经费、全市执法执勤车信息管理系统建设及运维费、全市工资代发银行业务费、评审专项业务支出</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等十九个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eastAsia="zh-CN"/>
        </w:rPr>
        <w:t>上述十九</w:t>
      </w:r>
      <w:r>
        <w:rPr>
          <w:rFonts w:hint="eastAsia" w:ascii="仿宋_GB2312" w:hAnsi="仿宋_GB2312" w:eastAsia="仿宋_GB2312" w:cs="仿宋_GB2312"/>
          <w:sz w:val="32"/>
          <w:szCs w:val="32"/>
        </w:rPr>
        <w:t>个项目编制了绩效目标</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预算执行过程中，</w:t>
      </w:r>
      <w:r>
        <w:rPr>
          <w:rFonts w:hint="eastAsia" w:ascii="仿宋_GB2312" w:hAnsi="仿宋_GB2312" w:eastAsia="仿宋_GB2312" w:cs="仿宋_GB2312"/>
          <w:sz w:val="32"/>
          <w:szCs w:val="32"/>
          <w:lang w:eastAsia="zh-CN"/>
        </w:rPr>
        <w:t>对上述十九</w:t>
      </w:r>
      <w:r>
        <w:rPr>
          <w:rFonts w:hint="eastAsia" w:ascii="仿宋_GB2312" w:hAnsi="仿宋_GB2312" w:eastAsia="仿宋_GB2312" w:cs="仿宋_GB2312"/>
          <w:sz w:val="32"/>
          <w:szCs w:val="32"/>
        </w:rPr>
        <w:t>个项目开展</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绩效监控。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整体支出开展绩效自评，从评价情况来看峨眉山市财政局20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年度财政拨款收入总计</w:t>
      </w:r>
      <w:r>
        <w:rPr>
          <w:rFonts w:hint="eastAsia" w:ascii="仿宋_GB2312" w:hAnsi="仿宋_GB2312" w:eastAsia="仿宋_GB2312" w:cs="仿宋_GB2312"/>
          <w:sz w:val="32"/>
          <w:szCs w:val="32"/>
          <w:lang w:val="en-US" w:eastAsia="zh-CN"/>
        </w:rPr>
        <w:t xml:space="preserve">6209.69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年相比，财政拨款收入总计增加</w:t>
      </w:r>
      <w:r>
        <w:rPr>
          <w:rFonts w:hint="eastAsia" w:ascii="仿宋_GB2312" w:hAnsi="仿宋_GB2312" w:eastAsia="仿宋_GB2312" w:cs="仿宋_GB2312"/>
          <w:sz w:val="32"/>
          <w:szCs w:val="32"/>
          <w:lang w:val="en-US" w:eastAsia="zh-CN"/>
        </w:rPr>
        <w:t>3047.67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96.38</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年度财政拨款支出总计</w:t>
      </w:r>
      <w:r>
        <w:rPr>
          <w:rFonts w:hint="eastAsia" w:ascii="仿宋_GB2312" w:hAnsi="仿宋_GB2312" w:eastAsia="仿宋_GB2312" w:cs="仿宋_GB2312"/>
          <w:sz w:val="32"/>
          <w:szCs w:val="32"/>
          <w:lang w:val="en-US" w:eastAsia="zh-CN"/>
        </w:rPr>
        <w:t>6209.69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年相比，财政拨款支出总计增加</w:t>
      </w:r>
      <w:r>
        <w:rPr>
          <w:rFonts w:hint="eastAsia" w:ascii="仿宋_GB2312" w:hAnsi="仿宋_GB2312" w:eastAsia="仿宋_GB2312" w:cs="仿宋_GB2312"/>
          <w:sz w:val="32"/>
          <w:szCs w:val="32"/>
          <w:lang w:val="en-US" w:eastAsia="zh-CN"/>
        </w:rPr>
        <w:t>3047.67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96.38</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2579.49</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sz w:val="32"/>
          <w:szCs w:val="32"/>
        </w:rPr>
        <w:t>:一般公共服务（类）支出</w:t>
      </w:r>
      <w:r>
        <w:rPr>
          <w:rFonts w:hint="eastAsia" w:ascii="仿宋_GB2312" w:hAnsi="仿宋_GB2312" w:eastAsia="仿宋_GB2312" w:cs="仿宋_GB2312"/>
          <w:sz w:val="32"/>
          <w:szCs w:val="32"/>
          <w:lang w:val="en-US" w:eastAsia="zh-CN"/>
        </w:rPr>
        <w:t>2221.70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支出32.67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179.93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6.98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31.40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农林水</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eastAsia="zh-CN"/>
        </w:rPr>
        <w:t>（类）支出</w:t>
      </w:r>
      <w:r>
        <w:rPr>
          <w:rFonts w:hint="eastAsia" w:ascii="仿宋_GB2312" w:hAnsi="仿宋_GB2312" w:eastAsia="仿宋_GB2312" w:cs="仿宋_GB2312"/>
          <w:sz w:val="32"/>
          <w:szCs w:val="32"/>
          <w:lang w:val="en-US" w:eastAsia="zh-CN"/>
        </w:rPr>
        <w:t>110.79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4.29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年使用政府性基金预算财政拨款支出</w:t>
      </w:r>
      <w:r>
        <w:rPr>
          <w:rFonts w:hint="eastAsia" w:ascii="仿宋_GB2312" w:hAnsi="仿宋_GB2312" w:eastAsia="仿宋_GB2312" w:cs="仿宋_GB2312"/>
          <w:sz w:val="32"/>
          <w:szCs w:val="32"/>
          <w:lang w:val="en-US" w:eastAsia="zh-CN"/>
        </w:rPr>
        <w:t>3053.54</w:t>
      </w:r>
      <w:r>
        <w:rPr>
          <w:rFonts w:hint="eastAsia" w:ascii="仿宋_GB2312" w:hAnsi="仿宋_GB2312" w:eastAsia="仿宋_GB2312" w:cs="仿宋_GB2312"/>
          <w:sz w:val="32"/>
          <w:szCs w:val="32"/>
        </w:rPr>
        <w:t>万元。</w:t>
      </w:r>
    </w:p>
    <w:p>
      <w:pPr>
        <w:pStyle w:val="11"/>
        <w:ind w:left="1059" w:leftChars="352" w:hanging="320" w:hangingChars="100"/>
        <w:rPr>
          <w:rFonts w:hint="eastAsia"/>
        </w:rPr>
      </w:pP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未组织开展项目支出绩效评价</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财政监督检查业务费、财政信息系统运行维护费、纪委监察派驻机构工作经费、财政专项业务经费、国库集中支付电子化经费、金融办业务费、全市企业财务信息统计工作经费、全市债权债务管理专项经费、全市执法执勤车信息管理系统建设及运维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color w:val="auto"/>
          <w:sz w:val="32"/>
          <w:szCs w:val="32"/>
          <w:lang w:eastAsia="zh-CN"/>
        </w:rPr>
        <w:t>选取以下五个项目进行公开。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纪委监察派驻机构工作</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39.00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39.00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w:t>
      </w:r>
      <w:r>
        <w:rPr>
          <w:rFonts w:hint="eastAsia" w:ascii="仿宋_GB2312" w:hAnsi="仿宋_GB2312" w:eastAsia="仿宋_GB2312" w:cs="仿宋_GB2312"/>
          <w:sz w:val="32"/>
          <w:szCs w:val="32"/>
          <w:lang w:val="en-US" w:eastAsia="zh-CN"/>
        </w:rPr>
        <w:t>保障了</w:t>
      </w:r>
      <w:r>
        <w:rPr>
          <w:rFonts w:hint="eastAsia" w:ascii="仿宋_GB2312" w:hAnsi="仿宋_GB2312" w:eastAsia="仿宋_GB2312" w:cs="仿宋_GB2312"/>
          <w:sz w:val="32"/>
          <w:szCs w:val="32"/>
          <w:lang w:val="zh-CN" w:eastAsia="zh-CN"/>
        </w:rPr>
        <w:t>纪检监察组开展日常监督、专项监督、办案等工作的开展。</w:t>
      </w:r>
      <w:r>
        <w:rPr>
          <w:rFonts w:hint="eastAsia" w:ascii="仿宋_GB2312" w:hAnsi="仿宋_GB2312" w:eastAsia="仿宋_GB2312" w:cs="仿宋_GB2312"/>
          <w:sz w:val="32"/>
          <w:szCs w:val="32"/>
          <w:lang w:val="en-US" w:eastAsia="zh-CN"/>
        </w:rPr>
        <w:t>纪检监察组开通了网络举报平台，人员日常开支经费得到解决，为开展监督工作打下基础。纪检经费保</w:t>
      </w:r>
      <w:r>
        <w:rPr>
          <w:rFonts w:hint="eastAsia" w:ascii="仿宋_GB2312" w:hAnsi="仿宋_GB2312" w:eastAsia="仿宋_GB2312" w:cs="仿宋_GB2312"/>
          <w:sz w:val="32"/>
          <w:szCs w:val="32"/>
          <w:lang w:val="zh-CN" w:eastAsia="zh-CN"/>
        </w:rPr>
        <w:t>障了纪检机构的正常运转，减少了部门预算支出，提高了纪检工作办事效率。发现的主要问题：党风廉政建设和反腐败工作力度还有待加强。</w:t>
      </w:r>
      <w:r>
        <w:rPr>
          <w:rFonts w:hint="eastAsia" w:ascii="仿宋_GB2312" w:hAnsi="仿宋_GB2312" w:eastAsia="仿宋_GB2312" w:cs="仿宋_GB2312"/>
          <w:sz w:val="32"/>
          <w:szCs w:val="32"/>
          <w:lang w:val="en-US" w:eastAsia="zh-CN"/>
        </w:rPr>
        <w:t>下一步，纪检监察组继续按规定履行好监督执纪问责工作，督促部门落实主体责任，促进单位党风廉政建设和反腐败工作，为各项政策方针在部门落实提供纪律保障。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财政专项业务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140.00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%。通过项目实施，加强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预算的编制和执行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国库改革业务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全面深化；加强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税收工作，拓展税源，财政、</w:t>
      </w:r>
      <w:r>
        <w:rPr>
          <w:rFonts w:hint="eastAsia" w:ascii="仿宋_GB2312" w:hAnsi="仿宋_GB2312" w:eastAsia="仿宋_GB2312" w:cs="仿宋_GB2312"/>
          <w:sz w:val="32"/>
          <w:szCs w:val="32"/>
          <w:lang w:eastAsia="zh-CN"/>
        </w:rPr>
        <w:t>税务</w:t>
      </w:r>
      <w:r>
        <w:rPr>
          <w:rFonts w:hint="eastAsia" w:ascii="仿宋_GB2312" w:hAnsi="仿宋_GB2312" w:eastAsia="仿宋_GB2312" w:cs="仿宋_GB2312"/>
          <w:sz w:val="32"/>
          <w:szCs w:val="32"/>
        </w:rPr>
        <w:t>工作全面对接；进一步推进农村综合改革，认真完成“精准扶贫”工作保障</w:t>
      </w:r>
      <w:r>
        <w:rPr>
          <w:rFonts w:hint="eastAsia" w:ascii="仿宋_GB2312" w:hAnsi="仿宋_GB2312" w:eastAsia="仿宋_GB2312" w:cs="仿宋_GB2312"/>
          <w:sz w:val="32"/>
          <w:szCs w:val="32"/>
          <w:lang w:eastAsia="zh-CN"/>
        </w:rPr>
        <w:t>。发现的主要问题：预算的编制不够细致，国库集中支付模式急需改革。下一步，我们将继续</w:t>
      </w:r>
      <w:r>
        <w:rPr>
          <w:rFonts w:hint="eastAsia" w:ascii="仿宋_GB2312" w:hAnsi="Calibri" w:eastAsia="仿宋_GB2312" w:cs="仿宋"/>
          <w:color w:val="000000"/>
          <w:kern w:val="0"/>
          <w:sz w:val="32"/>
          <w:szCs w:val="32"/>
          <w:lang w:val="zh-CN" w:eastAsia="zh-CN" w:bidi="ar-SA"/>
        </w:rPr>
        <w:t>细化预算编制工作；深化国库集中支付电子化业务的改革；加强财务管理，严格财务审核。</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全市债权债务管理</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19.69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19.69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%。通过项目实施，加强</w:t>
      </w:r>
      <w:r>
        <w:rPr>
          <w:rFonts w:hint="eastAsia" w:ascii="仿宋_GB2312" w:hAnsi="仿宋_GB2312" w:eastAsia="仿宋_GB2312" w:cs="仿宋_GB2312"/>
          <w:sz w:val="32"/>
          <w:szCs w:val="32"/>
          <w:lang w:eastAsia="zh-CN"/>
        </w:rPr>
        <w:t>了政府债务管理，限额管理、预算管理、债券管理、风险防控、统计分析、考核评价、信息公开和政府隐性债务监管</w:t>
      </w:r>
      <w:r>
        <w:rPr>
          <w:rFonts w:hint="eastAsia" w:ascii="仿宋_GB2312" w:hAnsi="仿宋_GB2312" w:eastAsia="仿宋_GB2312" w:cs="仿宋_GB2312"/>
          <w:sz w:val="32"/>
          <w:szCs w:val="32"/>
          <w:lang w:val="en-US" w:eastAsia="zh-CN"/>
        </w:rPr>
        <w:t>。发现的主要问题：</w:t>
      </w:r>
      <w:r>
        <w:rPr>
          <w:rFonts w:hint="eastAsia" w:ascii="仿宋_GB2312" w:eastAsia="仿宋_GB2312"/>
          <w:sz w:val="32"/>
          <w:szCs w:val="32"/>
          <w:lang w:eastAsia="zh-CN"/>
        </w:rPr>
        <w:t>专项债券生命周期管理机制有待完善。下一步，需进一步压实项目主管部门监管职责，管好用好债券资金的同时，确保项目运营收入顺利实现。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国库集中支付电子化</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依据我局国库集中支付电子化管理项目改革需要，通过在财政、人民银行和代理银行三方对等部署含电子凭证库及电子印章系统在内的安全支撑体系，及提供给各方业务系统调用的接口，在不破坏各方现有业务系统数据完整性基础上，各方业务系统通过与电子凭证库衔接，实现对现有电子单据的电子签章和验章，并形成电子凭证。从技术角度和表象来说，就是实现“无纸化”，在财政部门、预算单位、人民银行、代理银行，利用信息网络技术，取消纸质凭证和单据流转，发出电子指令办理财政资金支付及清算业务，实现财政资金安全、高效运行的管理模式。发现的主要问题：国库集中支付改革迫在眉睫，需加快进度。下一步，需加快国库集中支付改革的进度，及早实现财务工作的“电子化”及“无纸化”。</w:t>
      </w:r>
    </w:p>
    <w:p>
      <w:pPr>
        <w:pStyle w:val="5"/>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lang w:val="en-US" w:eastAsia="zh-CN"/>
        </w:rPr>
      </w:pPr>
      <w:r>
        <w:rPr>
          <w:rFonts w:hint="eastAsia" w:hAnsi="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hAnsi="仿宋_GB2312" w:cs="仿宋_GB2312"/>
          <w:sz w:val="32"/>
          <w:szCs w:val="32"/>
          <w:lang w:val="en-US" w:eastAsia="zh-CN"/>
        </w:rPr>
        <w:t>5</w:t>
      </w:r>
      <w:r>
        <w:rPr>
          <w:rFonts w:hint="eastAsia" w:ascii="仿宋_GB2312" w:hAnsi="仿宋_GB2312" w:eastAsia="仿宋_GB2312" w:cs="仿宋_GB2312"/>
          <w:sz w:val="32"/>
          <w:szCs w:val="32"/>
        </w:rPr>
        <w:t>）</w:t>
      </w:r>
      <w:r>
        <w:rPr>
          <w:rFonts w:hint="eastAsia" w:hAnsi="仿宋_GB2312" w:cs="仿宋_GB2312"/>
          <w:sz w:val="32"/>
          <w:szCs w:val="32"/>
          <w:lang w:eastAsia="zh-CN"/>
        </w:rPr>
        <w:t>全市执法执勤车信息管理系统建设及运维费</w:t>
      </w:r>
      <w:r>
        <w:rPr>
          <w:rFonts w:hint="eastAsia" w:ascii="仿宋_GB2312" w:hAnsi="仿宋_GB2312" w:eastAsia="仿宋_GB2312" w:cs="仿宋_GB2312"/>
          <w:sz w:val="32"/>
          <w:szCs w:val="32"/>
        </w:rPr>
        <w:t>项目绩效目标完成情况综述。项目全年预算数</w:t>
      </w:r>
      <w:r>
        <w:rPr>
          <w:rFonts w:hint="eastAsia" w:hAnsi="仿宋_GB2312" w:cs="仿宋_GB2312"/>
          <w:sz w:val="32"/>
          <w:szCs w:val="32"/>
          <w:lang w:val="en-US" w:eastAsia="zh-CN"/>
        </w:rPr>
        <w:t>16.78</w:t>
      </w:r>
      <w:r>
        <w:rPr>
          <w:rFonts w:hint="eastAsia" w:ascii="仿宋_GB2312" w:hAnsi="仿宋_GB2312" w:eastAsia="仿宋_GB2312" w:cs="仿宋_GB2312"/>
          <w:sz w:val="32"/>
          <w:szCs w:val="32"/>
        </w:rPr>
        <w:t>万元，执行数为</w:t>
      </w:r>
      <w:r>
        <w:rPr>
          <w:rFonts w:hint="eastAsia" w:hAnsi="仿宋_GB2312" w:cs="仿宋_GB2312"/>
          <w:sz w:val="32"/>
          <w:szCs w:val="32"/>
          <w:lang w:val="en-US" w:eastAsia="zh-CN"/>
        </w:rPr>
        <w:t>16.78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hAnsi="仿宋_GB2312" w:cs="仿宋_GB2312"/>
          <w:sz w:val="32"/>
          <w:szCs w:val="32"/>
          <w:lang w:eastAsia="zh-CN"/>
        </w:rPr>
        <w:t>通过项目实施，为全市</w:t>
      </w:r>
      <w:r>
        <w:rPr>
          <w:rFonts w:hint="eastAsia" w:hAnsi="仿宋_GB2312" w:cs="仿宋_GB2312"/>
          <w:sz w:val="32"/>
          <w:szCs w:val="32"/>
          <w:lang w:val="en-US" w:eastAsia="zh-CN"/>
        </w:rPr>
        <w:t xml:space="preserve">94辆公务用车提供北斗车辆位置服务终端，并提供公务用车信息管理平台运营服务，实现对全市执法执勤车的高效、有序管理。发现的主要问题：设备的报修及后续服务还有待加强。下一步，我们将进一步加强与劳务提供方的联系，将全市执法执勤车管理工作完善并落到实处。  </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796"/>
        <w:gridCol w:w="961"/>
        <w:gridCol w:w="1025"/>
        <w:gridCol w:w="2374"/>
        <w:gridCol w:w="2412"/>
        <w:gridCol w:w="2392"/>
      </w:tblGrid>
      <w:tr>
        <w:tblPrEx>
          <w:tblCellMar>
            <w:top w:w="0" w:type="dxa"/>
            <w:left w:w="0" w:type="dxa"/>
            <w:bottom w:w="0" w:type="dxa"/>
            <w:right w:w="0" w:type="dxa"/>
          </w:tblCellMar>
        </w:tblPrEx>
        <w:trPr>
          <w:trHeight w:val="1133"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lang w:eastAsia="zh-CN"/>
              </w:rPr>
              <w:t>纪委监察派驻机构工作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tblPrEx>
          <w:tblCellMar>
            <w:top w:w="0" w:type="dxa"/>
            <w:left w:w="0" w:type="dxa"/>
            <w:bottom w:w="0" w:type="dxa"/>
            <w:right w:w="0" w:type="dxa"/>
          </w:tblCellMar>
        </w:tblPrEx>
        <w:trPr>
          <w:trHeight w:val="276"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9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390000.00</w:t>
            </w:r>
          </w:p>
        </w:tc>
        <w:tc>
          <w:tcPr>
            <w:tcW w:w="2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390000.00</w:t>
            </w:r>
          </w:p>
        </w:tc>
      </w:tr>
      <w:tr>
        <w:tblPrEx>
          <w:tblCellMar>
            <w:top w:w="0" w:type="dxa"/>
            <w:left w:w="0" w:type="dxa"/>
            <w:bottom w:w="0" w:type="dxa"/>
            <w:right w:w="0" w:type="dxa"/>
          </w:tblCellMar>
        </w:tblPrEx>
        <w:trPr>
          <w:trHeight w:val="276"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9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390000.00</w:t>
            </w:r>
          </w:p>
        </w:tc>
        <w:tc>
          <w:tcPr>
            <w:tcW w:w="2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390000.00</w:t>
            </w:r>
          </w:p>
        </w:tc>
      </w:tr>
      <w:tr>
        <w:tblPrEx>
          <w:tblCellMar>
            <w:top w:w="0" w:type="dxa"/>
            <w:left w:w="0" w:type="dxa"/>
            <w:bottom w:w="0" w:type="dxa"/>
            <w:right w:w="0" w:type="dxa"/>
          </w:tblCellMar>
        </w:tblPrEx>
        <w:trPr>
          <w:trHeight w:val="1006"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9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2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3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43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c>
          <w:tcPr>
            <w:tcW w:w="48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29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保障纪委监察派驻机构工作保质保量完成</w:t>
            </w:r>
            <w:r>
              <w:rPr>
                <w:rFonts w:hint="eastAsia" w:ascii="宋体" w:hAnsi="宋体" w:cs="宋体"/>
                <w:color w:val="000000"/>
                <w:sz w:val="24"/>
                <w:lang w:eastAsia="zh-CN"/>
              </w:rPr>
              <w:t>。</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保障纪委监察派驻机构工作保质保量完成</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保障本单位稽查、检查工作按时完成</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保障本单位稽查、检查工作按时完成</w:t>
            </w:r>
          </w:p>
        </w:tc>
      </w:tr>
      <w:tr>
        <w:tblPrEx>
          <w:tblCellMar>
            <w:top w:w="0" w:type="dxa"/>
            <w:left w:w="0" w:type="dxa"/>
            <w:bottom w:w="0" w:type="dxa"/>
            <w:right w:w="0" w:type="dxa"/>
          </w:tblCellMar>
        </w:tblPrEx>
        <w:trPr>
          <w:trHeight w:val="104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保障纪委监察派驻机构工作顺利进行</w:t>
            </w:r>
            <w:r>
              <w:rPr>
                <w:rFonts w:hint="eastAsia" w:ascii="宋体" w:hAnsi="宋体" w:cs="宋体"/>
                <w:color w:val="000000"/>
                <w:sz w:val="24"/>
                <w:lang w:eastAsia="zh-CN"/>
              </w:rPr>
              <w:t>，保障应有的经济效益。</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保障纪委监察派驻机构工作顺利进行</w:t>
            </w:r>
            <w:r>
              <w:rPr>
                <w:rFonts w:hint="eastAsia" w:ascii="宋体" w:hAnsi="宋体" w:cs="宋体"/>
                <w:color w:val="000000"/>
                <w:sz w:val="24"/>
                <w:lang w:eastAsia="zh-CN"/>
              </w:rPr>
              <w:t>，保障应有的经济效益。</w:t>
            </w:r>
          </w:p>
        </w:tc>
      </w:tr>
      <w:tr>
        <w:tblPrEx>
          <w:tblCellMar>
            <w:top w:w="0" w:type="dxa"/>
            <w:left w:w="0" w:type="dxa"/>
            <w:bottom w:w="0" w:type="dxa"/>
            <w:right w:w="0" w:type="dxa"/>
          </w:tblCellMar>
        </w:tblPrEx>
        <w:trPr>
          <w:trHeight w:val="129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保障纪委监察派驻机构工作顺利进行，保障应有的社会效益</w:t>
            </w:r>
            <w:r>
              <w:rPr>
                <w:rFonts w:hint="eastAsia" w:ascii="宋体" w:hAnsi="宋体" w:cs="宋体"/>
                <w:color w:val="000000"/>
                <w:sz w:val="24"/>
                <w:lang w:eastAsia="zh-CN"/>
              </w:rPr>
              <w:t>。</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保障纪委监察派驻机构工作顺利进行，保障应有的社会效益</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lang w:eastAsia="zh-CN"/>
              </w:rPr>
              <w:t>财政专项业务</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tblPrEx>
          <w:tblCellMar>
            <w:top w:w="0" w:type="dxa"/>
            <w:left w:w="0" w:type="dxa"/>
            <w:bottom w:w="0" w:type="dxa"/>
            <w:right w:w="0" w:type="dxa"/>
          </w:tblCellMar>
        </w:tblPrEx>
        <w:trPr>
          <w:trHeight w:val="276"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9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1400000.00</w:t>
            </w:r>
          </w:p>
        </w:tc>
        <w:tc>
          <w:tcPr>
            <w:tcW w:w="2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1400000.00</w:t>
            </w:r>
          </w:p>
        </w:tc>
      </w:tr>
      <w:tr>
        <w:tblPrEx>
          <w:tblCellMar>
            <w:top w:w="0" w:type="dxa"/>
            <w:left w:w="0" w:type="dxa"/>
            <w:bottom w:w="0" w:type="dxa"/>
            <w:right w:w="0" w:type="dxa"/>
          </w:tblCellMar>
        </w:tblPrEx>
        <w:trPr>
          <w:trHeight w:val="302"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9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1400000.00</w:t>
            </w:r>
          </w:p>
        </w:tc>
        <w:tc>
          <w:tcPr>
            <w:tcW w:w="2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1400000.00</w:t>
            </w:r>
          </w:p>
        </w:tc>
      </w:tr>
      <w:tr>
        <w:tblPrEx>
          <w:tblCellMar>
            <w:top w:w="0" w:type="dxa"/>
            <w:left w:w="0" w:type="dxa"/>
            <w:bottom w:w="0" w:type="dxa"/>
            <w:right w:w="0" w:type="dxa"/>
          </w:tblCellMar>
        </w:tblPrEx>
        <w:trPr>
          <w:trHeight w:val="871"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9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2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3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796"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4360"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加强预算的编制和执行；国库改革业务全面深化；加强税收工作，拓展税源，财政、</w:t>
            </w:r>
            <w:r>
              <w:rPr>
                <w:rFonts w:hint="eastAsia" w:ascii="宋体" w:hAnsi="宋体" w:cs="宋体"/>
                <w:color w:val="000000"/>
                <w:sz w:val="24"/>
                <w:lang w:eastAsia="zh-CN"/>
              </w:rPr>
              <w:t>税务</w:t>
            </w:r>
            <w:r>
              <w:rPr>
                <w:rFonts w:hint="eastAsia" w:ascii="宋体" w:hAnsi="宋体" w:cs="宋体"/>
                <w:color w:val="000000"/>
                <w:sz w:val="24"/>
              </w:rPr>
              <w:t>工作全面对接；进一步推进农村综合改革，认真完成“精准扶贫”工作</w:t>
            </w:r>
            <w:r>
              <w:rPr>
                <w:rFonts w:hint="eastAsia" w:ascii="宋体" w:hAnsi="宋体" w:cs="宋体"/>
                <w:color w:val="000000"/>
                <w:sz w:val="24"/>
                <w:lang w:eastAsia="zh-CN"/>
              </w:rPr>
              <w:t>。</w:t>
            </w:r>
          </w:p>
        </w:tc>
        <w:tc>
          <w:tcPr>
            <w:tcW w:w="4804"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加强预算的编制和执行；国库改革业务全面深化；加强税收工作，拓展税源，财政、</w:t>
            </w:r>
            <w:r>
              <w:rPr>
                <w:rFonts w:hint="eastAsia" w:ascii="宋体" w:hAnsi="宋体" w:cs="宋体"/>
                <w:color w:val="000000"/>
                <w:sz w:val="24"/>
                <w:lang w:eastAsia="zh-CN"/>
              </w:rPr>
              <w:t>税务</w:t>
            </w:r>
            <w:r>
              <w:rPr>
                <w:rFonts w:hint="eastAsia" w:ascii="宋体" w:hAnsi="宋体" w:cs="宋体"/>
                <w:color w:val="000000"/>
                <w:sz w:val="24"/>
              </w:rPr>
              <w:t>工作全面对接；进一步推进农村综合改革，认真完成“精准扶贫”工作</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加强预算的编制和执行；国库改革业务全面深化；加强税收工作，拓展税源，财政、国税、地税工作全面对接；进一步推进农村综合改革，认真完成“精准扶贫”工作</w:t>
            </w:r>
            <w:r>
              <w:rPr>
                <w:rFonts w:hint="eastAsia" w:ascii="宋体" w:hAnsi="宋体" w:cs="宋体"/>
                <w:color w:val="000000"/>
                <w:sz w:val="24"/>
                <w:lang w:eastAsia="zh-CN"/>
              </w:rPr>
              <w:t>。</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加强预算的编制和执行；国库改革业务全面深化；加强税收工作，拓展税源，财政、国税、地税工作全面对接；进一步推进农村综合改革，认真完成“精准扶贫”工作</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9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保证财政工作质量，保障财政工作顺利进行</w:t>
            </w:r>
            <w:r>
              <w:rPr>
                <w:rFonts w:hint="eastAsia" w:ascii="宋体" w:hAnsi="宋体" w:cs="宋体"/>
                <w:color w:val="000000"/>
                <w:sz w:val="24"/>
                <w:lang w:eastAsia="zh-CN"/>
              </w:rPr>
              <w:t>。</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保证财政工作质量，保障财政工作顺利进行</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81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保障财政工作及时顺利进行</w:t>
            </w:r>
            <w:r>
              <w:rPr>
                <w:rFonts w:hint="eastAsia" w:ascii="宋体" w:hAnsi="宋体" w:cs="宋体"/>
                <w:color w:val="000000"/>
                <w:sz w:val="24"/>
                <w:lang w:eastAsia="zh-CN"/>
              </w:rPr>
              <w:t>。</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保障财政工作及时顺利进行</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96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w:t>
            </w:r>
            <w:r>
              <w:rPr>
                <w:rFonts w:hint="eastAsia" w:ascii="宋体" w:hAnsi="宋体" w:cs="宋体"/>
                <w:color w:val="000000"/>
                <w:sz w:val="24"/>
                <w:lang w:eastAsia="zh-CN"/>
              </w:rPr>
              <w:t>。</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保障财政工作顺利进行，保障财政供养机构有序运转</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2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9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4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保障财政工作顺利进行，保障财政供养机构有序运转，从而保障社会稳定</w:t>
            </w:r>
            <w:r>
              <w:rPr>
                <w:rFonts w:hint="eastAsia" w:ascii="宋体" w:hAnsi="宋体" w:cs="宋体"/>
                <w:color w:val="000000"/>
                <w:sz w:val="24"/>
                <w:lang w:eastAsia="zh-CN"/>
              </w:rPr>
              <w:t>。</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保障财政工作顺利进行，保障财政供养机构有序运转，从而保障社会稳定</w:t>
            </w:r>
            <w:r>
              <w:rPr>
                <w:rFonts w:hint="eastAsia" w:ascii="宋体" w:hAnsi="宋体" w:cs="宋体"/>
                <w:color w:val="000000"/>
                <w:sz w:val="24"/>
                <w:lang w:eastAsia="zh-CN"/>
              </w:rPr>
              <w:t>。</w:t>
            </w:r>
          </w:p>
        </w:tc>
      </w:tr>
    </w:tbl>
    <w:tbl>
      <w:tblPr>
        <w:tblStyle w:val="13"/>
        <w:tblpPr w:leftFromText="180" w:rightFromText="180" w:vertAnchor="text" w:horzAnchor="page" w:tblpX="1155" w:tblpY="112"/>
        <w:tblOverlap w:val="never"/>
        <w:tblW w:w="9960" w:type="dxa"/>
        <w:jc w:val="center"/>
        <w:tblLayout w:type="fixed"/>
        <w:tblCellMar>
          <w:top w:w="0" w:type="dxa"/>
          <w:left w:w="0" w:type="dxa"/>
          <w:bottom w:w="0" w:type="dxa"/>
          <w:right w:w="0" w:type="dxa"/>
        </w:tblCellMar>
      </w:tblPr>
      <w:tblGrid>
        <w:gridCol w:w="660"/>
        <w:gridCol w:w="109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9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eastAsia="宋体" w:cs="宋体"/>
                <w:sz w:val="24"/>
                <w:szCs w:val="24"/>
                <w:lang w:eastAsia="zh-CN"/>
              </w:rPr>
              <w:t>全市债权债务管理</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tblPrEx>
          <w:tblCellMar>
            <w:top w:w="0" w:type="dxa"/>
            <w:left w:w="0" w:type="dxa"/>
            <w:bottom w:w="0" w:type="dxa"/>
            <w:right w:w="0" w:type="dxa"/>
          </w:tblCellMar>
        </w:tblPrEx>
        <w:trPr>
          <w:trHeight w:val="276"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196923.00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196923.00</w:t>
            </w:r>
          </w:p>
        </w:tc>
      </w:tr>
      <w:tr>
        <w:tblPrEx>
          <w:tblCellMar>
            <w:top w:w="0" w:type="dxa"/>
            <w:left w:w="0" w:type="dxa"/>
            <w:bottom w:w="0" w:type="dxa"/>
            <w:right w:w="0" w:type="dxa"/>
          </w:tblCellMar>
        </w:tblPrEx>
        <w:trPr>
          <w:trHeight w:val="276"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1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196923.00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196923.00</w:t>
            </w:r>
          </w:p>
        </w:tc>
      </w:tr>
      <w:tr>
        <w:tblPrEx>
          <w:tblCellMar>
            <w:top w:w="0" w:type="dxa"/>
            <w:left w:w="0" w:type="dxa"/>
            <w:bottom w:w="0" w:type="dxa"/>
            <w:right w:w="0" w:type="dxa"/>
          </w:tblCellMar>
        </w:tblPrEx>
        <w:trPr>
          <w:trHeight w:val="896"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1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1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660"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4514"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w:t>
            </w:r>
            <w:r>
              <w:rPr>
                <w:rFonts w:hint="eastAsia" w:ascii="宋体" w:hAnsi="宋体" w:cs="宋体"/>
                <w:color w:val="000000"/>
                <w:sz w:val="24"/>
                <w:lang w:eastAsia="zh-CN"/>
              </w:rPr>
              <w:t>对政府债务管理，限额管理、预算管理、债券管理、风险防控、统计分析、考核评价、信息公开和政府隐性债务监管</w:t>
            </w:r>
            <w:r>
              <w:rPr>
                <w:rFonts w:hint="eastAsia" w:ascii="宋体" w:hAnsi="宋体" w:cs="宋体"/>
                <w:color w:val="000000"/>
                <w:sz w:val="24"/>
                <w:lang w:val="en-US" w:eastAsia="zh-CN"/>
              </w:rPr>
              <w:t>。</w:t>
            </w:r>
          </w:p>
        </w:tc>
        <w:tc>
          <w:tcPr>
            <w:tcW w:w="478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w:t>
            </w:r>
            <w:r>
              <w:rPr>
                <w:rFonts w:hint="eastAsia" w:ascii="宋体" w:hAnsi="宋体" w:cs="宋体"/>
                <w:color w:val="000000"/>
                <w:sz w:val="24"/>
                <w:lang w:eastAsia="zh-CN"/>
              </w:rPr>
              <w:t>对政府债务管理，限额管理、预算管理、债券管理、风险防控、统计分析、考核评价、信息公开和政府隐性债务监管</w:t>
            </w:r>
            <w:r>
              <w:rPr>
                <w:rFonts w:hint="eastAsia" w:ascii="宋体" w:hAnsi="宋体" w:cs="宋体"/>
                <w:color w:val="000000"/>
                <w:sz w:val="24"/>
                <w:lang w:val="en-US" w:eastAsia="zh-CN"/>
              </w:rPr>
              <w:t>。</w:t>
            </w:r>
          </w:p>
        </w:tc>
      </w:tr>
      <w:tr>
        <w:tblPrEx>
          <w:tblCellMar>
            <w:top w:w="0" w:type="dxa"/>
            <w:left w:w="0" w:type="dxa"/>
            <w:bottom w:w="0" w:type="dxa"/>
            <w:right w:w="0" w:type="dxa"/>
          </w:tblCellMar>
        </w:tblPrEx>
        <w:trPr>
          <w:trHeight w:val="1042"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w:t>
            </w:r>
            <w:r>
              <w:rPr>
                <w:rFonts w:hint="eastAsia" w:ascii="宋体" w:hAnsi="宋体" w:cs="宋体"/>
                <w:color w:val="000000"/>
                <w:sz w:val="24"/>
                <w:lang w:eastAsia="zh-CN"/>
              </w:rPr>
              <w:t>对政府债务管理，限额管理、预算管理、债券管理、风险防控、统计分析、考核评价、信息公开和政府隐性债务监管</w:t>
            </w:r>
            <w:r>
              <w:rPr>
                <w:rFonts w:hint="eastAsia" w:ascii="宋体" w:hAnsi="宋体" w:cs="宋体"/>
                <w:color w:val="000000"/>
                <w:sz w:val="24"/>
                <w:lang w:val="en-US" w:eastAsia="zh-CN"/>
              </w:rPr>
              <w:t>。</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w:t>
            </w:r>
            <w:r>
              <w:rPr>
                <w:rFonts w:hint="eastAsia" w:ascii="宋体" w:hAnsi="宋体" w:cs="宋体"/>
                <w:color w:val="000000"/>
                <w:sz w:val="24"/>
                <w:lang w:eastAsia="zh-CN"/>
              </w:rPr>
              <w:t>对政府债务管理，限额管理、预算管理、债券管理、风险防控、统计分析、考核评价、信息公开和政府隐性债务监管</w:t>
            </w:r>
            <w:r>
              <w:rPr>
                <w:rFonts w:hint="eastAsia" w:ascii="宋体" w:hAnsi="宋体" w:cs="宋体"/>
                <w:color w:val="000000"/>
                <w:sz w:val="24"/>
                <w:lang w:val="en-US" w:eastAsia="zh-CN"/>
              </w:rPr>
              <w:t>。</w:t>
            </w:r>
          </w:p>
        </w:tc>
      </w:tr>
      <w:tr>
        <w:tblPrEx>
          <w:tblCellMar>
            <w:top w:w="0" w:type="dxa"/>
            <w:left w:w="0" w:type="dxa"/>
            <w:bottom w:w="0" w:type="dxa"/>
            <w:right w:w="0" w:type="dxa"/>
          </w:tblCellMar>
        </w:tblPrEx>
        <w:trPr>
          <w:trHeight w:val="1102"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w:t>
            </w:r>
            <w:r>
              <w:rPr>
                <w:rFonts w:hint="eastAsia" w:ascii="宋体" w:hAnsi="宋体" w:cs="宋体"/>
                <w:color w:val="000000"/>
                <w:sz w:val="24"/>
                <w:lang w:eastAsia="zh-CN"/>
              </w:rPr>
              <w:t>债权债务管理</w:t>
            </w:r>
            <w:r>
              <w:rPr>
                <w:rFonts w:hint="eastAsia" w:ascii="宋体" w:hAnsi="宋体" w:cs="宋体"/>
                <w:color w:val="000000"/>
                <w:sz w:val="24"/>
              </w:rPr>
              <w:t>工作保质保量完成</w:t>
            </w:r>
            <w:r>
              <w:rPr>
                <w:rFonts w:hint="eastAsia" w:ascii="宋体" w:hAnsi="宋体" w:cs="宋体"/>
                <w:color w:val="000000"/>
                <w:sz w:val="24"/>
                <w:lang w:eastAsia="zh-CN"/>
              </w:rPr>
              <w:t>。</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w:t>
            </w:r>
            <w:r>
              <w:rPr>
                <w:rFonts w:hint="eastAsia" w:ascii="宋体" w:hAnsi="宋体" w:cs="宋体"/>
                <w:color w:val="000000"/>
                <w:sz w:val="24"/>
                <w:lang w:eastAsia="zh-CN"/>
              </w:rPr>
              <w:t>债权债务管理</w:t>
            </w:r>
            <w:r>
              <w:rPr>
                <w:rFonts w:hint="eastAsia" w:ascii="宋体" w:hAnsi="宋体" w:cs="宋体"/>
                <w:color w:val="000000"/>
                <w:sz w:val="24"/>
              </w:rPr>
              <w:t>工作保质保量完成</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557"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及时处理债权债务相关问题</w:t>
            </w:r>
            <w:r>
              <w:rPr>
                <w:rFonts w:hint="eastAsia" w:ascii="宋体" w:hAnsi="宋体" w:cs="宋体"/>
                <w:color w:val="000000"/>
                <w:sz w:val="24"/>
                <w:lang w:eastAsia="zh-CN"/>
              </w:rPr>
              <w:t>。</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及时处理债权债务相关问题</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管理全市债权债务工作情况，配合上级相关检查</w:t>
            </w:r>
            <w:r>
              <w:rPr>
                <w:rFonts w:hint="eastAsia" w:ascii="宋体" w:hAnsi="宋体" w:cs="宋体"/>
                <w:color w:val="000000"/>
                <w:sz w:val="24"/>
                <w:lang w:eastAsia="zh-CN"/>
              </w:rPr>
              <w:t>。</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管理全市债权债务工作情况，配合上级相关检查</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92"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保障本单位债权债务工作顺利完成，保障应有的社会效益</w:t>
            </w:r>
            <w:r>
              <w:rPr>
                <w:rFonts w:hint="eastAsia" w:ascii="宋体" w:hAnsi="宋体" w:cs="宋体"/>
                <w:color w:val="000000"/>
                <w:sz w:val="24"/>
                <w:lang w:eastAsia="zh-CN"/>
              </w:rPr>
              <w:t>。</w:t>
            </w: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保障本单位债权债务工作顺利完成，保障应有的社会效益</w:t>
            </w:r>
            <w:r>
              <w:rPr>
                <w:rFonts w:hint="eastAsia" w:ascii="宋体" w:hAnsi="宋体" w:cs="宋体"/>
                <w:color w:val="000000"/>
                <w:sz w:val="24"/>
                <w:lang w:eastAsia="zh-CN"/>
              </w:rPr>
              <w:t>。</w:t>
            </w:r>
          </w:p>
        </w:tc>
      </w:tr>
    </w:tbl>
    <w:tbl>
      <w:tblPr>
        <w:tblStyle w:val="13"/>
        <w:tblpPr w:leftFromText="180" w:rightFromText="180" w:vertAnchor="text" w:horzAnchor="page" w:tblpX="1225" w:tblpY="107"/>
        <w:tblOverlap w:val="never"/>
        <w:tblW w:w="9860" w:type="dxa"/>
        <w:jc w:val="center"/>
        <w:tblLayout w:type="fixed"/>
        <w:tblCellMar>
          <w:top w:w="0" w:type="dxa"/>
          <w:left w:w="0" w:type="dxa"/>
          <w:bottom w:w="0" w:type="dxa"/>
          <w:right w:w="0" w:type="dxa"/>
        </w:tblCellMar>
      </w:tblPr>
      <w:tblGrid>
        <w:gridCol w:w="653"/>
        <w:gridCol w:w="1085"/>
        <w:gridCol w:w="1016"/>
        <w:gridCol w:w="2367"/>
        <w:gridCol w:w="2369"/>
        <w:gridCol w:w="2370"/>
      </w:tblGrid>
      <w:tr>
        <w:tblPrEx>
          <w:tblCellMar>
            <w:top w:w="0" w:type="dxa"/>
            <w:left w:w="0" w:type="dxa"/>
            <w:bottom w:w="0" w:type="dxa"/>
            <w:right w:w="0" w:type="dxa"/>
          </w:tblCellMar>
        </w:tblPrEx>
        <w:trPr>
          <w:trHeight w:val="1248" w:hRule="atLeast"/>
          <w:jc w:val="center"/>
        </w:trPr>
        <w:tc>
          <w:tcPr>
            <w:tcW w:w="98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641" w:hRule="atLeast"/>
          <w:jc w:val="center"/>
        </w:trPr>
        <w:tc>
          <w:tcPr>
            <w:tcW w:w="27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国库集中支付电子化</w:t>
            </w:r>
          </w:p>
        </w:tc>
      </w:tr>
      <w:tr>
        <w:tblPrEx>
          <w:tblCellMar>
            <w:top w:w="0" w:type="dxa"/>
            <w:left w:w="0" w:type="dxa"/>
            <w:bottom w:w="0" w:type="dxa"/>
            <w:right w:w="0" w:type="dxa"/>
          </w:tblCellMar>
        </w:tblPrEx>
        <w:trPr>
          <w:trHeight w:val="333" w:hRule="atLeast"/>
          <w:jc w:val="center"/>
        </w:trPr>
        <w:tc>
          <w:tcPr>
            <w:tcW w:w="27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tblPrEx>
          <w:tblCellMar>
            <w:top w:w="0" w:type="dxa"/>
            <w:left w:w="0" w:type="dxa"/>
            <w:bottom w:w="0" w:type="dxa"/>
            <w:right w:w="0" w:type="dxa"/>
          </w:tblCellMar>
        </w:tblPrEx>
        <w:trPr>
          <w:trHeight w:val="333"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90000.00</w:t>
            </w:r>
          </w:p>
        </w:tc>
        <w:tc>
          <w:tcPr>
            <w:tcW w:w="2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90000.00</w:t>
            </w:r>
          </w:p>
        </w:tc>
      </w:tr>
      <w:tr>
        <w:tblPrEx>
          <w:tblCellMar>
            <w:top w:w="0" w:type="dxa"/>
            <w:left w:w="0" w:type="dxa"/>
            <w:bottom w:w="0" w:type="dxa"/>
            <w:right w:w="0" w:type="dxa"/>
          </w:tblCellMar>
        </w:tblPrEx>
        <w:trPr>
          <w:trHeight w:val="333"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1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90000.00</w:t>
            </w:r>
          </w:p>
        </w:tc>
        <w:tc>
          <w:tcPr>
            <w:tcW w:w="2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90000.00</w:t>
            </w:r>
          </w:p>
        </w:tc>
      </w:tr>
      <w:tr>
        <w:tblPrEx>
          <w:tblCellMar>
            <w:top w:w="0" w:type="dxa"/>
            <w:left w:w="0" w:type="dxa"/>
            <w:bottom w:w="0" w:type="dxa"/>
            <w:right w:w="0" w:type="dxa"/>
          </w:tblCellMar>
        </w:tblPrEx>
        <w:trPr>
          <w:trHeight w:val="1044"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1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9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73" w:hRule="atLeast"/>
          <w:jc w:val="center"/>
        </w:trPr>
        <w:tc>
          <w:tcPr>
            <w:tcW w:w="653"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446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针对国库集中支付电子化改革做前期各项铺垫及准备。</w:t>
            </w:r>
          </w:p>
        </w:tc>
        <w:tc>
          <w:tcPr>
            <w:tcW w:w="4739"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针对国库集中支付电子化改革做前期各项铺垫及准备。</w:t>
            </w:r>
          </w:p>
        </w:tc>
      </w:tr>
      <w:tr>
        <w:tblPrEx>
          <w:tblCellMar>
            <w:top w:w="0" w:type="dxa"/>
            <w:left w:w="0" w:type="dxa"/>
            <w:bottom w:w="0" w:type="dxa"/>
            <w:right w:w="0" w:type="dxa"/>
          </w:tblCellMar>
        </w:tblPrEx>
        <w:trPr>
          <w:trHeight w:val="1207" w:hRule="atLeast"/>
          <w:jc w:val="center"/>
        </w:trPr>
        <w:tc>
          <w:tcPr>
            <w:tcW w:w="6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178"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针对国库集中支付电子化改革做前期各项铺垫及准备。</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针对国库集中支付电子化改革做前期各项铺垫及准备。</w:t>
            </w:r>
          </w:p>
        </w:tc>
      </w:tr>
      <w:tr>
        <w:tblPrEx>
          <w:tblCellMar>
            <w:top w:w="0" w:type="dxa"/>
            <w:left w:w="0" w:type="dxa"/>
            <w:bottom w:w="0" w:type="dxa"/>
            <w:right w:w="0" w:type="dxa"/>
          </w:tblCellMar>
        </w:tblPrEx>
        <w:trPr>
          <w:trHeight w:val="1459"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按要求</w:t>
            </w:r>
            <w:r>
              <w:rPr>
                <w:rFonts w:hint="eastAsia" w:ascii="宋体" w:hAnsi="宋体" w:cs="宋体"/>
                <w:color w:val="000000"/>
                <w:sz w:val="24"/>
                <w:lang w:eastAsia="zh-CN"/>
              </w:rPr>
              <w:t>达到</w:t>
            </w:r>
            <w:r>
              <w:rPr>
                <w:rFonts w:hint="eastAsia" w:ascii="宋体" w:hAnsi="宋体" w:cs="宋体"/>
                <w:color w:val="000000"/>
                <w:sz w:val="24"/>
              </w:rPr>
              <w:t>落实</w:t>
            </w:r>
            <w:r>
              <w:rPr>
                <w:rFonts w:hint="eastAsia" w:ascii="宋体" w:hAnsi="宋体" w:cs="宋体"/>
                <w:color w:val="000000"/>
                <w:sz w:val="24"/>
                <w:lang w:eastAsia="zh-CN"/>
              </w:rPr>
              <w:t>国库集中支付电子化改革办公室硬件要求。</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按要求</w:t>
            </w:r>
            <w:r>
              <w:rPr>
                <w:rFonts w:hint="eastAsia" w:ascii="宋体" w:hAnsi="宋体" w:cs="宋体"/>
                <w:color w:val="000000"/>
                <w:sz w:val="24"/>
                <w:lang w:eastAsia="zh-CN"/>
              </w:rPr>
              <w:t>达到</w:t>
            </w:r>
            <w:r>
              <w:rPr>
                <w:rFonts w:hint="eastAsia" w:ascii="宋体" w:hAnsi="宋体" w:cs="宋体"/>
                <w:color w:val="000000"/>
                <w:sz w:val="24"/>
              </w:rPr>
              <w:t>落实</w:t>
            </w:r>
            <w:r>
              <w:rPr>
                <w:rFonts w:hint="eastAsia" w:ascii="宋体" w:hAnsi="宋体" w:cs="宋体"/>
                <w:color w:val="000000"/>
                <w:sz w:val="24"/>
                <w:lang w:eastAsia="zh-CN"/>
              </w:rPr>
              <w:t>国库集中支付电子化改革办公室硬件要求。</w:t>
            </w:r>
          </w:p>
        </w:tc>
      </w:tr>
      <w:tr>
        <w:tblPrEx>
          <w:tblCellMar>
            <w:top w:w="0" w:type="dxa"/>
            <w:left w:w="0" w:type="dxa"/>
            <w:bottom w:w="0" w:type="dxa"/>
            <w:right w:w="0" w:type="dxa"/>
          </w:tblCellMar>
        </w:tblPrEx>
        <w:trPr>
          <w:trHeight w:val="1177"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质量</w:t>
            </w:r>
            <w:r>
              <w:rPr>
                <w:rFonts w:hint="eastAsia" w:ascii="宋体" w:hAnsi="宋体" w:cs="宋体"/>
                <w:color w:val="000000"/>
                <w:sz w:val="24"/>
              </w:rPr>
              <w:t>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按要求</w:t>
            </w:r>
            <w:r>
              <w:rPr>
                <w:rFonts w:hint="eastAsia" w:ascii="宋体" w:hAnsi="宋体" w:cs="宋体"/>
                <w:color w:val="000000"/>
                <w:sz w:val="24"/>
                <w:lang w:eastAsia="zh-CN"/>
              </w:rPr>
              <w:t>确保覆盖面。</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覆盖面</w:t>
            </w:r>
            <w:r>
              <w:rPr>
                <w:rFonts w:hint="eastAsia" w:ascii="宋体" w:hAnsi="宋体" w:cs="宋体"/>
                <w:color w:val="000000"/>
                <w:sz w:val="24"/>
                <w:lang w:val="en-US" w:eastAsia="zh-CN"/>
              </w:rPr>
              <w:t>100%</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316"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实现国库集中支付无纸化，节约各项社会资源。</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实现国库集中支付无纸化，节约各项社会资源。</w:t>
            </w:r>
          </w:p>
        </w:tc>
      </w:tr>
      <w:tr>
        <w:tblPrEx>
          <w:tblCellMar>
            <w:top w:w="0" w:type="dxa"/>
            <w:left w:w="0" w:type="dxa"/>
            <w:bottom w:w="0" w:type="dxa"/>
            <w:right w:w="0" w:type="dxa"/>
          </w:tblCellMar>
        </w:tblPrEx>
        <w:trPr>
          <w:trHeight w:val="1248" w:hRule="atLeast"/>
          <w:jc w:val="center"/>
        </w:trPr>
        <w:tc>
          <w:tcPr>
            <w:tcW w:w="98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641" w:hRule="atLeast"/>
          <w:jc w:val="center"/>
        </w:trPr>
        <w:tc>
          <w:tcPr>
            <w:tcW w:w="27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全市执法执勤车信息管理系统建设及运维费</w:t>
            </w:r>
          </w:p>
        </w:tc>
      </w:tr>
      <w:tr>
        <w:tblPrEx>
          <w:tblCellMar>
            <w:top w:w="0" w:type="dxa"/>
            <w:left w:w="0" w:type="dxa"/>
            <w:bottom w:w="0" w:type="dxa"/>
            <w:right w:w="0" w:type="dxa"/>
          </w:tblCellMar>
        </w:tblPrEx>
        <w:trPr>
          <w:trHeight w:val="333" w:hRule="atLeast"/>
          <w:jc w:val="center"/>
        </w:trPr>
        <w:tc>
          <w:tcPr>
            <w:tcW w:w="27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tblPrEx>
          <w:tblCellMar>
            <w:top w:w="0" w:type="dxa"/>
            <w:left w:w="0" w:type="dxa"/>
            <w:bottom w:w="0" w:type="dxa"/>
            <w:right w:w="0" w:type="dxa"/>
          </w:tblCellMar>
        </w:tblPrEx>
        <w:trPr>
          <w:trHeight w:val="333"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167800.00</w:t>
            </w:r>
          </w:p>
        </w:tc>
        <w:tc>
          <w:tcPr>
            <w:tcW w:w="2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167800.00</w:t>
            </w:r>
          </w:p>
        </w:tc>
      </w:tr>
      <w:tr>
        <w:tblPrEx>
          <w:tblCellMar>
            <w:top w:w="0" w:type="dxa"/>
            <w:left w:w="0" w:type="dxa"/>
            <w:bottom w:w="0" w:type="dxa"/>
            <w:right w:w="0" w:type="dxa"/>
          </w:tblCellMar>
        </w:tblPrEx>
        <w:trPr>
          <w:trHeight w:val="333"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1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167800.00</w:t>
            </w:r>
          </w:p>
        </w:tc>
        <w:tc>
          <w:tcPr>
            <w:tcW w:w="2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167800.00</w:t>
            </w:r>
          </w:p>
        </w:tc>
      </w:tr>
      <w:tr>
        <w:tblPrEx>
          <w:tblCellMar>
            <w:top w:w="0" w:type="dxa"/>
            <w:left w:w="0" w:type="dxa"/>
            <w:bottom w:w="0" w:type="dxa"/>
            <w:right w:w="0" w:type="dxa"/>
          </w:tblCellMar>
        </w:tblPrEx>
        <w:trPr>
          <w:trHeight w:val="1044"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1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2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9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4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73" w:hRule="atLeast"/>
          <w:jc w:val="center"/>
        </w:trPr>
        <w:tc>
          <w:tcPr>
            <w:tcW w:w="653"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446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针对国库集中支付电子化改革做前期各项铺垫及准备。</w:t>
            </w:r>
          </w:p>
        </w:tc>
        <w:tc>
          <w:tcPr>
            <w:tcW w:w="4739"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针对国库集中支付电子化改革做前期各项铺垫及准备。</w:t>
            </w:r>
          </w:p>
        </w:tc>
      </w:tr>
      <w:tr>
        <w:tblPrEx>
          <w:tblCellMar>
            <w:top w:w="0" w:type="dxa"/>
            <w:left w:w="0" w:type="dxa"/>
            <w:bottom w:w="0" w:type="dxa"/>
            <w:right w:w="0" w:type="dxa"/>
          </w:tblCellMar>
        </w:tblPrEx>
        <w:trPr>
          <w:trHeight w:val="1207" w:hRule="atLeast"/>
          <w:jc w:val="center"/>
        </w:trPr>
        <w:tc>
          <w:tcPr>
            <w:tcW w:w="65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178"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建立一个管理系统，实时管理全市的执法执勤车辆。</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建立一个管理系统，实时管理全市的执法执勤车辆。</w:t>
            </w:r>
          </w:p>
        </w:tc>
      </w:tr>
      <w:tr>
        <w:tblPrEx>
          <w:tblCellMar>
            <w:top w:w="0" w:type="dxa"/>
            <w:left w:w="0" w:type="dxa"/>
            <w:bottom w:w="0" w:type="dxa"/>
            <w:right w:w="0" w:type="dxa"/>
          </w:tblCellMar>
        </w:tblPrEx>
        <w:trPr>
          <w:trHeight w:val="1459"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安装北斗车辆位置服务终端。</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94套</w:t>
            </w:r>
          </w:p>
        </w:tc>
      </w:tr>
      <w:tr>
        <w:tblPrEx>
          <w:tblCellMar>
            <w:top w:w="0" w:type="dxa"/>
            <w:left w:w="0" w:type="dxa"/>
            <w:bottom w:w="0" w:type="dxa"/>
            <w:right w:w="0" w:type="dxa"/>
          </w:tblCellMar>
        </w:tblPrEx>
        <w:trPr>
          <w:trHeight w:val="1177"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w:t>
            </w:r>
            <w:r>
              <w:rPr>
                <w:rFonts w:hint="eastAsia" w:ascii="宋体" w:hAnsi="宋体" w:cs="宋体"/>
                <w:color w:val="000000"/>
                <w:sz w:val="24"/>
              </w:rPr>
              <w:t>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建立管理平台系统。</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1个</w:t>
            </w:r>
          </w:p>
        </w:tc>
      </w:tr>
      <w:tr>
        <w:tblPrEx>
          <w:tblCellMar>
            <w:top w:w="0" w:type="dxa"/>
            <w:left w:w="0" w:type="dxa"/>
            <w:bottom w:w="0" w:type="dxa"/>
            <w:right w:w="0" w:type="dxa"/>
          </w:tblCellMar>
        </w:tblPrEx>
        <w:trPr>
          <w:trHeight w:val="1316"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质量</w:t>
            </w:r>
            <w:r>
              <w:rPr>
                <w:rFonts w:hint="eastAsia" w:ascii="宋体" w:hAnsi="宋体" w:cs="宋体"/>
                <w:color w:val="000000"/>
                <w:sz w:val="24"/>
              </w:rPr>
              <w:t>指标</w:t>
            </w:r>
          </w:p>
        </w:tc>
        <w:tc>
          <w:tcPr>
            <w:tcW w:w="23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远程技术服务</w:t>
            </w:r>
          </w:p>
        </w:tc>
        <w:tc>
          <w:tcPr>
            <w:tcW w:w="23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确保服务的高质量和高效率</w:t>
            </w:r>
          </w:p>
        </w:tc>
      </w:tr>
    </w:tbl>
    <w:p>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未组织项目绩效评价</w:t>
      </w:r>
      <w:r>
        <w:rPr>
          <w:rFonts w:hint="eastAsia" w:ascii="仿宋_GB2312" w:hAnsi="仿宋_GB2312" w:eastAsia="仿宋_GB2312" w:cs="仿宋_GB2312"/>
          <w:sz w:val="32"/>
          <w:szCs w:val="32"/>
        </w:rPr>
        <w:t>。</w:t>
      </w:r>
    </w:p>
    <w:p>
      <w:pPr>
        <w:spacing w:line="580" w:lineRule="exac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0"/>
          <w:rFonts w:hint="eastAsia" w:ascii="方正小标宋_GBK" w:hAnsi="方正小标宋_GBK" w:eastAsia="方正小标宋_GBK" w:cs="方正小标宋_GBK"/>
          <w:b/>
          <w:bCs/>
        </w:rPr>
      </w:pPr>
      <w:bookmarkStart w:id="55" w:name="_Toc15377225"/>
      <w:bookmarkStart w:id="56" w:name="_Toc15396613"/>
      <w:r>
        <w:rPr>
          <w:rFonts w:hint="eastAsia" w:ascii="方正小标宋_GBK" w:hAnsi="方正小标宋_GBK" w:eastAsia="方正小标宋_GBK" w:cs="方正小标宋_GBK"/>
          <w:b/>
          <w:bCs/>
          <w:color w:val="000000"/>
          <w:sz w:val="44"/>
          <w:szCs w:val="44"/>
        </w:rPr>
        <w:t>名</w:t>
      </w:r>
      <w:r>
        <w:rPr>
          <w:rStyle w:val="20"/>
          <w:rFonts w:hint="eastAsia" w:ascii="方正小标宋_GBK" w:hAnsi="方正小标宋_GBK" w:eastAsia="方正小标宋_GBK" w:cs="方正小标宋_GBK"/>
          <w:b/>
          <w:bCs/>
        </w:rPr>
        <w:t>词解释</w:t>
      </w:r>
      <w:bookmarkEnd w:id="55"/>
      <w:bookmarkEnd w:id="56"/>
    </w:p>
    <w:p>
      <w:pPr>
        <w:spacing w:line="600" w:lineRule="exact"/>
        <w:jc w:val="left"/>
        <w:rPr>
          <w:rFonts w:ascii="宋体"/>
          <w:b/>
          <w:color w:val="000000"/>
          <w:sz w:val="44"/>
          <w:szCs w:val="44"/>
        </w:rPr>
      </w:pPr>
    </w:p>
    <w:p>
      <w:pPr>
        <w:pStyle w:val="31"/>
        <w:spacing w:line="560" w:lineRule="exact"/>
        <w:ind w:firstLine="640" w:firstLineChars="200"/>
        <w:rPr>
          <w:rFonts w:ascii="仿宋_GB2312" w:eastAsia="仿宋_GB2312"/>
          <w:sz w:val="32"/>
          <w:szCs w:val="32"/>
        </w:rPr>
      </w:pPr>
      <w:bookmarkStart w:id="57" w:name="_Toc15377226"/>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其他收入：指单位取得的除上述收入以外的各项收入。主要是利息收入、国有资产出租收入等。</w:t>
      </w:r>
      <w:r>
        <w:rPr>
          <w:rFonts w:ascii="仿宋_GB2312" w:eastAsia="仿宋_GB2312"/>
          <w:sz w:val="32"/>
          <w:szCs w:val="32"/>
        </w:rPr>
        <w:t xml:space="preserve"> </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四、</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rPr>
        <w:t>结余分配：指事业单位按照事业单位会计制度的规定从非财政补助结余中分配的事业基金和职工福利基金等。</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年末结转和结余：指单位按有关规定结转到下年或以后年度继续使用的资金。</w:t>
      </w:r>
    </w:p>
    <w:p>
      <w:pPr>
        <w:pStyle w:val="32"/>
        <w:ind w:firstLine="640"/>
        <w:rPr>
          <w:rFonts w:hint="eastAsia"/>
        </w:rPr>
      </w:pPr>
      <w:r>
        <w:rPr>
          <w:rFonts w:hint="eastAsia"/>
          <w:lang w:val="en-US" w:eastAsia="zh-CN"/>
        </w:rPr>
        <w:t>七、</w:t>
      </w:r>
      <w:r>
        <w:rPr>
          <w:rFonts w:hint="eastAsia"/>
        </w:rPr>
        <w:t>一般公共服务支出（类）财政事务（款）行政运行（项）：反映行政单位（包括实行公务员管理的事业单位）的基本支出。</w:t>
      </w:r>
    </w:p>
    <w:p>
      <w:pPr>
        <w:pStyle w:val="32"/>
        <w:ind w:firstLine="640"/>
        <w:rPr>
          <w:rFonts w:hint="eastAsia"/>
        </w:rPr>
      </w:pPr>
      <w:r>
        <w:rPr>
          <w:rFonts w:hint="eastAsia"/>
          <w:lang w:val="en-US" w:eastAsia="zh-CN"/>
        </w:rPr>
        <w:t>八、</w:t>
      </w:r>
      <w:r>
        <w:rPr>
          <w:rFonts w:hint="eastAsia"/>
        </w:rPr>
        <w:t>一般公共服务支出（类）财政事务（款）一般行政管理事务（项）：反映行政单位（包括实行公务员管理的事业单位）未单独设置项级科目的其他项目支出。</w:t>
      </w:r>
    </w:p>
    <w:p>
      <w:pPr>
        <w:pStyle w:val="32"/>
        <w:ind w:firstLine="640"/>
        <w:rPr>
          <w:rFonts w:hint="eastAsia" w:eastAsia="仿宋_GB2312"/>
          <w:lang w:val="en-US" w:eastAsia="zh-CN"/>
        </w:rPr>
      </w:pPr>
      <w:r>
        <w:rPr>
          <w:rFonts w:hint="eastAsia"/>
          <w:lang w:val="en-US" w:eastAsia="zh-CN"/>
        </w:rPr>
        <w:t>九、</w:t>
      </w:r>
      <w:r>
        <w:rPr>
          <w:rFonts w:hint="eastAsia"/>
        </w:rPr>
        <w:t>一般公共服务支出（类）财政事务（款）</w:t>
      </w:r>
      <w:r>
        <w:rPr>
          <w:rFonts w:hint="eastAsia"/>
          <w:lang w:eastAsia="zh-CN"/>
        </w:rPr>
        <w:t>事业</w:t>
      </w:r>
      <w:r>
        <w:rPr>
          <w:rFonts w:hint="eastAsia"/>
        </w:rPr>
        <w:t>运行（项）：反映</w:t>
      </w:r>
      <w:r>
        <w:rPr>
          <w:rFonts w:hint="eastAsia"/>
          <w:lang w:eastAsia="zh-CN"/>
        </w:rPr>
        <w:t>事业</w:t>
      </w:r>
      <w:r>
        <w:rPr>
          <w:rFonts w:hint="eastAsia"/>
        </w:rPr>
        <w:t>单位的基本支出</w:t>
      </w:r>
      <w:r>
        <w:rPr>
          <w:rFonts w:hint="eastAsia"/>
          <w:lang w:eastAsia="zh-CN"/>
        </w:rPr>
        <w:t>。</w:t>
      </w:r>
    </w:p>
    <w:p>
      <w:pPr>
        <w:pStyle w:val="32"/>
        <w:ind w:firstLine="640"/>
      </w:pPr>
      <w:r>
        <w:rPr>
          <w:rFonts w:hint="eastAsia"/>
          <w:lang w:eastAsia="zh-CN"/>
        </w:rPr>
        <w:t>十、</w:t>
      </w:r>
      <w:r>
        <w:rPr>
          <w:rFonts w:hint="eastAsia"/>
        </w:rPr>
        <w:t>一般公共服务支出（类）财政事务（款）其他财政事务（项）：反映其他财政事务方面的支出。</w:t>
      </w:r>
    </w:p>
    <w:p>
      <w:pPr>
        <w:pStyle w:val="32"/>
        <w:ind w:firstLine="640"/>
        <w:rPr>
          <w:rFonts w:hint="eastAsia" w:eastAsia="仿宋_GB2312"/>
          <w:lang w:val="en-US" w:eastAsia="zh-CN"/>
        </w:rPr>
      </w:pPr>
      <w:r>
        <w:rPr>
          <w:rFonts w:hint="eastAsia"/>
          <w:lang w:val="en-US" w:eastAsia="zh-CN"/>
        </w:rPr>
        <w:t>十一、</w:t>
      </w:r>
      <w:r>
        <w:rPr>
          <w:rFonts w:hint="eastAsia"/>
        </w:rPr>
        <w:t>社会保障和就业支出（类）行政事业单位养老支出（款）机关事业单位职业年金缴费支出（项）：反映机关事业单位实施养老保险制度由单位缴纳的基本养老保险费支出。</w:t>
      </w:r>
      <w:r>
        <w:br w:type="textWrapping"/>
      </w:r>
      <w:r>
        <w:rPr>
          <w:rFonts w:hint="eastAsia"/>
        </w:rPr>
        <w:t>　　</w:t>
      </w:r>
      <w:r>
        <w:rPr>
          <w:rFonts w:hint="eastAsia"/>
          <w:lang w:val="en-US" w:eastAsia="zh-CN"/>
        </w:rPr>
        <w:t>十二、</w:t>
      </w:r>
      <w:r>
        <w:rPr>
          <w:rFonts w:hint="eastAsia"/>
        </w:rPr>
        <w:t>社会保障和就业支出（类）行政事业单位养老支出（款）机关事业单位基本养老保险缴费支出（项）：反映机关事业单位实施养老保险制度由单位缴纳的职业年金支出。</w:t>
      </w:r>
      <w:r>
        <w:br w:type="textWrapping"/>
      </w:r>
      <w:r>
        <w:rPr>
          <w:rFonts w:hint="eastAsia"/>
        </w:rPr>
        <w:t>　　</w:t>
      </w:r>
      <w:r>
        <w:rPr>
          <w:rFonts w:hint="eastAsia"/>
          <w:lang w:val="en-US" w:eastAsia="zh-CN"/>
        </w:rPr>
        <w:t>十三、</w:t>
      </w:r>
      <w:r>
        <w:rPr>
          <w:rFonts w:hint="eastAsia"/>
        </w:rPr>
        <w:t>社会保障和就业支出（类）</w:t>
      </w:r>
      <w:r>
        <w:rPr>
          <w:rFonts w:hint="eastAsia"/>
          <w:lang w:eastAsia="zh-CN"/>
        </w:rPr>
        <w:t>企业改革补助（款）</w:t>
      </w:r>
      <w:r>
        <w:rPr>
          <w:rStyle w:val="15"/>
          <w:rFonts w:hint="eastAsia" w:ascii="仿宋_GB2312" w:hAnsi="仿宋_GB2312" w:eastAsia="仿宋_GB2312" w:cs="仿宋_GB2312"/>
          <w:b w:val="0"/>
          <w:bCs/>
          <w:color w:val="000000"/>
          <w:sz w:val="32"/>
          <w:szCs w:val="32"/>
          <w:lang w:eastAsia="zh-CN"/>
        </w:rPr>
        <w:t>其他企业改革发展补助（项）</w:t>
      </w:r>
      <w:r>
        <w:rPr>
          <w:rStyle w:val="15"/>
          <w:rFonts w:hint="eastAsia" w:hAnsi="仿宋_GB2312" w:cs="仿宋_GB2312"/>
          <w:b w:val="0"/>
          <w:bCs/>
          <w:color w:val="000000"/>
          <w:sz w:val="32"/>
          <w:szCs w:val="32"/>
          <w:lang w:eastAsia="zh-CN"/>
        </w:rPr>
        <w:t>：反映上述项目以外财政用于企业改革发展方面的补助。</w:t>
      </w:r>
    </w:p>
    <w:p>
      <w:pPr>
        <w:pStyle w:val="32"/>
        <w:ind w:firstLine="640"/>
        <w:rPr>
          <w:rFonts w:hint="eastAsia"/>
        </w:rPr>
      </w:pPr>
      <w:r>
        <w:rPr>
          <w:rFonts w:hint="eastAsia"/>
          <w:lang w:val="en-US" w:eastAsia="zh-CN"/>
        </w:rPr>
        <w:t>十四、</w:t>
      </w:r>
      <w:r>
        <w:rPr>
          <w:rFonts w:hint="eastAsia"/>
        </w:rPr>
        <w:t>社会保障和就业支出（类）抚恤（款）其他优抚支出（项）：反映其他用于优抚方面的支出。</w:t>
      </w:r>
    </w:p>
    <w:p>
      <w:pPr>
        <w:pStyle w:val="32"/>
        <w:ind w:firstLine="640"/>
        <w:rPr>
          <w:rFonts w:hint="eastAsia" w:ascii="仿宋_GB2312" w:hAnsi="Calibri" w:eastAsia="仿宋_GB2312" w:cs="仿宋"/>
          <w:color w:val="000000"/>
          <w:kern w:val="0"/>
          <w:sz w:val="32"/>
          <w:szCs w:val="32"/>
          <w:lang w:val="en-US" w:eastAsia="zh-CN" w:bidi="ar-SA"/>
        </w:rPr>
      </w:pPr>
      <w:r>
        <w:rPr>
          <w:rFonts w:hint="eastAsia"/>
          <w:lang w:val="en-US" w:eastAsia="zh-CN"/>
        </w:rPr>
        <w:t>十五、</w:t>
      </w:r>
      <w:r>
        <w:rPr>
          <w:rFonts w:hint="eastAsia"/>
        </w:rPr>
        <w:t>社会保障和就业支出（类）其他社会保障和就业支出（款）其他社会保障和就业支出（项）：反映其他用于社会保障和就业方面的支出。</w:t>
      </w:r>
      <w:r>
        <w:br w:type="textWrapping"/>
      </w:r>
      <w:r>
        <w:rPr>
          <w:rFonts w:hint="eastAsia"/>
        </w:rPr>
        <w:t>　　</w:t>
      </w:r>
      <w:r>
        <w:rPr>
          <w:rFonts w:hint="eastAsia"/>
          <w:lang w:val="en-US" w:eastAsia="zh-CN"/>
        </w:rPr>
        <w:t>十六、</w:t>
      </w:r>
      <w:r>
        <w:rPr>
          <w:rFonts w:hint="eastAsia"/>
        </w:rPr>
        <w:t>卫生健康支出（类）行政事业单位医疗（款）行政单位医疗（项）：反映财政部门安排的行政单位（包括实行</w:t>
      </w:r>
      <w:r>
        <w:rPr>
          <w:rFonts w:hint="eastAsia" w:ascii="仿宋_GB2312" w:hAnsi="Calibri" w:eastAsia="仿宋_GB2312" w:cs="仿宋"/>
          <w:color w:val="000000"/>
          <w:kern w:val="0"/>
          <w:sz w:val="32"/>
          <w:szCs w:val="32"/>
          <w:lang w:val="en-US" w:eastAsia="zh-CN" w:bidi="ar-SA"/>
        </w:rPr>
        <w:t>公务员管理的事业单位）基本医疗保险缴费经费。　　</w:t>
      </w:r>
    </w:p>
    <w:p>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十七、卫生健康支出（类）行政事业单位医疗（款）事业单位医疗（项）：反映财政部门安排的事业单位基本医疗保险缴费经费。</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　　十八、住房保障支出（类）住房改革支出（款）住房公积金（项）：反映行政事业单位按人力资源和社会保障部、财政部规定的基本工资和津贴补贴以及规定比例为职工缴纳的住房公积金。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hAnsi="Calibri" w:eastAsia="仿宋_GB2312" w:cs="仿宋"/>
          <w:color w:val="000000"/>
          <w:kern w:val="0"/>
          <w:sz w:val="32"/>
          <w:szCs w:val="32"/>
          <w:lang w:val="en-US" w:eastAsia="zh-CN" w:bidi="ar-SA"/>
        </w:rPr>
        <w:t>十九、基本支出：指为保障机构正常运转、完成日常工作任务而发生的人员支</w:t>
      </w:r>
      <w:r>
        <w:rPr>
          <w:rFonts w:hint="eastAsia" w:ascii="仿宋_GB2312" w:eastAsia="仿宋_GB2312"/>
          <w:color w:val="000000"/>
          <w:sz w:val="32"/>
          <w:szCs w:val="32"/>
        </w:rPr>
        <w:t>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二十、</w:t>
      </w:r>
      <w:r>
        <w:rPr>
          <w:rFonts w:hint="eastAsia" w:ascii="仿宋_GB2312" w:eastAsia="仿宋_GB2312"/>
          <w:color w:val="000000"/>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二十一、</w:t>
      </w:r>
      <w:r>
        <w:rPr>
          <w:rFonts w:hint="eastAsia" w:ascii="仿宋_GB2312" w:eastAsia="仿宋_GB2312"/>
          <w:color w:val="000000"/>
          <w:sz w:val="32"/>
          <w:szCs w:val="32"/>
        </w:rPr>
        <w:t>经营支出：指事业单位在专业业务活动及其辅助活动之外开展非独立核算经营活动发生的支出。</w:t>
      </w:r>
      <w:r>
        <w:rPr>
          <w:rFonts w:ascii="仿宋_GB2312" w:eastAsia="仿宋_GB2312"/>
          <w:color w:val="000000"/>
          <w:sz w:val="32"/>
          <w:szCs w:val="32"/>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color w:val="000000"/>
          <w:sz w:val="32"/>
          <w:szCs w:val="32"/>
          <w:lang w:val="en-US" w:eastAsia="zh-CN"/>
        </w:rPr>
        <w:t>二十二、</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二十三、</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0"/>
          <w:rFonts w:ascii="黑体" w:hAnsi="黑体" w:eastAsia="黑体"/>
          <w:b w:val="0"/>
        </w:rPr>
      </w:pPr>
      <w:r>
        <w:rPr>
          <w:rFonts w:ascii="宋体"/>
          <w:b/>
          <w:color w:val="000000"/>
          <w:sz w:val="44"/>
          <w:szCs w:val="44"/>
        </w:rPr>
        <w:br w:type="page"/>
      </w:r>
      <w:bookmarkStart w:id="58" w:name="_Toc15396614"/>
      <w:r>
        <w:rPr>
          <w:rFonts w:hint="eastAsia" w:ascii="方正小标宋_GBK" w:hAnsi="方正小标宋_GBK" w:eastAsia="方正小标宋_GBK" w:cs="方正小标宋_GBK"/>
          <w:b/>
          <w:bCs/>
          <w:sz w:val="44"/>
          <w:szCs w:val="44"/>
        </w:rPr>
        <w:t>第四部分 附</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件</w:t>
      </w:r>
      <w:bookmarkEnd w:id="58"/>
    </w:p>
    <w:p>
      <w:pPr>
        <w:spacing w:line="580" w:lineRule="exact"/>
        <w:jc w:val="center"/>
        <w:rPr>
          <w:rFonts w:ascii="方正小标宋简体" w:hAnsi="方正小标宋简体" w:eastAsia="方正小标宋简体" w:cs="方正小标宋简体"/>
          <w:sz w:val="44"/>
          <w:szCs w:val="44"/>
        </w:rPr>
      </w:pPr>
    </w:p>
    <w:p>
      <w:pPr>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widowControl/>
        <w:spacing w:line="580" w:lineRule="exact"/>
        <w:jc w:val="center"/>
        <w:rPr>
          <w:rFonts w:hint="eastAsia"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峨眉山市财政局</w:t>
      </w:r>
    </w:p>
    <w:p>
      <w:pPr>
        <w:widowControl/>
        <w:spacing w:line="580" w:lineRule="exact"/>
        <w:jc w:val="center"/>
        <w:rPr>
          <w:rFonts w:hint="eastAsia" w:ascii="仿宋_GB2312" w:hAnsi="宋体"/>
          <w:szCs w:val="32"/>
          <w:shd w:val="clear" w:color="auto" w:fill="FFFFFF"/>
        </w:rPr>
      </w:pPr>
      <w:r>
        <w:rPr>
          <w:rFonts w:hint="eastAsia" w:ascii="方正小标宋_GBK" w:hAnsi="宋体" w:eastAsia="方正小标宋_GBK"/>
          <w:b/>
          <w:sz w:val="44"/>
          <w:szCs w:val="44"/>
          <w:shd w:val="clear" w:color="auto" w:fill="FFFFFF"/>
        </w:rPr>
        <w:t>20</w:t>
      </w:r>
      <w:r>
        <w:rPr>
          <w:rFonts w:hint="eastAsia" w:ascii="方正小标宋_GBK" w:hAnsi="宋体" w:eastAsia="方正小标宋_GBK"/>
          <w:b/>
          <w:sz w:val="44"/>
          <w:szCs w:val="44"/>
          <w:shd w:val="clear" w:color="auto" w:fill="FFFFFF"/>
          <w:lang w:val="en-US" w:eastAsia="zh-CN"/>
        </w:rPr>
        <w:t>20</w:t>
      </w:r>
      <w:r>
        <w:rPr>
          <w:rFonts w:hint="eastAsia" w:ascii="方正小标宋_GBK" w:hAnsi="宋体" w:eastAsia="方正小标宋_GBK"/>
          <w:b/>
          <w:sz w:val="44"/>
          <w:szCs w:val="44"/>
          <w:shd w:val="clear" w:color="auto" w:fill="FFFFFF"/>
        </w:rPr>
        <w:t>年整体支出绩效报告</w:t>
      </w:r>
    </w:p>
    <w:p>
      <w:pPr>
        <w:widowControl/>
        <w:adjustRightInd w:val="0"/>
        <w:snapToGrid w:val="0"/>
        <w:spacing w:line="580" w:lineRule="exact"/>
        <w:ind w:firstLine="720"/>
        <w:jc w:val="left"/>
        <w:rPr>
          <w:rFonts w:hint="eastAsia" w:ascii="黑体" w:hAnsi="宋体" w:eastAsia="黑体" w:cs="宋体"/>
          <w:color w:val="000000"/>
          <w:kern w:val="0"/>
          <w:sz w:val="24"/>
          <w:szCs w:val="32"/>
          <w:shd w:val="clear" w:color="auto" w:fill="FFFFFF"/>
        </w:rPr>
      </w:pPr>
    </w:p>
    <w:p>
      <w:pPr>
        <w:widowControl/>
        <w:adjustRightInd w:val="0"/>
        <w:snapToGrid w:val="0"/>
        <w:spacing w:line="580" w:lineRule="exact"/>
        <w:ind w:firstLine="720"/>
        <w:jc w:val="left"/>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en-US" w:eastAsia="zh-CN" w:bidi="ar-SA"/>
        </w:rPr>
        <w:t>一、</w:t>
      </w:r>
      <w:r>
        <w:rPr>
          <w:rFonts w:hint="eastAsia" w:ascii="黑体" w:hAnsi="黑体" w:eastAsia="黑体" w:cs="黑体"/>
          <w:color w:val="000000"/>
          <w:kern w:val="0"/>
          <w:sz w:val="32"/>
          <w:szCs w:val="32"/>
          <w:lang w:val="zh-CN" w:eastAsia="zh-CN" w:bidi="ar-SA"/>
        </w:rPr>
        <w:t>部门（单位）概况</w:t>
      </w:r>
    </w:p>
    <w:p>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（一）机构组成</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下属二级决算单位4个，其中参照公务员法管理的事业单位2个，分别是峨眉山市国库支付中心和峨眉山市财政局收费票据监管中心，其他事业单位2个，分别是峨眉山市国有资产服务中心和峨眉山市财政投资评审中心。</w:t>
      </w:r>
    </w:p>
    <w:p>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（二）机构职能</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基本职能为贯彻执行国家、省财税方面的方针、政策和法律、法规，按照管理权限管理全市税政事项，拟订全市财税（含财政、预算、税收、非税收入、财务、会计、国有资产等）发展战略、规划、政策和改革方案并组织实施，分析预测宏观经济形势，参与制定各项宏观经济政策。承担各项财政收支管理的责任，按规定开展国库现金管理工作。负责制定政府采购制度，监督管理全市政府采购工作。负责制定国有资本经营预算的制度和办法，收取市本级企业国有资本收益，组织实施企业财务制度，按规定管理金融类企业国有资产。负责管理政府债务，防范财政风险。负责管理全市的会计工作，组织和管理全市财政业务培训，监督和规范会计行为，协助指导和管理社会审计。依法查处违反财经法纪的行为。</w:t>
      </w:r>
    </w:p>
    <w:p>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（三）人员概况</w:t>
      </w:r>
    </w:p>
    <w:p>
      <w:pPr>
        <w:widowControl/>
        <w:adjustRightInd w:val="0"/>
        <w:snapToGrid w:val="0"/>
        <w:spacing w:line="580" w:lineRule="exact"/>
        <w:ind w:firstLine="7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峨眉山市财政局</w:t>
      </w:r>
      <w:r>
        <w:rPr>
          <w:rFonts w:hint="eastAsia" w:ascii="仿宋_GB2312" w:hAnsi="Calibri" w:eastAsia="仿宋_GB2312" w:cs="仿宋"/>
          <w:color w:val="auto"/>
          <w:kern w:val="0"/>
          <w:sz w:val="32"/>
          <w:szCs w:val="32"/>
          <w:lang w:val="en-US" w:eastAsia="zh-CN" w:bidi="ar-SA"/>
        </w:rPr>
        <w:t>截止2020年12月行政编制实际人数为27人，比2019年增加1人，原因为：调入5人、调出2人、退休2人。</w:t>
      </w:r>
    </w:p>
    <w:p>
      <w:pPr>
        <w:widowControl/>
        <w:adjustRightInd w:val="0"/>
        <w:snapToGrid w:val="0"/>
        <w:spacing w:line="580" w:lineRule="exact"/>
        <w:ind w:firstLine="720"/>
        <w:jc w:val="left"/>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峨眉山市国库支付中心截止20</w:t>
      </w:r>
      <w:r>
        <w:rPr>
          <w:rFonts w:hint="eastAsia" w:ascii="仿宋_GB2312" w:hAnsi="仿宋_GB2312" w:eastAsia="仿宋_GB2312" w:cs="仿宋_GB2312"/>
          <w:b w:val="0"/>
          <w:bCs w:val="0"/>
          <w:color w:val="000000"/>
          <w:kern w:val="0"/>
          <w:sz w:val="32"/>
          <w:szCs w:val="32"/>
          <w:shd w:val="clear" w:color="auto" w:fill="FFFFFF"/>
          <w:lang w:val="en-US" w:eastAsia="zh-CN"/>
        </w:rPr>
        <w:t>20</w:t>
      </w:r>
      <w:r>
        <w:rPr>
          <w:rFonts w:hint="eastAsia" w:ascii="仿宋_GB2312" w:hAnsi="仿宋_GB2312" w:eastAsia="仿宋_GB2312" w:cs="仿宋_GB2312"/>
          <w:b w:val="0"/>
          <w:bCs w:val="0"/>
          <w:color w:val="000000"/>
          <w:kern w:val="0"/>
          <w:sz w:val="32"/>
          <w:szCs w:val="32"/>
          <w:shd w:val="clear" w:color="auto" w:fill="FFFFFF"/>
          <w:lang w:val="zh-CN"/>
        </w:rPr>
        <w:t>年12月参照公务员法管理的人员编制实际人数为2</w:t>
      </w:r>
      <w:r>
        <w:rPr>
          <w:rFonts w:hint="eastAsia" w:ascii="仿宋_GB2312" w:hAnsi="仿宋_GB2312" w:eastAsia="仿宋_GB2312" w:cs="仿宋_GB2312"/>
          <w:b w:val="0"/>
          <w:bCs w:val="0"/>
          <w:color w:val="000000"/>
          <w:kern w:val="0"/>
          <w:sz w:val="32"/>
          <w:szCs w:val="32"/>
          <w:shd w:val="clear" w:color="auto" w:fill="FFFFFF"/>
          <w:lang w:val="en-US" w:eastAsia="zh-CN"/>
        </w:rPr>
        <w:t>5</w:t>
      </w:r>
      <w:r>
        <w:rPr>
          <w:rFonts w:hint="eastAsia" w:ascii="仿宋_GB2312" w:hAnsi="仿宋_GB2312" w:eastAsia="仿宋_GB2312" w:cs="仿宋_GB2312"/>
          <w:b w:val="0"/>
          <w:bCs w:val="0"/>
          <w:color w:val="000000"/>
          <w:kern w:val="0"/>
          <w:sz w:val="32"/>
          <w:szCs w:val="32"/>
          <w:shd w:val="clear" w:color="auto" w:fill="FFFFFF"/>
          <w:lang w:val="zh-CN"/>
        </w:rPr>
        <w:t>人，比201</w:t>
      </w:r>
      <w:r>
        <w:rPr>
          <w:rFonts w:hint="eastAsia" w:ascii="仿宋_GB2312" w:hAnsi="仿宋_GB2312" w:eastAsia="仿宋_GB2312" w:cs="仿宋_GB2312"/>
          <w:b w:val="0"/>
          <w:bCs w:val="0"/>
          <w:color w:val="000000"/>
          <w:kern w:val="0"/>
          <w:sz w:val="32"/>
          <w:szCs w:val="32"/>
          <w:shd w:val="clear" w:color="auto" w:fill="FFFFFF"/>
          <w:lang w:val="en-US" w:eastAsia="zh-CN"/>
        </w:rPr>
        <w:t>9</w:t>
      </w:r>
      <w:r>
        <w:rPr>
          <w:rFonts w:hint="eastAsia" w:ascii="仿宋_GB2312" w:hAnsi="仿宋_GB2312" w:eastAsia="仿宋_GB2312" w:cs="仿宋_GB2312"/>
          <w:b w:val="0"/>
          <w:bCs w:val="0"/>
          <w:color w:val="000000"/>
          <w:kern w:val="0"/>
          <w:sz w:val="32"/>
          <w:szCs w:val="32"/>
          <w:shd w:val="clear" w:color="auto" w:fill="FFFFFF"/>
          <w:lang w:val="zh-CN"/>
        </w:rPr>
        <w:t>年减少</w:t>
      </w:r>
      <w:r>
        <w:rPr>
          <w:rFonts w:hint="eastAsia" w:ascii="仿宋_GB2312" w:hAnsi="仿宋_GB2312" w:eastAsia="仿宋_GB2312" w:cs="仿宋_GB2312"/>
          <w:b w:val="0"/>
          <w:bCs w:val="0"/>
          <w:color w:val="000000"/>
          <w:kern w:val="0"/>
          <w:sz w:val="32"/>
          <w:szCs w:val="32"/>
          <w:shd w:val="clear" w:color="auto" w:fill="FFFFFF"/>
          <w:lang w:val="en-US" w:eastAsia="zh-CN"/>
        </w:rPr>
        <w:t>1</w:t>
      </w:r>
      <w:r>
        <w:rPr>
          <w:rFonts w:hint="eastAsia" w:ascii="仿宋_GB2312" w:hAnsi="仿宋_GB2312" w:eastAsia="仿宋_GB2312" w:cs="仿宋_GB2312"/>
          <w:b w:val="0"/>
          <w:bCs w:val="0"/>
          <w:color w:val="000000"/>
          <w:kern w:val="0"/>
          <w:sz w:val="32"/>
          <w:szCs w:val="32"/>
          <w:shd w:val="clear" w:color="auto" w:fill="FFFFFF"/>
          <w:lang w:val="zh-CN"/>
        </w:rPr>
        <w:t>人，原因为：调入</w:t>
      </w:r>
      <w:r>
        <w:rPr>
          <w:rFonts w:hint="eastAsia" w:ascii="仿宋_GB2312" w:hAnsi="仿宋_GB2312" w:eastAsia="仿宋_GB2312" w:cs="仿宋_GB2312"/>
          <w:b w:val="0"/>
          <w:bCs w:val="0"/>
          <w:color w:val="000000"/>
          <w:kern w:val="0"/>
          <w:sz w:val="32"/>
          <w:szCs w:val="32"/>
          <w:shd w:val="clear" w:color="auto" w:fill="FFFFFF"/>
          <w:lang w:val="en-US" w:eastAsia="zh-CN"/>
        </w:rPr>
        <w:t>1人、调出1人、</w:t>
      </w:r>
      <w:r>
        <w:rPr>
          <w:rFonts w:hint="eastAsia" w:ascii="仿宋_GB2312" w:hAnsi="仿宋_GB2312" w:eastAsia="仿宋_GB2312" w:cs="仿宋_GB2312"/>
          <w:b w:val="0"/>
          <w:bCs w:val="0"/>
          <w:color w:val="000000"/>
          <w:kern w:val="0"/>
          <w:sz w:val="32"/>
          <w:szCs w:val="32"/>
          <w:shd w:val="clear" w:color="auto" w:fill="FFFFFF"/>
          <w:lang w:val="zh-CN"/>
        </w:rPr>
        <w:t>退休</w:t>
      </w:r>
      <w:r>
        <w:rPr>
          <w:rFonts w:hint="eastAsia" w:ascii="仿宋_GB2312" w:hAnsi="仿宋_GB2312" w:eastAsia="仿宋_GB2312" w:cs="仿宋_GB2312"/>
          <w:b w:val="0"/>
          <w:bCs w:val="0"/>
          <w:color w:val="000000"/>
          <w:kern w:val="0"/>
          <w:sz w:val="32"/>
          <w:szCs w:val="32"/>
          <w:shd w:val="clear" w:color="auto" w:fill="FFFFFF"/>
          <w:lang w:val="en-US" w:eastAsia="zh-CN"/>
        </w:rPr>
        <w:t>1</w:t>
      </w:r>
      <w:r>
        <w:rPr>
          <w:rFonts w:hint="eastAsia" w:ascii="仿宋_GB2312" w:hAnsi="仿宋_GB2312" w:eastAsia="仿宋_GB2312" w:cs="仿宋_GB2312"/>
          <w:b w:val="0"/>
          <w:bCs w:val="0"/>
          <w:color w:val="000000"/>
          <w:kern w:val="0"/>
          <w:sz w:val="32"/>
          <w:szCs w:val="32"/>
          <w:shd w:val="clear" w:color="auto" w:fill="FFFFFF"/>
          <w:lang w:val="zh-CN"/>
        </w:rPr>
        <w:t>人。</w:t>
      </w:r>
    </w:p>
    <w:p>
      <w:pPr>
        <w:widowControl/>
        <w:adjustRightInd w:val="0"/>
        <w:snapToGrid w:val="0"/>
        <w:spacing w:line="58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峨眉山市财政投资评审中心截止20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年12月事业编制实际人数为1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Calibri" w:eastAsia="仿宋_GB2312" w:cs="仿宋"/>
          <w:color w:val="auto"/>
          <w:kern w:val="0"/>
          <w:sz w:val="32"/>
          <w:szCs w:val="32"/>
          <w:lang w:val="en-US" w:eastAsia="zh-CN" w:bidi="ar-SA"/>
        </w:rPr>
        <w:t>比2019年增加2人，原因为：调入2人。</w:t>
      </w:r>
      <w:r>
        <w:rPr>
          <w:rFonts w:hint="eastAsia" w:ascii="仿宋_GB2312" w:hAnsi="仿宋_GB2312" w:eastAsia="仿宋_GB2312" w:cs="仿宋_GB2312"/>
          <w:sz w:val="32"/>
          <w:szCs w:val="32"/>
        </w:rPr>
        <w:t>另聘用专业技术人员</w:t>
      </w:r>
      <w:r>
        <w:rPr>
          <w:rFonts w:hint="eastAsia" w:ascii="仿宋_GB2312" w:hAnsi="仿宋_GB2312" w:eastAsia="仿宋_GB2312" w:cs="仿宋_GB2312"/>
          <w:color w:val="auto"/>
          <w:sz w:val="32"/>
          <w:szCs w:val="32"/>
        </w:rPr>
        <w:t>12人</w:t>
      </w:r>
      <w:r>
        <w:rPr>
          <w:rFonts w:hint="eastAsia" w:ascii="仿宋_GB2312" w:hAnsi="仿宋_GB2312" w:eastAsia="仿宋_GB2312" w:cs="仿宋_GB2312"/>
          <w:sz w:val="32"/>
          <w:szCs w:val="32"/>
        </w:rPr>
        <w:t>。</w:t>
      </w:r>
    </w:p>
    <w:p>
      <w:pPr>
        <w:adjustRightInd w:val="0"/>
        <w:snapToGrid w:val="0"/>
        <w:spacing w:line="560" w:lineRule="exact"/>
        <w:ind w:firstLine="720"/>
        <w:rPr>
          <w:rFonts w:hint="eastAsia" w:ascii="仿宋_GB2312" w:hAnsi="仿宋_GB2312" w:eastAsia="仿宋_GB2312" w:cs="仿宋_GB2312"/>
          <w:sz w:val="32"/>
          <w:szCs w:val="32"/>
          <w:lang w:val="zh-CN" w:eastAsia="zh-CN"/>
        </w:rPr>
      </w:pPr>
      <w:r>
        <w:rPr>
          <w:rFonts w:hint="eastAsia" w:ascii="仿宋_GB2312" w:hAnsi="宋体" w:eastAsia="仿宋_GB2312"/>
          <w:sz w:val="32"/>
          <w:szCs w:val="32"/>
        </w:rPr>
        <w:t>峨眉山市国有资产服务中心截止</w:t>
      </w:r>
      <w:r>
        <w:rPr>
          <w:rFonts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w:t>
      </w:r>
      <w:r>
        <w:rPr>
          <w:rFonts w:ascii="仿宋_GB2312" w:hAnsi="宋体" w:eastAsia="仿宋_GB2312"/>
          <w:sz w:val="32"/>
          <w:szCs w:val="32"/>
        </w:rPr>
        <w:t>12</w:t>
      </w:r>
      <w:r>
        <w:rPr>
          <w:rFonts w:hint="eastAsia" w:ascii="仿宋_GB2312" w:hAnsi="宋体" w:eastAsia="仿宋_GB2312"/>
          <w:sz w:val="32"/>
          <w:szCs w:val="32"/>
        </w:rPr>
        <w:t>月事业编制实际人数为</w:t>
      </w:r>
      <w:r>
        <w:rPr>
          <w:rFonts w:ascii="仿宋_GB2312" w:hAnsi="宋体" w:eastAsia="仿宋_GB2312"/>
          <w:sz w:val="32"/>
          <w:szCs w:val="32"/>
        </w:rPr>
        <w:t>13</w:t>
      </w:r>
      <w:r>
        <w:rPr>
          <w:rFonts w:hint="eastAsia" w:ascii="仿宋_GB2312" w:hAnsi="宋体" w:eastAsia="仿宋_GB2312"/>
          <w:sz w:val="32"/>
          <w:szCs w:val="32"/>
        </w:rPr>
        <w:t>人，与</w:t>
      </w:r>
      <w:r>
        <w:rPr>
          <w:rFonts w:ascii="仿宋_GB2312" w:hAnsi="宋体" w:eastAsia="仿宋_GB2312"/>
          <w:sz w:val="32"/>
          <w:szCs w:val="32"/>
        </w:rPr>
        <w:t>201</w:t>
      </w:r>
      <w:r>
        <w:rPr>
          <w:rFonts w:hint="eastAsia" w:ascii="仿宋_GB2312" w:hAnsi="宋体" w:eastAsia="仿宋_GB2312"/>
          <w:sz w:val="32"/>
          <w:szCs w:val="32"/>
          <w:lang w:val="en-US" w:eastAsia="zh-CN"/>
        </w:rPr>
        <w:t>9</w:t>
      </w:r>
      <w:r>
        <w:rPr>
          <w:rFonts w:hint="eastAsia" w:ascii="仿宋_GB2312" w:hAnsi="宋体" w:eastAsia="仿宋_GB2312"/>
          <w:sz w:val="32"/>
          <w:szCs w:val="32"/>
        </w:rPr>
        <w:t>年底相同。</w:t>
      </w:r>
    </w:p>
    <w:p>
      <w:pPr>
        <w:widowControl/>
        <w:adjustRightInd w:val="0"/>
        <w:snapToGrid w:val="0"/>
        <w:spacing w:line="580" w:lineRule="exact"/>
        <w:ind w:firstLine="72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二、财政资金收支情况</w:t>
      </w:r>
    </w:p>
    <w:p>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（一）财政资金收入情况</w:t>
      </w:r>
    </w:p>
    <w:p>
      <w:pPr>
        <w:keepNext w:val="0"/>
        <w:keepLines w:val="0"/>
        <w:pageBreakBefore w:val="0"/>
        <w:widowControl w:val="0"/>
        <w:kinsoku/>
        <w:wordWrap/>
        <w:overflowPunct/>
        <w:topLinePunct w:val="0"/>
        <w:autoSpaceDE/>
        <w:autoSpaceDN/>
        <w:bidi w:val="0"/>
        <w:adjustRightInd/>
        <w:snapToGrid/>
        <w:spacing w:line="660" w:lineRule="exact"/>
        <w:ind w:firstLine="641"/>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峨眉山市财政局2020年度财政拨款收入总计</w:t>
      </w:r>
      <w:r>
        <w:rPr>
          <w:rFonts w:hint="eastAsia" w:ascii="仿宋_GB2312" w:hAnsi="仿宋_GB2312" w:eastAsia="仿宋_GB2312" w:cs="仿宋_GB2312"/>
          <w:color w:val="000000"/>
          <w:sz w:val="32"/>
          <w:szCs w:val="32"/>
          <w:lang w:val="en-US" w:eastAsia="zh-CN"/>
        </w:rPr>
        <w:t>6209.69</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年相比，财政拨款收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总计增加</w:t>
      </w:r>
      <w:r>
        <w:rPr>
          <w:rFonts w:hint="eastAsia" w:ascii="仿宋_GB2312" w:hAnsi="仿宋_GB2312" w:eastAsia="仿宋_GB2312" w:cs="仿宋_GB2312"/>
          <w:color w:val="000000"/>
          <w:sz w:val="32"/>
          <w:szCs w:val="32"/>
          <w:lang w:val="en-US" w:eastAsia="zh-CN"/>
        </w:rPr>
        <w:t>3047.67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96.38</w:t>
      </w:r>
      <w:r>
        <w:rPr>
          <w:rFonts w:hint="eastAsia" w:ascii="仿宋_GB2312" w:hAnsi="仿宋_GB2312" w:eastAsia="仿宋_GB2312" w:cs="仿宋_GB2312"/>
          <w:color w:val="000000"/>
          <w:sz w:val="32"/>
          <w:szCs w:val="32"/>
        </w:rPr>
        <w:t>%。</w:t>
      </w:r>
    </w:p>
    <w:p>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（二）财政资金支出情况</w:t>
      </w:r>
    </w:p>
    <w:p>
      <w:pPr>
        <w:keepNext w:val="0"/>
        <w:keepLines w:val="0"/>
        <w:pageBreakBefore w:val="0"/>
        <w:widowControl w:val="0"/>
        <w:kinsoku/>
        <w:wordWrap/>
        <w:overflowPunct/>
        <w:topLinePunct w:val="0"/>
        <w:autoSpaceDE/>
        <w:autoSpaceDN/>
        <w:bidi w:val="0"/>
        <w:adjustRightInd/>
        <w:snapToGrid/>
        <w:spacing w:line="660" w:lineRule="exact"/>
        <w:ind w:firstLine="641"/>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峨眉山市财政局2020年度财政拨款支出总计</w:t>
      </w:r>
      <w:r>
        <w:rPr>
          <w:rFonts w:hint="eastAsia" w:ascii="仿宋_GB2312" w:hAnsi="仿宋_GB2312" w:eastAsia="仿宋_GB2312" w:cs="仿宋_GB2312"/>
          <w:color w:val="000000"/>
          <w:sz w:val="32"/>
          <w:szCs w:val="32"/>
          <w:lang w:val="en-US" w:eastAsia="zh-CN"/>
        </w:rPr>
        <w:t>6209.69</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年相比，财政拨款</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总计增加</w:t>
      </w:r>
      <w:r>
        <w:rPr>
          <w:rFonts w:hint="eastAsia" w:ascii="仿宋_GB2312" w:hAnsi="仿宋_GB2312" w:eastAsia="仿宋_GB2312" w:cs="仿宋_GB2312"/>
          <w:color w:val="000000"/>
          <w:sz w:val="32"/>
          <w:szCs w:val="32"/>
          <w:lang w:val="en-US" w:eastAsia="zh-CN"/>
        </w:rPr>
        <w:t>3047.67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96.38</w:t>
      </w:r>
      <w:r>
        <w:rPr>
          <w:rFonts w:hint="eastAsia" w:ascii="仿宋_GB2312" w:hAnsi="仿宋_GB2312" w:eastAsia="仿宋_GB2312" w:cs="仿宋_GB2312"/>
          <w:color w:val="000000"/>
          <w:sz w:val="32"/>
          <w:szCs w:val="32"/>
        </w:rPr>
        <w:t>%。</w:t>
      </w:r>
    </w:p>
    <w:p>
      <w:pPr>
        <w:widowControl/>
        <w:adjustRightInd w:val="0"/>
        <w:snapToGri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2579.49</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sz w:val="32"/>
          <w:szCs w:val="32"/>
          <w:lang w:eastAsia="zh-CN"/>
        </w:rPr>
        <w:t>一般公共服务（类）支出</w:t>
      </w:r>
      <w:r>
        <w:rPr>
          <w:rFonts w:hint="eastAsia" w:ascii="仿宋_GB2312" w:hAnsi="仿宋_GB2312" w:eastAsia="仿宋_GB2312" w:cs="仿宋_GB2312"/>
          <w:sz w:val="32"/>
          <w:szCs w:val="32"/>
          <w:lang w:val="en-US" w:eastAsia="zh-CN"/>
        </w:rPr>
        <w:t>2221.70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86.13</w:t>
      </w:r>
      <w:r>
        <w:rPr>
          <w:rFonts w:hint="eastAsia" w:ascii="仿宋_GB2312" w:hAnsi="仿宋_GB2312" w:eastAsia="仿宋_GB2312" w:cs="仿宋_GB2312"/>
          <w:sz w:val="32"/>
          <w:szCs w:val="32"/>
          <w:lang w:eastAsia="zh-CN"/>
        </w:rPr>
        <w:t>%；教育（类）</w:t>
      </w:r>
      <w:r>
        <w:rPr>
          <w:rFonts w:hint="eastAsia" w:ascii="仿宋_GB2312" w:hAnsi="仿宋_GB2312" w:eastAsia="仿宋_GB2312" w:cs="仿宋_GB2312"/>
          <w:sz w:val="32"/>
          <w:szCs w:val="32"/>
          <w:lang w:val="en-US" w:eastAsia="zh-CN"/>
        </w:rPr>
        <w:t>支出32.67</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lang w:eastAsia="zh-CN"/>
        </w:rPr>
        <w:t>%；社会保障和就业（类）支出</w:t>
      </w:r>
      <w:r>
        <w:rPr>
          <w:rFonts w:hint="eastAsia" w:ascii="仿宋_GB2312" w:hAnsi="仿宋_GB2312" w:eastAsia="仿宋_GB2312" w:cs="仿宋_GB2312"/>
          <w:sz w:val="32"/>
          <w:szCs w:val="32"/>
          <w:lang w:val="en-US" w:eastAsia="zh-CN"/>
        </w:rPr>
        <w:t>179.93</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6.98</w:t>
      </w:r>
      <w:r>
        <w:rPr>
          <w:rFonts w:hint="eastAsia" w:ascii="仿宋_GB2312" w:hAnsi="仿宋_GB2312" w:eastAsia="仿宋_GB2312" w:cs="仿宋_GB2312"/>
          <w:sz w:val="32"/>
          <w:szCs w:val="32"/>
          <w:lang w:eastAsia="zh-CN"/>
        </w:rPr>
        <w:t>%；卫生健康（类）支出</w:t>
      </w:r>
      <w:r>
        <w:rPr>
          <w:rFonts w:hint="eastAsia" w:ascii="仿宋_GB2312" w:hAnsi="仿宋_GB2312" w:eastAsia="仿宋_GB2312" w:cs="仿宋_GB2312"/>
          <w:sz w:val="32"/>
          <w:szCs w:val="32"/>
          <w:lang w:val="en-US" w:eastAsia="zh-CN"/>
        </w:rPr>
        <w:t>31.40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lang w:eastAsia="zh-CN"/>
        </w:rPr>
        <w:t>%；农林水（类）支出</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lang w:eastAsia="zh-CN"/>
        </w:rPr>
        <w:t>%；住房保障支出（类）支出</w:t>
      </w:r>
      <w:r>
        <w:rPr>
          <w:rFonts w:hint="eastAsia" w:ascii="仿宋_GB2312" w:hAnsi="仿宋_GB2312" w:eastAsia="仿宋_GB2312" w:cs="仿宋_GB2312"/>
          <w:sz w:val="32"/>
          <w:szCs w:val="32"/>
          <w:lang w:val="en-US" w:eastAsia="zh-CN"/>
        </w:rPr>
        <w:t>110.79</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w:t>
      </w:r>
    </w:p>
    <w:p>
      <w:pPr>
        <w:widowControl/>
        <w:adjustRightInd w:val="0"/>
        <w:snapToGri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年使用政府性基金预算财政拨款支出</w:t>
      </w:r>
      <w:r>
        <w:rPr>
          <w:rFonts w:hint="eastAsia" w:ascii="仿宋_GB2312" w:hAnsi="仿宋_GB2312" w:eastAsia="仿宋_GB2312" w:cs="仿宋_GB2312"/>
          <w:sz w:val="32"/>
          <w:szCs w:val="32"/>
          <w:lang w:val="en-US" w:eastAsia="zh-CN"/>
        </w:rPr>
        <w:t>3053.54</w:t>
      </w:r>
      <w:r>
        <w:rPr>
          <w:rFonts w:hint="eastAsia" w:ascii="仿宋_GB2312" w:hAnsi="仿宋_GB2312" w:eastAsia="仿宋_GB2312" w:cs="仿宋_GB2312"/>
          <w:sz w:val="32"/>
          <w:szCs w:val="32"/>
        </w:rPr>
        <w:t>万元。</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三、整体预算绩效管理情况</w:t>
      </w:r>
    </w:p>
    <w:p>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（一）预算管理</w:t>
      </w:r>
    </w:p>
    <w:p>
      <w:pPr>
        <w:widowControl/>
        <w:adjustRightInd w:val="0"/>
        <w:snapToGrid w:val="0"/>
        <w:spacing w:line="580" w:lineRule="exact"/>
        <w:ind w:firstLine="7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我单位严格按照《预算法》的要求根据项目具体情况和资金使用情况编制预决算、填报绩效目标和专项项目进度表。</w:t>
      </w:r>
    </w:p>
    <w:p>
      <w:pPr>
        <w:widowControl/>
        <w:adjustRightInd w:val="0"/>
        <w:snapToGrid w:val="0"/>
        <w:spacing w:line="580" w:lineRule="exact"/>
        <w:ind w:firstLine="7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1．2020年峨眉山市财政局预算编制情况：</w:t>
      </w:r>
    </w:p>
    <w:tbl>
      <w:tblPr>
        <w:tblStyle w:val="13"/>
        <w:tblW w:w="9111" w:type="dxa"/>
        <w:jc w:val="center"/>
        <w:tblLayout w:type="fixed"/>
        <w:tblCellMar>
          <w:top w:w="0" w:type="dxa"/>
          <w:left w:w="108" w:type="dxa"/>
          <w:bottom w:w="0" w:type="dxa"/>
          <w:right w:w="108" w:type="dxa"/>
        </w:tblCellMar>
      </w:tblPr>
      <w:tblGrid>
        <w:gridCol w:w="951"/>
        <w:gridCol w:w="1050"/>
        <w:gridCol w:w="3701"/>
        <w:gridCol w:w="1320"/>
        <w:gridCol w:w="1280"/>
        <w:gridCol w:w="809"/>
      </w:tblGrid>
      <w:tr>
        <w:tblPrEx>
          <w:tblCellMar>
            <w:top w:w="0" w:type="dxa"/>
            <w:left w:w="108" w:type="dxa"/>
            <w:bottom w:w="0" w:type="dxa"/>
            <w:right w:w="108" w:type="dxa"/>
          </w:tblCellMar>
        </w:tblPrEx>
        <w:trPr>
          <w:trHeight w:val="991" w:hRule="atLeast"/>
          <w:jc w:val="center"/>
        </w:trPr>
        <w:tc>
          <w:tcPr>
            <w:tcW w:w="2001"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部门名称</w:t>
            </w:r>
          </w:p>
        </w:tc>
        <w:tc>
          <w:tcPr>
            <w:tcW w:w="711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w:t>
            </w:r>
          </w:p>
        </w:tc>
      </w:tr>
      <w:tr>
        <w:tblPrEx>
          <w:tblCellMar>
            <w:top w:w="0" w:type="dxa"/>
            <w:left w:w="108" w:type="dxa"/>
            <w:bottom w:w="0" w:type="dxa"/>
            <w:right w:w="108" w:type="dxa"/>
          </w:tblCellMar>
        </w:tblPrEx>
        <w:trPr>
          <w:trHeight w:val="499" w:hRule="atLeast"/>
          <w:jc w:val="center"/>
        </w:trPr>
        <w:tc>
          <w:tcPr>
            <w:tcW w:w="95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主要</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任务</w:t>
            </w:r>
          </w:p>
        </w:tc>
        <w:tc>
          <w:tcPr>
            <w:tcW w:w="105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任务名称</w:t>
            </w:r>
          </w:p>
        </w:tc>
        <w:tc>
          <w:tcPr>
            <w:tcW w:w="3701"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主要内容</w:t>
            </w:r>
          </w:p>
        </w:tc>
        <w:tc>
          <w:tcPr>
            <w:tcW w:w="3409"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预算金额（单位：万元）</w:t>
            </w:r>
          </w:p>
        </w:tc>
      </w:tr>
      <w:tr>
        <w:tblPrEx>
          <w:tblCellMar>
            <w:top w:w="0" w:type="dxa"/>
            <w:left w:w="108" w:type="dxa"/>
            <w:bottom w:w="0" w:type="dxa"/>
            <w:right w:w="108" w:type="dxa"/>
          </w:tblCellMar>
        </w:tblPrEx>
        <w:trPr>
          <w:trHeight w:val="1208" w:hRule="atLeast"/>
          <w:jc w:val="center"/>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3701"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总额</w:t>
            </w:r>
          </w:p>
        </w:tc>
        <w:tc>
          <w:tcPr>
            <w:tcW w:w="1280"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w:t>
            </w:r>
          </w:p>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拨款</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r>
      <w:tr>
        <w:tblPrEx>
          <w:tblCellMar>
            <w:top w:w="0" w:type="dxa"/>
            <w:left w:w="108" w:type="dxa"/>
            <w:bottom w:w="0" w:type="dxa"/>
            <w:right w:w="108" w:type="dxa"/>
          </w:tblCellMar>
        </w:tblPrEx>
        <w:trPr>
          <w:trHeight w:val="3446" w:hRule="atLeast"/>
          <w:jc w:val="center"/>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基本费用</w:t>
            </w:r>
          </w:p>
        </w:tc>
        <w:tc>
          <w:tcPr>
            <w:tcW w:w="3701"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人员的工资性支出、机关事业养老保险和职业年金支出、医疗保险支出及对个人及家庭的补助（住房公积金）支出。保障机关事业单位的正常运转，包括：办公费、电话费、差旅费、劳务费等支出。</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0"/>
                <w:szCs w:val="30"/>
                <w:lang w:val="en-US" w:eastAsia="zh-CN" w:bidi="ar-SA"/>
              </w:rPr>
            </w:pPr>
            <w:r>
              <w:rPr>
                <w:rFonts w:hint="eastAsia" w:ascii="仿宋_GB2312" w:hAnsi="Calibri" w:eastAsia="仿宋_GB2312" w:cs="仿宋"/>
                <w:color w:val="000000"/>
                <w:kern w:val="0"/>
                <w:sz w:val="30"/>
                <w:szCs w:val="30"/>
                <w:lang w:val="en-US" w:eastAsia="zh-CN" w:bidi="ar-SA"/>
              </w:rPr>
              <w:t xml:space="preserve">1535.82 </w:t>
            </w:r>
          </w:p>
        </w:tc>
        <w:tc>
          <w:tcPr>
            <w:tcW w:w="1280" w:type="dxa"/>
            <w:tcBorders>
              <w:top w:val="nil"/>
              <w:left w:val="nil"/>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0"/>
                <w:szCs w:val="30"/>
                <w:lang w:val="en-US" w:eastAsia="zh-CN" w:bidi="ar-SA"/>
              </w:rPr>
            </w:pPr>
            <w:r>
              <w:rPr>
                <w:rFonts w:hint="eastAsia" w:ascii="仿宋_GB2312" w:hAnsi="Calibri" w:eastAsia="仿宋_GB2312" w:cs="仿宋"/>
                <w:color w:val="000000"/>
                <w:kern w:val="0"/>
                <w:sz w:val="30"/>
                <w:szCs w:val="30"/>
                <w:lang w:val="en-US" w:eastAsia="zh-CN" w:bidi="ar-SA"/>
              </w:rPr>
              <w:t xml:space="preserve">1535.82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CellMar>
            <w:top w:w="0" w:type="dxa"/>
            <w:left w:w="108" w:type="dxa"/>
            <w:bottom w:w="0" w:type="dxa"/>
            <w:right w:w="108" w:type="dxa"/>
          </w:tblCellMar>
        </w:tblPrEx>
        <w:trPr>
          <w:trHeight w:val="2955" w:hRule="atLeast"/>
          <w:jc w:val="center"/>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财政监督检查业务费</w:t>
            </w:r>
          </w:p>
        </w:tc>
        <w:tc>
          <w:tcPr>
            <w:tcW w:w="3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用于财监局外出检查相关支出</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w:t>
            </w:r>
          </w:p>
        </w:tc>
        <w:tc>
          <w:tcPr>
            <w:tcW w:w="1280"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1973" w:hRule="atLeast"/>
          <w:jc w:val="center"/>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财政信息系统运行维护费</w:t>
            </w:r>
          </w:p>
        </w:tc>
        <w:tc>
          <w:tcPr>
            <w:tcW w:w="3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用于财政信息系统维护管理以及每年给电信公司支付的网络使用费</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30.00</w:t>
            </w:r>
          </w:p>
        </w:tc>
        <w:tc>
          <w:tcPr>
            <w:tcW w:w="1280"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30.00</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3446" w:hRule="atLeast"/>
          <w:jc w:val="center"/>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财政专项业务费</w:t>
            </w:r>
          </w:p>
        </w:tc>
        <w:tc>
          <w:tcPr>
            <w:tcW w:w="3701"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加强预算的编制和执行；国库改革业务全面深化；加强税收工作，拓展税源，财政、税务工作全面对接；进一步推进农村综合改革，认真完成“精准扶贫”工作</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150.00</w:t>
            </w:r>
          </w:p>
        </w:tc>
        <w:tc>
          <w:tcPr>
            <w:tcW w:w="1280"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150.00</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CellMar>
            <w:top w:w="0" w:type="dxa"/>
            <w:left w:w="108" w:type="dxa"/>
            <w:bottom w:w="0" w:type="dxa"/>
            <w:right w:w="108" w:type="dxa"/>
          </w:tblCellMar>
        </w:tblPrEx>
        <w:trPr>
          <w:trHeight w:val="1973" w:hRule="atLeast"/>
          <w:jc w:val="center"/>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国库集中支付电子化经费</w:t>
            </w:r>
          </w:p>
        </w:tc>
        <w:tc>
          <w:tcPr>
            <w:tcW w:w="3701"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sz w:val="32"/>
                <w:szCs w:val="32"/>
                <w:lang w:eastAsia="zh-CN"/>
              </w:rPr>
              <w:t>在财政部门、预算单位、人民银行、代理银行，利用信息网络技术，取消纸质凭证和单据流转，发出电子指令办理财政资金支付及清算业务，实现财政资金安全、高效运行的管理模式。</w:t>
            </w:r>
          </w:p>
        </w:tc>
        <w:tc>
          <w:tcPr>
            <w:tcW w:w="1320" w:type="dxa"/>
            <w:tcBorders>
              <w:top w:val="nil"/>
              <w:left w:val="nil"/>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10.00</w:t>
            </w:r>
          </w:p>
        </w:tc>
        <w:tc>
          <w:tcPr>
            <w:tcW w:w="1280" w:type="dxa"/>
            <w:tcBorders>
              <w:top w:val="nil"/>
              <w:left w:val="nil"/>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10.00</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1973" w:hRule="atLeast"/>
          <w:jc w:val="center"/>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金融办业务费</w:t>
            </w:r>
          </w:p>
        </w:tc>
        <w:tc>
          <w:tcPr>
            <w:tcW w:w="3701"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用于金融办对全市金融机构的管理等相关工作。</w:t>
            </w:r>
          </w:p>
        </w:tc>
        <w:tc>
          <w:tcPr>
            <w:tcW w:w="1320" w:type="dxa"/>
            <w:tcBorders>
              <w:top w:val="nil"/>
              <w:left w:val="nil"/>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10.00 </w:t>
            </w:r>
          </w:p>
        </w:tc>
        <w:tc>
          <w:tcPr>
            <w:tcW w:w="1280" w:type="dxa"/>
            <w:tcBorders>
              <w:top w:val="nil"/>
              <w:left w:val="nil"/>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10.00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CellMar>
            <w:top w:w="0" w:type="dxa"/>
            <w:left w:w="108" w:type="dxa"/>
            <w:bottom w:w="0" w:type="dxa"/>
            <w:right w:w="108" w:type="dxa"/>
          </w:tblCellMar>
        </w:tblPrEx>
        <w:trPr>
          <w:trHeight w:val="2156" w:hRule="atLeast"/>
          <w:jc w:val="center"/>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nil"/>
              <w:bottom w:val="single" w:color="auto" w:sz="4" w:space="0"/>
              <w:right w:val="single" w:color="000000" w:sz="4" w:space="0"/>
            </w:tcBorders>
            <w:noWrap w:val="0"/>
            <w:vAlign w:val="center"/>
          </w:tcPr>
          <w:p>
            <w:pPr>
              <w:widowControl/>
              <w:jc w:val="both"/>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纪委监察派驻机构工作经费</w:t>
            </w:r>
          </w:p>
        </w:tc>
        <w:tc>
          <w:tcPr>
            <w:tcW w:w="3701"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0"/>
                <w:szCs w:val="30"/>
                <w:lang w:val="en-US" w:eastAsia="zh-CN" w:bidi="ar-SA"/>
              </w:rPr>
              <w:t>纪委监察派驻财政局机构办案经费，包括：办公费、邮电费、差旅费、公务用车运行费、其他商品和服务支出等</w:t>
            </w:r>
          </w:p>
        </w:tc>
        <w:tc>
          <w:tcPr>
            <w:tcW w:w="1320" w:type="dxa"/>
            <w:tcBorders>
              <w:top w:val="nil"/>
              <w:left w:val="nil"/>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40.00 </w:t>
            </w:r>
          </w:p>
        </w:tc>
        <w:tc>
          <w:tcPr>
            <w:tcW w:w="1280" w:type="dxa"/>
            <w:tcBorders>
              <w:top w:val="nil"/>
              <w:left w:val="nil"/>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40.00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CellMar>
            <w:top w:w="0" w:type="dxa"/>
            <w:left w:w="108" w:type="dxa"/>
            <w:bottom w:w="0" w:type="dxa"/>
            <w:right w:w="108" w:type="dxa"/>
          </w:tblCellMar>
        </w:tblPrEx>
        <w:trPr>
          <w:trHeight w:val="998" w:hRule="atLeast"/>
          <w:jc w:val="center"/>
        </w:trPr>
        <w:tc>
          <w:tcPr>
            <w:tcW w:w="951"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全市企业财务信息统计工作经费</w:t>
            </w:r>
          </w:p>
        </w:tc>
        <w:tc>
          <w:tcPr>
            <w:tcW w:w="3701"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用于支付全市企业财务信息统计劳务费</w:t>
            </w:r>
          </w:p>
        </w:tc>
        <w:tc>
          <w:tcPr>
            <w:tcW w:w="1320" w:type="dxa"/>
            <w:tcBorders>
              <w:top w:val="nil"/>
              <w:left w:val="nil"/>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w:t>
            </w:r>
          </w:p>
        </w:tc>
        <w:tc>
          <w:tcPr>
            <w:tcW w:w="1280" w:type="dxa"/>
            <w:tcBorders>
              <w:top w:val="nil"/>
              <w:left w:val="nil"/>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w:t>
            </w:r>
          </w:p>
        </w:tc>
        <w:tc>
          <w:tcPr>
            <w:tcW w:w="809" w:type="dxa"/>
            <w:tcBorders>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4214"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全市债权债务管理专项经费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用于债权债务管理等相关工作</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998"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全市执法执勤车信息管理系统建设及运维费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为全市94辆公务用车提供北斗车辆位置服务终端，并提供公务用车信息管理平台运营服务，实现对全市执法执勤车的高效、有序管理。</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17.00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17.00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2876"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金算盘系统维护费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用于全市账务处理系统服务及日常维护的开支。</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3310"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全市部门决算业务费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用于全市部门决算相关业务的开支。</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998"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全市工资代发银行业务费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加强与银行的合作与沟通，保证资金安全及顺利调度使用，保证全市行政事业单位工资发放顺利进行。</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998"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财政评审专项业务费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完成全市财政政投资预算评审、部分结算评审，项目监管，招标文件及合同审查，工程进度款拨付核查。</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80.00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80.00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998"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国有资产修缮费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用于国有资产损坏后修缮的相关费用。</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998"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国企财务人员培训费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用于国有企业财务人员培训的先关支出。</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4144"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国有资产管理专项业务费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对国有资产进行管理的先关费用。</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300.00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300.00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4084"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解决国企改革问题专项经费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用于解决国企改革、国有资产遗留问题的相关费用</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4034"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全市资产信息系统维护费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全市性资产信息管理系统服务及日常维护的相关费用。</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5.20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5.20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998" w:hRule="atLeast"/>
          <w:jc w:val="center"/>
        </w:trPr>
        <w:tc>
          <w:tcPr>
            <w:tcW w:w="951" w:type="dxa"/>
            <w:tcBorders>
              <w:top w:val="nil"/>
              <w:left w:val="single" w:color="auto" w:sz="4" w:space="0"/>
              <w:bottom w:val="nil"/>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住房资金管理和安置房接管工作专项经费</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用于住房资金管理和安置房接管工作的相关经费。</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4.00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4.00</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r>
        <w:tblPrEx>
          <w:tblCellMar>
            <w:top w:w="0" w:type="dxa"/>
            <w:left w:w="108" w:type="dxa"/>
            <w:bottom w:w="0" w:type="dxa"/>
            <w:right w:w="108" w:type="dxa"/>
          </w:tblCellMar>
        </w:tblPrEx>
        <w:trPr>
          <w:trHeight w:val="998" w:hRule="atLeast"/>
          <w:jc w:val="center"/>
        </w:trPr>
        <w:tc>
          <w:tcPr>
            <w:tcW w:w="951"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仿宋"/>
                <w:color w:val="000000"/>
                <w:kern w:val="0"/>
                <w:sz w:val="32"/>
                <w:szCs w:val="32"/>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金额合计</w:t>
            </w:r>
          </w:p>
        </w:tc>
        <w:tc>
          <w:tcPr>
            <w:tcW w:w="3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0"/>
                <w:szCs w:val="30"/>
                <w:lang w:val="en-US" w:eastAsia="zh-CN" w:bidi="ar-SA"/>
              </w:rPr>
            </w:pPr>
            <w:r>
              <w:rPr>
                <w:rFonts w:hint="eastAsia" w:ascii="仿宋_GB2312" w:hAnsi="Calibri" w:eastAsia="仿宋_GB2312" w:cs="仿宋"/>
                <w:color w:val="000000"/>
                <w:kern w:val="0"/>
                <w:sz w:val="30"/>
                <w:szCs w:val="30"/>
                <w:lang w:val="en-US" w:eastAsia="zh-CN" w:bidi="ar-SA"/>
              </w:rPr>
              <w:t>2315.02</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仿宋"/>
                <w:color w:val="000000"/>
                <w:kern w:val="0"/>
                <w:sz w:val="30"/>
                <w:szCs w:val="30"/>
                <w:lang w:val="en-US" w:eastAsia="zh-CN" w:bidi="ar-SA"/>
              </w:rPr>
            </w:pPr>
            <w:r>
              <w:rPr>
                <w:rFonts w:hint="eastAsia" w:ascii="仿宋_GB2312" w:hAnsi="Calibri" w:eastAsia="仿宋_GB2312" w:cs="仿宋"/>
                <w:color w:val="000000"/>
                <w:kern w:val="0"/>
                <w:sz w:val="30"/>
                <w:szCs w:val="30"/>
                <w:lang w:val="en-US" w:eastAsia="zh-CN" w:bidi="ar-SA"/>
              </w:rPr>
              <w:t>2315.02</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仿宋"/>
                <w:color w:val="000000"/>
                <w:kern w:val="0"/>
                <w:sz w:val="32"/>
                <w:szCs w:val="32"/>
                <w:lang w:val="en-US" w:eastAsia="zh-CN" w:bidi="ar-SA"/>
              </w:rPr>
            </w:pPr>
          </w:p>
        </w:tc>
      </w:tr>
    </w:tbl>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2．目标完成及预算编制准确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我单位严格按照计划完成资金拨付，根据预算合理控制支出数额及支出进度。20</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年预算收入</w:t>
      </w:r>
      <w:r>
        <w:rPr>
          <w:rFonts w:hint="eastAsia" w:ascii="仿宋_GB2312" w:hAnsi="Calibri" w:eastAsia="仿宋_GB2312" w:cs="仿宋"/>
          <w:color w:val="000000"/>
          <w:kern w:val="0"/>
          <w:sz w:val="32"/>
          <w:szCs w:val="32"/>
          <w:lang w:val="en-US" w:eastAsia="zh-CN" w:bidi="ar-SA"/>
        </w:rPr>
        <w:t>2315.02</w:t>
      </w:r>
      <w:r>
        <w:rPr>
          <w:rFonts w:hint="eastAsia" w:ascii="仿宋_GB2312" w:hAnsi="Calibri" w:eastAsia="仿宋_GB2312" w:cs="仿宋"/>
          <w:color w:val="000000"/>
          <w:kern w:val="0"/>
          <w:sz w:val="32"/>
          <w:szCs w:val="32"/>
          <w:lang w:val="zh-CN" w:eastAsia="zh-CN" w:bidi="ar-SA"/>
        </w:rPr>
        <w:t>万元，调整预算收入</w:t>
      </w:r>
      <w:r>
        <w:rPr>
          <w:rFonts w:hint="eastAsia" w:ascii="仿宋_GB2312" w:hAnsi="Calibri" w:eastAsia="仿宋_GB2312" w:cs="仿宋"/>
          <w:color w:val="000000"/>
          <w:kern w:val="0"/>
          <w:sz w:val="32"/>
          <w:szCs w:val="32"/>
          <w:lang w:val="en-US" w:eastAsia="zh-CN" w:bidi="ar-SA"/>
        </w:rPr>
        <w:t>3910.22</w:t>
      </w:r>
      <w:r>
        <w:rPr>
          <w:rFonts w:hint="eastAsia" w:ascii="仿宋_GB2312" w:hAnsi="Calibri" w:eastAsia="仿宋_GB2312" w:cs="仿宋"/>
          <w:color w:val="000000"/>
          <w:kern w:val="0"/>
          <w:sz w:val="32"/>
          <w:szCs w:val="32"/>
          <w:lang w:val="zh-CN" w:eastAsia="zh-CN" w:bidi="ar-SA"/>
        </w:rPr>
        <w:t>万元，收入差异主要为因工作需要新增部分项目、将全市部分预算项目调整至我部门以及20</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年目标奖未纳入</w:t>
      </w:r>
      <w:r>
        <w:rPr>
          <w:rFonts w:hint="eastAsia" w:ascii="仿宋_GB2312" w:hAnsi="Calibri" w:eastAsia="仿宋_GB2312" w:cs="仿宋"/>
          <w:color w:val="000000"/>
          <w:kern w:val="0"/>
          <w:sz w:val="32"/>
          <w:szCs w:val="32"/>
          <w:lang w:val="en-US" w:eastAsia="zh-CN" w:bidi="ar-SA"/>
        </w:rPr>
        <w:t>2020</w:t>
      </w:r>
      <w:r>
        <w:rPr>
          <w:rFonts w:hint="eastAsia" w:ascii="仿宋_GB2312" w:hAnsi="Calibri" w:eastAsia="仿宋_GB2312" w:cs="仿宋"/>
          <w:color w:val="000000"/>
          <w:kern w:val="0"/>
          <w:sz w:val="32"/>
          <w:szCs w:val="32"/>
          <w:lang w:val="zh-CN" w:eastAsia="zh-CN" w:bidi="ar-SA"/>
        </w:rPr>
        <w:t>年预算，预算编制基本准确。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3．预算动态调整</w:t>
      </w:r>
    </w:p>
    <w:p>
      <w:pPr>
        <w:widowControl/>
        <w:adjustRightInd w:val="0"/>
        <w:snapToGrid w:val="0"/>
        <w:spacing w:line="580" w:lineRule="exact"/>
        <w:ind w:firstLine="720"/>
        <w:jc w:val="left"/>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Calibri" w:eastAsia="仿宋_GB2312" w:cs="仿宋"/>
          <w:color w:val="000000"/>
          <w:kern w:val="0"/>
          <w:sz w:val="32"/>
          <w:szCs w:val="32"/>
          <w:lang w:val="zh-CN" w:eastAsia="zh-CN" w:bidi="ar-SA"/>
        </w:rPr>
        <w:t>20</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年度，因工作需要，将全市大预算一案两书编制经费、全市票据款等项目调整至我部门支出，另外，我部门下属单位峨眉山市国有资产服务中心新增收购四川省公路职工疗养院资产项</w:t>
      </w:r>
      <w:r>
        <w:rPr>
          <w:rFonts w:hint="eastAsia" w:ascii="仿宋_GB2312" w:hAnsi="仿宋_GB2312" w:eastAsia="仿宋_GB2312" w:cs="仿宋_GB2312"/>
          <w:b w:val="0"/>
          <w:bCs w:val="0"/>
          <w:color w:val="000000"/>
          <w:kern w:val="0"/>
          <w:sz w:val="32"/>
          <w:szCs w:val="32"/>
          <w:shd w:val="clear" w:color="auto" w:fill="FFFFFF"/>
          <w:lang w:val="zh-CN" w:eastAsia="zh-CN"/>
        </w:rPr>
        <w:t>目经费</w:t>
      </w:r>
      <w:r>
        <w:rPr>
          <w:rFonts w:hint="eastAsia" w:ascii="仿宋_GB2312" w:hAnsi="仿宋_GB2312" w:eastAsia="仿宋_GB2312" w:cs="仿宋_GB2312"/>
          <w:b w:val="0"/>
          <w:bCs w:val="0"/>
          <w:color w:val="000000"/>
          <w:kern w:val="0"/>
          <w:sz w:val="32"/>
          <w:szCs w:val="32"/>
          <w:shd w:val="clear" w:color="auto" w:fill="FFFFFF"/>
          <w:lang w:val="en-US" w:eastAsia="zh-CN"/>
        </w:rPr>
        <w:t>3009.25万元，用于</w:t>
      </w:r>
      <w:r>
        <w:rPr>
          <w:rFonts w:hint="eastAsia" w:ascii="仿宋_GB2312" w:hAnsi="仿宋_GB2312" w:eastAsia="仿宋_GB2312" w:cs="仿宋_GB2312"/>
          <w:b w:val="0"/>
          <w:bCs w:val="0"/>
          <w:color w:val="000000"/>
          <w:kern w:val="0"/>
          <w:sz w:val="32"/>
          <w:szCs w:val="32"/>
          <w:shd w:val="clear" w:color="auto" w:fill="FFFFFF"/>
          <w:lang w:val="zh-CN" w:eastAsia="zh-CN"/>
        </w:rPr>
        <w:t>收购四川省公路职工疗养院土地及地面资产，配合华西医院项目建设工作。</w:t>
      </w:r>
    </w:p>
    <w:p>
      <w:pPr>
        <w:widowControl/>
        <w:adjustRightInd w:val="0"/>
        <w:snapToGrid w:val="0"/>
        <w:spacing w:line="580" w:lineRule="exact"/>
        <w:ind w:firstLine="720"/>
        <w:jc w:val="left"/>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4．执行进度</w:t>
      </w:r>
    </w:p>
    <w:p>
      <w:pPr>
        <w:widowControl/>
        <w:adjustRightInd w:val="0"/>
        <w:snapToGrid w:val="0"/>
        <w:spacing w:line="580" w:lineRule="exact"/>
        <w:ind w:firstLine="720"/>
        <w:jc w:val="left"/>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20</w:t>
      </w:r>
      <w:r>
        <w:rPr>
          <w:rFonts w:hint="eastAsia" w:ascii="仿宋_GB2312" w:hAnsi="仿宋_GB2312" w:eastAsia="仿宋_GB2312" w:cs="仿宋_GB2312"/>
          <w:b w:val="0"/>
          <w:bCs w:val="0"/>
          <w:color w:val="000000"/>
          <w:kern w:val="0"/>
          <w:sz w:val="32"/>
          <w:szCs w:val="32"/>
          <w:shd w:val="clear" w:color="auto" w:fill="FFFFFF"/>
          <w:lang w:val="en-US" w:eastAsia="zh-CN"/>
        </w:rPr>
        <w:t>20</w:t>
      </w:r>
      <w:r>
        <w:rPr>
          <w:rFonts w:hint="eastAsia" w:ascii="仿宋_GB2312" w:hAnsi="仿宋_GB2312" w:eastAsia="仿宋_GB2312" w:cs="仿宋_GB2312"/>
          <w:b w:val="0"/>
          <w:bCs w:val="0"/>
          <w:color w:val="000000"/>
          <w:kern w:val="0"/>
          <w:sz w:val="32"/>
          <w:szCs w:val="32"/>
          <w:shd w:val="clear" w:color="auto" w:fill="FFFFFF"/>
          <w:lang w:val="zh-CN" w:eastAsia="zh-CN"/>
        </w:rPr>
        <w:t>年截止2019年6月30日，财政拨款支出</w:t>
      </w:r>
      <w:r>
        <w:rPr>
          <w:rFonts w:hint="eastAsia" w:ascii="仿宋_GB2312" w:hAnsi="仿宋_GB2312" w:eastAsia="仿宋_GB2312" w:cs="仿宋_GB2312"/>
          <w:b w:val="0"/>
          <w:bCs w:val="0"/>
          <w:color w:val="000000"/>
          <w:kern w:val="0"/>
          <w:sz w:val="32"/>
          <w:szCs w:val="32"/>
          <w:shd w:val="clear" w:color="auto" w:fill="FFFFFF"/>
          <w:lang w:val="en-US" w:eastAsia="zh-CN"/>
        </w:rPr>
        <w:t>1689.74</w:t>
      </w:r>
      <w:r>
        <w:rPr>
          <w:rFonts w:hint="eastAsia" w:ascii="仿宋_GB2312" w:hAnsi="仿宋_GB2312" w:eastAsia="仿宋_GB2312" w:cs="仿宋_GB2312"/>
          <w:b w:val="0"/>
          <w:bCs w:val="0"/>
          <w:color w:val="000000"/>
          <w:kern w:val="0"/>
          <w:sz w:val="32"/>
          <w:szCs w:val="32"/>
          <w:shd w:val="clear" w:color="auto" w:fill="FFFFFF"/>
          <w:lang w:val="zh-CN" w:eastAsia="zh-CN"/>
        </w:rPr>
        <w:t>万元，支出进度为</w:t>
      </w:r>
      <w:r>
        <w:rPr>
          <w:rFonts w:hint="eastAsia" w:ascii="仿宋_GB2312" w:hAnsi="仿宋_GB2312" w:eastAsia="仿宋_GB2312" w:cs="仿宋_GB2312"/>
          <w:b w:val="0"/>
          <w:bCs w:val="0"/>
          <w:color w:val="000000"/>
          <w:kern w:val="0"/>
          <w:sz w:val="32"/>
          <w:szCs w:val="32"/>
          <w:shd w:val="clear" w:color="auto" w:fill="FFFFFF"/>
          <w:lang w:val="en-US" w:eastAsia="zh-CN"/>
        </w:rPr>
        <w:t>27.14</w:t>
      </w:r>
      <w:r>
        <w:rPr>
          <w:rFonts w:hint="eastAsia" w:ascii="仿宋_GB2312" w:hAnsi="仿宋_GB2312" w:eastAsia="仿宋_GB2312" w:cs="仿宋_GB2312"/>
          <w:b w:val="0"/>
          <w:bCs w:val="0"/>
          <w:color w:val="000000"/>
          <w:kern w:val="0"/>
          <w:sz w:val="32"/>
          <w:szCs w:val="32"/>
          <w:shd w:val="clear" w:color="auto" w:fill="FFFFFF"/>
          <w:lang w:val="zh-CN" w:eastAsia="zh-CN"/>
        </w:rPr>
        <w:t>%；截止20</w:t>
      </w:r>
      <w:r>
        <w:rPr>
          <w:rFonts w:hint="eastAsia" w:ascii="仿宋_GB2312" w:hAnsi="仿宋_GB2312" w:eastAsia="仿宋_GB2312" w:cs="仿宋_GB2312"/>
          <w:b w:val="0"/>
          <w:bCs w:val="0"/>
          <w:color w:val="000000"/>
          <w:kern w:val="0"/>
          <w:sz w:val="32"/>
          <w:szCs w:val="32"/>
          <w:shd w:val="clear" w:color="auto" w:fill="FFFFFF"/>
          <w:lang w:val="en-US" w:eastAsia="zh-CN"/>
        </w:rPr>
        <w:t>20</w:t>
      </w:r>
      <w:r>
        <w:rPr>
          <w:rFonts w:hint="eastAsia" w:ascii="仿宋_GB2312" w:hAnsi="仿宋_GB2312" w:eastAsia="仿宋_GB2312" w:cs="仿宋_GB2312"/>
          <w:b w:val="0"/>
          <w:bCs w:val="0"/>
          <w:color w:val="000000"/>
          <w:kern w:val="0"/>
          <w:sz w:val="32"/>
          <w:szCs w:val="32"/>
          <w:shd w:val="clear" w:color="auto" w:fill="FFFFFF"/>
          <w:lang w:val="zh-CN" w:eastAsia="zh-CN"/>
        </w:rPr>
        <w:t>年9月30日，财政拨款支出</w:t>
      </w:r>
      <w:r>
        <w:rPr>
          <w:rFonts w:hint="eastAsia" w:ascii="仿宋_GB2312" w:hAnsi="仿宋_GB2312" w:eastAsia="仿宋_GB2312" w:cs="仿宋_GB2312"/>
          <w:b w:val="0"/>
          <w:bCs w:val="0"/>
          <w:color w:val="000000"/>
          <w:kern w:val="0"/>
          <w:sz w:val="32"/>
          <w:szCs w:val="32"/>
          <w:shd w:val="clear" w:color="auto" w:fill="FFFFFF"/>
          <w:lang w:val="en-US" w:eastAsia="zh-CN"/>
        </w:rPr>
        <w:t>5680.61</w:t>
      </w:r>
      <w:r>
        <w:rPr>
          <w:rFonts w:hint="eastAsia" w:ascii="仿宋_GB2312" w:hAnsi="仿宋_GB2312" w:eastAsia="仿宋_GB2312" w:cs="仿宋_GB2312"/>
          <w:b w:val="0"/>
          <w:bCs w:val="0"/>
          <w:color w:val="000000"/>
          <w:kern w:val="0"/>
          <w:sz w:val="32"/>
          <w:szCs w:val="32"/>
          <w:shd w:val="clear" w:color="auto" w:fill="FFFFFF"/>
          <w:lang w:val="zh-CN" w:eastAsia="zh-CN"/>
        </w:rPr>
        <w:t>万元，支出进度为</w:t>
      </w:r>
      <w:r>
        <w:rPr>
          <w:rFonts w:hint="eastAsia" w:ascii="仿宋_GB2312" w:hAnsi="仿宋_GB2312" w:eastAsia="仿宋_GB2312" w:cs="仿宋_GB2312"/>
          <w:b w:val="0"/>
          <w:bCs w:val="0"/>
          <w:color w:val="000000"/>
          <w:kern w:val="0"/>
          <w:sz w:val="32"/>
          <w:szCs w:val="32"/>
          <w:shd w:val="clear" w:color="auto" w:fill="FFFFFF"/>
          <w:lang w:val="en-US" w:eastAsia="zh-CN"/>
        </w:rPr>
        <w:t>91.25</w:t>
      </w:r>
      <w:r>
        <w:rPr>
          <w:rFonts w:hint="eastAsia" w:ascii="仿宋_GB2312" w:hAnsi="仿宋_GB2312" w:eastAsia="仿宋_GB2312" w:cs="仿宋_GB2312"/>
          <w:b w:val="0"/>
          <w:bCs w:val="0"/>
          <w:color w:val="000000"/>
          <w:kern w:val="0"/>
          <w:sz w:val="32"/>
          <w:szCs w:val="32"/>
          <w:shd w:val="clear" w:color="auto" w:fill="FFFFFF"/>
          <w:lang w:val="zh-CN" w:eastAsia="zh-CN"/>
        </w:rPr>
        <w:t>%；截止2019年11月30日，财政拨款支出为</w:t>
      </w:r>
      <w:r>
        <w:rPr>
          <w:rFonts w:hint="eastAsia" w:ascii="仿宋_GB2312" w:hAnsi="仿宋_GB2312" w:eastAsia="仿宋_GB2312" w:cs="仿宋_GB2312"/>
          <w:b w:val="0"/>
          <w:bCs w:val="0"/>
          <w:color w:val="000000"/>
          <w:kern w:val="0"/>
          <w:sz w:val="32"/>
          <w:szCs w:val="32"/>
          <w:shd w:val="clear" w:color="auto" w:fill="FFFFFF"/>
          <w:lang w:val="en-US" w:eastAsia="zh-CN"/>
        </w:rPr>
        <w:t>5884.75</w:t>
      </w:r>
      <w:r>
        <w:rPr>
          <w:rFonts w:hint="eastAsia" w:ascii="仿宋_GB2312" w:hAnsi="仿宋_GB2312" w:eastAsia="仿宋_GB2312" w:cs="仿宋_GB2312"/>
          <w:b w:val="0"/>
          <w:bCs w:val="0"/>
          <w:color w:val="000000"/>
          <w:kern w:val="0"/>
          <w:sz w:val="32"/>
          <w:szCs w:val="32"/>
          <w:shd w:val="clear" w:color="auto" w:fill="FFFFFF"/>
          <w:lang w:val="zh-CN" w:eastAsia="zh-CN"/>
        </w:rPr>
        <w:t>万元，支出进度为</w:t>
      </w:r>
      <w:r>
        <w:rPr>
          <w:rFonts w:hint="eastAsia" w:ascii="仿宋_GB2312" w:hAnsi="仿宋_GB2312" w:eastAsia="仿宋_GB2312" w:cs="仿宋_GB2312"/>
          <w:b w:val="0"/>
          <w:bCs w:val="0"/>
          <w:color w:val="000000"/>
          <w:kern w:val="0"/>
          <w:sz w:val="32"/>
          <w:szCs w:val="32"/>
          <w:shd w:val="clear" w:color="auto" w:fill="FFFFFF"/>
          <w:lang w:val="en-US" w:eastAsia="zh-CN"/>
        </w:rPr>
        <w:t>94.53</w:t>
      </w:r>
      <w:r>
        <w:rPr>
          <w:rFonts w:hint="eastAsia" w:ascii="仿宋_GB2312" w:hAnsi="仿宋_GB2312" w:eastAsia="仿宋_GB2312" w:cs="仿宋_GB2312"/>
          <w:b w:val="0"/>
          <w:bCs w:val="0"/>
          <w:color w:val="000000"/>
          <w:kern w:val="0"/>
          <w:sz w:val="32"/>
          <w:szCs w:val="32"/>
          <w:shd w:val="clear" w:color="auto" w:fill="FFFFFF"/>
          <w:lang w:val="zh-CN" w:eastAsia="zh-CN"/>
        </w:rPr>
        <w:t>%，全年执行进度合理。</w:t>
      </w:r>
    </w:p>
    <w:p>
      <w:pPr>
        <w:widowControl/>
        <w:adjustRightInd w:val="0"/>
        <w:snapToGrid w:val="0"/>
        <w:spacing w:line="580" w:lineRule="exact"/>
        <w:ind w:firstLine="720"/>
        <w:jc w:val="left"/>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5．预算完成情况</w:t>
      </w:r>
    </w:p>
    <w:p>
      <w:pPr>
        <w:widowControl/>
        <w:adjustRightInd w:val="0"/>
        <w:snapToGrid w:val="0"/>
        <w:spacing w:line="580" w:lineRule="exact"/>
        <w:ind w:firstLine="640" w:firstLineChars="200"/>
        <w:jc w:val="left"/>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峨眉山市财政局部门20</w:t>
      </w:r>
      <w:r>
        <w:rPr>
          <w:rFonts w:hint="eastAsia" w:ascii="仿宋_GB2312" w:hAnsi="仿宋_GB2312" w:eastAsia="仿宋_GB2312" w:cs="仿宋_GB2312"/>
          <w:b w:val="0"/>
          <w:bCs w:val="0"/>
          <w:color w:val="000000"/>
          <w:kern w:val="0"/>
          <w:sz w:val="32"/>
          <w:szCs w:val="32"/>
          <w:shd w:val="clear" w:color="auto" w:fill="FFFFFF"/>
          <w:lang w:val="en-US" w:eastAsia="zh-CN"/>
        </w:rPr>
        <w:t>20</w:t>
      </w:r>
      <w:r>
        <w:rPr>
          <w:rFonts w:hint="eastAsia" w:ascii="仿宋_GB2312" w:hAnsi="仿宋_GB2312" w:eastAsia="仿宋_GB2312" w:cs="仿宋_GB2312"/>
          <w:b w:val="0"/>
          <w:bCs w:val="0"/>
          <w:color w:val="000000"/>
          <w:kern w:val="0"/>
          <w:sz w:val="32"/>
          <w:szCs w:val="32"/>
          <w:shd w:val="clear" w:color="auto" w:fill="FFFFFF"/>
          <w:lang w:val="zh-CN" w:eastAsia="zh-CN"/>
        </w:rPr>
        <w:t>年年初财政拨款预算收入</w:t>
      </w:r>
      <w:r>
        <w:rPr>
          <w:rFonts w:hint="eastAsia" w:ascii="仿宋_GB2312" w:hAnsi="仿宋_GB2312" w:eastAsia="仿宋_GB2312" w:cs="仿宋_GB2312"/>
          <w:b w:val="0"/>
          <w:bCs w:val="0"/>
          <w:color w:val="000000"/>
          <w:kern w:val="0"/>
          <w:sz w:val="32"/>
          <w:szCs w:val="32"/>
          <w:shd w:val="clear" w:color="auto" w:fill="FFFFFF"/>
          <w:lang w:val="en-US" w:eastAsia="zh-CN"/>
        </w:rPr>
        <w:t>2315.02</w:t>
      </w:r>
      <w:r>
        <w:rPr>
          <w:rFonts w:hint="eastAsia" w:ascii="仿宋_GB2312" w:hAnsi="仿宋_GB2312" w:eastAsia="仿宋_GB2312" w:cs="仿宋_GB2312"/>
          <w:b w:val="0"/>
          <w:bCs w:val="0"/>
          <w:color w:val="000000"/>
          <w:kern w:val="0"/>
          <w:sz w:val="32"/>
          <w:szCs w:val="32"/>
          <w:shd w:val="clear" w:color="auto" w:fill="FFFFFF"/>
          <w:lang w:val="zh-CN" w:eastAsia="zh-CN"/>
        </w:rPr>
        <w:t>万元，调整预算收入</w:t>
      </w:r>
      <w:r>
        <w:rPr>
          <w:rFonts w:hint="eastAsia" w:ascii="仿宋_GB2312" w:hAnsi="仿宋_GB2312" w:eastAsia="仿宋_GB2312" w:cs="仿宋_GB2312"/>
          <w:b w:val="0"/>
          <w:bCs w:val="0"/>
          <w:color w:val="000000"/>
          <w:kern w:val="0"/>
          <w:sz w:val="32"/>
          <w:szCs w:val="32"/>
          <w:shd w:val="clear" w:color="auto" w:fill="FFFFFF"/>
          <w:lang w:val="en-US" w:eastAsia="zh-CN"/>
        </w:rPr>
        <w:t>3910.22</w:t>
      </w:r>
      <w:r>
        <w:rPr>
          <w:rFonts w:hint="eastAsia" w:ascii="仿宋_GB2312" w:hAnsi="仿宋_GB2312" w:eastAsia="仿宋_GB2312" w:cs="仿宋_GB2312"/>
          <w:b w:val="0"/>
          <w:bCs w:val="0"/>
          <w:color w:val="000000"/>
          <w:kern w:val="0"/>
          <w:sz w:val="32"/>
          <w:szCs w:val="32"/>
          <w:shd w:val="clear" w:color="auto" w:fill="FFFFFF"/>
          <w:lang w:val="zh-CN" w:eastAsia="zh-CN"/>
        </w:rPr>
        <w:t>万元，最终预算执行</w:t>
      </w:r>
      <w:r>
        <w:rPr>
          <w:rFonts w:hint="eastAsia" w:ascii="仿宋_GB2312" w:hAnsi="仿宋_GB2312" w:eastAsia="仿宋_GB2312" w:cs="仿宋_GB2312"/>
          <w:b w:val="0"/>
          <w:bCs w:val="0"/>
          <w:color w:val="000000"/>
          <w:kern w:val="0"/>
          <w:sz w:val="32"/>
          <w:szCs w:val="32"/>
          <w:shd w:val="clear" w:color="auto" w:fill="FFFFFF"/>
          <w:lang w:val="en-US" w:eastAsia="zh-CN"/>
        </w:rPr>
        <w:t>6225.24万元，</w:t>
      </w:r>
      <w:r>
        <w:rPr>
          <w:rFonts w:hint="eastAsia" w:ascii="仿宋_GB2312" w:hAnsi="仿宋_GB2312" w:eastAsia="仿宋_GB2312" w:cs="仿宋_GB2312"/>
          <w:b w:val="0"/>
          <w:bCs w:val="0"/>
          <w:color w:val="000000"/>
          <w:kern w:val="0"/>
          <w:sz w:val="32"/>
          <w:szCs w:val="32"/>
          <w:shd w:val="clear" w:color="auto" w:fill="FFFFFF"/>
          <w:lang w:val="zh-CN" w:eastAsia="zh-CN"/>
        </w:rPr>
        <w:t>预算完成率为</w:t>
      </w:r>
      <w:r>
        <w:rPr>
          <w:rFonts w:hint="eastAsia" w:ascii="仿宋_GB2312" w:hAnsi="仿宋_GB2312" w:eastAsia="仿宋_GB2312" w:cs="仿宋_GB2312"/>
          <w:b w:val="0"/>
          <w:bCs w:val="0"/>
          <w:color w:val="000000"/>
          <w:kern w:val="0"/>
          <w:sz w:val="32"/>
          <w:szCs w:val="32"/>
          <w:shd w:val="clear" w:color="auto" w:fill="FFFFFF"/>
          <w:lang w:val="en-US" w:eastAsia="zh-CN"/>
        </w:rPr>
        <w:t>100.00%。</w:t>
      </w:r>
    </w:p>
    <w:p>
      <w:pPr>
        <w:widowControl/>
        <w:adjustRightInd w:val="0"/>
        <w:snapToGrid w:val="0"/>
        <w:spacing w:line="580" w:lineRule="exact"/>
        <w:ind w:firstLine="720"/>
        <w:jc w:val="left"/>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峨眉山市财政局项目资金的管理都按照相关规定执行，实行专款专用。项目执行采购制度，签订采购合同，经验收合格后支付项目价款，严格财务管理，由经办人、审核人、分管领导及主要领导签字确认后支付费用，会计核算和账务处理由专人负责，及时规范。</w:t>
      </w:r>
    </w:p>
    <w:p>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（二）评价结果运用情况</w:t>
      </w:r>
    </w:p>
    <w:p>
      <w:pPr>
        <w:widowControl/>
        <w:adjustRightInd w:val="0"/>
        <w:snapToGrid w:val="0"/>
        <w:spacing w:line="580" w:lineRule="exact"/>
        <w:ind w:firstLine="720"/>
        <w:jc w:val="left"/>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我部门认真开展绩效目标自评工作，绩效结果应用自评良好，绩效目标随同预决算及时向社会公开，收支管理严格按照财务管理制度和相关文件执行，评价结果及时报告，并针对工作中的不足及时改进。</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优，</w:t>
      </w:r>
      <w:r>
        <w:rPr>
          <w:rFonts w:hint="eastAsia" w:ascii="仿宋_GB2312" w:hAnsi="Calibri" w:eastAsia="仿宋_GB2312" w:cs="仿宋"/>
          <w:color w:val="000000"/>
          <w:kern w:val="0"/>
          <w:sz w:val="32"/>
          <w:szCs w:val="32"/>
          <w:lang w:val="en-US" w:eastAsia="zh-CN" w:bidi="ar-SA"/>
        </w:rPr>
        <w:t>92</w:t>
      </w:r>
      <w:r>
        <w:rPr>
          <w:rFonts w:hint="eastAsia" w:ascii="仿宋_GB2312" w:hAnsi="Calibri" w:eastAsia="仿宋_GB2312" w:cs="仿宋"/>
          <w:color w:val="000000"/>
          <w:kern w:val="0"/>
          <w:sz w:val="32"/>
          <w:szCs w:val="32"/>
          <w:lang w:val="zh-CN" w:eastAsia="zh-CN" w:bidi="ar-SA"/>
        </w:rPr>
        <w:t>分。预算编制</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分，其中：目标制定</w:t>
      </w:r>
      <w:r>
        <w:rPr>
          <w:rFonts w:hint="eastAsia" w:ascii="仿宋_GB2312" w:hAnsi="Calibri" w:eastAsia="仿宋_GB2312" w:cs="仿宋"/>
          <w:color w:val="000000"/>
          <w:kern w:val="0"/>
          <w:sz w:val="32"/>
          <w:szCs w:val="32"/>
          <w:lang w:val="en-US" w:eastAsia="zh-CN" w:bidi="ar-SA"/>
        </w:rPr>
        <w:t>6</w:t>
      </w:r>
      <w:r>
        <w:rPr>
          <w:rFonts w:hint="eastAsia" w:ascii="仿宋_GB2312" w:hAnsi="Calibri" w:eastAsia="仿宋_GB2312" w:cs="仿宋"/>
          <w:color w:val="000000"/>
          <w:kern w:val="0"/>
          <w:sz w:val="32"/>
          <w:szCs w:val="32"/>
          <w:lang w:val="zh-CN" w:eastAsia="zh-CN" w:bidi="ar-SA"/>
        </w:rPr>
        <w:t>分，目标完成</w:t>
      </w:r>
      <w:r>
        <w:rPr>
          <w:rFonts w:hint="eastAsia" w:ascii="仿宋_GB2312" w:hAnsi="Calibri" w:eastAsia="仿宋_GB2312" w:cs="仿宋"/>
          <w:color w:val="000000"/>
          <w:kern w:val="0"/>
          <w:sz w:val="32"/>
          <w:szCs w:val="32"/>
          <w:lang w:val="en-US" w:eastAsia="zh-CN" w:bidi="ar-SA"/>
        </w:rPr>
        <w:t>7</w:t>
      </w:r>
      <w:r>
        <w:rPr>
          <w:rFonts w:hint="eastAsia" w:ascii="仿宋_GB2312" w:hAnsi="Calibri" w:eastAsia="仿宋_GB2312" w:cs="仿宋"/>
          <w:color w:val="000000"/>
          <w:kern w:val="0"/>
          <w:sz w:val="32"/>
          <w:szCs w:val="32"/>
          <w:lang w:val="zh-CN" w:eastAsia="zh-CN" w:bidi="ar-SA"/>
        </w:rPr>
        <w:t>分，编制准确</w:t>
      </w:r>
      <w:r>
        <w:rPr>
          <w:rFonts w:hint="eastAsia" w:ascii="仿宋_GB2312" w:hAnsi="Calibri" w:eastAsia="仿宋_GB2312" w:cs="仿宋"/>
          <w:color w:val="000000"/>
          <w:kern w:val="0"/>
          <w:sz w:val="32"/>
          <w:szCs w:val="32"/>
          <w:lang w:val="en-US" w:eastAsia="zh-CN" w:bidi="ar-SA"/>
        </w:rPr>
        <w:t>6</w:t>
      </w:r>
      <w:r>
        <w:rPr>
          <w:rFonts w:hint="eastAsia" w:ascii="仿宋_GB2312" w:hAnsi="Calibri" w:eastAsia="仿宋_GB2312" w:cs="仿宋"/>
          <w:color w:val="000000"/>
          <w:kern w:val="0"/>
          <w:sz w:val="32"/>
          <w:szCs w:val="32"/>
          <w:lang w:val="zh-CN" w:eastAsia="zh-CN" w:bidi="ar-SA"/>
        </w:rPr>
        <w:t>分；预算执行</w:t>
      </w:r>
      <w:r>
        <w:rPr>
          <w:rFonts w:hint="eastAsia" w:ascii="仿宋_GB2312" w:hAnsi="Calibri" w:eastAsia="仿宋_GB2312" w:cs="仿宋"/>
          <w:color w:val="000000"/>
          <w:kern w:val="0"/>
          <w:sz w:val="32"/>
          <w:szCs w:val="32"/>
          <w:lang w:val="en-US" w:eastAsia="zh-CN" w:bidi="ar-SA"/>
        </w:rPr>
        <w:t>16</w:t>
      </w:r>
      <w:r>
        <w:rPr>
          <w:rFonts w:hint="eastAsia" w:ascii="仿宋_GB2312" w:hAnsi="Calibri" w:eastAsia="仿宋_GB2312" w:cs="仿宋"/>
          <w:color w:val="000000"/>
          <w:kern w:val="0"/>
          <w:sz w:val="32"/>
          <w:szCs w:val="32"/>
          <w:lang w:val="zh-CN" w:eastAsia="zh-CN" w:bidi="ar-SA"/>
        </w:rPr>
        <w:t>分，其中：支出控制5分，动态调整</w:t>
      </w:r>
      <w:r>
        <w:rPr>
          <w:rFonts w:hint="eastAsia" w:ascii="仿宋_GB2312" w:hAnsi="Calibri" w:eastAsia="仿宋_GB2312" w:cs="仿宋"/>
          <w:color w:val="000000"/>
          <w:kern w:val="0"/>
          <w:sz w:val="32"/>
          <w:szCs w:val="32"/>
          <w:lang w:val="en-US" w:eastAsia="zh-CN" w:bidi="ar-SA"/>
        </w:rPr>
        <w:t>5</w:t>
      </w:r>
      <w:r>
        <w:rPr>
          <w:rFonts w:hint="eastAsia" w:ascii="仿宋_GB2312" w:hAnsi="Calibri" w:eastAsia="仿宋_GB2312" w:cs="仿宋"/>
          <w:color w:val="000000"/>
          <w:kern w:val="0"/>
          <w:sz w:val="32"/>
          <w:szCs w:val="32"/>
          <w:lang w:val="zh-CN" w:eastAsia="zh-CN" w:bidi="ar-SA"/>
        </w:rPr>
        <w:t>分，执行进度</w:t>
      </w:r>
      <w:r>
        <w:rPr>
          <w:rFonts w:hint="eastAsia" w:ascii="仿宋_GB2312" w:hAnsi="Calibri" w:eastAsia="仿宋_GB2312" w:cs="仿宋"/>
          <w:color w:val="000000"/>
          <w:kern w:val="0"/>
          <w:sz w:val="32"/>
          <w:szCs w:val="32"/>
          <w:lang w:val="en-US" w:eastAsia="zh-CN" w:bidi="ar-SA"/>
        </w:rPr>
        <w:t>6</w:t>
      </w:r>
      <w:r>
        <w:rPr>
          <w:rFonts w:hint="eastAsia" w:ascii="仿宋_GB2312" w:hAnsi="Calibri" w:eastAsia="仿宋_GB2312" w:cs="仿宋"/>
          <w:color w:val="000000"/>
          <w:kern w:val="0"/>
          <w:sz w:val="32"/>
          <w:szCs w:val="32"/>
          <w:lang w:val="zh-CN" w:eastAsia="zh-CN" w:bidi="ar-SA"/>
        </w:rPr>
        <w:t>分；完成结果</w:t>
      </w:r>
      <w:r>
        <w:rPr>
          <w:rFonts w:hint="eastAsia" w:ascii="仿宋_GB2312" w:hAnsi="Calibri" w:eastAsia="仿宋_GB2312" w:cs="仿宋"/>
          <w:color w:val="000000"/>
          <w:kern w:val="0"/>
          <w:sz w:val="32"/>
          <w:szCs w:val="32"/>
          <w:lang w:val="en-US" w:eastAsia="zh-CN" w:bidi="ar-SA"/>
        </w:rPr>
        <w:t>16</w:t>
      </w:r>
      <w:r>
        <w:rPr>
          <w:rFonts w:hint="eastAsia" w:ascii="仿宋_GB2312" w:hAnsi="Calibri" w:eastAsia="仿宋_GB2312" w:cs="仿宋"/>
          <w:color w:val="000000"/>
          <w:kern w:val="0"/>
          <w:sz w:val="32"/>
          <w:szCs w:val="32"/>
          <w:lang w:val="zh-CN" w:eastAsia="zh-CN" w:bidi="ar-SA"/>
        </w:rPr>
        <w:t>分，其中：预算完成</w:t>
      </w:r>
      <w:r>
        <w:rPr>
          <w:rFonts w:hint="eastAsia" w:ascii="仿宋_GB2312" w:hAnsi="Calibri" w:eastAsia="仿宋_GB2312" w:cs="仿宋"/>
          <w:color w:val="000000"/>
          <w:kern w:val="0"/>
          <w:sz w:val="32"/>
          <w:szCs w:val="32"/>
          <w:lang w:val="en-US" w:eastAsia="zh-CN" w:bidi="ar-SA"/>
        </w:rPr>
        <w:t>8</w:t>
      </w:r>
      <w:r>
        <w:rPr>
          <w:rFonts w:hint="eastAsia" w:ascii="仿宋_GB2312" w:hAnsi="Calibri" w:eastAsia="仿宋_GB2312" w:cs="仿宋"/>
          <w:color w:val="000000"/>
          <w:kern w:val="0"/>
          <w:sz w:val="32"/>
          <w:szCs w:val="32"/>
          <w:lang w:val="zh-CN" w:eastAsia="zh-CN" w:bidi="ar-SA"/>
        </w:rPr>
        <w:t>分，违规记录</w:t>
      </w:r>
      <w:r>
        <w:rPr>
          <w:rFonts w:hint="eastAsia" w:ascii="仿宋_GB2312" w:hAnsi="Calibri" w:eastAsia="仿宋_GB2312" w:cs="仿宋"/>
          <w:color w:val="000000"/>
          <w:kern w:val="0"/>
          <w:sz w:val="32"/>
          <w:szCs w:val="32"/>
          <w:lang w:val="en-US" w:eastAsia="zh-CN" w:bidi="ar-SA"/>
        </w:rPr>
        <w:t>8</w:t>
      </w:r>
      <w:r>
        <w:rPr>
          <w:rFonts w:hint="eastAsia" w:ascii="仿宋_GB2312" w:hAnsi="Calibri" w:eastAsia="仿宋_GB2312" w:cs="仿宋"/>
          <w:color w:val="000000"/>
          <w:kern w:val="0"/>
          <w:sz w:val="32"/>
          <w:szCs w:val="32"/>
          <w:lang w:val="zh-CN" w:eastAsia="zh-CN" w:bidi="ar-SA"/>
        </w:rPr>
        <w:t>分；项目决策</w:t>
      </w:r>
      <w:r>
        <w:rPr>
          <w:rFonts w:hint="eastAsia" w:ascii="仿宋_GB2312" w:hAnsi="Calibri" w:eastAsia="仿宋_GB2312" w:cs="仿宋"/>
          <w:color w:val="000000"/>
          <w:kern w:val="0"/>
          <w:sz w:val="32"/>
          <w:szCs w:val="32"/>
          <w:lang w:val="en-US" w:eastAsia="zh-CN" w:bidi="ar-SA"/>
        </w:rPr>
        <w:t>8分，其中：程序严密3分，规划合理3分，符合结果2分；项目实施4分，其中：分配科学2分，分配及时2分；完成结果8分，其中：预算完成3分，实施绩效3分，违规记录2分；自评质量4分；信息公开8分，其中：目标公开4分，自评公开4分；</w:t>
      </w:r>
      <w:r>
        <w:rPr>
          <w:rFonts w:hint="eastAsia" w:ascii="仿宋_GB2312" w:hAnsi="Calibri" w:eastAsia="仿宋_GB2312" w:cs="仿宋"/>
          <w:color w:val="000000"/>
          <w:kern w:val="0"/>
          <w:sz w:val="32"/>
          <w:szCs w:val="32"/>
          <w:lang w:val="zh-CN" w:eastAsia="zh-CN" w:bidi="ar-SA"/>
        </w:rPr>
        <w:t>整改反馈8分，其中：整改结果</w:t>
      </w:r>
      <w:r>
        <w:rPr>
          <w:rFonts w:hint="eastAsia" w:ascii="仿宋_GB2312" w:hAnsi="Calibri" w:eastAsia="仿宋_GB2312" w:cs="仿宋"/>
          <w:color w:val="000000"/>
          <w:kern w:val="0"/>
          <w:sz w:val="32"/>
          <w:szCs w:val="32"/>
          <w:lang w:val="en-US" w:eastAsia="zh-CN" w:bidi="ar-SA"/>
        </w:rPr>
        <w:t>4分</w:t>
      </w:r>
      <w:r>
        <w:rPr>
          <w:rFonts w:hint="eastAsia" w:ascii="仿宋_GB2312" w:hAnsi="Calibri" w:eastAsia="仿宋_GB2312" w:cs="仿宋"/>
          <w:color w:val="000000"/>
          <w:kern w:val="0"/>
          <w:sz w:val="32"/>
          <w:szCs w:val="32"/>
          <w:lang w:val="zh-CN" w:eastAsia="zh-CN" w:bidi="ar-SA"/>
        </w:rPr>
        <w:t>，应用反馈</w:t>
      </w:r>
      <w:r>
        <w:rPr>
          <w:rFonts w:hint="eastAsia" w:ascii="仿宋_GB2312" w:hAnsi="Calibri" w:eastAsia="仿宋_GB2312" w:cs="仿宋"/>
          <w:color w:val="000000"/>
          <w:kern w:val="0"/>
          <w:sz w:val="32"/>
          <w:szCs w:val="32"/>
          <w:lang w:val="en-US" w:eastAsia="zh-CN" w:bidi="ar-SA"/>
        </w:rPr>
        <w:t>4分</w:t>
      </w:r>
      <w:r>
        <w:rPr>
          <w:rFonts w:hint="eastAsia" w:ascii="仿宋_GB2312" w:hAnsi="Calibri" w:eastAsia="仿宋_GB2312" w:cs="仿宋"/>
          <w:color w:val="000000"/>
          <w:kern w:val="0"/>
          <w:sz w:val="32"/>
          <w:szCs w:val="32"/>
          <w:lang w:val="zh-CN" w:eastAsia="zh-CN" w:bidi="ar-SA"/>
        </w:rPr>
        <w:t>。</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（二）存在问题和建议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项目资金的预算编制准确率需要提高。项目资金的预算编制应多考察、论证，提高准确率，因为财政局机关及下属单位一起办公，系统设备有共用情况，所以产生预算资金调整，在今后的预算编制中，可提前安排、划分。</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2．项目资金使用应更严格、规范，保证专款专用，严格执行政府采购等各项规章制度。</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3．部门支出相关（基本支出方面）的规章制度还不够完善。</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（三）改进建议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针对上述存在的问题及对外整体支出管理工作的需要，拟实施的改进措施如下：</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加强财务管理，严格财务审核。加强我单位财务管理，健全单位财务管理制度体系，规范财务行为。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sz w:val="32"/>
          <w:szCs w:val="32"/>
        </w:rPr>
      </w:pPr>
      <w:r>
        <w:rPr>
          <w:rFonts w:hint="eastAsia" w:ascii="仿宋_GB2312" w:hAnsi="Calibri" w:eastAsia="仿宋_GB2312" w:cs="仿宋"/>
          <w:color w:val="000000"/>
          <w:kern w:val="0"/>
          <w:sz w:val="32"/>
          <w:szCs w:val="32"/>
          <w:lang w:val="en-US" w:eastAsia="zh-CN" w:bidi="ar-SA"/>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p>
    <w:p>
      <w:pPr>
        <w:keepNext w:val="0"/>
        <w:keepLines w:val="0"/>
        <w:pageBreakBefore w:val="0"/>
        <w:widowControl/>
        <w:kinsoku/>
        <w:wordWrap/>
        <w:overflowPunct/>
        <w:topLinePunct w:val="0"/>
        <w:autoSpaceDE/>
        <w:autoSpaceDN/>
        <w:bidi w:val="0"/>
        <w:spacing w:line="600" w:lineRule="exact"/>
        <w:jc w:val="left"/>
        <w:textAlignment w:val="auto"/>
        <w:rPr>
          <w:rStyle w:val="20"/>
          <w:rFonts w:ascii="黑体" w:hAnsi="黑体" w:eastAsia="黑体"/>
          <w:b w:val="0"/>
        </w:rPr>
      </w:pPr>
    </w:p>
    <w:p>
      <w:pPr>
        <w:keepNext w:val="0"/>
        <w:keepLines w:val="0"/>
        <w:pageBreakBefore w:val="0"/>
        <w:widowControl/>
        <w:kinsoku/>
        <w:wordWrap/>
        <w:overflowPunct/>
        <w:topLinePunct w:val="0"/>
        <w:autoSpaceDE/>
        <w:autoSpaceDN/>
        <w:bidi w:val="0"/>
        <w:spacing w:line="600" w:lineRule="exact"/>
        <w:jc w:val="left"/>
        <w:textAlignment w:val="auto"/>
        <w:rPr>
          <w:rStyle w:val="20"/>
          <w:rFonts w:ascii="黑体" w:hAnsi="黑体" w:eastAsia="黑体"/>
          <w:b w:val="0"/>
        </w:rPr>
      </w:pPr>
      <w:r>
        <w:rPr>
          <w:rStyle w:val="20"/>
          <w:rFonts w:ascii="黑体" w:hAnsi="黑体" w:eastAsia="黑体"/>
          <w:b w:val="0"/>
        </w:rPr>
        <w:br w:type="page"/>
      </w:r>
    </w:p>
    <w:p>
      <w:pPr>
        <w:spacing w:line="600" w:lineRule="exact"/>
        <w:jc w:val="center"/>
        <w:outlineLvl w:val="0"/>
        <w:rPr>
          <w:rStyle w:val="20"/>
          <w:rFonts w:hint="eastAsia" w:ascii="方正小标宋_GBK" w:hAnsi="方正小标宋_GBK" w:eastAsia="方正小标宋_GBK" w:cs="方正小标宋_GBK"/>
          <w:b/>
          <w:bCs/>
        </w:rPr>
      </w:pPr>
      <w:bookmarkStart w:id="59" w:name="_Toc15396618"/>
      <w:r>
        <w:rPr>
          <w:rFonts w:hint="eastAsia" w:ascii="方正小标宋_GBK" w:hAnsi="方正小标宋_GBK" w:eastAsia="方正小标宋_GBK" w:cs="方正小标宋_GBK"/>
          <w:b/>
          <w:bCs/>
          <w:color w:val="000000"/>
          <w:sz w:val="44"/>
          <w:szCs w:val="44"/>
        </w:rPr>
        <w:t>第</w:t>
      </w:r>
      <w:r>
        <w:rPr>
          <w:rStyle w:val="20"/>
          <w:rFonts w:hint="eastAsia" w:ascii="方正小标宋_GBK" w:hAnsi="方正小标宋_GBK" w:eastAsia="方正小标宋_GBK" w:cs="方正小标宋_GBK"/>
          <w:b/>
          <w:bCs/>
        </w:rPr>
        <w:t>五部分 附</w:t>
      </w:r>
      <w:r>
        <w:rPr>
          <w:rStyle w:val="20"/>
          <w:rFonts w:hint="eastAsia" w:ascii="方正小标宋_GBK" w:hAnsi="方正小标宋_GBK" w:eastAsia="方正小标宋_GBK" w:cs="方正小标宋_GBK"/>
          <w:b/>
          <w:bCs/>
          <w:lang w:eastAsia="zh-CN"/>
        </w:rPr>
        <w:t>　</w:t>
      </w:r>
      <w:r>
        <w:rPr>
          <w:rStyle w:val="20"/>
          <w:rFonts w:hint="eastAsia" w:ascii="方正小标宋_GBK" w:hAnsi="方正小标宋_GBK" w:eastAsia="方正小标宋_GBK" w:cs="方正小标宋_GBK"/>
          <w:b/>
          <w:bCs/>
        </w:rPr>
        <w:t>表</w:t>
      </w:r>
      <w:bookmarkEnd w:id="57"/>
      <w:bookmarkEnd w:id="59"/>
    </w:p>
    <w:p>
      <w:pPr>
        <w:spacing w:line="600" w:lineRule="exact"/>
        <w:jc w:val="center"/>
        <w:outlineLvl w:val="0"/>
        <w:rPr>
          <w:rFonts w:ascii="仿宋" w:hAnsi="仿宋" w:eastAsia="仿宋"/>
          <w:b/>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0" w:name="_Toc15396619"/>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一、收入支出决算总表</w:t>
      </w:r>
      <w:bookmarkEnd w:id="6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二、收入决算表</w:t>
      </w:r>
      <w:bookmarkEnd w:id="6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三、支出决算表</w:t>
      </w:r>
      <w:bookmarkEnd w:id="6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四、财政拨款收入支出决算总表</w:t>
      </w:r>
      <w:bookmarkEnd w:id="6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五、财政拨款支出决算明细表</w:t>
      </w:r>
      <w:bookmarkEnd w:id="64"/>
      <w:bookmarkStart w:id="65" w:name="_Toc1539662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六、一般公共预算财政拨款支出决算表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七、一般公共预算财政拨款支出决算明细表</w:t>
      </w:r>
      <w:bookmarkEnd w:id="6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八、一般公共预算财政拨款基本支出决算表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九、一般公共预算财政拨款项目支出决算表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十、一般公共预算财政拨款“三公”经费支出决算表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十一、政府性基金预算财政拨款收入支出决算表</w:t>
      </w:r>
      <w:bookmarkEnd w:id="7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十二、政府性基金预算财政拨款“三公”经费支出决算表</w:t>
      </w:r>
      <w:bookmarkEnd w:id="7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bookmarkStart w:id="72" w:name="_Toc15396631"/>
      <w:r>
        <w:rPr>
          <w:rFonts w:hint="eastAsia" w:ascii="仿宋_GB2312" w:hAnsi="仿宋_GB2312" w:eastAsia="仿宋_GB2312" w:cs="仿宋_GB2312"/>
          <w:sz w:val="32"/>
          <w:szCs w:val="32"/>
          <w:lang w:eastAsia="zh-CN"/>
        </w:rPr>
        <w:t>　　</w:t>
      </w:r>
      <w:bookmarkEnd w:id="72"/>
      <w:r>
        <w:rPr>
          <w:rFonts w:hint="eastAsia" w:ascii="仿宋_GB2312" w:hAnsi="仿宋_GB2312" w:eastAsia="仿宋_GB2312" w:cs="仿宋_GB2312"/>
          <w:sz w:val="32"/>
          <w:szCs w:val="32"/>
          <w:lang w:val="en-US" w:eastAsia="zh-CN"/>
        </w:rPr>
        <w:t>十三、国有资本经营预算财政拨款收入支出决算表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十四、国有资本经营预算财政拨款支出决算表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2041" w:right="1468" w:bottom="1587" w:left="1468" w:header="851" w:footer="1134" w:gutter="0"/>
      <w:pgBorders>
        <w:top w:val="none" w:sz="0" w:space="0"/>
        <w:left w:val="none" w:sz="0" w:space="0"/>
        <w:bottom w:val="none" w:sz="0" w:space="0"/>
        <w:right w:val="none" w:sz="0" w:space="0"/>
      </w:pgBorders>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-85090</wp:posOffset>
              </wp:positionV>
              <wp:extent cx="1122680" cy="24511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122680" cy="245110"/>
                      </a:xfrm>
                      <a:prstGeom prst="rect">
                        <a:avLst/>
                      </a:prstGeom>
                      <a:noFill/>
                      <a:ln>
                        <a:noFill/>
                      </a:ln>
                    </wps:spPr>
                    <wps:txbx>
                      <w:txbxContent>
                        <w:p>
                          <w:pPr>
                            <w:pStyle w:val="8"/>
                            <w:jc w:val="cente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24</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p>
                        <w:p/>
                      </w:txbxContent>
                    </wps:txbx>
                    <wps:bodyPr wrap="square" lIns="0" tIns="0" rIns="0" bIns="0" upright="0"/>
                  </wps:wsp>
                </a:graphicData>
              </a:graphic>
            </wp:anchor>
          </w:drawing>
        </mc:Choice>
        <mc:Fallback>
          <w:pict>
            <v:shape id="文本框 1" o:spid="_x0000_s1026" o:spt="202" type="#_x0000_t202" style="position:absolute;left:0pt;margin-top:-6.7pt;height:19.3pt;width:88.4pt;mso-position-horizontal:outside;mso-position-horizontal-relative:margin;z-index:251659264;mso-width-relative:page;mso-height-relative:page;" filled="f" stroked="f" coordsize="21600,21600" o:gfxdata="UEsDBAoAAAAAAIdO4kAAAAAAAAAAAAAAAAAEAAAAZHJzL1BLAwQUAAAACACHTuJAC+d3h9YAAAAH&#10;AQAADwAAAGRycy9kb3ducmV2LnhtbE2PzU7DMBCE70i8g7VI3Fo7AQKEbCqE4ISEmoYDRyfeJlHj&#10;dYjdH94e9wTH0YxmvilWJzuKA81+cIyQLBUI4taZgTuEz/pt8QDCB81Gj44J4Yc8rMrLi0Lnxh25&#10;osMmdCKWsM81Qh/ClEvp256s9ks3EUdv62arQ5RzJ82sj7HcjjJVKpNWDxwXej3RS0/tbrO3CM9f&#10;XL0O3x/NutpWQ10/Kn7PdojXV4l6AhHoFP7CcMaP6FBGpsbt2XgxIsQjAWGR3NyCONv3WXzSIKR3&#10;KciykP/5y19QSwMEFAAAAAgAh07iQL/7hbrEAQAAgAMAAA4AAABkcnMvZTJvRG9jLnhtbK1TS27b&#10;MBDdF+gdCO5rWUIbBILlAIWRokDRBkh7AJqiLAL8dYa25Au0N+gqm+xzLp+jQ9py2mSTRTbUcGb4&#10;+N4banE1WsN2ClB71/ByNudMOelb7TYN//H9+t0lZxiFa4XxTjV8r5BfLd++WQyhVpXvvWkVMAJx&#10;WA+h4X2MoS4KlL2yAmc+KEfFzoMVkbawKVoQA6FbU1Tz+UUxeGgDeKkQKbs6FvkJEV4C6LtOS7Xy&#10;cmuVi0dUUEZEkoS9DsiXmW3XKRm/dR2qyEzDSWnMK11C8TqtxXIh6g2I0Gt5oiBeQuGJJiu0o0vP&#10;UCsRBduCfgZltQSPvosz6W1xFJIdIRXl/Ik3t70IKmshqzGcTcfXg5VfdzfAdNtwGrsTlgZ++PP7&#10;cPdwuP/FymTPELCmrttAfXH86Ed6NFMeKZlUjx3Y9CU9jOpk7v5srhojk+lQWVUXl1SSVKvefyjL&#10;7H7xeDoAxk/KW5aChgMNL3sqdl8wEhNqnVrSZc5fa2PyAI37L0GNKVMk6keKKYrjejzpWft2T3IG&#10;mnvD8edWgOLMfHZkbHokUwBTsJ6CbQC96fMrSoQSLA0mUzs9ojT5f/e56/HHWf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d3h9YAAAAHAQAADwAAAAAAAAABACAAAAAiAAAAZHJzL2Rvd25yZXYu&#10;eG1sUEsBAhQAFAAAAAgAh07iQL/7hbrEAQAAgAMAAA4AAAAAAAAAAQAgAAAAJQEAAGRycy9lMm9E&#10;b2MueG1sUEsFBgAAAAAGAAYAWQEAAFsFAAAAAA==&#10;">
              <v:fill on="f" focussize="0,0"/>
              <v:stroke on="f"/>
              <v:imagedata o:title=""/>
              <o:lock v:ext="edit" aspectratio="f"/>
              <v:textbox inset="0mm,0mm,0mm,0mm">
                <w:txbxContent>
                  <w:p>
                    <w:pPr>
                      <w:pStyle w:val="8"/>
                      <w:jc w:val="cente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24</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F8DBD"/>
    <w:multiLevelType w:val="singleLevel"/>
    <w:tmpl w:val="A6FF8DBD"/>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01C"/>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494A"/>
    <w:rsid w:val="01B32847"/>
    <w:rsid w:val="029724B9"/>
    <w:rsid w:val="02A26009"/>
    <w:rsid w:val="02A6195C"/>
    <w:rsid w:val="0330488F"/>
    <w:rsid w:val="03DE7AB7"/>
    <w:rsid w:val="04B5292B"/>
    <w:rsid w:val="05294C4C"/>
    <w:rsid w:val="057D1A90"/>
    <w:rsid w:val="05CC3EFD"/>
    <w:rsid w:val="062A34DC"/>
    <w:rsid w:val="07285D68"/>
    <w:rsid w:val="087A08F7"/>
    <w:rsid w:val="09DC35B3"/>
    <w:rsid w:val="0A6209E9"/>
    <w:rsid w:val="0AB06987"/>
    <w:rsid w:val="0AB12382"/>
    <w:rsid w:val="0B1A154E"/>
    <w:rsid w:val="0B2736A8"/>
    <w:rsid w:val="0C432E70"/>
    <w:rsid w:val="0C7859F3"/>
    <w:rsid w:val="0DD67B1D"/>
    <w:rsid w:val="0EB861BC"/>
    <w:rsid w:val="0F570C31"/>
    <w:rsid w:val="0FB649A1"/>
    <w:rsid w:val="10661158"/>
    <w:rsid w:val="10865A10"/>
    <w:rsid w:val="10B35DAA"/>
    <w:rsid w:val="10C055FF"/>
    <w:rsid w:val="11CA0D54"/>
    <w:rsid w:val="11E6281B"/>
    <w:rsid w:val="12012363"/>
    <w:rsid w:val="126A2D95"/>
    <w:rsid w:val="15140919"/>
    <w:rsid w:val="15DF7165"/>
    <w:rsid w:val="15F9196D"/>
    <w:rsid w:val="16131C0B"/>
    <w:rsid w:val="16652D9B"/>
    <w:rsid w:val="16BB723D"/>
    <w:rsid w:val="192F01A0"/>
    <w:rsid w:val="1AE049F0"/>
    <w:rsid w:val="1F3D3AFA"/>
    <w:rsid w:val="212428F9"/>
    <w:rsid w:val="219960DD"/>
    <w:rsid w:val="226A6C30"/>
    <w:rsid w:val="22D74E0B"/>
    <w:rsid w:val="22DB5D94"/>
    <w:rsid w:val="23965363"/>
    <w:rsid w:val="240371BF"/>
    <w:rsid w:val="245C25C4"/>
    <w:rsid w:val="279D042E"/>
    <w:rsid w:val="2816611C"/>
    <w:rsid w:val="28AF2B05"/>
    <w:rsid w:val="290327DE"/>
    <w:rsid w:val="29D74BFC"/>
    <w:rsid w:val="29FD04D3"/>
    <w:rsid w:val="2A251658"/>
    <w:rsid w:val="2C0109D7"/>
    <w:rsid w:val="2CA60895"/>
    <w:rsid w:val="2CD61CC9"/>
    <w:rsid w:val="2D570C57"/>
    <w:rsid w:val="2E3D48E1"/>
    <w:rsid w:val="2E5F5DD3"/>
    <w:rsid w:val="2F556E34"/>
    <w:rsid w:val="2FE1237B"/>
    <w:rsid w:val="30157DDD"/>
    <w:rsid w:val="303364A0"/>
    <w:rsid w:val="30C36FDC"/>
    <w:rsid w:val="319F7F4E"/>
    <w:rsid w:val="32364233"/>
    <w:rsid w:val="356028AA"/>
    <w:rsid w:val="358620A6"/>
    <w:rsid w:val="364D1656"/>
    <w:rsid w:val="37116FFF"/>
    <w:rsid w:val="372E0C54"/>
    <w:rsid w:val="39185236"/>
    <w:rsid w:val="3A1000CC"/>
    <w:rsid w:val="3A24064A"/>
    <w:rsid w:val="3A4D6514"/>
    <w:rsid w:val="3BF00751"/>
    <w:rsid w:val="3D026E36"/>
    <w:rsid w:val="3DEB13A6"/>
    <w:rsid w:val="3DF314C3"/>
    <w:rsid w:val="3E246C0D"/>
    <w:rsid w:val="3FA266F7"/>
    <w:rsid w:val="40CF5D1D"/>
    <w:rsid w:val="41514231"/>
    <w:rsid w:val="425C3E6B"/>
    <w:rsid w:val="42723A82"/>
    <w:rsid w:val="42C66B08"/>
    <w:rsid w:val="436C6336"/>
    <w:rsid w:val="44DB0665"/>
    <w:rsid w:val="45174DAE"/>
    <w:rsid w:val="478E4572"/>
    <w:rsid w:val="47AD6376"/>
    <w:rsid w:val="48A27728"/>
    <w:rsid w:val="49790ED6"/>
    <w:rsid w:val="49F204DC"/>
    <w:rsid w:val="4D95699B"/>
    <w:rsid w:val="4ECE2238"/>
    <w:rsid w:val="4F631253"/>
    <w:rsid w:val="4F941353"/>
    <w:rsid w:val="50BE45E9"/>
    <w:rsid w:val="50EB0BB0"/>
    <w:rsid w:val="527925CF"/>
    <w:rsid w:val="529835A3"/>
    <w:rsid w:val="52D52261"/>
    <w:rsid w:val="538132BE"/>
    <w:rsid w:val="54A078E0"/>
    <w:rsid w:val="558A56F3"/>
    <w:rsid w:val="55D8052C"/>
    <w:rsid w:val="562C5DD1"/>
    <w:rsid w:val="56766BAA"/>
    <w:rsid w:val="57604E93"/>
    <w:rsid w:val="57F475CE"/>
    <w:rsid w:val="5823006E"/>
    <w:rsid w:val="58CF19AE"/>
    <w:rsid w:val="592075EE"/>
    <w:rsid w:val="59B3307B"/>
    <w:rsid w:val="5B832AAE"/>
    <w:rsid w:val="5B86788F"/>
    <w:rsid w:val="5C7B4DE3"/>
    <w:rsid w:val="5D1030EB"/>
    <w:rsid w:val="5DBE0633"/>
    <w:rsid w:val="5E740B72"/>
    <w:rsid w:val="5EC17DF0"/>
    <w:rsid w:val="6033126C"/>
    <w:rsid w:val="606322E7"/>
    <w:rsid w:val="60647096"/>
    <w:rsid w:val="60EA18EA"/>
    <w:rsid w:val="60F15120"/>
    <w:rsid w:val="613D4372"/>
    <w:rsid w:val="61AC4978"/>
    <w:rsid w:val="6261443E"/>
    <w:rsid w:val="63082894"/>
    <w:rsid w:val="6425352A"/>
    <w:rsid w:val="64A00258"/>
    <w:rsid w:val="65310B2C"/>
    <w:rsid w:val="66110FCD"/>
    <w:rsid w:val="667F4158"/>
    <w:rsid w:val="669E0DD1"/>
    <w:rsid w:val="66D44B2F"/>
    <w:rsid w:val="67330019"/>
    <w:rsid w:val="67750010"/>
    <w:rsid w:val="683013C2"/>
    <w:rsid w:val="69DB5172"/>
    <w:rsid w:val="69E42345"/>
    <w:rsid w:val="6A3B5E86"/>
    <w:rsid w:val="6B186521"/>
    <w:rsid w:val="6B4D01FE"/>
    <w:rsid w:val="6C634EC1"/>
    <w:rsid w:val="6C9302B5"/>
    <w:rsid w:val="6DB536A7"/>
    <w:rsid w:val="6ED7795F"/>
    <w:rsid w:val="6FD6757D"/>
    <w:rsid w:val="70D52CA3"/>
    <w:rsid w:val="70EB6CCE"/>
    <w:rsid w:val="72734D90"/>
    <w:rsid w:val="72887B42"/>
    <w:rsid w:val="73523D57"/>
    <w:rsid w:val="74C8536A"/>
    <w:rsid w:val="75B67365"/>
    <w:rsid w:val="75E43E96"/>
    <w:rsid w:val="76754209"/>
    <w:rsid w:val="780145D5"/>
    <w:rsid w:val="78D93ED5"/>
    <w:rsid w:val="78FC55D6"/>
    <w:rsid w:val="7B4F416B"/>
    <w:rsid w:val="7C935293"/>
    <w:rsid w:val="7D2E0B84"/>
    <w:rsid w:val="7D65035B"/>
    <w:rsid w:val="7D82665D"/>
    <w:rsid w:val="7E071E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19"/>
    <w:unhideWhenUsed/>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able of figures"/>
    <w:basedOn w:val="1"/>
    <w:next w:val="1"/>
    <w:qFormat/>
    <w:uiPriority w:val="0"/>
    <w:pPr>
      <w:ind w:left="200" w:leftChars="200" w:hanging="200" w:hangingChars="200"/>
    </w:p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u w:val="single"/>
    </w:rPr>
  </w:style>
  <w:style w:type="character" w:customStyle="1" w:styleId="17">
    <w:name w:val="Foot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批注框文本 Char"/>
    <w:basedOn w:val="14"/>
    <w:link w:val="7"/>
    <w:semiHidden/>
    <w:qFormat/>
    <w:uiPriority w:val="99"/>
    <w:rPr>
      <w:rFonts w:ascii="Times New Roman" w:hAnsi="Times New Roman"/>
      <w:kern w:val="2"/>
      <w:sz w:val="18"/>
      <w:szCs w:val="18"/>
    </w:rPr>
  </w:style>
  <w:style w:type="character" w:customStyle="1" w:styleId="20">
    <w:name w:val="标题 1 Char"/>
    <w:basedOn w:val="14"/>
    <w:link w:val="2"/>
    <w:qFormat/>
    <w:uiPriority w:val="9"/>
    <w:rPr>
      <w:rFonts w:ascii="Times New Roman" w:hAnsi="Times New Roman"/>
      <w:b/>
      <w:bCs/>
      <w:kern w:val="44"/>
      <w:sz w:val="44"/>
      <w:szCs w:val="44"/>
    </w:rPr>
  </w:style>
  <w:style w:type="character" w:customStyle="1" w:styleId="21">
    <w:name w:val="标题 3 Char"/>
    <w:basedOn w:val="14"/>
    <w:link w:val="4"/>
    <w:qFormat/>
    <w:uiPriority w:val="9"/>
    <w:rPr>
      <w:rFonts w:ascii="Times New Roman" w:hAnsi="Times New Roman"/>
      <w:b/>
      <w:bCs/>
      <w:kern w:val="2"/>
      <w:sz w:val="32"/>
      <w:szCs w:val="32"/>
    </w:rPr>
  </w:style>
  <w:style w:type="character" w:customStyle="1" w:styleId="22">
    <w:name w:val="标题 2 Char"/>
    <w:basedOn w:val="14"/>
    <w:link w:val="3"/>
    <w:qFormat/>
    <w:uiPriority w:val="9"/>
    <w:rPr>
      <w:rFonts w:ascii="Cambria" w:hAnsi="Cambria" w:eastAsia="宋体" w:cs="Times New Roman"/>
      <w:b/>
      <w:bCs/>
      <w:kern w:val="2"/>
      <w:sz w:val="32"/>
      <w:szCs w:val="32"/>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页脚 Char"/>
    <w:link w:val="8"/>
    <w:qFormat/>
    <w:locked/>
    <w:uiPriority w:val="99"/>
    <w:rPr>
      <w:sz w:val="18"/>
    </w:rPr>
  </w:style>
  <w:style w:type="character" w:customStyle="1" w:styleId="25">
    <w:name w:val="Header Char"/>
    <w:basedOn w:val="14"/>
    <w:semiHidden/>
    <w:qFormat/>
    <w:uiPriority w:val="99"/>
    <w:rPr>
      <w:rFonts w:ascii="Times New Roman" w:hAnsi="Times New Roman"/>
      <w:sz w:val="18"/>
      <w:szCs w:val="18"/>
    </w:rPr>
  </w:style>
  <w:style w:type="character" w:customStyle="1" w:styleId="26">
    <w:name w:val="正文文本 Char"/>
    <w:link w:val="5"/>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paragraph" w:customStyle="1" w:styleId="28">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9">
    <w:name w:val="TOC Heading"/>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0">
    <w:name w:val="四号正文"/>
    <w:basedOn w:val="1"/>
    <w:qFormat/>
    <w:uiPriority w:val="0"/>
    <w:pPr>
      <w:spacing w:line="360" w:lineRule="auto"/>
    </w:pPr>
    <w:rPr>
      <w:rFonts w:ascii="??" w:hAnsi="??" w:eastAsia="宋体"/>
      <w:color w:val="000000"/>
      <w:kern w:val="0"/>
      <w:sz w:val="28"/>
      <w:szCs w:val="21"/>
      <w:lang w:val="zh-CN"/>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2">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6130;&#25919;&#23616;&#26426;&#2085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6130;&#25919;&#23616;&#26426;&#2085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6130;&#25919;&#23616;&#26426;&#2085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6130;&#25919;&#23616;&#26426;&#2085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6130;&#25919;&#23616;&#26426;&#2085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6130;&#25919;&#23616;&#26426;&#2085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6130;&#25919;&#23616;&#26426;&#208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trendline>
            <c:spPr>
              <a:ln w="19050" cap="rnd">
                <a:solidFill>
                  <a:srgbClr val="4F81BD"/>
                </a:solidFill>
                <a:prstDash val="sysDot"/>
              </a:ln>
              <a:effectLst/>
            </c:spPr>
            <c:trendlineType val="linear"/>
            <c:dispRSqr val="0"/>
            <c:dispEq val="0"/>
          </c:trendline>
          <c:cat>
            <c:strRef>
              <c:f>[财政局机关.xlsx]财政部门!$A$1:$A$2</c:f>
              <c:strCache>
                <c:ptCount val="2"/>
                <c:pt idx="0">
                  <c:v>2019年</c:v>
                </c:pt>
                <c:pt idx="1">
                  <c:v>2020年</c:v>
                </c:pt>
              </c:strCache>
            </c:strRef>
          </c:cat>
          <c:val>
            <c:numRef>
              <c:f>[财政局机关.xlsx]财政部门!$B$1:$B$2</c:f>
              <c:numCache>
                <c:formatCode>General</c:formatCode>
                <c:ptCount val="2"/>
                <c:pt idx="0">
                  <c:v>3277.09</c:v>
                </c:pt>
                <c:pt idx="1">
                  <c:v>6225.24</c:v>
                </c:pt>
              </c:numCache>
            </c:numRef>
          </c:val>
        </c:ser>
        <c:dLbls>
          <c:showLegendKey val="0"/>
          <c:showVal val="1"/>
          <c:showCatName val="0"/>
          <c:showSerName val="0"/>
          <c:showPercent val="0"/>
          <c:showBubbleSize val="0"/>
        </c:dLbls>
        <c:gapWidth val="219"/>
        <c:overlap val="-27"/>
        <c:axId val="102231491"/>
        <c:axId val="472682460"/>
      </c:barChart>
      <c:catAx>
        <c:axId val="10223149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72682460"/>
        <c:crosses val="autoZero"/>
        <c:auto val="1"/>
        <c:lblAlgn val="ctr"/>
        <c:lblOffset val="100"/>
        <c:noMultiLvlLbl val="0"/>
      </c:catAx>
      <c:valAx>
        <c:axId val="472682460"/>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02231491"/>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收入决算结构图（万元）</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一般公共预算财政拨款收入</a:t>
                    </a:r>
                    <a:r>
                      <a:rPr lang="en-US" altLang="zh-CN"/>
                      <a:t>:2579.49</a:t>
                    </a:r>
                    <a:r>
                      <a:t>4</a:t>
                    </a:r>
                    <a:r>
                      <a:rPr lang="en-US" altLang="zh-CN"/>
                      <a:t>1.54</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政府性基金预算财政拨款收入：</a:t>
                    </a:r>
                    <a:r>
                      <a:rPr lang="en-US" altLang="zh-CN"/>
                      <a:t>3053.54</a:t>
                    </a:r>
                    <a:r>
                      <a:t>49</a:t>
                    </a:r>
                    <a:r>
                      <a:rPr lang="en-US" altLang="zh-CN"/>
                      <a:t>.17</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0332469100671302"/>
                  <c:y val="0.17680565913727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国有资本经营预算财政拨款收入</a:t>
                    </a:r>
                    <a:r>
                      <a:rPr lang="en-US" altLang="zh-CN"/>
                      <a:t>:576.66</a:t>
                    </a:r>
                    <a:r>
                      <a:t>9</a:t>
                    </a:r>
                    <a:r>
                      <a:rPr lang="en-US" altLang="zh-CN"/>
                      <a:t>.28</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75"/>
                      <c:h val="0.213888888888889"/>
                    </c:manualLayout>
                  </c15:layout>
                </c:ext>
              </c:extLst>
            </c:dLbl>
            <c:dLbl>
              <c:idx val="3"/>
              <c:layout>
                <c:manualLayout>
                  <c:x val="0.0437783789347684"/>
                  <c:y val="0.10289583024035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其他收入</a:t>
                    </a:r>
                    <a:r>
                      <a:rPr lang="en-US" altLang="zh-CN"/>
                      <a:t>;0.4</a:t>
                    </a:r>
                    <a:endParaRPr lang="en-US" altLang="zh-CN"/>
                  </a:p>
                  <a:p>
                    <a:pPr defTabSz="914400">
                      <a:defRPr lang="zh-CN" sz="900" b="0" i="0" u="none" strike="noStrike" kern="1200" baseline="0">
                        <a:solidFill>
                          <a:srgbClr val="404040">
                            <a:lumMod val="75000"/>
                            <a:lumOff val="25000"/>
                          </a:srgbClr>
                        </a:solidFill>
                        <a:latin typeface="+mn-lt"/>
                        <a:ea typeface="+mn-ea"/>
                        <a:cs typeface="+mn-cs"/>
                      </a:defRPr>
                    </a:pPr>
                    <a:r>
                      <a:rPr lang="en-US" altLang="zh-CN"/>
                      <a:t>0.</a:t>
                    </a:r>
                    <a:r>
                      <a:t>0</a:t>
                    </a:r>
                    <a:r>
                      <a:rPr lang="en-US" altLang="zh-CN"/>
                      <a:t>1</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[财政局机关.xlsx]财政部门!$A$25:$A$28</c:f>
              <c:strCache>
                <c:ptCount val="4"/>
                <c:pt idx="0">
                  <c:v>一般公共预算财政拨款收入</c:v>
                </c:pt>
                <c:pt idx="1">
                  <c:v>政府性基金预算财政拨款收入</c:v>
                </c:pt>
                <c:pt idx="2">
                  <c:v>国有资本经营预算财政拨款收入</c:v>
                </c:pt>
                <c:pt idx="3">
                  <c:v>其他收入</c:v>
                </c:pt>
              </c:strCache>
            </c:strRef>
          </c:cat>
          <c:val>
            <c:numRef>
              <c:f>[财政局机关.xlsx]财政部门!$B$25:$B$28</c:f>
              <c:numCache>
                <c:formatCode>General</c:formatCode>
                <c:ptCount val="4"/>
                <c:pt idx="0">
                  <c:v>2579.49</c:v>
                </c:pt>
                <c:pt idx="1">
                  <c:v>3053.54</c:v>
                </c:pt>
                <c:pt idx="2">
                  <c:v>576.66</c:v>
                </c:pt>
                <c:pt idx="3">
                  <c:v>0.4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manualLayout>
                  <c:x val="-0.1509314125127"/>
                  <c:y val="0.11805075884157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基本支出</a:t>
                    </a:r>
                    <a:r>
                      <a:rPr lang="en-US" altLang="zh-CN"/>
                      <a:t>:1668.11</a:t>
                    </a:r>
                    <a:r>
                      <a:rPr altLang="en-US"/>
                      <a:t>万元</a:t>
                    </a:r>
                    <a:r>
                      <a:t>27%</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1"/>
                      <c:h val="0.113888888888889"/>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项目支出：</a:t>
                    </a:r>
                    <a:r>
                      <a:rPr lang="en-US" altLang="zh-CN"/>
                      <a:t>4542.11</a:t>
                    </a:r>
                    <a:r>
                      <a:rPr altLang="en-US"/>
                      <a:t>万元</a:t>
                    </a:r>
                    <a:r>
                      <a:t>73%</a:t>
                    </a:r>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278194444444444"/>
                      <c:h val="0.11388888888888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[财政局机关.xlsx]财政部门!$A$35:$A$36</c:f>
              <c:strCache>
                <c:ptCount val="2"/>
                <c:pt idx="0">
                  <c:v>基本支出</c:v>
                </c:pt>
                <c:pt idx="1">
                  <c:v>项目支出</c:v>
                </c:pt>
              </c:strCache>
            </c:strRef>
          </c:cat>
          <c:val>
            <c:numRef>
              <c:f>[财政局机关.xlsx]财政部门!$B$35:$B$36</c:f>
              <c:numCache>
                <c:formatCode>General</c:formatCode>
                <c:ptCount val="2"/>
                <c:pt idx="0">
                  <c:v>1668.11</c:v>
                </c:pt>
                <c:pt idx="1">
                  <c:v>4542.11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财政拨款收、支决算总计变动情况</a:t>
            </a:r>
          </a:p>
          <a:p>
            <a:pPr defTabSz="914400">
              <a:defRPr lang="zh-CN" sz="1400" b="0" i="0" u="none" strike="noStrike" kern="1200" spc="0" baseline="0">
                <a:solidFill>
                  <a:srgbClr val="595959">
                    <a:lumMod val="65000"/>
                    <a:lumOff val="35000"/>
                  </a:srgb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trendline>
            <c:spPr>
              <a:ln w="19050" cap="rnd">
                <a:solidFill>
                  <a:srgbClr val="4F81BD"/>
                </a:solidFill>
                <a:prstDash val="sysDot"/>
              </a:ln>
              <a:effectLst/>
            </c:spPr>
            <c:trendlineType val="linear"/>
            <c:dispRSqr val="0"/>
            <c:dispEq val="0"/>
          </c:trendline>
          <c:cat>
            <c:strRef>
              <c:f>[财政局机关.xlsx]财政部门!$A$49:$A$50</c:f>
              <c:strCache>
                <c:ptCount val="2"/>
                <c:pt idx="0">
                  <c:v>2019年</c:v>
                </c:pt>
                <c:pt idx="1">
                  <c:v>2020年</c:v>
                </c:pt>
              </c:strCache>
            </c:strRef>
          </c:cat>
          <c:val>
            <c:numRef>
              <c:f>[财政局机关.xlsx]财政部门!$B$49:$B$50</c:f>
              <c:numCache>
                <c:formatCode>General</c:formatCode>
                <c:ptCount val="2"/>
                <c:pt idx="0">
                  <c:v>3162.02</c:v>
                </c:pt>
                <c:pt idx="1">
                  <c:v>6209.69</c:v>
                </c:pt>
              </c:numCache>
            </c:numRef>
          </c:val>
        </c:ser>
        <c:dLbls>
          <c:showLegendKey val="0"/>
          <c:showVal val="1"/>
          <c:showCatName val="0"/>
          <c:showSerName val="0"/>
          <c:showPercent val="0"/>
          <c:showBubbleSize val="0"/>
        </c:dLbls>
        <c:gapWidth val="219"/>
        <c:overlap val="-27"/>
        <c:axId val="510848876"/>
        <c:axId val="507647447"/>
      </c:barChart>
      <c:catAx>
        <c:axId val="51084887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07647447"/>
        <c:crosses val="autoZero"/>
        <c:auto val="1"/>
        <c:lblAlgn val="ctr"/>
        <c:lblOffset val="100"/>
        <c:noMultiLvlLbl val="0"/>
      </c:catAx>
      <c:valAx>
        <c:axId val="507647447"/>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1084887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一般公共预算财政拨款支出决算变动情况</a:t>
            </a:r>
          </a:p>
          <a:p>
            <a:pPr defTabSz="914400">
              <a:defRPr lang="zh-CN" sz="1400" b="0" i="0" u="none" strike="noStrike" kern="1200" spc="0" baseline="0">
                <a:solidFill>
                  <a:srgbClr val="595959">
                    <a:lumMod val="65000"/>
                    <a:lumOff val="35000"/>
                  </a:srgb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trendline>
            <c:spPr>
              <a:ln w="19050" cap="rnd">
                <a:solidFill>
                  <a:srgbClr val="4F81BD"/>
                </a:solidFill>
                <a:prstDash val="sysDot"/>
              </a:ln>
              <a:effectLst/>
            </c:spPr>
            <c:trendlineType val="linear"/>
            <c:dispRSqr val="0"/>
            <c:dispEq val="0"/>
          </c:trendline>
          <c:cat>
            <c:strRef>
              <c:f>[财政局机关.xlsx]财政部门!$A$68:$A$69</c:f>
              <c:strCache>
                <c:ptCount val="2"/>
                <c:pt idx="0">
                  <c:v>2019年</c:v>
                </c:pt>
                <c:pt idx="1">
                  <c:v>2020年</c:v>
                </c:pt>
              </c:strCache>
            </c:strRef>
          </c:cat>
          <c:val>
            <c:numRef>
              <c:f>[财政局机关.xlsx]财政部门!$B$68:$B$69</c:f>
              <c:numCache>
                <c:formatCode>General</c:formatCode>
                <c:ptCount val="2"/>
                <c:pt idx="0">
                  <c:v>2198.49</c:v>
                </c:pt>
                <c:pt idx="1">
                  <c:v>2579.49</c:v>
                </c:pt>
              </c:numCache>
            </c:numRef>
          </c:val>
        </c:ser>
        <c:dLbls>
          <c:showLegendKey val="0"/>
          <c:showVal val="1"/>
          <c:showCatName val="0"/>
          <c:showSerName val="0"/>
          <c:showPercent val="0"/>
          <c:showBubbleSize val="0"/>
        </c:dLbls>
        <c:gapWidth val="219"/>
        <c:overlap val="-27"/>
        <c:axId val="809301683"/>
        <c:axId val="847386389"/>
      </c:barChart>
      <c:catAx>
        <c:axId val="809301683"/>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47386389"/>
        <c:crosses val="autoZero"/>
        <c:auto val="1"/>
        <c:lblAlgn val="ctr"/>
        <c:lblOffset val="100"/>
        <c:noMultiLvlLbl val="0"/>
      </c:catAx>
      <c:valAx>
        <c:axId val="847386389"/>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09301683"/>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一般公共预算财政拨款支出决算结构</a:t>
            </a:r>
          </a:p>
          <a:p>
            <a:pPr defTabSz="914400">
              <a:defRPr lang="zh-CN" sz="1400" b="0" i="0" u="none" strike="noStrike" kern="1200" spc="0" baseline="0">
                <a:solidFill>
                  <a:srgbClr val="595959">
                    <a:lumMod val="65000"/>
                    <a:lumOff val="35000"/>
                  </a:srgb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Lbls>
            <c:dLbl>
              <c:idx val="1"/>
              <c:layout>
                <c:manualLayout>
                  <c:x val="-0.0357988017802159"/>
                  <c:y val="0.02783213485130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5639004088972"/>
                  <c:y val="-0.0018899624135171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3682025457304"/>
                  <c:y val="-0.007134563246898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28159561219511"/>
                  <c:y val="-0.02623600382133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667350027345734"/>
                  <c:y val="0.0038746363437488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[财政局机关.xlsx]财政部门!$A$86:$A$91</c:f>
              <c:strCache>
                <c:ptCount val="6"/>
                <c:pt idx="0">
                  <c:v>一般公共服务（类）支出</c:v>
                </c:pt>
                <c:pt idx="1">
                  <c:v>教育（类）支出</c:v>
                </c:pt>
                <c:pt idx="2">
                  <c:v>社会保障和就业（类）支出</c:v>
                </c:pt>
                <c:pt idx="3">
                  <c:v>卫生健康（类）支出</c:v>
                </c:pt>
                <c:pt idx="4">
                  <c:v>农林水（类）支出</c:v>
                </c:pt>
                <c:pt idx="5">
                  <c:v>住房保障支出</c:v>
                </c:pt>
              </c:strCache>
            </c:strRef>
          </c:cat>
          <c:val>
            <c:numRef>
              <c:f>[财政局机关.xlsx]财政部门!$B$86:$B$91</c:f>
              <c:numCache>
                <c:formatCode>General</c:formatCode>
                <c:ptCount val="6"/>
                <c:pt idx="0">
                  <c:v>2221.7</c:v>
                </c:pt>
                <c:pt idx="1">
                  <c:v>32.67</c:v>
                </c:pt>
                <c:pt idx="2">
                  <c:v>179.93</c:v>
                </c:pt>
                <c:pt idx="3">
                  <c:v>31.4</c:v>
                </c:pt>
                <c:pt idx="4">
                  <c:v>3</c:v>
                </c:pt>
                <c:pt idx="5">
                  <c:v>110.79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公务用车购置及运行维护费：</a:t>
                    </a:r>
                    <a:r>
                      <a:rPr lang="en-US" altLang="zh-CN"/>
                      <a:t>10.66</a:t>
                    </a:r>
                    <a:r>
                      <a:rPr altLang="en-US"/>
                      <a:t>万元</a:t>
                    </a:r>
                    <a:r>
                      <a:t>9</a:t>
                    </a:r>
                    <a:r>
                      <a:rPr lang="en-US" altLang="zh-CN"/>
                      <a:t>8.8</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275694444444444"/>
                      <c:h val="0.163888888888889"/>
                    </c:manualLayout>
                  </c15:layout>
                </c:ext>
              </c:extLst>
            </c:dLbl>
            <c:dLbl>
              <c:idx val="1"/>
              <c:layout>
                <c:manualLayout>
                  <c:x val="-0.137465682409576"/>
                  <c:y val="0.17917863355482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公务接待费</a:t>
                    </a:r>
                    <a:r>
                      <a:rPr lang="en-US" altLang="zh-CN"/>
                      <a:t>:0.13</a:t>
                    </a:r>
                    <a:r>
                      <a:rPr altLang="en-US"/>
                      <a:t>万元</a:t>
                    </a:r>
                    <a:r>
                      <a:t>1</a:t>
                    </a:r>
                    <a:r>
                      <a:rPr lang="en-US" altLang="zh-CN"/>
                      <a:t>.2</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9027777777778"/>
                      <c:h val="0.195601851851852"/>
                    </c:manualLayout>
                  </c15:layout>
                </c:ext>
              </c:extLst>
            </c:dLbl>
            <c:dLbl>
              <c:idx val="2"/>
              <c:layout>
                <c:manualLayout>
                  <c:x val="0.097915920717097"/>
                  <c:y val="0.14422685184776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因公出国（境）费</a:t>
                    </a:r>
                    <a:r>
                      <a:rPr lang="en-US" altLang="zh-CN"/>
                      <a:t>:0</a:t>
                    </a:r>
                    <a:r>
                      <a:rPr altLang="en-US"/>
                      <a:t>，</a:t>
                    </a:r>
                    <a:r>
                      <a:t>0%</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[财政局机关.xlsx]财政部门!$A$97:$A$99</c:f>
              <c:strCache>
                <c:ptCount val="3"/>
                <c:pt idx="0">
                  <c:v>公务用车购置及运行维护费</c:v>
                </c:pt>
                <c:pt idx="1">
                  <c:v>公务接待费</c:v>
                </c:pt>
                <c:pt idx="2">
                  <c:v>因公出国（境）费</c:v>
                </c:pt>
              </c:strCache>
            </c:strRef>
          </c:cat>
          <c:val>
            <c:numRef>
              <c:f>[财政局机关.xlsx]财政部门!$B$97:$B$99</c:f>
              <c:numCache>
                <c:formatCode>General</c:formatCode>
                <c:ptCount val="3"/>
                <c:pt idx="0">
                  <c:v>10.66</c:v>
                </c:pt>
                <c:pt idx="1">
                  <c:v>0.13</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0</TotalTime>
  <ScaleCrop>false</ScaleCrop>
  <LinksUpToDate>false</LinksUpToDate>
  <CharactersWithSpaces>8536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2021-10-26T06:44:36Z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7E28BFB9FD424863BC848348E6211675</vt:lpwstr>
  </property>
</Properties>
</file>