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475"/>
      <w:bookmarkStart w:id="5" w:name="_Toc15396597"/>
      <w:r>
        <w:rPr>
          <w:rFonts w:hint="eastAsia" w:ascii="方正小标宋简体" w:hAnsi="黑体" w:eastAsia="方正小标宋简体"/>
          <w:color w:val="000000"/>
          <w:sz w:val="72"/>
          <w:szCs w:val="72"/>
        </w:rPr>
        <w:t>20</w:t>
      </w:r>
      <w:r>
        <w:rPr>
          <w:rFonts w:ascii="方正小标宋简体" w:hAnsi="黑体" w:eastAsia="方正小标宋简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hint="eastAsia" w:ascii="方正小标宋简体" w:hAnsi="宋体" w:eastAsia="方正小标宋简体"/>
          <w:color w:val="000000"/>
          <w:sz w:val="72"/>
          <w:szCs w:val="72"/>
          <w:lang w:val="en-US" w:eastAsia="zh-CN"/>
        </w:rPr>
      </w:pPr>
      <w:bookmarkStart w:id="6" w:name="_Toc15396598"/>
      <w:bookmarkStart w:id="7" w:name="_Toc15396476"/>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峨眉山市发展和改</w:t>
      </w:r>
      <w:bookmarkStart w:id="74" w:name="_GoBack"/>
      <w:bookmarkEnd w:id="74"/>
      <w:r>
        <w:rPr>
          <w:rFonts w:hint="eastAsia" w:ascii="方正小标宋简体" w:hAnsi="宋体" w:eastAsia="方正小标宋简体"/>
          <w:color w:val="000000"/>
          <w:sz w:val="72"/>
          <w:szCs w:val="72"/>
        </w:rPr>
        <w:t>改局</w:t>
      </w:r>
      <w:r>
        <w:rPr>
          <w:rFonts w:hint="eastAsia" w:ascii="方正小标宋简体" w:hAnsi="宋体" w:eastAsia="方正小标宋简体"/>
          <w:color w:val="000000"/>
          <w:sz w:val="72"/>
          <w:szCs w:val="72"/>
          <w:lang w:eastAsia="zh-CN"/>
        </w:rPr>
        <w:t>（</w:t>
      </w:r>
      <w:r>
        <w:rPr>
          <w:rFonts w:hint="eastAsia" w:ascii="方正小标宋简体" w:hAnsi="宋体" w:eastAsia="方正小标宋简体"/>
          <w:color w:val="000000"/>
          <w:sz w:val="72"/>
          <w:szCs w:val="72"/>
          <w:lang w:val="en-US" w:eastAsia="zh-CN"/>
        </w:rPr>
        <w:t>本级</w:t>
      </w:r>
      <w:r>
        <w:rPr>
          <w:rFonts w:hint="eastAsia" w:ascii="方正小标宋简体" w:hAnsi="宋体" w:eastAsia="方正小标宋简体"/>
          <w:color w:val="000000"/>
          <w:sz w:val="72"/>
          <w:szCs w:val="72"/>
          <w:lang w:eastAsia="zh-CN"/>
        </w:rPr>
        <w:t>）</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lang w:val="en-US" w:eastAsia="zh-CN"/>
        </w:rPr>
        <w:t>编制说明</w:t>
      </w:r>
    </w:p>
    <w:p>
      <w:pPr>
        <w:adjustRightInd w:val="0"/>
        <w:snapToGrid w:val="0"/>
        <w:jc w:val="center"/>
        <w:outlineLvl w:val="0"/>
        <w:rPr>
          <w:rFonts w:ascii="方正小标宋简体" w:hAnsi="宋体" w:eastAsia="方正小标宋简体"/>
          <w:color w:val="000000"/>
          <w:sz w:val="72"/>
          <w:szCs w:val="72"/>
        </w:rPr>
      </w:pPr>
    </w:p>
    <w:p>
      <w:pPr>
        <w:widowControl/>
        <w:spacing w:line="600" w:lineRule="exact"/>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600" w:lineRule="exact"/>
        <w:jc w:val="center"/>
        <w:rPr>
          <w:rFonts w:ascii="黑体" w:hAnsi="黑体" w:eastAsia="黑体" w:cstheme="minorBidi"/>
          <w:sz w:val="28"/>
          <w:szCs w:val="28"/>
        </w:rPr>
      </w:pPr>
    </w:p>
    <w:p>
      <w:pPr>
        <w:pStyle w:val="10"/>
        <w:spacing w:line="600" w:lineRule="exact"/>
      </w:pPr>
      <w:r>
        <w:rPr>
          <w:rFonts w:hint="eastAsia"/>
        </w:rPr>
        <w:t>公开时间：202</w:t>
      </w:r>
      <w:r>
        <w:t>1</w:t>
      </w:r>
      <w:r>
        <w:rPr>
          <w:rFonts w:hint="eastAsia"/>
        </w:rPr>
        <w:t>年</w:t>
      </w:r>
      <w:r>
        <w:t>10</w:t>
      </w:r>
      <w:r>
        <w:rPr>
          <w:rFonts w:hint="eastAsia"/>
        </w:rPr>
        <w:t>月</w:t>
      </w:r>
      <w:r>
        <w:t>2</w:t>
      </w:r>
      <w:r>
        <w:rPr>
          <w:rFonts w:hint="eastAsia"/>
          <w:lang w:val="en-US" w:eastAsia="zh-CN"/>
        </w:rPr>
        <w:t>6</w:t>
      </w:r>
      <w:r>
        <w:rPr>
          <w:rFonts w:hint="eastAsia"/>
        </w:rPr>
        <w:t>日</w:t>
      </w:r>
    </w:p>
    <w:p>
      <w:pPr>
        <w:spacing w:line="600" w:lineRule="exact"/>
      </w:pPr>
    </w:p>
    <w:p>
      <w:pPr>
        <w:pStyle w:val="10"/>
        <w:adjustRightInd w:val="0"/>
        <w:snapToGrid w:val="0"/>
        <w:spacing w:before="0" w:line="60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600" w:lineRule="exact"/>
        <w:jc w:val="left"/>
        <w:rPr>
          <w:rFonts w:ascii="仿宋" w:hAnsi="仿宋" w:eastAsia="仿宋"/>
          <w:sz w:val="24"/>
        </w:rPr>
      </w:pPr>
      <w:r>
        <w:rPr>
          <w:rFonts w:hint="eastAsia"/>
          <w:sz w:val="24"/>
        </w:rPr>
        <w:t>一、基本职能及主要工作</w:t>
      </w:r>
    </w:p>
    <w:p>
      <w:pPr>
        <w:pStyle w:val="11"/>
        <w:adjustRightInd w:val="0"/>
        <w:snapToGrid w:val="0"/>
        <w:spacing w:line="60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600" w:lineRule="exact"/>
        <w:jc w:val="left"/>
        <w:rPr>
          <w:sz w:val="24"/>
          <w:szCs w:val="24"/>
        </w:rPr>
      </w:pPr>
      <w:r>
        <w:rPr>
          <w:rFonts w:hint="eastAsia"/>
          <w:sz w:val="24"/>
        </w:rPr>
        <w:t>第二部分度部门决算情况说明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60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60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60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60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60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600" w:lineRule="exact"/>
        <w:ind w:left="0" w:leftChars="0" w:firstLine="0" w:firstLineChars="0"/>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60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600" w:lineRule="exact"/>
        <w:jc w:val="left"/>
        <w:rPr>
          <w:rFonts w:hint="eastAsia"/>
          <w:sz w:val="24"/>
        </w:rPr>
      </w:pPr>
      <w:r>
        <w:rPr>
          <w:rFonts w:hint="eastAsia" w:ascii="仿宋" w:hAnsi="仿宋" w:eastAsia="仿宋"/>
          <w:sz w:val="24"/>
        </w:rPr>
        <w:t>十三</w:t>
      </w:r>
      <w:r>
        <w:rPr>
          <w:rFonts w:hint="eastAsia"/>
          <w:sz w:val="24"/>
        </w:rPr>
        <w:t>、</w:t>
      </w:r>
      <w:r>
        <w:rPr>
          <w:rFonts w:hint="eastAsia"/>
          <w:sz w:val="24"/>
          <w:lang w:val="en-US" w:eastAsia="zh-CN"/>
        </w:rPr>
        <w:t>国有资本经营预算财政拨款收入支出决算表</w:t>
      </w:r>
    </w:p>
    <w:p>
      <w:pPr>
        <w:pStyle w:val="11"/>
        <w:adjustRightInd w:val="0"/>
        <w:snapToGrid w:val="0"/>
        <w:spacing w:line="600" w:lineRule="exact"/>
        <w:jc w:val="left"/>
        <w:rPr>
          <w:rFonts w:hint="eastAsia"/>
          <w:sz w:val="24"/>
        </w:rPr>
      </w:pPr>
      <w:r>
        <w:rPr>
          <w:rFonts w:hint="eastAsia" w:ascii="仿宋" w:hAnsi="仿宋" w:eastAsia="仿宋"/>
          <w:sz w:val="24"/>
          <w:lang w:val="en-US" w:eastAsia="zh-CN"/>
        </w:rPr>
        <w:t>十四</w:t>
      </w:r>
      <w:r>
        <w:rPr>
          <w:rFonts w:hint="eastAsia"/>
          <w:sz w:val="24"/>
          <w:lang w:val="en-US" w:eastAsia="zh-CN"/>
        </w:rPr>
        <w:t>、</w:t>
      </w:r>
      <w:r>
        <w:rPr>
          <w:rFonts w:hint="eastAsia"/>
          <w:sz w:val="24"/>
        </w:rPr>
        <w:t>国有资本经营预算财政拨款支出决算表</w:t>
      </w:r>
    </w:p>
    <w:p>
      <w:pPr>
        <w:widowControl/>
        <w:adjustRightInd w:val="0"/>
        <w:snapToGrid w:val="0"/>
        <w:spacing w:line="600" w:lineRule="exact"/>
        <w:ind w:firstLine="1320" w:firstLineChars="550"/>
        <w:jc w:val="left"/>
        <w:rPr>
          <w:rFonts w:ascii="仿宋" w:hAnsi="仿宋" w:eastAsia="仿宋"/>
          <w:color w:val="FF0000"/>
          <w:sz w:val="24"/>
        </w:rPr>
      </w:pPr>
    </w:p>
    <w:p>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spacing w:line="600" w:lineRule="exact"/>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spacing w:line="600" w:lineRule="exact"/>
        <w:jc w:val="left"/>
        <w:rPr>
          <w:rFonts w:ascii="黑体" w:eastAsia="黑体"/>
          <w:color w:val="000000"/>
          <w:sz w:val="32"/>
          <w:szCs w:val="32"/>
        </w:rPr>
      </w:pPr>
    </w:p>
    <w:p>
      <w:pPr>
        <w:pStyle w:val="3"/>
        <w:spacing w:line="600" w:lineRule="exact"/>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600" w:lineRule="exact"/>
        <w:ind w:firstLine="640" w:firstLineChars="200"/>
        <w:rPr>
          <w:rFonts w:ascii="仿宋_GB2312" w:eastAsia="仿宋_GB2312" w:hAnsiTheme="minorEastAsia"/>
          <w:sz w:val="32"/>
          <w:szCs w:val="32"/>
        </w:rPr>
      </w:pPr>
      <w:bookmarkStart w:id="16" w:name="_Toc15378446"/>
      <w:bookmarkStart w:id="17" w:name="_Toc15377199"/>
      <w:r>
        <w:rPr>
          <w:rFonts w:hint="eastAsia" w:ascii="仿宋_GB2312" w:eastAsia="仿宋_GB2312" w:hAnsiTheme="minorEastAsia"/>
          <w:sz w:val="32"/>
          <w:szCs w:val="32"/>
        </w:rPr>
        <w:t>（一）主要职能</w:t>
      </w:r>
      <w:r>
        <w:rPr>
          <w:rFonts w:ascii="仿宋_GB2312" w:hAnsi="宋体" w:eastAsia="仿宋_GB2312" w:cs="宋体"/>
          <w:color w:val="000000"/>
          <w:kern w:val="0"/>
          <w:sz w:val="32"/>
          <w:szCs w:val="32"/>
          <w:shd w:val="clear" w:color="auto" w:fill="FFFFFF"/>
          <w:lang w:val="zh-CN"/>
        </w:rPr>
        <w:t xml:space="preserve"> </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hint="eastAsia" w:ascii="仿宋_GB2312" w:eastAsia="仿宋_GB2312"/>
          <w:kern w:val="0"/>
          <w:sz w:val="32"/>
          <w:szCs w:val="32"/>
        </w:rPr>
        <w:t>6、负责全市投资宏观管理和协调推进重大项目建设。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kern w:val="0"/>
          <w:sz w:val="32"/>
          <w:szCs w:val="32"/>
        </w:rPr>
        <w:t>、</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8</w:t>
      </w:r>
      <w:r>
        <w:rPr>
          <w:rFonts w:hint="eastAsia" w:ascii="仿宋_GB2312" w:eastAsia="仿宋_GB2312"/>
          <w:kern w:val="0"/>
          <w:sz w:val="32"/>
          <w:szCs w:val="32"/>
        </w:rPr>
        <w:t>、承办市政府交办的其他事项。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6"/>
      <w:bookmarkEnd w:id="17"/>
    </w:p>
    <w:p>
      <w:pPr>
        <w:ind w:firstLine="640" w:firstLineChars="200"/>
        <w:rPr>
          <w:rFonts w:hint="eastAsia" w:ascii="仿宋_GB2312" w:hAnsi="仿宋_GB2312" w:eastAsia="仿宋_GB2312" w:cs="仿宋_GB2312"/>
          <w:sz w:val="32"/>
          <w:szCs w:val="32"/>
        </w:rPr>
      </w:pPr>
      <w:bookmarkStart w:id="18" w:name="_Toc15377200"/>
      <w:bookmarkStart w:id="19" w:name="_Toc15396601"/>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、理清发展思路，高质量编写“十四五”规划。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是谋划“十四五”经济社会发展之年，全市上下需集中力量高质量完成“十四五”经济和社会发展各项规划编制工作和“十三五”评估总结。通过规划编制，凝聚共识，进一步和举措，为下一步经济发展明确路径，切实发挥政府对经济发展的引领作用，认真谋划“十四五”储备项目，争取更多的项目挤进国家、省规划的笼子和资金的盘子。同时要突出发展规划引领，推动“多规合一”，确保全市规划体系从一而终贯彻市委、市政府的决策部署，做到规范高效，切实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、加强经济形势分析，优化经济发展环境。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加强经济运行分析。全力做好季调度月分析工作，努力克服疫情对经济运行产生的不利影响，及时提出针对性的政策措施建议，定期形成经济运行分析报告，确保全市经济平稳健康运行。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经济社会发展重大政策研究。牵头组织国省已经出台或后续即将出台的重大政策研究，对《关于深入推进县级市改革激发经济社会活力的意见》、我市融入成渝“双城”经济圈发展、协同推进区域经济协调发展、持续推进县域经济高质量发展等重大政策进行深入研究，提出符合我市发展的重大政策、重大改革、重大项目、重大事项建议意见，充分发挥市委、市政府在经济社会发展方面的参谋助手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优化营商环境，强化事中事后监管。贯彻落实《优化营商环境条例》和省市深化“放管服”改革优化营商环境行动计划，深化工程项目建设和商事登记等审批制度改革，扩大“一网通办”覆盖面，进一步压减涉及市场主体政务服务事项流程、时限。按照《政府投资条例》《企业投资项目事中事后监管办法》，强化投资项目事中事后监管，对备案类项目，按照“双随机一公开”原则进行核查。拟出台《峨眉山市投资项目网上管理暂行办法》，切实完善网上办理相关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节能监管。对已进行节能审查的项目，按进度进行节能验收。严格按照重点企业能耗“双控”相关要求，指导域内重点用能单位提升节能管理水平和提高节能工艺水平，如期完成“十三五”节能目标。统筹抓好大气污染防治、水环境污染防治、土壤污染防治、小水电清理整顿、能源节约利用等环保方面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筹抓好农村“六网”基础设施建设。对标乡村振兴先进县目标，尤其是主动抓好农村公路网建设和农村电网建设工作。统筹谋划、主动对接，全力策划包装有关农业农村、乡村振兴、能源利用、污染防治、长江经济带绿色发展等方面的项目，尽最大可能争取中央预算内、省预内投资政策支持。全力推进国家级农村产业融合发展示范园创建工作，确保创建成功。全力协助市农业农村局做好人居环境整治项目，指导好中央资金的使用和管理。配合农业农村局做好 2020年中央预算内投资高标准农田建设。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、努力抓好项目投资工作，促进经济持续稳定发展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全力推进全社会固定资产投资再上新台阶。牵头起草《2020 年峨眉山市 “文旅兴市年”经济主题工作方案》，并经市委办公室、市政府办公室、景区管委会办公室三办名义联合印发。按照跳起摸高的原则，制定投资目标任务及项目入库目标任务，分解下达到10个投资责任部门，每月通报投资完成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动挂图作战项目落地落实。牵头制定工作方案，以三办名义印发实施，明确职能职责和项目推进目标，严格按照“五个一”“六包”“四主”的原则，加强项目推进，每月汇总全市“挂图作战”项目存在问题和进展情况，严格对标落实，编辑印送《项目与投资》，分送各项目指挥长和相关单位，以问题为导索，促进项目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项目资金争取。提前谋划积极对上争取资金，围绕重大基础设施和公用事业补短板领域强化项目策划包装，提前谋划2021年资金争取项目；围绕《峨眉山市项目策划储备转化工作方案》，策划一批具有较强前瞻性、战略性和可实施性的重大项目，并加快项目前期工作，努力实现策划储备一批、开工建设一批、竣工验收一批良性循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致力提升信用信息工作效能。制定《峨眉山市社会信用体系建设工作方案》明确职能职责。围绕用人单位劳动保障诚信、卫生健康机构法律意识和诚信、农村信用、公务员诚信、粮食行业安全等重点领域，严格惩戒措施。围绕电信网络诈骗、互联网虚假信息、生态环境保护失信行为等19个诚信缺失专项突出问题，严厉打击失信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、做好定价监管，维护价格秩序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价格调查。按照省、乐山市、峨眉山市要求，首先完成好疫情期间的价格监测汇总汇报工作；完成天然气、自来水、电价执行情况价格调查；完成水电气工程安装价格情况调查；完成农村水利工程价格执行情况调查。为省价格决策提供真实有效的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做好价格临时补贴发放。根据乐山市要求，协调好财政、教育、民政、社保、军人事务局，确保价格临时补贴按照标准发放到位。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做好输配气、殡葬服务价格制定工作。根据成本监审情况，按照政府制定价格行为规范的要求，做好我市输配气价格和殡葬服务价格的制定工作。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做好政府定价执行情况收集整理。对新旧政府定价文件的执行情况，进行专项检查，总结政策执行中出现的问题、探索价格改革的思路。做好行政事业性收费执行情况监管和粮食行政执法，进一步清理规范行业协会收费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、注重创新驱动体制、培育科技创新主体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大力发展高新技术产业，培育高新技术企业、科技型中小企业。做强做大光纤光缆、新材料、生物医药等高新技术产业，积极培育高新技术企业，力争认定高新技术企业3家，入库国家科技型中小企业18家。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大力推进科技成果的转化、应用和推广。一是积极支持企业与大专院校科研院所建立产学研联合体，引进转化大专院校科研院所科技成果；二是全市技术合同成交额达2250万元以上。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持续推进“大众创业万众创新”工作。继续开展创新创业大赛、举办双创活动周，全面推进大众创业万众创新。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引导全社会加强科技投入，全市R&amp;D经费达2.5亿元以上。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、加强党的建设，提升干部队伍素质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治引领、提高站位。要毫不动摇的把党的政治建设摆在首位，严格遵守政治纪律和政治规矩，不断提高政治觉悟和政治能力，以实际行动诠释对党的忠诚。持续推进“两学一做”学习教育常态化制度化，读原文、学原著、悟原理。要按照市委的部署，深化“不忘初心、牢记使命”主题教育，确保主题教育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抓好党建、带好队伍。深入贯彻党的十九届四中全会精神，自觉强化政治意识、大局意识、核心意识和看齐意识。要严肃党内政治生活，认真落实党内政治生活有关规定，增强党内政治生活的政治性、时代性、原则性、战斗性，充分发挥基层党组织的战斗堡垒作用。严格执行“三会一课”、民主生活会，坚持好民主集中制，不断深化“群众路线”、“三严三实”、“两学一做”等系列教育实践活动的成果，建立健全长效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机关建设，进一步转变作风。要以“抓宏观、抓综合、抓战略、出大策、谋大事、破难题”的高标准，立足于全局抓工作。要加强学习思考，继续以开展创建团结学习型、务实高效型、创新进取型、清正廉洁型“四型机关”为载体，推动全局机关作风的转变。要坚持出实招、干实事、求实效，以务实的作风和创新的办法，全面抓好各项重点任务的落实，尽力为市委市政府分忧解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真落实党风廉政建设责任制。坚持“标本兼治、综合治理、惩防并举、注重预防”的方针，不断加强反腐倡廉建设力度，严格干部队伍管理。认真落实“一把手”负总责，分管同志各负其责，严格履行“一岗双责”。认真开展廉政教育、警示教育。驰而不息纠正“四风”，坚持把廉洁作为党员干部的立身之本、处事之道和为政之要。提高机关办事效率和工作质量，进一步提升机关形象。</w:t>
      </w:r>
    </w:p>
    <w:p>
      <w:pPr>
        <w:pStyle w:val="3"/>
        <w:spacing w:line="600" w:lineRule="exact"/>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spacing w:line="600" w:lineRule="exact"/>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eastAsia="zh-CN"/>
        </w:rPr>
        <w:t>发展和改革局（</w:t>
      </w:r>
      <w:r>
        <w:rPr>
          <w:rFonts w:hint="eastAsia" w:ascii="仿宋" w:hAnsi="仿宋" w:eastAsia="仿宋"/>
          <w:sz w:val="32"/>
          <w:szCs w:val="32"/>
          <w:lang w:val="en-US" w:eastAsia="zh-CN"/>
        </w:rPr>
        <w:t>本级</w:t>
      </w:r>
      <w:r>
        <w:rPr>
          <w:rFonts w:hint="eastAsia" w:ascii="仿宋" w:hAnsi="仿宋" w:eastAsia="仿宋"/>
          <w:sz w:val="32"/>
          <w:szCs w:val="32"/>
          <w:lang w:eastAsia="zh-CN"/>
        </w:rPr>
        <w:t>）</w:t>
      </w:r>
      <w:r>
        <w:rPr>
          <w:rFonts w:hint="eastAsia" w:ascii="仿宋" w:hAnsi="仿宋" w:eastAsia="仿宋"/>
          <w:sz w:val="32"/>
          <w:szCs w:val="32"/>
        </w:rPr>
        <w:t>下属二级单位2个，其中行政单位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个，其他事业单位2个。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年度部门决算编制范围的二级预算单位包括：</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无</w:t>
      </w:r>
      <w:r>
        <w:rPr>
          <w:rFonts w:ascii="仿宋" w:hAnsi="仿宋" w:eastAsia="仿宋"/>
          <w:color w:val="000000"/>
          <w:sz w:val="32"/>
          <w:szCs w:val="32"/>
        </w:rPr>
        <w:br w:type="page"/>
      </w:r>
    </w:p>
    <w:p>
      <w:pPr>
        <w:pStyle w:val="2"/>
        <w:spacing w:line="600" w:lineRule="exact"/>
        <w:ind w:right="440"/>
        <w:jc w:val="right"/>
        <w:rPr>
          <w:rStyle w:val="25"/>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ascii="黑体" w:hAnsi="黑体" w:eastAsia="黑体"/>
          <w:b w:val="0"/>
          <w:bCs w:val="0"/>
        </w:rPr>
        <w:t>20</w:t>
      </w:r>
      <w:r>
        <w:rPr>
          <w:rStyle w:val="25"/>
          <w:rFonts w:hint="eastAsia" w:ascii="黑体" w:hAnsi="黑体" w:eastAsia="黑体"/>
          <w:b w:val="0"/>
          <w:bCs w:val="0"/>
        </w:rPr>
        <w:t>年度部门决算情况说明</w:t>
      </w:r>
      <w:bookmarkEnd w:id="20"/>
      <w:bookmarkEnd w:id="21"/>
    </w:p>
    <w:p>
      <w:pPr>
        <w:spacing w:line="600" w:lineRule="exact"/>
      </w:pPr>
    </w:p>
    <w:p>
      <w:pPr>
        <w:pStyle w:val="24"/>
        <w:numPr>
          <w:ilvl w:val="0"/>
          <w:numId w:val="1"/>
        </w:numPr>
        <w:spacing w:line="600" w:lineRule="exact"/>
        <w:ind w:firstLineChars="0"/>
        <w:outlineLvl w:val="1"/>
        <w:rPr>
          <w:rStyle w:val="26"/>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20</w:t>
      </w:r>
      <w:r>
        <w:rPr>
          <w:rFonts w:hint="eastAsia" w:ascii="仿宋" w:hAnsi="仿宋" w:eastAsia="仿宋"/>
          <w:color w:val="000000"/>
          <w:sz w:val="32"/>
          <w:szCs w:val="32"/>
        </w:rPr>
        <w:t>年度收入总计</w:t>
      </w:r>
      <w:r>
        <w:rPr>
          <w:rFonts w:ascii="仿宋" w:hAnsi="仿宋" w:eastAsia="仿宋"/>
          <w:color w:val="000000"/>
          <w:sz w:val="32"/>
          <w:szCs w:val="32"/>
        </w:rPr>
        <w:t>1140.83</w:t>
      </w:r>
      <w:r>
        <w:rPr>
          <w:rFonts w:hint="eastAsia" w:ascii="仿宋" w:hAnsi="仿宋" w:eastAsia="仿宋"/>
          <w:color w:val="000000"/>
          <w:sz w:val="32"/>
          <w:szCs w:val="32"/>
        </w:rPr>
        <w:t>万元，与201</w:t>
      </w:r>
      <w:r>
        <w:rPr>
          <w:rFonts w:ascii="仿宋" w:hAnsi="仿宋" w:eastAsia="仿宋"/>
          <w:color w:val="000000"/>
          <w:sz w:val="32"/>
          <w:szCs w:val="32"/>
        </w:rPr>
        <w:t>9</w:t>
      </w:r>
      <w:r>
        <w:rPr>
          <w:rFonts w:hint="eastAsia" w:ascii="仿宋" w:hAnsi="仿宋" w:eastAsia="仿宋"/>
          <w:color w:val="000000"/>
          <w:sz w:val="32"/>
          <w:szCs w:val="32"/>
        </w:rPr>
        <w:t>年相比，收入总计减少</w:t>
      </w:r>
      <w:r>
        <w:rPr>
          <w:rFonts w:ascii="仿宋" w:hAnsi="仿宋" w:eastAsia="仿宋"/>
          <w:color w:val="000000"/>
          <w:sz w:val="32"/>
          <w:szCs w:val="32"/>
        </w:rPr>
        <w:t>599.47</w:t>
      </w:r>
      <w:r>
        <w:rPr>
          <w:rFonts w:hint="eastAsia" w:ascii="仿宋" w:hAnsi="仿宋" w:eastAsia="仿宋"/>
          <w:color w:val="000000"/>
          <w:sz w:val="32"/>
          <w:szCs w:val="32"/>
        </w:rPr>
        <w:t>万元，下降</w:t>
      </w:r>
      <w:r>
        <w:rPr>
          <w:rFonts w:ascii="仿宋" w:hAnsi="仿宋" w:eastAsia="仿宋"/>
          <w:color w:val="000000"/>
          <w:sz w:val="32"/>
          <w:szCs w:val="32"/>
        </w:rPr>
        <w:t>34.45%</w:t>
      </w:r>
      <w:r>
        <w:rPr>
          <w:rFonts w:hint="eastAsia" w:ascii="仿宋" w:hAnsi="仿宋" w:eastAsia="仿宋"/>
          <w:color w:val="000000"/>
          <w:sz w:val="32"/>
          <w:szCs w:val="32"/>
        </w:rPr>
        <w:t>，20</w:t>
      </w:r>
      <w:r>
        <w:rPr>
          <w:rFonts w:ascii="仿宋" w:hAnsi="仿宋" w:eastAsia="仿宋"/>
          <w:color w:val="000000"/>
          <w:sz w:val="32"/>
          <w:szCs w:val="32"/>
        </w:rPr>
        <w:t>20</w:t>
      </w:r>
      <w:r>
        <w:rPr>
          <w:rFonts w:hint="eastAsia" w:ascii="仿宋" w:hAnsi="仿宋" w:eastAsia="仿宋"/>
          <w:color w:val="000000"/>
          <w:sz w:val="32"/>
          <w:szCs w:val="32"/>
        </w:rPr>
        <w:t>年度支出总计</w:t>
      </w:r>
      <w:r>
        <w:rPr>
          <w:rFonts w:ascii="仿宋" w:hAnsi="仿宋" w:eastAsia="仿宋"/>
          <w:color w:val="000000"/>
          <w:sz w:val="32"/>
          <w:szCs w:val="32"/>
        </w:rPr>
        <w:t>791.20</w:t>
      </w:r>
      <w:r>
        <w:rPr>
          <w:rFonts w:hint="eastAsia" w:ascii="仿宋" w:hAnsi="仿宋" w:eastAsia="仿宋"/>
          <w:color w:val="000000"/>
          <w:sz w:val="32"/>
          <w:szCs w:val="32"/>
        </w:rPr>
        <w:t>万元，与201</w:t>
      </w:r>
      <w:r>
        <w:rPr>
          <w:rFonts w:ascii="仿宋" w:hAnsi="仿宋" w:eastAsia="仿宋"/>
          <w:color w:val="000000"/>
          <w:sz w:val="32"/>
          <w:szCs w:val="32"/>
        </w:rPr>
        <w:t>9</w:t>
      </w:r>
      <w:r>
        <w:rPr>
          <w:rFonts w:hint="eastAsia" w:ascii="仿宋" w:hAnsi="仿宋" w:eastAsia="仿宋"/>
          <w:color w:val="000000"/>
          <w:sz w:val="32"/>
          <w:szCs w:val="32"/>
        </w:rPr>
        <w:t>年相比，支出总计减少</w:t>
      </w:r>
      <w:r>
        <w:rPr>
          <w:rFonts w:ascii="仿宋" w:hAnsi="仿宋" w:eastAsia="仿宋"/>
          <w:color w:val="000000"/>
          <w:sz w:val="32"/>
          <w:szCs w:val="32"/>
        </w:rPr>
        <w:t>1165.91</w:t>
      </w:r>
      <w:r>
        <w:rPr>
          <w:rFonts w:hint="eastAsia" w:ascii="仿宋" w:hAnsi="仿宋" w:eastAsia="仿宋"/>
          <w:color w:val="000000"/>
          <w:sz w:val="32"/>
          <w:szCs w:val="32"/>
        </w:rPr>
        <w:t>万元，下降</w:t>
      </w:r>
      <w:r>
        <w:rPr>
          <w:rFonts w:ascii="仿宋" w:hAnsi="仿宋" w:eastAsia="仿宋"/>
          <w:color w:val="000000"/>
          <w:sz w:val="32"/>
          <w:szCs w:val="32"/>
        </w:rPr>
        <w:t>59.57%</w:t>
      </w:r>
      <w:r>
        <w:rPr>
          <w:rFonts w:hint="eastAsia" w:ascii="仿宋" w:hAnsi="仿宋" w:eastAsia="仿宋"/>
          <w:color w:val="000000"/>
          <w:sz w:val="32"/>
          <w:szCs w:val="32"/>
        </w:rPr>
        <w:t>，主要变动原因是严格执行预算控制,财政大幅压缩项目。</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-47625</wp:posOffset>
            </wp:positionH>
            <wp:positionV relativeFrom="paragraph">
              <wp:posOffset>439420</wp:posOffset>
            </wp:positionV>
            <wp:extent cx="5274310" cy="307657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1140.83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1011.93</w:t>
      </w:r>
      <w:r>
        <w:rPr>
          <w:rFonts w:hint="eastAsia" w:ascii="仿宋" w:hAnsi="仿宋" w:eastAsia="仿宋"/>
          <w:color w:val="000000"/>
          <w:sz w:val="32"/>
          <w:szCs w:val="32"/>
        </w:rPr>
        <w:t>万元，占</w:t>
      </w:r>
      <w:r>
        <w:rPr>
          <w:rFonts w:ascii="仿宋" w:hAnsi="仿宋" w:eastAsia="仿宋"/>
          <w:color w:val="000000"/>
          <w:sz w:val="32"/>
          <w:szCs w:val="32"/>
        </w:rPr>
        <w:t>88.70%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128.90</w:t>
      </w:r>
      <w:r>
        <w:rPr>
          <w:rFonts w:hint="eastAsia" w:ascii="仿宋" w:hAnsi="仿宋" w:eastAsia="仿宋"/>
          <w:color w:val="000000"/>
          <w:sz w:val="32"/>
          <w:szCs w:val="32"/>
        </w:rPr>
        <w:t>万元，占</w:t>
      </w:r>
      <w:r>
        <w:rPr>
          <w:rFonts w:ascii="仿宋" w:hAnsi="仿宋" w:eastAsia="仿宋"/>
          <w:color w:val="000000"/>
          <w:sz w:val="32"/>
          <w:szCs w:val="32"/>
        </w:rPr>
        <w:t>11.30%</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-104775</wp:posOffset>
            </wp:positionH>
            <wp:positionV relativeFrom="paragraph">
              <wp:posOffset>447675</wp:posOffset>
            </wp:positionV>
            <wp:extent cx="5512435" cy="3381375"/>
            <wp:effectExtent l="0" t="0" r="0" b="0"/>
            <wp:wrapTight wrapText="bothSides">
              <wp:wrapPolygon>
                <wp:start x="0" y="0"/>
                <wp:lineTo x="0" y="21539"/>
                <wp:lineTo x="21573" y="21539"/>
                <wp:lineTo x="21573"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791.20</w:t>
      </w:r>
      <w:r>
        <w:rPr>
          <w:rFonts w:hint="eastAsia" w:ascii="仿宋" w:hAnsi="仿宋" w:eastAsia="仿宋"/>
          <w:color w:val="000000"/>
          <w:sz w:val="32"/>
          <w:szCs w:val="32"/>
        </w:rPr>
        <w:t>万元，其中：基本支出</w:t>
      </w:r>
      <w:r>
        <w:rPr>
          <w:rFonts w:ascii="仿宋" w:hAnsi="仿宋" w:eastAsia="仿宋"/>
          <w:color w:val="000000"/>
          <w:sz w:val="32"/>
          <w:szCs w:val="32"/>
        </w:rPr>
        <w:t>570.61</w:t>
      </w:r>
      <w:r>
        <w:rPr>
          <w:rFonts w:hint="eastAsia" w:ascii="仿宋" w:hAnsi="仿宋" w:eastAsia="仿宋"/>
          <w:color w:val="000000"/>
          <w:sz w:val="32"/>
          <w:szCs w:val="32"/>
        </w:rPr>
        <w:t>万元，占</w:t>
      </w:r>
      <w:r>
        <w:rPr>
          <w:rFonts w:ascii="仿宋" w:hAnsi="仿宋" w:eastAsia="仿宋"/>
          <w:color w:val="000000"/>
          <w:sz w:val="32"/>
          <w:szCs w:val="32"/>
        </w:rPr>
        <w:t>72.12%</w:t>
      </w:r>
      <w:r>
        <w:rPr>
          <w:rFonts w:hint="eastAsia" w:ascii="仿宋" w:hAnsi="仿宋" w:eastAsia="仿宋"/>
          <w:color w:val="000000"/>
          <w:sz w:val="32"/>
          <w:szCs w:val="32"/>
        </w:rPr>
        <w:t>；项目支出</w:t>
      </w:r>
      <w:r>
        <w:rPr>
          <w:rFonts w:ascii="仿宋" w:hAnsi="仿宋" w:eastAsia="仿宋"/>
          <w:color w:val="000000"/>
          <w:sz w:val="32"/>
          <w:szCs w:val="32"/>
        </w:rPr>
        <w:t>220.59</w:t>
      </w:r>
      <w:r>
        <w:rPr>
          <w:rFonts w:hint="eastAsia" w:ascii="仿宋" w:hAnsi="仿宋" w:eastAsia="仿宋"/>
          <w:color w:val="000000"/>
          <w:sz w:val="32"/>
          <w:szCs w:val="32"/>
        </w:rPr>
        <w:t>万元，占</w:t>
      </w:r>
      <w:r>
        <w:rPr>
          <w:rFonts w:ascii="仿宋" w:hAnsi="仿宋" w:eastAsia="仿宋"/>
          <w:color w:val="000000"/>
          <w:sz w:val="32"/>
          <w:szCs w:val="32"/>
        </w:rPr>
        <w:t>27.88%</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2336" behindDoc="1" locked="0" layoutInCell="1" allowOverlap="1">
            <wp:simplePos x="0" y="0"/>
            <wp:positionH relativeFrom="column">
              <wp:posOffset>209550</wp:posOffset>
            </wp:positionH>
            <wp:positionV relativeFrom="paragraph">
              <wp:posOffset>471805</wp:posOffset>
            </wp:positionV>
            <wp:extent cx="5274310" cy="3076575"/>
            <wp:effectExtent l="0" t="0" r="0" b="0"/>
            <wp:wrapTight wrapText="bothSides">
              <wp:wrapPolygon>
                <wp:start x="0" y="0"/>
                <wp:lineTo x="0" y="21533"/>
                <wp:lineTo x="21532" y="21533"/>
                <wp:lineTo x="21532"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6"/>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年财政拨款收入总计</w:t>
      </w:r>
      <w:r>
        <w:rPr>
          <w:rFonts w:ascii="仿宋" w:hAnsi="仿宋" w:eastAsia="仿宋"/>
          <w:color w:val="000000"/>
          <w:sz w:val="32"/>
          <w:szCs w:val="32"/>
        </w:rPr>
        <w:t>1140.83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年相比，财政拨款收入总计减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599.47</w:t>
      </w:r>
      <w:r>
        <w:rPr>
          <w:rFonts w:hint="eastAsia" w:ascii="仿宋" w:hAnsi="仿宋" w:eastAsia="仿宋"/>
          <w:color w:val="000000"/>
          <w:sz w:val="32"/>
          <w:szCs w:val="32"/>
        </w:rPr>
        <w:t>万元，</w:t>
      </w:r>
      <w:r>
        <w:rPr>
          <w:rFonts w:ascii="仿宋" w:hAnsi="仿宋" w:eastAsia="仿宋"/>
          <w:color w:val="000000"/>
          <w:sz w:val="32"/>
          <w:szCs w:val="32"/>
        </w:rPr>
        <w:t xml:space="preserve"> </w:t>
      </w:r>
      <w:r>
        <w:rPr>
          <w:rFonts w:hint="eastAsia" w:ascii="仿宋" w:hAnsi="仿宋" w:eastAsia="仿宋"/>
          <w:color w:val="000000"/>
          <w:sz w:val="32"/>
          <w:szCs w:val="32"/>
        </w:rPr>
        <w:t>下降</w:t>
      </w:r>
      <w:r>
        <w:rPr>
          <w:rFonts w:ascii="仿宋" w:hAnsi="仿宋" w:eastAsia="仿宋"/>
          <w:color w:val="000000"/>
          <w:sz w:val="32"/>
          <w:szCs w:val="32"/>
        </w:rPr>
        <w:t>34.45%</w:t>
      </w:r>
      <w:r>
        <w:rPr>
          <w:rFonts w:hint="eastAsia" w:ascii="仿宋" w:hAnsi="仿宋" w:eastAsia="仿宋"/>
          <w:color w:val="000000"/>
          <w:sz w:val="32"/>
          <w:szCs w:val="32"/>
        </w:rPr>
        <w:t>。</w:t>
      </w:r>
      <w:r>
        <w:rPr>
          <w:rFonts w:ascii="仿宋" w:hAnsi="仿宋" w:eastAsia="仿宋"/>
          <w:color w:val="000000"/>
          <w:sz w:val="32"/>
          <w:szCs w:val="32"/>
        </w:rPr>
        <w:t>2020</w:t>
      </w:r>
      <w:r>
        <w:rPr>
          <w:rFonts w:hint="eastAsia" w:ascii="仿宋" w:hAnsi="仿宋" w:eastAsia="仿宋"/>
          <w:color w:val="000000"/>
          <w:sz w:val="32"/>
          <w:szCs w:val="32"/>
        </w:rPr>
        <w:t>年财政拨款支出总计</w:t>
      </w:r>
      <w:r>
        <w:rPr>
          <w:rFonts w:ascii="仿宋" w:hAnsi="仿宋" w:eastAsia="仿宋"/>
          <w:color w:val="000000"/>
          <w:sz w:val="32"/>
          <w:szCs w:val="32"/>
        </w:rPr>
        <w:t>791.20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年相比，财政拨款支出总计各减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1165.91</w:t>
      </w:r>
      <w:r>
        <w:rPr>
          <w:rFonts w:hint="eastAsia" w:ascii="仿宋" w:hAnsi="仿宋" w:eastAsia="仿宋"/>
          <w:color w:val="000000"/>
          <w:sz w:val="32"/>
          <w:szCs w:val="32"/>
        </w:rPr>
        <w:t>万元，下降</w:t>
      </w:r>
      <w:r>
        <w:rPr>
          <w:rFonts w:ascii="仿宋" w:hAnsi="仿宋" w:eastAsia="仿宋"/>
          <w:color w:val="000000"/>
          <w:sz w:val="32"/>
          <w:szCs w:val="32"/>
        </w:rPr>
        <w:t>59.57%</w:t>
      </w:r>
      <w:r>
        <w:rPr>
          <w:rFonts w:hint="eastAsia" w:ascii="仿宋" w:hAnsi="仿宋" w:eastAsia="仿宋"/>
          <w:color w:val="000000"/>
          <w:sz w:val="32"/>
          <w:szCs w:val="32"/>
        </w:rPr>
        <w:t>。主要变动原因是2</w:t>
      </w:r>
      <w:r>
        <w:rPr>
          <w:rFonts w:ascii="仿宋" w:hAnsi="仿宋" w:eastAsia="仿宋"/>
          <w:color w:val="000000"/>
          <w:sz w:val="32"/>
          <w:szCs w:val="32"/>
        </w:rPr>
        <w:t>020</w:t>
      </w:r>
      <w:r>
        <w:rPr>
          <w:rFonts w:hint="eastAsia" w:ascii="仿宋" w:hAnsi="仿宋" w:eastAsia="仿宋"/>
          <w:color w:val="000000"/>
          <w:sz w:val="32"/>
          <w:szCs w:val="32"/>
        </w:rPr>
        <w:t>年度财政大幅压缩项目。</w:t>
      </w:r>
    </w:p>
    <w:p>
      <w:pPr>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color w:val="00B050"/>
          <w:sz w:val="32"/>
          <w:szCs w:val="32"/>
        </w:rPr>
        <w:drawing>
          <wp:anchor distT="0" distB="0" distL="114300" distR="114300" simplePos="0" relativeHeight="251664384" behindDoc="1" locked="0" layoutInCell="1" allowOverlap="1">
            <wp:simplePos x="0" y="0"/>
            <wp:positionH relativeFrom="column">
              <wp:posOffset>85725</wp:posOffset>
            </wp:positionH>
            <wp:positionV relativeFrom="paragraph">
              <wp:posOffset>528955</wp:posOffset>
            </wp:positionV>
            <wp:extent cx="5274310" cy="3076575"/>
            <wp:effectExtent l="0" t="0" r="0" b="0"/>
            <wp:wrapTight wrapText="bothSides">
              <wp:wrapPolygon>
                <wp:start x="0" y="0"/>
                <wp:lineTo x="0" y="21478"/>
                <wp:lineTo x="21532" y="21478"/>
                <wp:lineTo x="21532"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6"/>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1011.93</w:t>
      </w:r>
      <w:r>
        <w:rPr>
          <w:rFonts w:hint="eastAsia" w:ascii="仿宋" w:hAnsi="仿宋" w:eastAsia="仿宋"/>
          <w:color w:val="000000"/>
          <w:sz w:val="32"/>
          <w:szCs w:val="32"/>
        </w:rPr>
        <w:t>万元，占本年支出合计的</w:t>
      </w:r>
      <w:r>
        <w:rPr>
          <w:rFonts w:ascii="仿宋" w:hAnsi="仿宋" w:eastAsia="仿宋"/>
          <w:color w:val="000000"/>
          <w:sz w:val="32"/>
          <w:szCs w:val="32"/>
        </w:rPr>
        <w:t>88.70%</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443.57</w:t>
      </w:r>
      <w:r>
        <w:rPr>
          <w:rFonts w:hint="eastAsia" w:ascii="仿宋" w:hAnsi="仿宋" w:eastAsia="仿宋"/>
          <w:color w:val="000000"/>
          <w:sz w:val="32"/>
          <w:szCs w:val="32"/>
        </w:rPr>
        <w:t>万元，减少</w:t>
      </w:r>
      <w:r>
        <w:rPr>
          <w:rFonts w:ascii="仿宋" w:hAnsi="仿宋" w:eastAsia="仿宋"/>
          <w:color w:val="000000"/>
          <w:sz w:val="32"/>
          <w:szCs w:val="32"/>
        </w:rPr>
        <w:t>30.48%</w:t>
      </w:r>
      <w:r>
        <w:rPr>
          <w:rFonts w:hint="eastAsia" w:ascii="仿宋" w:hAnsi="仿宋" w:eastAsia="仿宋"/>
          <w:color w:val="000000"/>
          <w:sz w:val="32"/>
          <w:szCs w:val="32"/>
        </w:rPr>
        <w:t>。主要变动原因是2</w:t>
      </w:r>
      <w:r>
        <w:rPr>
          <w:rFonts w:ascii="仿宋" w:hAnsi="仿宋" w:eastAsia="仿宋"/>
          <w:color w:val="000000"/>
          <w:sz w:val="32"/>
          <w:szCs w:val="32"/>
        </w:rPr>
        <w:t>020</w:t>
      </w:r>
      <w:r>
        <w:rPr>
          <w:rFonts w:hint="eastAsia" w:ascii="仿宋" w:hAnsi="仿宋" w:eastAsia="仿宋"/>
          <w:color w:val="000000"/>
          <w:sz w:val="32"/>
          <w:szCs w:val="32"/>
        </w:rPr>
        <w:t>年度财政大幅压缩项目。</w:t>
      </w: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9525</wp:posOffset>
            </wp:positionH>
            <wp:positionV relativeFrom="paragraph">
              <wp:posOffset>205105</wp:posOffset>
            </wp:positionV>
            <wp:extent cx="5274310" cy="3076575"/>
            <wp:effectExtent l="0" t="0" r="0" b="0"/>
            <wp:wrapTight wrapText="bothSides">
              <wp:wrapPolygon>
                <wp:start x="0" y="0"/>
                <wp:lineTo x="0" y="21533"/>
                <wp:lineTo x="21532" y="21533"/>
                <wp:lineTo x="21532"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ascii="仿宋" w:hAnsi="仿宋" w:eastAsia="仿宋"/>
          <w:color w:val="000000" w:themeColor="text1"/>
          <w:sz w:val="32"/>
          <w:szCs w:val="32"/>
          <w14:textFill>
            <w14:solidFill>
              <w14:schemeClr w14:val="tx1"/>
            </w14:solidFill>
          </w14:textFill>
        </w:rPr>
        <w:t>1011.93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b/>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519.28</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51.32%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外交支出（类）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国防支出（类）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公共安全支出（类）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科学技术支出（类）</w:t>
      </w:r>
      <w:r>
        <w:rPr>
          <w:rFonts w:ascii="仿宋" w:hAnsi="仿宋" w:eastAsia="仿宋"/>
          <w:color w:val="000000" w:themeColor="text1"/>
          <w:sz w:val="32"/>
          <w:szCs w:val="32"/>
          <w14:textFill>
            <w14:solidFill>
              <w14:schemeClr w14:val="tx1"/>
            </w14:solidFill>
          </w14:textFill>
        </w:rPr>
        <w:t>218.50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21.59%</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文化旅游体育与传媒支出（类）</w:t>
      </w:r>
      <w:r>
        <w:rPr>
          <w:rFonts w:ascii="仿宋" w:hAnsi="仿宋" w:eastAsia="仿宋"/>
          <w:b/>
          <w:bCs/>
          <w:color w:val="000000" w:themeColor="text1"/>
          <w:sz w:val="32"/>
          <w:szCs w:val="32"/>
          <w14:textFill>
            <w14:solidFill>
              <w14:schemeClr w14:val="tx1"/>
            </w14:solidFill>
          </w14:textFill>
        </w:rPr>
        <w:t>150.00</w:t>
      </w:r>
      <w:r>
        <w:rPr>
          <w:rFonts w:hint="eastAsia" w:ascii="仿宋" w:hAnsi="仿宋" w:eastAsia="仿宋"/>
          <w:b/>
          <w:bCs/>
          <w:color w:val="000000" w:themeColor="text1"/>
          <w:sz w:val="32"/>
          <w:szCs w:val="32"/>
          <w14:textFill>
            <w14:solidFill>
              <w14:schemeClr w14:val="tx1"/>
            </w14:solidFill>
          </w14:textFill>
        </w:rPr>
        <w:t>万元，占</w:t>
      </w:r>
      <w:r>
        <w:rPr>
          <w:rFonts w:ascii="仿宋" w:hAnsi="仿宋" w:eastAsia="仿宋"/>
          <w:b/>
          <w:bCs/>
          <w:color w:val="000000" w:themeColor="text1"/>
          <w:sz w:val="32"/>
          <w:szCs w:val="32"/>
          <w14:textFill>
            <w14:solidFill>
              <w14:schemeClr w14:val="tx1"/>
            </w14:solidFill>
          </w14:textFill>
        </w:rPr>
        <w:t>14.82%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社会保障和就业支出（类）</w:t>
      </w:r>
      <w:r>
        <w:rPr>
          <w:rFonts w:ascii="仿宋" w:hAnsi="仿宋" w:eastAsia="仿宋"/>
          <w:color w:val="000000" w:themeColor="text1"/>
          <w:sz w:val="32"/>
          <w:szCs w:val="32"/>
          <w14:textFill>
            <w14:solidFill>
              <w14:schemeClr w14:val="tx1"/>
            </w14:solidFill>
          </w14:textFill>
        </w:rPr>
        <w:t>50.75</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5.02%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卫生健康支出（类）</w:t>
      </w:r>
      <w:r>
        <w:rPr>
          <w:rFonts w:ascii="仿宋" w:hAnsi="仿宋" w:eastAsia="仿宋"/>
          <w:color w:val="000000" w:themeColor="text1"/>
          <w:sz w:val="32"/>
          <w:szCs w:val="32"/>
          <w14:textFill>
            <w14:solidFill>
              <w14:schemeClr w14:val="tx1"/>
            </w14:solidFill>
          </w14:textFill>
        </w:rPr>
        <w:t>11.81</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1.66%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节能环保支出（类）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城乡社区支出（类）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农林水支出（类）</w:t>
      </w:r>
      <w:r>
        <w:rPr>
          <w:rFonts w:ascii="仿宋" w:hAnsi="仿宋" w:eastAsia="仿宋"/>
          <w:color w:val="000000" w:themeColor="text1"/>
          <w:sz w:val="32"/>
          <w:szCs w:val="32"/>
          <w14:textFill>
            <w14:solidFill>
              <w14:schemeClr w14:val="tx1"/>
            </w14:solidFill>
          </w14:textFill>
        </w:rPr>
        <w:t>2.98</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0.29</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交通运输支出（类）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资源勘探信息等支出（类）</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4.00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1.38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商业服务业等支出（类）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金融支出（类）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援助其他地区支出（类）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自然资源海洋气象等支出（类）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住房保障支出（类）</w:t>
      </w:r>
      <w:r>
        <w:rPr>
          <w:rFonts w:ascii="仿宋" w:hAnsi="仿宋" w:eastAsia="仿宋"/>
          <w:color w:val="000000" w:themeColor="text1"/>
          <w:sz w:val="32"/>
          <w:szCs w:val="32"/>
          <w14:textFill>
            <w14:solidFill>
              <w14:schemeClr w14:val="tx1"/>
            </w14:solidFill>
          </w14:textFill>
        </w:rPr>
        <w:t>44.61</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4.41%</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粮油物资储备支出</w:t>
      </w:r>
      <w:bookmarkStart w:id="34" w:name="_Hlk54206152"/>
      <w:r>
        <w:rPr>
          <w:rFonts w:hint="eastAsia" w:ascii="仿宋" w:hAnsi="仿宋" w:eastAsia="仿宋"/>
          <w:b/>
          <w:bCs/>
          <w:color w:val="000000" w:themeColor="text1"/>
          <w:sz w:val="32"/>
          <w:szCs w:val="32"/>
          <w14:textFill>
            <w14:solidFill>
              <w14:schemeClr w14:val="tx1"/>
            </w14:solidFill>
          </w14:textFill>
        </w:rPr>
        <w:t>支出</w:t>
      </w:r>
      <w:bookmarkEnd w:id="34"/>
      <w:r>
        <w:rPr>
          <w:rFonts w:hint="eastAsia" w:ascii="仿宋" w:hAnsi="仿宋" w:eastAsia="仿宋"/>
          <w:b/>
          <w:bCs/>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灾害防治及应急管理支出（类）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其他支出（类）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1" locked="0" layoutInCell="1" allowOverlap="1">
            <wp:simplePos x="0" y="0"/>
            <wp:positionH relativeFrom="column">
              <wp:posOffset>-161925</wp:posOffset>
            </wp:positionH>
            <wp:positionV relativeFrom="paragraph">
              <wp:posOffset>485775</wp:posOffset>
            </wp:positionV>
            <wp:extent cx="5838825" cy="5048250"/>
            <wp:effectExtent l="0" t="0" r="0" b="0"/>
            <wp:wrapTight wrapText="bothSides">
              <wp:wrapPolygon>
                <wp:start x="0" y="0"/>
                <wp:lineTo x="0" y="21518"/>
                <wp:lineTo x="21565" y="21518"/>
                <wp:lineTo x="21565"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pPr>
        <w:spacing w:line="600" w:lineRule="exact"/>
        <w:ind w:firstLine="643" w:firstLineChars="200"/>
        <w:outlineLvl w:val="2"/>
        <w:rPr>
          <w:rFonts w:ascii="仿宋" w:hAnsi="仿宋" w:eastAsia="仿宋"/>
          <w:color w:val="FF0000"/>
          <w:sz w:val="32"/>
          <w:szCs w:val="32"/>
        </w:rPr>
      </w:pPr>
      <w:bookmarkStart w:id="36" w:name="_Toc15377444"/>
      <w:bookmarkStart w:id="37" w:name="_Toc15378460"/>
      <w:bookmarkStart w:id="38" w:name="_Toc15377213"/>
      <w:r>
        <w:rPr>
          <w:rFonts w:hint="eastAsia" w:ascii="仿宋" w:hAnsi="仿宋" w:eastAsia="仿宋"/>
          <w:b/>
          <w:color w:val="000000" w:themeColor="text1"/>
          <w:sz w:val="32"/>
          <w:szCs w:val="32"/>
          <w14:textFill>
            <w14:solidFill>
              <w14:schemeClr w14:val="tx1"/>
            </w14:solidFill>
          </w14:textFill>
        </w:rPr>
        <w:t>20</w:t>
      </w:r>
      <w:r>
        <w:rPr>
          <w:rFonts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年一般公共预算支出决算数为</w:t>
      </w:r>
      <w:r>
        <w:rPr>
          <w:rFonts w:ascii="仿宋" w:hAnsi="仿宋" w:eastAsia="仿宋"/>
          <w:b/>
          <w:color w:val="000000" w:themeColor="text1"/>
          <w:sz w:val="32"/>
          <w:szCs w:val="32"/>
          <w14:textFill>
            <w14:solidFill>
              <w14:schemeClr w14:val="tx1"/>
            </w14:solidFill>
          </w14:textFill>
        </w:rPr>
        <w:t>1011.93</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36"/>
      <w:bookmarkEnd w:id="37"/>
      <w:bookmarkEnd w:id="38"/>
    </w:p>
    <w:p>
      <w:pPr>
        <w:spacing w:line="600" w:lineRule="exact"/>
        <w:ind w:firstLine="643" w:firstLineChars="200"/>
        <w:rPr>
          <w:rFonts w:ascii="仿宋" w:hAnsi="仿宋" w:eastAsia="仿宋"/>
          <w:b/>
          <w:color w:val="000000"/>
          <w:sz w:val="32"/>
          <w:szCs w:val="32"/>
        </w:rPr>
      </w:pPr>
      <w:bookmarkStart w:id="39" w:name="_Toc15377214"/>
      <w:bookmarkStart w:id="40" w:name="_Toc15396608"/>
      <w:r>
        <w:rPr>
          <w:rStyle w:val="15"/>
          <w:rFonts w:ascii="仿宋" w:hAnsi="仿宋" w:eastAsia="仿宋"/>
          <w:bCs/>
          <w:color w:val="000000"/>
          <w:sz w:val="32"/>
          <w:szCs w:val="32"/>
        </w:rPr>
        <w:t>1.</w:t>
      </w:r>
      <w:bookmarkStart w:id="41" w:name="_Hlk54207502"/>
      <w:r>
        <w:rPr>
          <w:rStyle w:val="15"/>
          <w:rFonts w:hint="eastAsia" w:ascii="仿宋" w:hAnsi="仿宋" w:eastAsia="仿宋"/>
          <w:bCs/>
          <w:color w:val="000000"/>
          <w:sz w:val="32"/>
          <w:szCs w:val="32"/>
        </w:rPr>
        <w:t>一般公共服务支出（类）</w:t>
      </w:r>
      <w:bookmarkStart w:id="42" w:name="_Hlk54207378"/>
      <w:r>
        <w:rPr>
          <w:rStyle w:val="15"/>
          <w:rFonts w:hint="eastAsia" w:ascii="仿宋" w:hAnsi="仿宋" w:eastAsia="仿宋"/>
          <w:bCs/>
          <w:color w:val="000000"/>
          <w:sz w:val="32"/>
          <w:szCs w:val="32"/>
        </w:rPr>
        <w:t>发展与改革事务</w:t>
      </w:r>
      <w:bookmarkEnd w:id="42"/>
      <w:r>
        <w:rPr>
          <w:rStyle w:val="15"/>
          <w:rFonts w:hint="eastAsia" w:ascii="仿宋" w:hAnsi="仿宋" w:eastAsia="仿宋"/>
          <w:bCs/>
          <w:color w:val="000000"/>
          <w:sz w:val="32"/>
          <w:szCs w:val="32"/>
        </w:rPr>
        <w:t>（款）</w:t>
      </w:r>
      <w:bookmarkEnd w:id="41"/>
      <w:r>
        <w:rPr>
          <w:rStyle w:val="15"/>
          <w:rFonts w:hint="eastAsia" w:ascii="仿宋" w:hAnsi="仿宋" w:eastAsia="仿宋"/>
          <w:bCs/>
          <w:color w:val="000000"/>
          <w:sz w:val="32"/>
          <w:szCs w:val="32"/>
        </w:rPr>
        <w:t>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382.96</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 xml:space="preserve"> 一般公共服务支出（类）发展与改革事务（款）一般行政管理事务支出（项）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39.93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 xml:space="preserve"> 一般公共服务支出（类）发展与改革事务（款）经济体制改革研究（项）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29.93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 xml:space="preserve"> 一般公共服务支出（类）发展与改革事务（款）物价管理（项）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0.35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 xml:space="preserve"> 一般公共服务支出（类）发展与改革事务（款）事业运行（项）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66.12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 xml:space="preserve"> 一般公共服务支出（类）发展与改革事务（款）其他发展与改革事务支出（项）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w:t>
      </w:r>
      <w:r>
        <w:rPr>
          <w:rStyle w:val="15"/>
          <w:rFonts w:hint="eastAsia" w:ascii="仿宋" w:hAnsi="仿宋" w:eastAsia="仿宋"/>
          <w:b w:val="0"/>
          <w:bCs/>
          <w:color w:val="000000"/>
          <w:sz w:val="32"/>
          <w:szCs w:val="32"/>
        </w:rPr>
        <w:t>万元。</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7.</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（类）科学技术管理事务（款）其他科学技术管理事务支出（项）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8.</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（类）科技条件与服务（款）科技条件专项（项）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100.00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9.</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（类）科技重大项目（款）重点研发计划（项）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103.50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color w:val="000000"/>
          <w:sz w:val="32"/>
          <w:szCs w:val="32"/>
        </w:rPr>
      </w:pPr>
      <w:r>
        <w:rPr>
          <w:rStyle w:val="15"/>
          <w:rFonts w:ascii="仿宋" w:hAnsi="仿宋" w:eastAsia="仿宋"/>
          <w:bCs/>
          <w:color w:val="000000"/>
          <w:sz w:val="32"/>
          <w:szCs w:val="32"/>
        </w:rPr>
        <w:t>10.</w:t>
      </w:r>
      <w:r>
        <w:rPr>
          <w:rFonts w:hint="eastAsia" w:ascii="仿宋" w:hAnsi="仿宋" w:eastAsia="仿宋"/>
          <w:b/>
          <w:bCs/>
          <w:color w:val="000000" w:themeColor="text1"/>
          <w:sz w:val="32"/>
          <w:szCs w:val="32"/>
          <w14:textFill>
            <w14:solidFill>
              <w14:schemeClr w14:val="tx1"/>
            </w14:solidFill>
          </w14:textFill>
        </w:rPr>
        <w:t>文化旅游体育与传媒支出</w:t>
      </w:r>
      <w:r>
        <w:rPr>
          <w:rStyle w:val="15"/>
          <w:rFonts w:hint="eastAsia" w:ascii="仿宋" w:hAnsi="仿宋" w:eastAsia="仿宋"/>
          <w:bCs/>
          <w:color w:val="000000"/>
          <w:sz w:val="32"/>
          <w:szCs w:val="32"/>
        </w:rPr>
        <w:t>（类）其他文化旅游体育与传媒支出（款）其他文化旅游体育与传媒支出（项）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150.00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11.</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44.98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12.</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（类）行政事业单位离退休（款）机关事业单位职业年金缴费支出（项）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25.39</w:t>
      </w:r>
      <w:r>
        <w:rPr>
          <w:rStyle w:val="15"/>
          <w:rFonts w:hint="eastAsia" w:ascii="仿宋" w:hAnsi="仿宋" w:eastAsia="仿宋"/>
          <w:b w:val="0"/>
          <w:bCs/>
          <w:color w:val="000000"/>
          <w:sz w:val="32"/>
          <w:szCs w:val="32"/>
        </w:rPr>
        <w:t>为</w:t>
      </w:r>
      <w:r>
        <w:rPr>
          <w:rStyle w:val="15"/>
          <w:rFonts w:ascii="仿宋" w:hAnsi="仿宋" w:eastAsia="仿宋"/>
          <w:b w:val="0"/>
          <w:bCs/>
          <w:color w:val="000000"/>
          <w:sz w:val="32"/>
          <w:szCs w:val="32"/>
        </w:rPr>
        <w:t>11.81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14.</w:t>
      </w:r>
      <w:r>
        <w:rPr>
          <w:rFonts w:hint="eastAsia" w:ascii="仿宋" w:hAnsi="仿宋" w:eastAsia="仿宋"/>
          <w:b/>
          <w:bCs/>
          <w:color w:val="000000" w:themeColor="text1"/>
          <w:sz w:val="32"/>
          <w:szCs w:val="32"/>
          <w14:textFill>
            <w14:solidFill>
              <w14:schemeClr w14:val="tx1"/>
            </w14:solidFill>
          </w14:textFill>
        </w:rPr>
        <w:t>农林水支出</w:t>
      </w:r>
      <w:r>
        <w:rPr>
          <w:rStyle w:val="15"/>
          <w:rFonts w:hint="eastAsia" w:ascii="仿宋" w:hAnsi="仿宋" w:eastAsia="仿宋"/>
          <w:bCs/>
          <w:color w:val="000000"/>
          <w:sz w:val="32"/>
          <w:szCs w:val="32"/>
        </w:rPr>
        <w:t>（类）扶贫（款）农村基础设施建设（项）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2.98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15.</w:t>
      </w:r>
      <w:r>
        <w:rPr>
          <w:rFonts w:hint="eastAsia" w:ascii="仿宋" w:hAnsi="仿宋" w:eastAsia="仿宋"/>
          <w:b/>
          <w:bCs/>
          <w:color w:val="000000" w:themeColor="text1"/>
          <w:sz w:val="32"/>
          <w:szCs w:val="32"/>
          <w14:textFill>
            <w14:solidFill>
              <w14:schemeClr w14:val="tx1"/>
            </w14:solidFill>
          </w14:textFill>
        </w:rPr>
        <w:t>资源勘探信息等支出</w:t>
      </w:r>
      <w:r>
        <w:rPr>
          <w:rStyle w:val="15"/>
          <w:rFonts w:hint="eastAsia" w:ascii="仿宋" w:hAnsi="仿宋" w:eastAsia="仿宋"/>
          <w:bCs/>
          <w:color w:val="000000"/>
          <w:sz w:val="32"/>
          <w:szCs w:val="32"/>
        </w:rPr>
        <w:t>（类）制造业（款）其他制造业支出（项）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14.00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16.</w:t>
      </w:r>
      <w:r>
        <w:rPr>
          <w:rFonts w:hint="eastAsia" w:ascii="仿宋" w:hAnsi="仿宋" w:eastAsia="仿宋"/>
          <w:b/>
          <w:bCs/>
          <w:color w:val="000000" w:themeColor="text1"/>
          <w:sz w:val="32"/>
          <w:szCs w:val="32"/>
          <w14:textFill>
            <w14:solidFill>
              <w14:schemeClr w14:val="tx1"/>
            </w14:solidFill>
          </w14:textFill>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65.61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17.</w:t>
      </w:r>
      <w:r>
        <w:rPr>
          <w:rFonts w:hint="eastAsia" w:ascii="仿宋" w:hAnsi="仿宋" w:eastAsia="仿宋"/>
          <w:b/>
          <w:bCs/>
          <w:color w:val="000000" w:themeColor="text1"/>
          <w:sz w:val="32"/>
          <w:szCs w:val="32"/>
          <w14:textFill>
            <w14:solidFill>
              <w14:schemeClr w14:val="tx1"/>
            </w14:solidFill>
          </w14:textFill>
        </w:rPr>
        <w:t>其他支出</w:t>
      </w:r>
      <w:r>
        <w:rPr>
          <w:rStyle w:val="15"/>
          <w:rFonts w:hint="eastAsia" w:ascii="仿宋" w:hAnsi="仿宋" w:eastAsia="仿宋"/>
          <w:bCs/>
          <w:color w:val="000000"/>
          <w:sz w:val="32"/>
          <w:szCs w:val="32"/>
        </w:rPr>
        <w:t>（类）其他支出（款）其他支出（项）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9"/>
      <w:bookmarkEnd w:id="40"/>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570.61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494.22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76.39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w:t>
      </w:r>
      <w:bookmarkStart w:id="46" w:name="_Toc15377217"/>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1.71</w:t>
      </w:r>
      <w:r>
        <w:rPr>
          <w:rFonts w:hint="eastAsia" w:ascii="仿宋" w:hAnsi="仿宋" w:eastAsia="仿宋"/>
          <w:color w:val="000000"/>
          <w:sz w:val="32"/>
          <w:szCs w:val="32"/>
        </w:rPr>
        <w:t>万元，占1</w:t>
      </w:r>
      <w:r>
        <w:rPr>
          <w:rFonts w:ascii="仿宋" w:hAnsi="仿宋" w:eastAsia="仿宋"/>
          <w:color w:val="000000"/>
          <w:sz w:val="32"/>
          <w:szCs w:val="32"/>
        </w:rPr>
        <w:t>00%</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9525</wp:posOffset>
            </wp:positionH>
            <wp:positionV relativeFrom="paragraph">
              <wp:posOffset>528955</wp:posOffset>
            </wp:positionV>
            <wp:extent cx="5274310" cy="3076575"/>
            <wp:effectExtent l="0" t="0" r="0" b="0"/>
            <wp:wrapTight wrapText="bothSides">
              <wp:wrapPolygon>
                <wp:start x="0" y="0"/>
                <wp:lineTo x="0" y="21533"/>
                <wp:lineTo x="21532" y="21533"/>
                <wp:lineTo x="21532"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2019</w:t>
      </w:r>
      <w:r>
        <w:rPr>
          <w:rFonts w:hint="eastAsia" w:ascii="仿宋_GB2312" w:eastAsia="仿宋_GB2312"/>
          <w:color w:val="000000"/>
          <w:sz w:val="32"/>
          <w:szCs w:val="32"/>
        </w:rPr>
        <w:t>年减少0万元，下降</w:t>
      </w:r>
      <w:r>
        <w:rPr>
          <w:rFonts w:ascii="仿宋_GB2312" w:eastAsia="仿宋_GB2312"/>
          <w:color w:val="000000"/>
          <w:sz w:val="32"/>
          <w:szCs w:val="32"/>
        </w:rPr>
        <w:t>0%</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0元。</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 执法执勤用车</w:t>
      </w:r>
      <w:r>
        <w:rPr>
          <w:rFonts w:ascii="仿宋_GB2312" w:eastAsia="仿宋_GB2312"/>
          <w:color w:val="000000"/>
          <w:sz w:val="32"/>
          <w:szCs w:val="32"/>
        </w:rPr>
        <w:t>0</w:t>
      </w:r>
      <w:r>
        <w:rPr>
          <w:rFonts w:hint="eastAsia" w:ascii="仿宋_GB2312" w:eastAsia="仿宋_GB2312"/>
          <w:color w:val="000000"/>
          <w:sz w:val="32"/>
          <w:szCs w:val="32"/>
        </w:rPr>
        <w:t>辆、其他车辆2辆。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万元。主要用于所需的公务用车燃料费、维修费、过路过桥费、保险费等支出。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1.71</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1.71</w:t>
      </w:r>
      <w:r>
        <w:rPr>
          <w:rFonts w:hint="eastAsia" w:ascii="仿宋_GB2312" w:eastAsia="仿宋_GB2312"/>
          <w:color w:val="000000"/>
          <w:sz w:val="32"/>
          <w:szCs w:val="32"/>
        </w:rPr>
        <w:t>万元，增长1</w:t>
      </w:r>
      <w:r>
        <w:rPr>
          <w:rFonts w:ascii="仿宋_GB2312" w:eastAsia="仿宋_GB2312"/>
          <w:color w:val="000000"/>
          <w:sz w:val="32"/>
          <w:szCs w:val="32"/>
        </w:rPr>
        <w:t>00%</w:t>
      </w:r>
      <w:r>
        <w:rPr>
          <w:rFonts w:hint="eastAsia" w:ascii="仿宋_GB2312" w:eastAsia="仿宋_GB2312"/>
          <w:color w:val="000000"/>
          <w:sz w:val="32"/>
          <w:szCs w:val="32"/>
        </w:rPr>
        <w:t>。主要原因是上级检查接待费用，其中：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1.71</w:t>
      </w:r>
      <w:r>
        <w:rPr>
          <w:rFonts w:hint="eastAsia" w:ascii="仿宋_GB2312" w:eastAsia="仿宋_GB2312"/>
          <w:color w:val="000000"/>
          <w:sz w:val="32"/>
          <w:szCs w:val="32"/>
        </w:rPr>
        <w:t>万元。国内公务接待</w:t>
      </w:r>
      <w:r>
        <w:rPr>
          <w:rFonts w:ascii="仿宋_GB2312" w:eastAsia="仿宋_GB2312"/>
          <w:color w:val="000000"/>
          <w:sz w:val="32"/>
          <w:szCs w:val="32"/>
        </w:rPr>
        <w:t>6</w:t>
      </w:r>
      <w:r>
        <w:rPr>
          <w:rFonts w:hint="eastAsia" w:ascii="仿宋_GB2312" w:eastAsia="仿宋_GB2312"/>
          <w:color w:val="000000"/>
          <w:sz w:val="32"/>
          <w:szCs w:val="32"/>
        </w:rPr>
        <w:t>批次，</w:t>
      </w:r>
      <w:r>
        <w:rPr>
          <w:rFonts w:ascii="仿宋_GB2312" w:eastAsia="仿宋_GB2312"/>
          <w:color w:val="000000"/>
          <w:sz w:val="32"/>
          <w:szCs w:val="32"/>
        </w:rPr>
        <w:t>291</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1.71</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w:t>
      </w:r>
    </w:p>
    <w:p>
      <w:pPr>
        <w:spacing w:line="600" w:lineRule="exact"/>
        <w:ind w:firstLine="640"/>
        <w:outlineLvl w:val="1"/>
        <w:rPr>
          <w:rFonts w:ascii="黑体" w:eastAsia="黑体"/>
          <w:color w:val="000000"/>
          <w:sz w:val="32"/>
          <w:szCs w:val="32"/>
        </w:rPr>
      </w:pPr>
      <w:bookmarkStart w:id="47" w:name="_Toc15396610"/>
      <w:bookmarkStart w:id="48"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128.90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9" w:name="_Toc15377219"/>
      <w:bookmarkStart w:id="50" w:name="_Toc15396611"/>
      <w:r>
        <w:rPr>
          <w:rStyle w:val="26"/>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2020</w:t>
      </w:r>
      <w:r>
        <w:rPr>
          <w:rFonts w:hint="eastAsia" w:ascii="仿宋_GB2312" w:eastAsia="仿宋_GB2312"/>
          <w:color w:val="000000"/>
          <w:sz w:val="32"/>
          <w:szCs w:val="32"/>
        </w:rPr>
        <w:t>年，峨眉山市</w:t>
      </w:r>
      <w:r>
        <w:rPr>
          <w:rFonts w:hint="eastAsia" w:ascii="仿宋_GB2312" w:eastAsia="仿宋_GB2312"/>
          <w:color w:val="000000"/>
          <w:sz w:val="32"/>
          <w:szCs w:val="32"/>
          <w:lang w:eastAsia="zh-CN"/>
        </w:rPr>
        <w:t>发展和改革局</w:t>
      </w:r>
      <w:r>
        <w:rPr>
          <w:rFonts w:hint="eastAsia" w:ascii="仿宋_GB2312" w:eastAsia="仿宋_GB2312"/>
          <w:color w:val="000000"/>
          <w:sz w:val="32"/>
          <w:szCs w:val="32"/>
        </w:rPr>
        <w:t>机关运行经费支出</w:t>
      </w:r>
      <w:r>
        <w:rPr>
          <w:rFonts w:ascii="仿宋_GB2312" w:eastAsia="仿宋_GB2312"/>
          <w:color w:val="000000"/>
          <w:sz w:val="32"/>
          <w:szCs w:val="32"/>
        </w:rPr>
        <w:t>62.02</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0.75</w:t>
      </w:r>
      <w:r>
        <w:rPr>
          <w:rFonts w:hint="eastAsia" w:ascii="仿宋_GB2312" w:eastAsia="仿宋_GB2312"/>
          <w:color w:val="000000"/>
          <w:sz w:val="32"/>
          <w:szCs w:val="32"/>
        </w:rPr>
        <w:t>万元，下降</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w:t>
      </w:r>
      <w:bookmarkStart w:id="54" w:name="_Toc15377223"/>
      <w:r>
        <w:rPr>
          <w:rFonts w:hint="eastAsia" w:ascii="仿宋_GB2312" w:eastAsia="仿宋_GB2312"/>
          <w:color w:val="000000" w:themeColor="text1"/>
          <w:sz w:val="32"/>
          <w:szCs w:val="32"/>
          <w14:textFill>
            <w14:solidFill>
              <w14:schemeClr w14:val="tx1"/>
            </w14:solidFill>
          </w14:textFill>
        </w:rPr>
        <w:t>是大力压缩节俭公用经费支出。</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年，峨眉山市</w:t>
      </w:r>
      <w:r>
        <w:rPr>
          <w:rFonts w:hint="eastAsia" w:ascii="仿宋_GB2312" w:eastAsia="仿宋_GB2312"/>
          <w:color w:val="000000"/>
          <w:sz w:val="32"/>
          <w:szCs w:val="32"/>
          <w:lang w:eastAsia="zh-CN"/>
        </w:rPr>
        <w:t>发展和改革局</w:t>
      </w:r>
      <w:r>
        <w:rPr>
          <w:rFonts w:hint="eastAsia" w:ascii="仿宋_GB2312" w:eastAsia="仿宋_GB2312"/>
          <w:color w:val="000000"/>
          <w:sz w:val="32"/>
          <w:szCs w:val="32"/>
        </w:rPr>
        <w:t>政府采购支出总额</w:t>
      </w:r>
      <w:r>
        <w:rPr>
          <w:rFonts w:ascii="仿宋_GB2312" w:eastAsia="仿宋_GB2312"/>
          <w:color w:val="000000"/>
          <w:sz w:val="32"/>
          <w:szCs w:val="32"/>
        </w:rPr>
        <w:t>110.2</w:t>
      </w:r>
      <w:r>
        <w:rPr>
          <w:rFonts w:hint="eastAsia" w:ascii="仿宋_GB2312" w:eastAsia="仿宋_GB2312"/>
          <w:color w:val="000000"/>
          <w:sz w:val="32"/>
          <w:szCs w:val="32"/>
        </w:rPr>
        <w:t>万元，用于峨眉山市乡村振兴规划编制费用。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w:t>
      </w:r>
      <w:r>
        <w:rPr>
          <w:rFonts w:hint="eastAsia" w:ascii="仿宋_GB2312" w:eastAsia="仿宋_GB2312"/>
          <w:color w:val="000000"/>
          <w:sz w:val="32"/>
          <w:szCs w:val="32"/>
          <w:lang w:eastAsia="zh-CN"/>
        </w:rPr>
        <w:t>发展和改革局</w:t>
      </w:r>
      <w:r>
        <w:rPr>
          <w:rFonts w:hint="eastAsia" w:ascii="仿宋_GB2312" w:eastAsia="仿宋_GB2312"/>
          <w:color w:val="000000"/>
          <w:sz w:val="32"/>
          <w:szCs w:val="32"/>
        </w:rPr>
        <w:t>共有车辆</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辆、应急保障用车2辆。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_GB2312" w:hAnsi="仿宋_GB2312" w:eastAsia="仿宋_GB2312" w:cs="仿宋_GB2312"/>
          <w:sz w:val="32"/>
          <w:szCs w:val="32"/>
        </w:rPr>
      </w:pPr>
      <w:r>
        <w:rPr>
          <w:rFonts w:hint="eastAsia" w:ascii="仿宋" w:hAnsi="仿宋" w:eastAsia="仿宋"/>
          <w:b/>
          <w:color w:val="000000"/>
          <w:sz w:val="32"/>
          <w:szCs w:val="32"/>
        </w:rPr>
        <w:t>（四）预算绩效管理情况。</w:t>
      </w:r>
    </w:p>
    <w:p>
      <w:pPr>
        <w:spacing w:line="60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年部门整体支出开展绩效自评，从评价情况来看，我局整体绩效完成情况较好，20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年，我单位共收入</w:t>
      </w:r>
      <w:r>
        <w:rPr>
          <w:rFonts w:ascii="仿宋_GB2312" w:hAnsi="仿宋_GB2312" w:eastAsia="仿宋_GB2312" w:cs="仿宋_GB2312"/>
          <w:sz w:val="32"/>
          <w:szCs w:val="32"/>
        </w:rPr>
        <w:t>1140.83</w:t>
      </w:r>
      <w:r>
        <w:rPr>
          <w:rFonts w:hint="eastAsia" w:ascii="仿宋_GB2312" w:hAnsi="仿宋_GB2312" w:eastAsia="仿宋_GB2312" w:cs="仿宋_GB2312"/>
          <w:sz w:val="32"/>
          <w:szCs w:val="32"/>
        </w:rPr>
        <w:t>万元，共支出</w:t>
      </w:r>
      <w:r>
        <w:rPr>
          <w:rFonts w:ascii="仿宋_GB2312" w:hAnsi="仿宋_GB2312" w:eastAsia="仿宋_GB2312" w:cs="仿宋_GB2312"/>
          <w:sz w:val="32"/>
          <w:szCs w:val="32"/>
        </w:rPr>
        <w:t>791.2</w:t>
      </w:r>
      <w:r>
        <w:rPr>
          <w:rFonts w:hint="eastAsia" w:ascii="仿宋_GB2312" w:hAnsi="仿宋_GB2312" w:eastAsia="仿宋_GB2312" w:cs="仿宋_GB2312"/>
          <w:sz w:val="32"/>
          <w:szCs w:val="32"/>
        </w:rPr>
        <w:t>万元，</w:t>
      </w:r>
      <w:r>
        <w:rPr>
          <w:rFonts w:hint="eastAsia" w:ascii="仿宋_GB2312" w:hAnsi="仿宋" w:eastAsia="仿宋_GB2312"/>
          <w:sz w:val="32"/>
          <w:szCs w:val="32"/>
        </w:rPr>
        <w:t>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highlight w:val="none"/>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年度部门决算中反映“项目评审及课题研究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集中开工经费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重点项目挂图作战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专项政府定价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科技项目</w:t>
      </w:r>
      <w:r>
        <w:rPr>
          <w:rFonts w:hint="eastAsia" w:ascii="仿宋_GB2312" w:hAnsi="仿宋_GB2312" w:eastAsia="仿宋_GB2312" w:cs="仿宋_GB2312"/>
          <w:sz w:val="32"/>
          <w:szCs w:val="32"/>
          <w:lang w:val="en-US" w:eastAsia="zh-CN"/>
        </w:rPr>
        <w:t>管理经费</w:t>
      </w:r>
      <w:r>
        <w:rPr>
          <w:rFonts w:hint="eastAsia" w:ascii="仿宋_GB2312" w:hAnsi="仿宋_GB2312" w:eastAsia="仿宋_GB2312" w:cs="仿宋_GB2312"/>
          <w:sz w:val="32"/>
          <w:szCs w:val="32"/>
        </w:rPr>
        <w:t>”、“重点科技项目经费”等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个项目绩效目标实际完成情况。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（1）项目评审及课题研究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集中开工经费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 xml:space="preserve">%。通过项目实施，保障政府投资项目可行性研究顺来开展，提高了政府投资项目效益和长期可持续发展。 </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发现的主要问题：因疫情影响，原列入政府投资计划项目和集中开工仪式均未能如期实施，政府重大投资项目同比较去年有所下降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下一步改进措施：加强与上级主管部门对接，及时了解政策走向，进一步完善预算和执行计划。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重点项目挂图作战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%。通过项目实施，保障我市重点项目顺利推进，如期完成项目建设。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专项政府定价</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发现的主要问题：因疫情原因，上级主管部门要求凡涉及民生事项的定价行为暂缓，故原计划定价项目暂停。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下一步改进措施：加强与上级主管部门对接，及时了解政策走向，进一步完善预算和执行计划。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%。通过项目实施，保障体制改革日常工作和解决峨半公司老生活区职工住房遗留问题处置工作任务完成。</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）“重点科技项目经费”项目绩效目标完成情况综述。项目全年预算数</w:t>
      </w:r>
      <w:r>
        <w:rPr>
          <w:rFonts w:ascii="仿宋_GB2312" w:hAnsi="仿宋_GB2312" w:eastAsia="仿宋_GB2312" w:cs="仿宋_GB2312"/>
          <w:sz w:val="32"/>
          <w:szCs w:val="32"/>
        </w:rPr>
        <w:t>360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市财政资金因故未能及时到位，我局无法完成项目资金。</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下一步改进措施：进一步加强与市财政沟通，尽早争取将相应项目资金予以兑现</w:t>
      </w:r>
      <w:r>
        <w:rPr>
          <w:rFonts w:hint="eastAsia" w:ascii="仿宋_GB2312" w:hAnsi="仿宋_GB2312" w:eastAsia="仿宋_GB2312" w:cs="仿宋_GB2312"/>
          <w:sz w:val="32"/>
          <w:szCs w:val="32"/>
          <w:lang w:eastAsia="zh-CN"/>
        </w:rPr>
        <w:t>。</w:t>
      </w:r>
    </w:p>
    <w:p>
      <w:pPr>
        <w:numPr>
          <w:ilvl w:val="0"/>
          <w:numId w:val="3"/>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“重点科技项目管理经费”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%。通过项目实施，保障我市各重点科技项目顺利推进，提高了企业科技自主创新及研究能力。</w:t>
      </w:r>
    </w:p>
    <w:p>
      <w:pPr>
        <w:spacing w:line="600" w:lineRule="exact"/>
        <w:ind w:firstLine="640" w:firstLineChars="200"/>
        <w:rPr>
          <w:rFonts w:hint="eastAsia"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ascii="宋体" w:hAnsi="宋体" w:cs="宋体"/>
                <w:color w:val="000000"/>
                <w:kern w:val="0"/>
                <w:sz w:val="36"/>
                <w:szCs w:val="36"/>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项目评审及课题研究</w:t>
            </w:r>
            <w:r>
              <w:rPr>
                <w:rFonts w:hint="eastAsia" w:ascii="宋体" w:hAnsi="宋体" w:cs="宋体"/>
                <w:color w:val="000000"/>
                <w:sz w:val="24"/>
                <w:lang w:eastAsia="zh-CN"/>
              </w:rPr>
              <w:t>、</w:t>
            </w:r>
            <w:r>
              <w:rPr>
                <w:rFonts w:hint="eastAsia" w:ascii="宋体" w:hAnsi="宋体" w:cs="宋体"/>
                <w:color w:val="000000"/>
                <w:sz w:val="24"/>
                <w:lang w:val="en-US" w:eastAsia="zh-CN"/>
              </w:rPr>
              <w:t>集中开工经费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完成政府投资项目评审和每季度集中开工项目仪式共4次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完成2</w:t>
            </w:r>
            <w:r>
              <w:rPr>
                <w:rFonts w:ascii="宋体" w:hAnsi="宋体" w:cs="宋体"/>
                <w:color w:val="000000"/>
                <w:sz w:val="24"/>
              </w:rPr>
              <w:t>0</w:t>
            </w:r>
            <w:r>
              <w:rPr>
                <w:rFonts w:hint="eastAsia" w:ascii="宋体" w:hAnsi="宋体" w:cs="宋体"/>
                <w:color w:val="000000"/>
                <w:sz w:val="24"/>
                <w:lang w:val="en-US" w:eastAsia="zh-CN"/>
              </w:rPr>
              <w:t>20</w:t>
            </w:r>
            <w:r>
              <w:rPr>
                <w:rFonts w:hint="eastAsia" w:ascii="宋体" w:hAnsi="宋体" w:cs="宋体"/>
                <w:color w:val="000000"/>
                <w:sz w:val="24"/>
              </w:rPr>
              <w:t>年度政府投资项目评审和集中开工项目仪式共</w:t>
            </w:r>
            <w:r>
              <w:rPr>
                <w:rFonts w:hint="eastAsia" w:ascii="宋体" w:hAnsi="宋体" w:cs="宋体"/>
                <w:color w:val="000000"/>
                <w:sz w:val="24"/>
                <w:lang w:val="en-US" w:eastAsia="zh-CN"/>
              </w:rPr>
              <w:t>1</w:t>
            </w:r>
            <w:r>
              <w:rPr>
                <w:rFonts w:hint="eastAsia" w:ascii="宋体" w:hAnsi="宋体" w:cs="宋体"/>
                <w:color w:val="000000"/>
                <w:sz w:val="24"/>
              </w:rPr>
              <w:t>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预计对20-30个政府投资项目可行性研究报告组织评审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sz w:val="22"/>
                <w:szCs w:val="22"/>
              </w:rPr>
            </w:pPr>
            <w:r>
              <w:rPr>
                <w:rFonts w:hint="eastAsia"/>
                <w:color w:val="000000"/>
                <w:sz w:val="22"/>
                <w:szCs w:val="22"/>
              </w:rPr>
              <w:t>完成20个项目及3个课题评估，4次集中开工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color w:val="000000"/>
                <w:sz w:val="22"/>
                <w:szCs w:val="22"/>
              </w:rPr>
              <w:t>完成</w:t>
            </w:r>
            <w:r>
              <w:rPr>
                <w:rFonts w:hint="eastAsia"/>
                <w:color w:val="000000"/>
                <w:sz w:val="22"/>
                <w:szCs w:val="22"/>
                <w:lang w:val="en-US" w:eastAsia="zh-CN"/>
              </w:rPr>
              <w:t>6</w:t>
            </w:r>
            <w:r>
              <w:rPr>
                <w:rFonts w:hint="eastAsia"/>
                <w:color w:val="000000"/>
                <w:sz w:val="22"/>
                <w:szCs w:val="22"/>
              </w:rPr>
              <w:t>个项目及</w:t>
            </w:r>
            <w:r>
              <w:rPr>
                <w:rFonts w:hint="eastAsia"/>
                <w:color w:val="000000"/>
                <w:sz w:val="22"/>
                <w:szCs w:val="22"/>
                <w:lang w:val="en-US" w:eastAsia="zh-CN"/>
              </w:rPr>
              <w:t>4</w:t>
            </w:r>
            <w:r>
              <w:rPr>
                <w:rFonts w:hint="eastAsia"/>
                <w:color w:val="000000"/>
                <w:sz w:val="22"/>
                <w:szCs w:val="22"/>
              </w:rPr>
              <w:t>个课题研究评估，</w:t>
            </w:r>
            <w:r>
              <w:rPr>
                <w:rFonts w:hint="eastAsia"/>
                <w:color w:val="000000"/>
                <w:sz w:val="22"/>
                <w:szCs w:val="22"/>
                <w:lang w:val="en-US" w:eastAsia="zh-CN"/>
              </w:rPr>
              <w:t>1</w:t>
            </w:r>
            <w:r>
              <w:rPr>
                <w:rFonts w:hint="eastAsia"/>
                <w:color w:val="000000"/>
                <w:sz w:val="22"/>
                <w:szCs w:val="22"/>
              </w:rPr>
              <w:t>次集中开工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评审项目落实评审意见结果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规范政府2019年项目投资，拟制完成实施方案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如期完成20</w:t>
            </w:r>
            <w:r>
              <w:rPr>
                <w:rFonts w:hint="eastAsia" w:ascii="宋体" w:hAnsi="宋体" w:cs="宋体"/>
                <w:color w:val="000000"/>
                <w:sz w:val="24"/>
                <w:lang w:val="en-US" w:eastAsia="zh-CN"/>
              </w:rPr>
              <w:t>20</w:t>
            </w:r>
            <w:r>
              <w:rPr>
                <w:rFonts w:hint="eastAsia" w:ascii="宋体" w:hAnsi="宋体" w:cs="宋体"/>
                <w:color w:val="000000"/>
                <w:sz w:val="24"/>
              </w:rPr>
              <w:t>年项目投资实施方案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年底前完成率≥80%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ascii="宋体" w:hAnsi="宋体" w:cs="宋体"/>
                <w:color w:val="000000"/>
                <w:sz w:val="24"/>
                <w:lang w:val="en-US" w:eastAsia="zh-CN"/>
              </w:rPr>
              <w:t>72.24</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提高10%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项目工作得到有序落实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重点项目挂图作战工作经费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1</w:t>
            </w: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调研全市挂图作战项目推进项目，保障推进顺利率≥80%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全市挂图作战项目推进项目推进率=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推进全市大于30个以上挂图作战日常工作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完成30个以上工作推进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完成5</w:t>
            </w:r>
            <w:r>
              <w:rPr>
                <w:rFonts w:hint="eastAsia" w:ascii="宋体" w:hAnsi="宋体" w:cs="宋体"/>
                <w:color w:val="000000"/>
                <w:sz w:val="24"/>
                <w:lang w:val="en-US" w:eastAsia="zh-CN"/>
              </w:rPr>
              <w:t>1</w:t>
            </w:r>
            <w:r>
              <w:rPr>
                <w:rFonts w:hint="eastAsia" w:ascii="宋体" w:hAnsi="宋体" w:cs="宋体"/>
                <w:color w:val="000000"/>
                <w:sz w:val="24"/>
              </w:rPr>
              <w:t>个重点项目工作推进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负责各项目协调服务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重点项目按时完成率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w:t>
            </w:r>
            <w:r>
              <w:rPr>
                <w:rFonts w:ascii="宋体" w:hAnsi="宋体" w:cs="宋体"/>
                <w:color w:val="000000"/>
                <w:sz w:val="24"/>
              </w:rPr>
              <w:t>15</w:t>
            </w:r>
            <w:r>
              <w:rPr>
                <w:rFonts w:hint="eastAsia" w:ascii="宋体" w:hAnsi="宋体" w:cs="宋体"/>
                <w:color w:val="000000"/>
                <w:sz w:val="24"/>
              </w:rPr>
              <w:t>日完成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w:t>
            </w:r>
            <w:r>
              <w:rPr>
                <w:rFonts w:ascii="宋体" w:hAnsi="宋体" w:cs="宋体"/>
                <w:color w:val="000000"/>
                <w:sz w:val="24"/>
              </w:rPr>
              <w:t>7</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重点科技项目管理经费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w:t>
            </w:r>
            <w:r>
              <w:rPr>
                <w:rFonts w:ascii="宋体" w:hAnsi="宋体" w:cs="宋体"/>
                <w:color w:val="000000"/>
                <w:sz w:val="24"/>
              </w:rPr>
              <w:t>10</w:t>
            </w:r>
            <w:r>
              <w:rPr>
                <w:rFonts w:hint="eastAsia" w:ascii="宋体" w:hAnsi="宋体" w:cs="宋体"/>
                <w:color w:val="000000"/>
                <w:sz w:val="24"/>
              </w:rPr>
              <w:t>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高新技术产业产值比上年增长10%以上，新认定高新技术企业1家以上，专利增长10%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w:t>
            </w:r>
            <w:r>
              <w:rPr>
                <w:color w:val="000000"/>
                <w:sz w:val="22"/>
                <w:szCs w:val="22"/>
              </w:rPr>
              <w:t>10</w:t>
            </w:r>
            <w:r>
              <w:rPr>
                <w:rFonts w:hint="eastAsia"/>
                <w:color w:val="000000"/>
                <w:sz w:val="22"/>
                <w:szCs w:val="22"/>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高新企业增加值</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增加率≥50%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w:t>
            </w:r>
            <w:r>
              <w:rPr>
                <w:color w:val="000000"/>
                <w:sz w:val="22"/>
                <w:szCs w:val="22"/>
              </w:rPr>
              <w:t>10</w:t>
            </w:r>
            <w:r>
              <w:rPr>
                <w:rFonts w:hint="eastAsia"/>
                <w:color w:val="000000"/>
                <w:sz w:val="22"/>
                <w:szCs w:val="22"/>
              </w:rPr>
              <w:t>0%</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按期完成率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12月底前</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月前完成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w:t>
            </w:r>
            <w:r>
              <w:rPr>
                <w:color w:val="000000"/>
                <w:sz w:val="22"/>
                <w:szCs w:val="22"/>
              </w:rPr>
              <w:t>3</w:t>
            </w:r>
            <w:r>
              <w:rPr>
                <w:rFonts w:hint="eastAsia"/>
                <w:color w:val="000000"/>
                <w:sz w:val="22"/>
                <w:szCs w:val="22"/>
              </w:rPr>
              <w:t>%</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保障完成全市科技管理工作</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专项政府定价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0.34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0.34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6"/>
              <w:bidi w:val="0"/>
              <w:ind w:left="0" w:leftChars="0" w:firstLine="0" w:firstLineChars="0"/>
              <w:rPr>
                <w:rFonts w:ascii="宋体" w:hAnsi="宋体" w:cs="宋体"/>
                <w:color w:val="000000"/>
              </w:rPr>
            </w:pPr>
            <w:r>
              <w:rPr>
                <w:rFonts w:hint="eastAsia"/>
                <w:sz w:val="15"/>
                <w:szCs w:val="15"/>
              </w:rPr>
              <w:t>主要对2020年度输配气定价、殡葬服务收费定价、前期物业政府指导价定价、城镇管网非居特种用水政府定价，停车费收费政府定价，垃圾处理费收费标准政府定价等6个项目进行定价工作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1474"/>
              </w:tabs>
              <w:spacing w:line="600" w:lineRule="exact"/>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因疫情原因，上级主管部门要求凡涉及民生事项的定价行为暂缓，故原计划定价项目暂停。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按照上级部门要求和方案定价数目实施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对6个项目进行定价工作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2"/>
                <w:szCs w:val="22"/>
                <w:lang w:val="en-US" w:eastAsia="zh-CN"/>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合理安排政府制定价格成本监审和物资采购工作时间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11月底前完成全部定价和采购工作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rPr>
              <w:t>民众知晓和参与度提升50%以上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rPr>
              <w:t>民众知晓和参与度提升50%以上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4"/>
              </w:rPr>
              <w:t>定价和采购行为严格按照相关法定程度进行，接受社会群众监督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4"/>
              </w:rPr>
              <w:t>群众对工作满意度≥90%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重点科技项目经费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激励企业持续走科技创新道路</w:t>
            </w:r>
            <w:r>
              <w:rPr>
                <w:rFonts w:hint="eastAsia"/>
                <w:color w:val="000000"/>
                <w:kern w:val="0"/>
                <w:sz w:val="22"/>
                <w:szCs w:val="22"/>
              </w:rPr>
              <w:t>，</w:t>
            </w:r>
            <w:r>
              <w:rPr>
                <w:rFonts w:hint="eastAsia"/>
                <w:color w:val="000000"/>
                <w:sz w:val="22"/>
                <w:szCs w:val="22"/>
              </w:rPr>
              <w:t>奖励企业科技项目经费，按时高效全额完成奖励经费拨付</w:t>
            </w:r>
          </w:p>
          <w:p>
            <w:pPr>
              <w:widowControl/>
              <w:jc w:val="center"/>
              <w:rPr>
                <w:color w:val="000000"/>
                <w:kern w:val="0"/>
                <w:sz w:val="22"/>
                <w:szCs w:val="22"/>
              </w:rPr>
            </w:pPr>
          </w:p>
          <w:p>
            <w:pPr>
              <w:widowControl/>
              <w:jc w:val="center"/>
              <w:rPr>
                <w:color w:val="000000"/>
                <w:kern w:val="0"/>
                <w:sz w:val="22"/>
                <w:szCs w:val="22"/>
              </w:rPr>
            </w:pPr>
          </w:p>
          <w:p>
            <w:pPr>
              <w:widowControl/>
              <w:spacing w:line="600" w:lineRule="exact"/>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市财政资金因故未能及时到位，</w:t>
            </w:r>
            <w:r>
              <w:rPr>
                <w:rFonts w:hint="eastAsia" w:ascii="宋体" w:hAnsi="宋体" w:cs="宋体"/>
                <w:color w:val="000000"/>
                <w:sz w:val="24"/>
                <w:lang w:val="en-US" w:eastAsia="zh-CN"/>
              </w:rPr>
              <w:t>故未能</w:t>
            </w:r>
            <w:r>
              <w:rPr>
                <w:rFonts w:hint="eastAsia" w:ascii="宋体" w:hAnsi="宋体" w:cs="宋体"/>
                <w:color w:val="000000"/>
                <w:sz w:val="24"/>
              </w:rPr>
              <w:t>完成项目资金</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推进全市“大众创业，万众创新”工作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企业自主创新率≥80%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20</w:t>
            </w:r>
            <w:r>
              <w:rPr>
                <w:rFonts w:hint="eastAsia" w:ascii="宋体" w:hAnsi="宋体" w:cs="宋体"/>
                <w:color w:val="000000"/>
                <w:sz w:val="24"/>
              </w:rPr>
              <w:t>年12月前完成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kern w:val="0"/>
                <w:sz w:val="22"/>
                <w:szCs w:val="22"/>
                <w:lang w:eastAsia="zh-CN"/>
              </w:rPr>
            </w:pPr>
            <w:r>
              <w:rPr>
                <w:rFonts w:hint="eastAsia"/>
                <w:color w:val="000000"/>
                <w:sz w:val="22"/>
                <w:szCs w:val="22"/>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bl>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年部门整体支出绩效评价情况开展自评，《峨眉山市发展和改革局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widowControl/>
        <w:spacing w:line="600"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6" w:name="_Toc15396613"/>
      <w:bookmarkStart w:id="57"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3"/>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财政拨款收入：指单位从同级财政部门取得的财政预算资金。</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2.</w:t>
      </w:r>
      <w:r>
        <w:rPr>
          <w:rFonts w:hint="eastAsia" w:ascii="黑体" w:hAnsi="黑体" w:eastAsia="黑体"/>
          <w:sz w:val="32"/>
          <w:szCs w:val="32"/>
        </w:rPr>
        <w:t>事业收入：指事业单位开展专业业务活动及辅助活动取得的收入。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经营收入：指事业单位在专业业务活动及其辅助活动之外开展非独立核算经营活动取得的收入。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4.</w:t>
      </w:r>
      <w:r>
        <w:rPr>
          <w:rFonts w:hint="eastAsia" w:ascii="黑体" w:hAnsi="黑体" w:eastAsia="黑体"/>
          <w:sz w:val="32"/>
          <w:szCs w:val="32"/>
        </w:rPr>
        <w:t>其他收入：指单位取得的除上述收入以外的各项收入。</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6.</w:t>
      </w:r>
      <w:r>
        <w:rPr>
          <w:rFonts w:hint="eastAsia" w:ascii="黑体" w:hAnsi="黑体" w:eastAsia="黑体"/>
          <w:sz w:val="32"/>
          <w:szCs w:val="32"/>
        </w:rPr>
        <w:t>年初结转和结余：指以前年度尚未完成、结转到本年按有关规定继续使用的资金。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7.</w:t>
      </w:r>
      <w:r>
        <w:rPr>
          <w:rFonts w:hint="eastAsia" w:ascii="黑体" w:hAnsi="黑体" w:eastAsia="黑体"/>
          <w:sz w:val="32"/>
          <w:szCs w:val="32"/>
        </w:rPr>
        <w:t>结余分配：指事业单位按照事业单位会计制度的规定从非财政补助结余中分配的事业基金和职工福利基金等。</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8</w:t>
      </w:r>
      <w:r>
        <w:rPr>
          <w:rFonts w:hint="eastAsia" w:ascii="黑体" w:hAnsi="黑体" w:eastAsia="黑体"/>
          <w:sz w:val="32"/>
          <w:szCs w:val="32"/>
        </w:rPr>
        <w:t>、年末结转和结余：指单位按有关规定结转到下年或以后年度继续使用的资金。</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9.</w:t>
      </w:r>
      <w:r>
        <w:rPr>
          <w:rFonts w:hint="eastAsia" w:ascii="黑体" w:hAnsi="黑体" w:eastAsia="黑体"/>
          <w:color w:val="000000"/>
          <w:sz w:val="32"/>
          <w:szCs w:val="32"/>
          <w:shd w:val="clear" w:color="auto" w:fill="FFFFFF"/>
        </w:rPr>
        <w:t xml:space="preserve"> 一般公共服务（类）发展与改革事务（款）行政运行（项）：指反映行政单位（包括实行公务员管理的事业单位）的基本支出。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Fonts w:ascii="仿宋_GB2312" w:eastAsia="仿宋_GB2312"/>
          <w:color w:val="000000"/>
          <w:sz w:val="32"/>
          <w:szCs w:val="32"/>
        </w:rPr>
        <w:t>10.</w:t>
      </w:r>
      <w:r>
        <w:rPr>
          <w:rFonts w:hint="eastAsia" w:ascii="黑体" w:hAnsi="黑体" w:eastAsia="黑体"/>
          <w:color w:val="000000"/>
          <w:sz w:val="32"/>
          <w:szCs w:val="32"/>
        </w:rPr>
        <w:t xml:space="preserve"> </w:t>
      </w:r>
      <w:r>
        <w:rPr>
          <w:rStyle w:val="31"/>
          <w:rFonts w:hint="eastAsia" w:ascii="黑体" w:hAnsi="黑体" w:eastAsia="黑体"/>
          <w:color w:val="000000"/>
          <w:sz w:val="32"/>
          <w:szCs w:val="32"/>
        </w:rPr>
        <w:t>一般公共服务（类）发展与改革事务（款）一般行政管理事务（项）：指反映行政单位（包括实行公务员管理的事业单位）未单独设置项级科目的其他项目支出。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11</w:t>
      </w:r>
      <w:r>
        <w:rPr>
          <w:rStyle w:val="31"/>
          <w:rFonts w:hint="eastAsia" w:ascii="黑体" w:hAnsi="黑体" w:eastAsia="黑体"/>
          <w:color w:val="000000"/>
          <w:sz w:val="32"/>
          <w:szCs w:val="32"/>
        </w:rPr>
        <w:t>. 一般公共服务（类）发展与改革事务（款）经济体制改革研究（项）：指反映经济体制改革与研究方面的支出。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2</w:t>
      </w:r>
      <w:r>
        <w:rPr>
          <w:rStyle w:val="31"/>
          <w:rFonts w:hint="eastAsia" w:ascii="黑体" w:hAnsi="黑体" w:eastAsia="黑体"/>
          <w:color w:val="000000"/>
          <w:sz w:val="32"/>
          <w:szCs w:val="32"/>
        </w:rPr>
        <w:t>. 一般公共服务（类）发展与改革事务（款）物价管理（项）：指反映物价管理方面的支出。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3</w:t>
      </w:r>
      <w:r>
        <w:rPr>
          <w:rStyle w:val="31"/>
          <w:rFonts w:hint="eastAsia" w:ascii="黑体" w:hAnsi="黑体" w:eastAsia="黑体"/>
          <w:color w:val="000000"/>
          <w:sz w:val="32"/>
          <w:szCs w:val="32"/>
        </w:rPr>
        <w:t>. 一般公共服务（类）发展与改革事务（款）事业运行（项）：指反映事业单位的基本支出，不包括行政单位（包括实行公务员管理的事业单位）后勤服务中心、医疗室等附属事业单位。</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4</w:t>
      </w:r>
      <w:r>
        <w:rPr>
          <w:rStyle w:val="31"/>
          <w:rFonts w:hint="eastAsia" w:ascii="黑体" w:hAnsi="黑体" w:eastAsia="黑体"/>
          <w:color w:val="000000"/>
          <w:sz w:val="32"/>
          <w:szCs w:val="32"/>
        </w:rPr>
        <w:t>. 科学技术事务（类）科学技术管理事务（款）行政运行</w:t>
      </w:r>
      <w:r>
        <w:rPr>
          <w:rFonts w:ascii="Calibri" w:hAnsi="Calibri" w:eastAsia="黑体" w:cs="Calibri"/>
          <w:color w:val="000000"/>
          <w:sz w:val="32"/>
          <w:szCs w:val="32"/>
        </w:rPr>
        <w:t> </w:t>
      </w:r>
      <w:r>
        <w:rPr>
          <w:rFonts w:hint="eastAsia" w:ascii="黑体" w:hAnsi="黑体" w:eastAsia="黑体"/>
          <w:color w:val="000000"/>
          <w:sz w:val="32"/>
          <w:szCs w:val="32"/>
        </w:rPr>
        <w:t>（</w:t>
      </w:r>
      <w:r>
        <w:rPr>
          <w:rStyle w:val="31"/>
          <w:rFonts w:hint="eastAsia" w:ascii="黑体" w:hAnsi="黑体" w:eastAsia="黑体"/>
          <w:color w:val="000000"/>
          <w:sz w:val="32"/>
          <w:szCs w:val="32"/>
        </w:rPr>
        <w:t>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15</w:t>
      </w:r>
      <w:r>
        <w:rPr>
          <w:rStyle w:val="31"/>
          <w:rFonts w:hint="eastAsia" w:ascii="黑体" w:hAnsi="黑体" w:eastAsia="黑体"/>
          <w:color w:val="000000"/>
          <w:sz w:val="32"/>
          <w:szCs w:val="32"/>
        </w:rPr>
        <w:t>.科学技术事务（类）科学技术管理事务（款）其他科学技术管理事务支出（项）：指反映除上述项目以外其他用于科学技术管理事务方面的支出。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6</w:t>
      </w:r>
      <w:r>
        <w:rPr>
          <w:rStyle w:val="31"/>
          <w:rFonts w:hint="eastAsia" w:ascii="黑体" w:hAnsi="黑体" w:eastAsia="黑体"/>
          <w:color w:val="000000"/>
          <w:sz w:val="32"/>
          <w:szCs w:val="32"/>
        </w:rPr>
        <w:t>. 科学技术事务（类）应用研究（款）高技术研究（项）：</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指反映为解决事关国民经济长远发展和国家安全等重大战略性、前沿性和前瞻性高技术问题而开展的研究工作支出。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7</w:t>
      </w:r>
      <w:r>
        <w:rPr>
          <w:rStyle w:val="31"/>
          <w:rFonts w:hint="eastAsia" w:ascii="黑体" w:hAnsi="黑体" w:eastAsia="黑体"/>
          <w:color w:val="000000"/>
          <w:sz w:val="32"/>
          <w:szCs w:val="32"/>
        </w:rPr>
        <w:t>. 科学技术事务（类）技术研究与开发（款）应用技术研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究与开发（项）：指反映从事技术开发研究和近期可望取得实用价值的专项技术开发研究的支出。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8</w:t>
      </w:r>
      <w:r>
        <w:rPr>
          <w:rStyle w:val="31"/>
          <w:rFonts w:hint="eastAsia" w:ascii="黑体" w:hAnsi="黑体" w:eastAsia="黑体"/>
          <w:color w:val="000000"/>
          <w:sz w:val="32"/>
          <w:szCs w:val="32"/>
        </w:rPr>
        <w:t>. 科学技术事务（类）技术研究与开发（款）其他技术研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究与开发支出（项）：指反映除上述项目以外其他用于技术研究与开发方面的支出。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9</w:t>
      </w:r>
      <w:r>
        <w:rPr>
          <w:rStyle w:val="31"/>
          <w:rFonts w:hint="eastAsia" w:ascii="黑体" w:hAnsi="黑体" w:eastAsia="黑体"/>
          <w:color w:val="000000"/>
          <w:sz w:val="32"/>
          <w:szCs w:val="32"/>
        </w:rPr>
        <w:t>. 科学技术事务（类）科技条件与服务（款）机构运行（项）：指反映科技服务机构的基本支出。</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18. 科学技术事务（类）其他科学技术支出（款）其他科学技术支出（项）：指反映其他科学技术支出中除以上各项外用于科技方面的支出。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20</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未归口管理的行政单位离退休（项）：指反映未实行归口管理的行政单位（包括实行公务员管理的事业单位）开支的离退休支出。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1</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机关事业单位基本养老保险缴费支出（项）：指反映机关事业单位实施养老保险制度由单位缴纳的基本养老保险费支出。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2</w:t>
      </w:r>
      <w:r>
        <w:rPr>
          <w:rStyle w:val="31"/>
          <w:rFonts w:hint="eastAsia" w:ascii="黑体" w:hAnsi="黑体" w:eastAsia="黑体"/>
          <w:color w:val="000000"/>
          <w:sz w:val="32"/>
          <w:szCs w:val="32"/>
        </w:rPr>
        <w:t>. 社会保障和就业支出（类）抚恤（款）死亡抚恤（项）：指反映按规定用于烈士和牺牲、病故人员家属的一次性和伤残补助费。</w:t>
      </w:r>
    </w:p>
    <w:p>
      <w:pPr>
        <w:pStyle w:val="33"/>
        <w:shd w:val="clear" w:color="auto" w:fill="FFFFFF"/>
        <w:spacing w:before="93" w:beforeAutospacing="0" w:after="0" w:afterAutospacing="0" w:line="600" w:lineRule="exact"/>
        <w:ind w:firstLine="707" w:firstLineChars="221"/>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3</w:t>
      </w:r>
      <w:r>
        <w:rPr>
          <w:rStyle w:val="31"/>
          <w:rFonts w:hint="eastAsia" w:ascii="黑体" w:hAnsi="黑体" w:eastAsia="黑体"/>
          <w:color w:val="000000"/>
          <w:sz w:val="32"/>
          <w:szCs w:val="32"/>
        </w:rPr>
        <w:t>. 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4</w:t>
      </w:r>
      <w:r>
        <w:rPr>
          <w:rStyle w:val="31"/>
          <w:rFonts w:hint="eastAsia" w:ascii="黑体" w:hAnsi="黑体" w:eastAsia="黑体"/>
          <w:color w:val="000000"/>
          <w:sz w:val="32"/>
          <w:szCs w:val="32"/>
        </w:rPr>
        <w:t>.医疗卫生与计划生育支出（类）医疗保障（款）其他医疗保障支出（项）:指反映除上述项目以外其他用于医疗保障方面的支出。</w:t>
      </w:r>
    </w:p>
    <w:p>
      <w:pPr>
        <w:pStyle w:val="33"/>
        <w:shd w:val="clear" w:color="auto" w:fill="FFFFFF"/>
        <w:spacing w:before="93" w:beforeAutospacing="0" w:after="0" w:afterAutospacing="0" w:line="600" w:lineRule="exact"/>
        <w:ind w:firstLine="640"/>
        <w:rPr>
          <w:rStyle w:val="31"/>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5</w:t>
      </w:r>
      <w:r>
        <w:rPr>
          <w:rStyle w:val="31"/>
          <w:rFonts w:hint="eastAsia" w:ascii="黑体" w:hAnsi="黑体" w:eastAsia="黑体"/>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6.</w:t>
      </w:r>
      <w:r>
        <w:rPr>
          <w:rStyle w:val="31"/>
          <w:rFonts w:hint="eastAsia" w:ascii="黑体" w:hAnsi="黑体" w:eastAsia="黑体"/>
          <w:color w:val="000000"/>
        </w:rPr>
        <w:t xml:space="preserve"> </w:t>
      </w:r>
      <w:r>
        <w:rPr>
          <w:rStyle w:val="31"/>
          <w:rFonts w:hint="eastAsia" w:ascii="黑体" w:hAnsi="黑体" w:eastAsia="黑体"/>
          <w:color w:val="000000"/>
          <w:sz w:val="32"/>
          <w:szCs w:val="32"/>
        </w:rPr>
        <w:t>农林水支出（类）扶贫（款）农村基础设施建设（项）：指反映用于农村贫困地区乡村道路、住房、基本农田、水利设施、人畜饮水、生态环境保护等生产生活条件改善方面的支出。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27.</w:t>
      </w:r>
      <w:r>
        <w:rPr>
          <w:rFonts w:hint="eastAsia" w:ascii="黑体" w:hAnsi="黑体" w:eastAsia="黑体"/>
          <w:color w:val="000000"/>
          <w:sz w:val="32"/>
          <w:szCs w:val="32"/>
        </w:rPr>
        <w:t>基本支出：指为保障机构正常运转、完成日常工作任务而发生的人员支出和公用支出。</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28.</w:t>
      </w:r>
      <w:r>
        <w:rPr>
          <w:rFonts w:hint="eastAsia" w:ascii="黑体" w:hAnsi="黑体" w:eastAsia="黑体"/>
          <w:color w:val="000000"/>
          <w:sz w:val="32"/>
          <w:szCs w:val="32"/>
        </w:rPr>
        <w:t>项目支出：指在基本支出之外为完成特定行政任务和事业发展目标所发生的支出。</w:t>
      </w:r>
      <w:r>
        <w:rPr>
          <w:rFonts w:ascii="黑体" w:hAnsi="黑体" w:eastAsia="黑体"/>
          <w:color w:val="000000"/>
          <w:sz w:val="32"/>
          <w:szCs w:val="32"/>
        </w:rPr>
        <w:t xml:space="preserve"> </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29.</w:t>
      </w:r>
      <w:r>
        <w:rPr>
          <w:rFonts w:hint="eastAsia" w:ascii="黑体" w:hAnsi="黑体" w:eastAsia="黑体"/>
          <w:color w:val="000000"/>
          <w:sz w:val="32"/>
          <w:szCs w:val="32"/>
        </w:rPr>
        <w:t>经营支出：指事业单位在专业业务活动及其辅助活动之外开展非独立核算经营活动发生的支出。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30.</w:t>
      </w:r>
      <w:r>
        <w:rPr>
          <w:rFonts w:hint="eastAsia" w:ascii="黑体" w:hAnsi="黑体" w:eastAsia="黑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31.</w:t>
      </w:r>
      <w:r>
        <w:rPr>
          <w:rFonts w:hint="eastAsia" w:ascii="黑体" w:hAnsi="黑体" w:eastAsia="黑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600" w:lineRule="exact"/>
        <w:ind w:firstLine="640" w:firstLineChars="200"/>
        <w:rPr>
          <w:rFonts w:ascii="仿宋_GB2312" w:eastAsia="仿宋_GB2312" w:cs="黑体"/>
          <w:sz w:val="32"/>
          <w:szCs w:val="32"/>
        </w:rPr>
      </w:pP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8" w:name="_Toc15377226"/>
      <w:r>
        <w:rPr>
          <w:rFonts w:ascii="宋体"/>
          <w:b/>
          <w:color w:val="000000"/>
          <w:sz w:val="44"/>
          <w:szCs w:val="44"/>
        </w:rPr>
        <w:br w:type="page"/>
      </w:r>
      <w:bookmarkStart w:id="59"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9"/>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sz w:val="44"/>
          <w:szCs w:val="44"/>
        </w:rPr>
      </w:pPr>
    </w:p>
    <w:p>
      <w:pPr>
        <w:widowControl/>
        <w:spacing w:line="580" w:lineRule="exact"/>
        <w:jc w:val="center"/>
        <w:rPr>
          <w:rFonts w:hint="eastAsia" w:ascii="方正小标宋_GBK" w:hAnsi="宋体" w:eastAsia="方正小标宋_GBK"/>
          <w:b/>
          <w:sz w:val="44"/>
          <w:szCs w:val="44"/>
          <w:shd w:val="clear" w:color="auto" w:fill="FFFFFF"/>
          <w:lang w:eastAsia="zh-CN"/>
        </w:rPr>
      </w:pPr>
      <w:r>
        <w:rPr>
          <w:rFonts w:hint="eastAsia" w:ascii="方正小标宋_GBK" w:hAnsi="宋体" w:eastAsia="方正小标宋_GBK"/>
          <w:b/>
          <w:sz w:val="44"/>
          <w:szCs w:val="44"/>
          <w:shd w:val="clear" w:color="auto" w:fill="FFFFFF"/>
        </w:rPr>
        <w:t>峨眉山市发展</w:t>
      </w:r>
      <w:r>
        <w:rPr>
          <w:rFonts w:hint="eastAsia" w:ascii="宋体" w:hAnsi="宋体" w:cs="宋体"/>
          <w:b/>
          <w:sz w:val="44"/>
          <w:szCs w:val="44"/>
          <w:shd w:val="clear" w:color="auto" w:fill="FFFFFF"/>
        </w:rPr>
        <w:t>和</w:t>
      </w:r>
      <w:r>
        <w:rPr>
          <w:rFonts w:hint="eastAsia" w:ascii="方正小标宋_GBK" w:hAnsi="宋体" w:eastAsia="方正小标宋_GBK"/>
          <w:b/>
          <w:sz w:val="44"/>
          <w:szCs w:val="44"/>
          <w:shd w:val="clear" w:color="auto" w:fill="FFFFFF"/>
        </w:rPr>
        <w:t>改革局</w:t>
      </w:r>
      <w:r>
        <w:rPr>
          <w:rFonts w:hint="eastAsia" w:ascii="方正小标宋_GBK" w:hAnsi="宋体" w:eastAsia="方正小标宋_GBK"/>
          <w:b/>
          <w:sz w:val="44"/>
          <w:szCs w:val="44"/>
          <w:shd w:val="clear" w:color="auto" w:fill="FFFFFF"/>
          <w:lang w:eastAsia="zh-CN"/>
        </w:rPr>
        <w:t>（</w:t>
      </w:r>
      <w:r>
        <w:rPr>
          <w:rFonts w:hint="eastAsia" w:ascii="方正小标宋_GBK" w:hAnsi="宋体" w:eastAsia="方正小标宋_GBK"/>
          <w:b/>
          <w:sz w:val="44"/>
          <w:szCs w:val="44"/>
          <w:shd w:val="clear" w:color="auto" w:fill="FFFFFF"/>
          <w:lang w:val="en-US" w:eastAsia="zh-CN"/>
        </w:rPr>
        <w:t>本级</w:t>
      </w:r>
      <w:r>
        <w:rPr>
          <w:rFonts w:hint="eastAsia" w:ascii="方正小标宋_GBK" w:hAnsi="宋体" w:eastAsia="方正小标宋_GBK"/>
          <w:b/>
          <w:sz w:val="44"/>
          <w:szCs w:val="44"/>
          <w:shd w:val="clear" w:color="auto" w:fill="FFFFFF"/>
          <w:lang w:eastAsia="zh-CN"/>
        </w:rPr>
        <w:t>）</w:t>
      </w: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w:t>
      </w:r>
      <w:r>
        <w:rPr>
          <w:rFonts w:hint="eastAsia" w:ascii="方正小标宋_GBK" w:hAnsi="宋体" w:eastAsia="方正小标宋_GBK"/>
          <w:b/>
          <w:sz w:val="44"/>
          <w:szCs w:val="44"/>
          <w:shd w:val="clear" w:color="auto" w:fill="FFFFFF"/>
          <w:lang w:val="en-US" w:eastAsia="zh-CN"/>
        </w:rPr>
        <w:t>20</w:t>
      </w:r>
      <w:r>
        <w:rPr>
          <w:rFonts w:hint="eastAsia" w:ascii="方正小标宋_GBK" w:hAnsi="宋体" w:eastAsia="方正小标宋_GBK"/>
          <w:b/>
          <w:sz w:val="44"/>
          <w:szCs w:val="44"/>
          <w:shd w:val="clear" w:color="auto" w:fill="FFFFFF"/>
        </w:rPr>
        <w:t>年部门整体支出绩效评价报告</w:t>
      </w:r>
    </w:p>
    <w:p>
      <w:pPr>
        <w:widowControl/>
        <w:adjustRightInd w:val="0"/>
        <w:snapToGrid w:val="0"/>
        <w:spacing w:line="58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峨眉山市发改局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本级</w:t>
      </w:r>
      <w:r>
        <w:rPr>
          <w:rFonts w:hint="eastAsia" w:ascii="仿宋_GB2312" w:hAnsi="仿宋" w:eastAsia="仿宋_GB2312"/>
          <w:sz w:val="32"/>
          <w:szCs w:val="32"/>
          <w:lang w:eastAsia="zh-CN"/>
        </w:rPr>
        <w:t>）</w:t>
      </w:r>
      <w:r>
        <w:rPr>
          <w:rFonts w:hint="eastAsia" w:ascii="仿宋_GB2312" w:hAnsi="仿宋" w:eastAsia="仿宋_GB2312"/>
          <w:sz w:val="32"/>
          <w:szCs w:val="32"/>
        </w:rPr>
        <w:t>为市政府工作部门之一，下属二级预算单位2个，其中：峨眉山市价格认证中心和峨眉山市科技开发和生产力促进中心属全额拨款事业单位。</w:t>
      </w:r>
    </w:p>
    <w:p>
      <w:pPr>
        <w:spacing w:line="600" w:lineRule="exact"/>
        <w:ind w:firstLine="640" w:firstLineChars="200"/>
        <w:outlineLvl w:val="1"/>
        <w:rPr>
          <w:rFonts w:ascii="仿宋_GB2312" w:eastAsia="仿宋_GB2312" w:hAnsiTheme="minorEastAsia"/>
          <w:sz w:val="32"/>
          <w:szCs w:val="32"/>
        </w:rPr>
      </w:pPr>
      <w:r>
        <w:rPr>
          <w:rFonts w:hint="eastAsia" w:ascii="仿宋_GB2312" w:hAnsi="宋体" w:eastAsia="仿宋_GB2312" w:cs="宋体"/>
          <w:color w:val="000000"/>
          <w:kern w:val="0"/>
          <w:sz w:val="32"/>
          <w:szCs w:val="32"/>
          <w:shd w:val="clear" w:color="auto" w:fill="FFFFFF"/>
          <w:lang w:val="zh-CN"/>
        </w:rPr>
        <w:t>（二）机构职能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hint="eastAsia" w:ascii="仿宋_GB2312" w:eastAsia="仿宋_GB2312"/>
          <w:kern w:val="0"/>
          <w:sz w:val="32"/>
          <w:szCs w:val="32"/>
        </w:rPr>
        <w:t>6、负责全市投资宏观管理和协调推进重大项目建设。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kern w:val="0"/>
          <w:sz w:val="32"/>
          <w:szCs w:val="32"/>
        </w:rPr>
        <w:t>、</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8</w:t>
      </w:r>
      <w:r>
        <w:rPr>
          <w:rFonts w:hint="eastAsia" w:ascii="仿宋_GB2312" w:eastAsia="仿宋_GB2312"/>
          <w:kern w:val="0"/>
          <w:sz w:val="32"/>
          <w:szCs w:val="32"/>
        </w:rPr>
        <w:t>、承办市政府交办的其他事项。</w:t>
      </w:r>
    </w:p>
    <w:p>
      <w:pPr>
        <w:widowControl/>
        <w:adjustRightInd w:val="0"/>
        <w:snapToGrid w:val="0"/>
        <w:spacing w:line="580" w:lineRule="exact"/>
        <w:ind w:firstLine="720"/>
        <w:jc w:val="left"/>
        <w:rPr>
          <w:rFonts w:ascii="仿宋_GB2312" w:hAnsi="宋体" w:eastAsia="仿宋_GB2312" w:cs="宋体"/>
          <w:kern w:val="0"/>
          <w:sz w:val="32"/>
          <w:szCs w:val="32"/>
          <w:shd w:val="clear" w:color="auto" w:fill="FFFFFF"/>
          <w:lang w:val="zh-CN"/>
        </w:rPr>
      </w:pPr>
      <w:r>
        <w:rPr>
          <w:rFonts w:hint="eastAsia" w:ascii="仿宋_GB2312" w:hAnsi="仿宋" w:eastAsia="仿宋_GB2312"/>
          <w:sz w:val="32"/>
          <w:szCs w:val="32"/>
        </w:rPr>
        <w:t>截止20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年12月31日，我局在岗职工27人，聘用人员3人。与201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年相比，退休人员</w:t>
      </w:r>
      <w:r>
        <w:rPr>
          <w:rFonts w:hint="eastAsia" w:ascii="仿宋_GB2312" w:hAnsi="仿宋" w:eastAsia="仿宋_GB2312"/>
          <w:sz w:val="32"/>
          <w:szCs w:val="32"/>
          <w:lang w:val="en-US" w:eastAsia="zh-CN"/>
        </w:rPr>
        <w:t>40</w:t>
      </w:r>
      <w:r>
        <w:rPr>
          <w:rFonts w:hint="eastAsia" w:ascii="仿宋_GB2312" w:hAnsi="仿宋" w:eastAsia="仿宋_GB2312"/>
          <w:sz w:val="32"/>
          <w:szCs w:val="32"/>
        </w:rPr>
        <w:t>人全部纳入社保管理。</w:t>
      </w:r>
    </w:p>
    <w:p>
      <w:pPr>
        <w:widowControl/>
        <w:adjustRightInd w:val="0"/>
        <w:snapToGrid w:val="0"/>
        <w:spacing w:line="580" w:lineRule="exact"/>
        <w:ind w:firstLine="720"/>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年，我单位共收入</w:t>
      </w:r>
      <w:r>
        <w:rPr>
          <w:rFonts w:hint="eastAsia" w:ascii="仿宋_GB2312" w:hAnsi="仿宋" w:eastAsia="仿宋_GB2312"/>
          <w:sz w:val="32"/>
          <w:szCs w:val="32"/>
          <w:lang w:val="en-US" w:eastAsia="zh-CN"/>
        </w:rPr>
        <w:t>1140.83</w:t>
      </w:r>
      <w:r>
        <w:rPr>
          <w:rFonts w:hint="eastAsia" w:ascii="仿宋_GB2312" w:hAnsi="仿宋" w:eastAsia="仿宋_GB2312"/>
          <w:sz w:val="32"/>
          <w:szCs w:val="32"/>
        </w:rPr>
        <w:t>万元，其中财政拨款收入</w:t>
      </w:r>
      <w:r>
        <w:rPr>
          <w:rFonts w:hint="eastAsia" w:ascii="仿宋_GB2312" w:hAnsi="仿宋" w:eastAsia="仿宋_GB2312"/>
          <w:sz w:val="32"/>
          <w:szCs w:val="32"/>
          <w:lang w:val="en-US" w:eastAsia="zh-CN"/>
        </w:rPr>
        <w:t>1140.83</w:t>
      </w:r>
      <w:r>
        <w:rPr>
          <w:rFonts w:hint="eastAsia" w:ascii="仿宋_GB2312" w:hAnsi="仿宋" w:eastAsia="仿宋_GB2312"/>
          <w:sz w:val="32"/>
          <w:szCs w:val="32"/>
        </w:rPr>
        <w:t>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年，我单位共支出</w:t>
      </w:r>
      <w:r>
        <w:rPr>
          <w:rFonts w:ascii="仿宋" w:hAnsi="仿宋" w:eastAsia="仿宋"/>
          <w:color w:val="000000"/>
          <w:sz w:val="32"/>
          <w:szCs w:val="32"/>
        </w:rPr>
        <w:t>791.20</w:t>
      </w:r>
      <w:r>
        <w:rPr>
          <w:rFonts w:hint="eastAsia" w:ascii="仿宋_GB2312" w:hAnsi="仿宋" w:eastAsia="仿宋_GB2312"/>
          <w:sz w:val="32"/>
          <w:szCs w:val="32"/>
        </w:rPr>
        <w:t>万元，其中:财政拨款支出</w:t>
      </w:r>
      <w:r>
        <w:rPr>
          <w:rFonts w:ascii="仿宋" w:hAnsi="仿宋" w:eastAsia="仿宋"/>
          <w:color w:val="000000"/>
          <w:sz w:val="32"/>
          <w:szCs w:val="32"/>
        </w:rPr>
        <w:t>791.20</w:t>
      </w:r>
      <w:r>
        <w:rPr>
          <w:rFonts w:hint="eastAsia" w:ascii="仿宋_GB2312" w:hAnsi="仿宋" w:eastAsia="仿宋_GB2312"/>
          <w:sz w:val="32"/>
          <w:szCs w:val="32"/>
        </w:rPr>
        <w:t>万元（基本支出</w:t>
      </w:r>
      <w:r>
        <w:rPr>
          <w:rFonts w:ascii="仿宋" w:hAnsi="仿宋" w:eastAsia="仿宋"/>
          <w:color w:val="000000"/>
          <w:sz w:val="32"/>
          <w:szCs w:val="32"/>
        </w:rPr>
        <w:t>570.61</w:t>
      </w:r>
      <w:r>
        <w:rPr>
          <w:rFonts w:hint="eastAsia" w:ascii="仿宋_GB2312" w:hAnsi="仿宋" w:eastAsia="仿宋_GB2312"/>
          <w:sz w:val="32"/>
          <w:szCs w:val="32"/>
        </w:rPr>
        <w:t>万元，项目支出</w:t>
      </w:r>
      <w:r>
        <w:rPr>
          <w:rFonts w:ascii="仿宋" w:hAnsi="仿宋" w:eastAsia="仿宋"/>
          <w:color w:val="000000"/>
          <w:sz w:val="32"/>
          <w:szCs w:val="32"/>
        </w:rPr>
        <w:t>220.59</w:t>
      </w:r>
      <w:r>
        <w:rPr>
          <w:rFonts w:hint="eastAsia" w:ascii="仿宋_GB2312" w:hAnsi="仿宋" w:eastAsia="仿宋_GB2312"/>
          <w:sz w:val="32"/>
          <w:szCs w:val="32"/>
        </w:rPr>
        <w:t>万元）。</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三、部门财政支出管理情况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（一）预决算编制情况。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年预算于201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11月着手编制，在充分考虑年度工作计划和相应支出需求、以前年度预算执行情况、以前年度结转和结余情况、资产占有和使用情况等因素的基础上，做到预算编制科学化、精细化。经财政审核、市政府同意，报峨眉山市第十七届人民代表大会会议批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年市财政局下发关于批复20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年部门预算的通知，2月30日前我单位在峨眉山市人民政府政务公开网上将20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年预算和三公经费预算进行公开。</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年决算于202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年1月认真按时按要求完成。年末项目支出按规定结转结余。</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年，我单位共收入</w:t>
      </w:r>
      <w:r>
        <w:rPr>
          <w:rFonts w:hint="eastAsia" w:ascii="仿宋_GB2312" w:hAnsi="仿宋" w:eastAsia="仿宋_GB2312"/>
          <w:sz w:val="32"/>
          <w:szCs w:val="32"/>
          <w:lang w:val="en-US" w:eastAsia="zh-CN"/>
        </w:rPr>
        <w:t>1140.83</w:t>
      </w:r>
      <w:r>
        <w:rPr>
          <w:rFonts w:hint="eastAsia" w:ascii="仿宋_GB2312" w:hAnsi="仿宋" w:eastAsia="仿宋_GB2312"/>
          <w:sz w:val="32"/>
          <w:szCs w:val="32"/>
        </w:rPr>
        <w:t>万元，其中财政拨款收入</w:t>
      </w:r>
      <w:r>
        <w:rPr>
          <w:rFonts w:hint="eastAsia" w:ascii="仿宋_GB2312" w:hAnsi="仿宋" w:eastAsia="仿宋_GB2312"/>
          <w:sz w:val="32"/>
          <w:szCs w:val="32"/>
          <w:lang w:val="en-US" w:eastAsia="zh-CN"/>
        </w:rPr>
        <w:t>1140.83</w:t>
      </w:r>
      <w:r>
        <w:rPr>
          <w:rFonts w:hint="eastAsia" w:ascii="仿宋_GB2312" w:hAnsi="仿宋" w:eastAsia="仿宋_GB2312"/>
          <w:sz w:val="32"/>
          <w:szCs w:val="32"/>
        </w:rPr>
        <w:t>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严格报账制度，严格控制一般性行政支出，保障了机关正常运转、正确履行峨眉山市发改局的职能职责，保障了市委、市政府交办任务的顺利及时完成。</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（2）机关厉行节约。</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严格执行《党政机关厉行节约反对浪费条例》，严格派车制度，加强车辆管理，严格控制接待陪同人数和接待标准。20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年，我单位无因公出国出境及公务用车购置费用产生。全年公务用车运行维护费用为</w:t>
      </w:r>
      <w:r>
        <w:rPr>
          <w:rFonts w:hint="eastAsia" w:ascii="仿宋_GB2312" w:hAnsi="仿宋" w:eastAsia="仿宋_GB2312"/>
          <w:sz w:val="32"/>
          <w:szCs w:val="32"/>
          <w:lang w:val="en-US" w:eastAsia="zh-CN"/>
        </w:rPr>
        <w:t>0</w:t>
      </w:r>
      <w:r>
        <w:rPr>
          <w:rFonts w:hint="eastAsia" w:ascii="仿宋_GB2312" w:hAnsi="仿宋" w:eastAsia="仿宋_GB2312"/>
          <w:sz w:val="32"/>
          <w:szCs w:val="32"/>
        </w:rPr>
        <w:t>元，公务接待费用为</w:t>
      </w:r>
      <w:r>
        <w:rPr>
          <w:rFonts w:ascii="仿宋" w:hAnsi="仿宋" w:eastAsia="仿宋"/>
          <w:color w:val="000000"/>
          <w:sz w:val="32"/>
          <w:szCs w:val="32"/>
        </w:rPr>
        <w:t>1.71</w:t>
      </w:r>
      <w:r>
        <w:rPr>
          <w:rFonts w:hint="eastAsia" w:ascii="仿宋_GB2312" w:hAnsi="仿宋" w:eastAsia="仿宋_GB2312"/>
          <w:sz w:val="32"/>
          <w:szCs w:val="32"/>
        </w:rPr>
        <w:t>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（3）机关节能降耗。</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我单位节约用水、用电、用气，并加强车辆管理，严禁公车私用，节能减排。</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（四）财务管理情况。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（五）绩效管理工作开展情况。</w:t>
      </w:r>
    </w:p>
    <w:p>
      <w:pPr>
        <w:widowControl/>
        <w:adjustRightInd w:val="0"/>
        <w:snapToGrid w:val="0"/>
        <w:spacing w:line="580" w:lineRule="exact"/>
        <w:ind w:firstLine="720"/>
        <w:jc w:val="left"/>
        <w:rPr>
          <w:rFonts w:ascii="仿宋_GB2312" w:hAnsi="仿宋" w:eastAsia="仿宋_GB2312"/>
          <w:sz w:val="32"/>
          <w:szCs w:val="32"/>
        </w:rPr>
      </w:pPr>
      <w:r>
        <w:rPr>
          <w:rFonts w:hint="eastAsia" w:ascii="仿宋_GB2312" w:hAnsi="仿宋" w:eastAsia="仿宋_GB2312"/>
          <w:sz w:val="32"/>
          <w:szCs w:val="32"/>
        </w:rPr>
        <w:t>我单位高度重视部门预算支出绩效评价工作，按照峨眉山市财政局《关于开展2020年财政支出绩效评价工作的通知》要求，严格对照绩效评价指标体系，认真开展自查，实事求是编写了20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年部门预算支出绩效报告。</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严格对照绩效评价指标体系，认真开展自查。通过自查我单位将在以后的工作中，进一步完善内部控制制度，加强节能降耗，加强6月、9月、11月及年终预算执行情况监测、审核和分析，有序推进预算支出绩效评价工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jc w:val="both"/>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60"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60"/>
    </w:p>
    <w:p>
      <w:pPr>
        <w:spacing w:line="600" w:lineRule="exact"/>
        <w:jc w:val="both"/>
        <w:outlineLvl w:val="0"/>
        <w:rPr>
          <w:rFonts w:ascii="仿宋" w:hAnsi="仿宋" w:eastAsia="仿宋"/>
          <w:b/>
          <w:color w:val="000000"/>
          <w:sz w:val="44"/>
          <w:szCs w:val="44"/>
        </w:rPr>
      </w:pPr>
    </w:p>
    <w:p>
      <w:pPr>
        <w:pStyle w:val="3"/>
        <w:spacing w:line="600" w:lineRule="exact"/>
        <w:rPr>
          <w:rFonts w:ascii="仿宋" w:hAnsi="仿宋" w:eastAsia="仿宋"/>
          <w:color w:val="000000"/>
        </w:rPr>
      </w:pPr>
      <w:bookmarkStart w:id="61"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1"/>
    </w:p>
    <w:p>
      <w:pPr>
        <w:pStyle w:val="3"/>
        <w:spacing w:line="600" w:lineRule="exact"/>
        <w:rPr>
          <w:rFonts w:ascii="仿宋" w:hAnsi="仿宋" w:eastAsia="仿宋"/>
          <w:color w:val="000000"/>
        </w:rPr>
      </w:pPr>
      <w:bookmarkStart w:id="62"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2"/>
    </w:p>
    <w:p>
      <w:pPr>
        <w:pStyle w:val="3"/>
        <w:spacing w:line="600" w:lineRule="exact"/>
        <w:rPr>
          <w:rFonts w:ascii="仿宋" w:hAnsi="仿宋" w:eastAsia="仿宋"/>
          <w:color w:val="000000"/>
        </w:rPr>
      </w:pPr>
      <w:bookmarkStart w:id="63"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3"/>
    </w:p>
    <w:p>
      <w:pPr>
        <w:pStyle w:val="3"/>
        <w:spacing w:line="600" w:lineRule="exact"/>
        <w:rPr>
          <w:rFonts w:ascii="仿宋" w:hAnsi="仿宋" w:eastAsia="仿宋"/>
          <w:b w:val="0"/>
          <w:color w:val="000000"/>
        </w:rPr>
      </w:pPr>
      <w:bookmarkStart w:id="64"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4"/>
    </w:p>
    <w:p>
      <w:pPr>
        <w:pStyle w:val="3"/>
        <w:spacing w:line="600" w:lineRule="exact"/>
        <w:rPr>
          <w:rStyle w:val="26"/>
          <w:rFonts w:ascii="仿宋" w:hAnsi="仿宋" w:eastAsia="仿宋"/>
          <w:b w:val="0"/>
          <w:bCs w:val="0"/>
        </w:rPr>
      </w:pPr>
      <w:bookmarkStart w:id="65"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5"/>
      <w:bookmarkStart w:id="66" w:name="_Toc15396624"/>
    </w:p>
    <w:p>
      <w:pPr>
        <w:pStyle w:val="3"/>
        <w:spacing w:line="600" w:lineRule="exact"/>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6"/>
    </w:p>
    <w:p>
      <w:pPr>
        <w:pStyle w:val="3"/>
        <w:spacing w:line="600" w:lineRule="exact"/>
        <w:rPr>
          <w:rFonts w:ascii="仿宋" w:hAnsi="仿宋" w:eastAsia="仿宋"/>
          <w:color w:val="000000"/>
        </w:rPr>
      </w:pPr>
      <w:bookmarkStart w:id="67"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7"/>
    </w:p>
    <w:p>
      <w:pPr>
        <w:pStyle w:val="3"/>
        <w:spacing w:line="600" w:lineRule="exact"/>
        <w:rPr>
          <w:rFonts w:ascii="仿宋" w:hAnsi="仿宋" w:eastAsia="仿宋"/>
          <w:color w:val="000000"/>
        </w:rPr>
      </w:pPr>
      <w:bookmarkStart w:id="68"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8"/>
    </w:p>
    <w:p>
      <w:pPr>
        <w:pStyle w:val="3"/>
        <w:spacing w:line="600" w:lineRule="exact"/>
        <w:rPr>
          <w:rFonts w:ascii="仿宋" w:hAnsi="仿宋" w:eastAsia="仿宋"/>
          <w:color w:val="000000"/>
        </w:rPr>
      </w:pPr>
      <w:bookmarkStart w:id="69"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9"/>
    </w:p>
    <w:p>
      <w:pPr>
        <w:pStyle w:val="3"/>
        <w:spacing w:line="600" w:lineRule="exact"/>
        <w:rPr>
          <w:rFonts w:ascii="仿宋" w:hAnsi="仿宋" w:eastAsia="仿宋"/>
          <w:color w:val="000000"/>
        </w:rPr>
      </w:pPr>
      <w:bookmarkStart w:id="70"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0"/>
    </w:p>
    <w:p>
      <w:pPr>
        <w:pStyle w:val="3"/>
        <w:spacing w:line="600" w:lineRule="exact"/>
        <w:rPr>
          <w:rFonts w:ascii="仿宋" w:hAnsi="仿宋" w:eastAsia="仿宋"/>
          <w:color w:val="000000"/>
        </w:rPr>
      </w:pPr>
      <w:bookmarkStart w:id="71"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1"/>
    </w:p>
    <w:p>
      <w:pPr>
        <w:pStyle w:val="3"/>
        <w:spacing w:line="600" w:lineRule="exact"/>
        <w:rPr>
          <w:rFonts w:ascii="仿宋" w:hAnsi="仿宋" w:eastAsia="仿宋"/>
          <w:color w:val="000000"/>
        </w:rPr>
      </w:pPr>
      <w:bookmarkStart w:id="72"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2"/>
    </w:p>
    <w:p>
      <w:pPr>
        <w:pStyle w:val="3"/>
        <w:spacing w:line="600" w:lineRule="exact"/>
        <w:rPr>
          <w:rStyle w:val="26"/>
          <w:rFonts w:hint="eastAsia" w:ascii="仿宋" w:hAnsi="仿宋" w:eastAsia="仿宋"/>
          <w:b w:val="0"/>
          <w:bCs w:val="0"/>
        </w:rPr>
      </w:pPr>
      <w:bookmarkStart w:id="73" w:name="_Toc15396631"/>
      <w:r>
        <w:rPr>
          <w:rStyle w:val="26"/>
          <w:rFonts w:hint="eastAsia" w:ascii="仿宋" w:hAnsi="仿宋" w:eastAsia="仿宋"/>
          <w:b w:val="0"/>
          <w:bCs w:val="0"/>
        </w:rPr>
        <w:t>十三、</w:t>
      </w:r>
      <w:r>
        <w:rPr>
          <w:rStyle w:val="26"/>
          <w:rFonts w:hint="eastAsia" w:ascii="仿宋" w:hAnsi="仿宋" w:eastAsia="仿宋"/>
          <w:b w:val="0"/>
          <w:bCs w:val="0"/>
          <w:lang w:val="en-US" w:eastAsia="zh-CN"/>
        </w:rPr>
        <w:t>国有资本经营预算财政拨款收入支出决算表</w:t>
      </w:r>
      <w:bookmarkEnd w:id="73"/>
    </w:p>
    <w:p>
      <w:pPr>
        <w:pStyle w:val="3"/>
        <w:spacing w:line="600" w:lineRule="exact"/>
        <w:rPr>
          <w:rFonts w:hint="eastAsia" w:eastAsia="仿宋"/>
          <w:lang w:val="en-US" w:eastAsia="zh-CN"/>
        </w:rPr>
      </w:pPr>
      <w:r>
        <w:rPr>
          <w:rStyle w:val="26"/>
          <w:rFonts w:hint="eastAsia" w:ascii="仿宋" w:hAnsi="仿宋" w:eastAsia="仿宋"/>
          <w:b w:val="0"/>
          <w:bCs w:val="0"/>
          <w:lang w:val="en-US" w:eastAsia="zh-CN"/>
        </w:rPr>
        <w:t>十四、</w:t>
      </w:r>
      <w:r>
        <w:rPr>
          <w:rFonts w:hint="eastAsia" w:ascii="仿宋" w:hAnsi="仿宋" w:eastAsia="仿宋"/>
          <w:b w:val="0"/>
          <w:color w:val="000000"/>
        </w:rPr>
        <w:t>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C0C1BE4"/>
    <w:multiLevelType w:val="singleLevel"/>
    <w:tmpl w:val="FC0C1BE4"/>
    <w:lvl w:ilvl="0" w:tentative="0">
      <w:start w:val="6"/>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2A66"/>
    <w:rsid w:val="0002549F"/>
    <w:rsid w:val="00041791"/>
    <w:rsid w:val="000468DB"/>
    <w:rsid w:val="00050123"/>
    <w:rsid w:val="00056160"/>
    <w:rsid w:val="0006487A"/>
    <w:rsid w:val="00065F8F"/>
    <w:rsid w:val="00070A43"/>
    <w:rsid w:val="000768F2"/>
    <w:rsid w:val="0009184B"/>
    <w:rsid w:val="00093FB9"/>
    <w:rsid w:val="00094236"/>
    <w:rsid w:val="0009593C"/>
    <w:rsid w:val="00097322"/>
    <w:rsid w:val="000A6A92"/>
    <w:rsid w:val="000B047F"/>
    <w:rsid w:val="000B5923"/>
    <w:rsid w:val="000B5A48"/>
    <w:rsid w:val="000B6FF3"/>
    <w:rsid w:val="000C3467"/>
    <w:rsid w:val="000C3CA6"/>
    <w:rsid w:val="000D1267"/>
    <w:rsid w:val="000D1D50"/>
    <w:rsid w:val="000D5782"/>
    <w:rsid w:val="000E2A05"/>
    <w:rsid w:val="000E6613"/>
    <w:rsid w:val="000E7119"/>
    <w:rsid w:val="00114E9B"/>
    <w:rsid w:val="00134F64"/>
    <w:rsid w:val="00142216"/>
    <w:rsid w:val="00144D6A"/>
    <w:rsid w:val="001458F0"/>
    <w:rsid w:val="0014729F"/>
    <w:rsid w:val="00157BAB"/>
    <w:rsid w:val="001654D1"/>
    <w:rsid w:val="00174518"/>
    <w:rsid w:val="0018106D"/>
    <w:rsid w:val="001877A7"/>
    <w:rsid w:val="00191536"/>
    <w:rsid w:val="00196687"/>
    <w:rsid w:val="001C0962"/>
    <w:rsid w:val="001D1AD4"/>
    <w:rsid w:val="001D6BFE"/>
    <w:rsid w:val="001D7531"/>
    <w:rsid w:val="001E737D"/>
    <w:rsid w:val="001F0592"/>
    <w:rsid w:val="001F7506"/>
    <w:rsid w:val="002006CD"/>
    <w:rsid w:val="002021FA"/>
    <w:rsid w:val="00202B36"/>
    <w:rsid w:val="00204B7A"/>
    <w:rsid w:val="00204CDE"/>
    <w:rsid w:val="00205682"/>
    <w:rsid w:val="002073EC"/>
    <w:rsid w:val="0021101A"/>
    <w:rsid w:val="00220536"/>
    <w:rsid w:val="00233533"/>
    <w:rsid w:val="00235629"/>
    <w:rsid w:val="00252A77"/>
    <w:rsid w:val="00260C38"/>
    <w:rsid w:val="002616BF"/>
    <w:rsid w:val="002616C0"/>
    <w:rsid w:val="00265372"/>
    <w:rsid w:val="002662AA"/>
    <w:rsid w:val="00277FDF"/>
    <w:rsid w:val="00280496"/>
    <w:rsid w:val="002841B7"/>
    <w:rsid w:val="002842AF"/>
    <w:rsid w:val="00294DC9"/>
    <w:rsid w:val="00295495"/>
    <w:rsid w:val="002A31DE"/>
    <w:rsid w:val="002B2613"/>
    <w:rsid w:val="002C450C"/>
    <w:rsid w:val="002D19B0"/>
    <w:rsid w:val="002D6D05"/>
    <w:rsid w:val="002F1818"/>
    <w:rsid w:val="002F567B"/>
    <w:rsid w:val="003216A9"/>
    <w:rsid w:val="00327889"/>
    <w:rsid w:val="00332B96"/>
    <w:rsid w:val="00335A74"/>
    <w:rsid w:val="00336545"/>
    <w:rsid w:val="0036561B"/>
    <w:rsid w:val="0037013F"/>
    <w:rsid w:val="00380C92"/>
    <w:rsid w:val="003A484F"/>
    <w:rsid w:val="003A4883"/>
    <w:rsid w:val="003B0BE0"/>
    <w:rsid w:val="003B0C1B"/>
    <w:rsid w:val="003B688C"/>
    <w:rsid w:val="003C0291"/>
    <w:rsid w:val="003C39AE"/>
    <w:rsid w:val="003C3F2F"/>
    <w:rsid w:val="003C7B60"/>
    <w:rsid w:val="003D0C0F"/>
    <w:rsid w:val="003D1FB2"/>
    <w:rsid w:val="003D66DA"/>
    <w:rsid w:val="003E1310"/>
    <w:rsid w:val="003E6F55"/>
    <w:rsid w:val="00406254"/>
    <w:rsid w:val="00414493"/>
    <w:rsid w:val="00416CD4"/>
    <w:rsid w:val="004223DE"/>
    <w:rsid w:val="00434489"/>
    <w:rsid w:val="00437085"/>
    <w:rsid w:val="00443880"/>
    <w:rsid w:val="004464F4"/>
    <w:rsid w:val="00471401"/>
    <w:rsid w:val="00473F31"/>
    <w:rsid w:val="0048263A"/>
    <w:rsid w:val="00485D6A"/>
    <w:rsid w:val="00487E5D"/>
    <w:rsid w:val="004A711F"/>
    <w:rsid w:val="004B199D"/>
    <w:rsid w:val="004B4690"/>
    <w:rsid w:val="004C107B"/>
    <w:rsid w:val="004E0A2D"/>
    <w:rsid w:val="004E206B"/>
    <w:rsid w:val="004E6DF7"/>
    <w:rsid w:val="004F0FBD"/>
    <w:rsid w:val="004F127B"/>
    <w:rsid w:val="004F403E"/>
    <w:rsid w:val="004F7F42"/>
    <w:rsid w:val="00505A47"/>
    <w:rsid w:val="00512FDA"/>
    <w:rsid w:val="00520DA0"/>
    <w:rsid w:val="00547C43"/>
    <w:rsid w:val="005522F8"/>
    <w:rsid w:val="005664BB"/>
    <w:rsid w:val="00566FFA"/>
    <w:rsid w:val="0057481D"/>
    <w:rsid w:val="00575F0B"/>
    <w:rsid w:val="00577DF8"/>
    <w:rsid w:val="0058486E"/>
    <w:rsid w:val="00585B33"/>
    <w:rsid w:val="0059014D"/>
    <w:rsid w:val="005B5C64"/>
    <w:rsid w:val="005C6BD0"/>
    <w:rsid w:val="005C6C4C"/>
    <w:rsid w:val="005D1C8B"/>
    <w:rsid w:val="005D468D"/>
    <w:rsid w:val="005D5CED"/>
    <w:rsid w:val="005D67E2"/>
    <w:rsid w:val="005E460B"/>
    <w:rsid w:val="005F1A4C"/>
    <w:rsid w:val="00605688"/>
    <w:rsid w:val="006070AF"/>
    <w:rsid w:val="006074AF"/>
    <w:rsid w:val="006077F9"/>
    <w:rsid w:val="00607E6C"/>
    <w:rsid w:val="006101B1"/>
    <w:rsid w:val="00614E44"/>
    <w:rsid w:val="0062270A"/>
    <w:rsid w:val="00622830"/>
    <w:rsid w:val="00623DA0"/>
    <w:rsid w:val="00630AEF"/>
    <w:rsid w:val="006325F8"/>
    <w:rsid w:val="00633463"/>
    <w:rsid w:val="00634C9A"/>
    <w:rsid w:val="006440E4"/>
    <w:rsid w:val="0065276C"/>
    <w:rsid w:val="0066343B"/>
    <w:rsid w:val="00664777"/>
    <w:rsid w:val="00666416"/>
    <w:rsid w:val="00666A16"/>
    <w:rsid w:val="00670BC8"/>
    <w:rsid w:val="006748A4"/>
    <w:rsid w:val="00681A31"/>
    <w:rsid w:val="00683E73"/>
    <w:rsid w:val="00693040"/>
    <w:rsid w:val="006947D5"/>
    <w:rsid w:val="006A3141"/>
    <w:rsid w:val="006A380E"/>
    <w:rsid w:val="006A5E34"/>
    <w:rsid w:val="006A7505"/>
    <w:rsid w:val="006B2422"/>
    <w:rsid w:val="006B2B9A"/>
    <w:rsid w:val="006B2BB3"/>
    <w:rsid w:val="006B7720"/>
    <w:rsid w:val="006C1937"/>
    <w:rsid w:val="006F020C"/>
    <w:rsid w:val="00700A0C"/>
    <w:rsid w:val="00701889"/>
    <w:rsid w:val="007127B7"/>
    <w:rsid w:val="0071798E"/>
    <w:rsid w:val="00727533"/>
    <w:rsid w:val="007416B6"/>
    <w:rsid w:val="00746F48"/>
    <w:rsid w:val="0075404D"/>
    <w:rsid w:val="00754DFC"/>
    <w:rsid w:val="0076182A"/>
    <w:rsid w:val="00767B7E"/>
    <w:rsid w:val="007770C3"/>
    <w:rsid w:val="00784D24"/>
    <w:rsid w:val="00785FBA"/>
    <w:rsid w:val="00786E4A"/>
    <w:rsid w:val="007875EB"/>
    <w:rsid w:val="0079426B"/>
    <w:rsid w:val="007D1682"/>
    <w:rsid w:val="007D312A"/>
    <w:rsid w:val="007D3F19"/>
    <w:rsid w:val="007E23B0"/>
    <w:rsid w:val="007E2CC6"/>
    <w:rsid w:val="007F1991"/>
    <w:rsid w:val="007F2C2F"/>
    <w:rsid w:val="007F55FC"/>
    <w:rsid w:val="007F5665"/>
    <w:rsid w:val="00800112"/>
    <w:rsid w:val="00813348"/>
    <w:rsid w:val="008253BB"/>
    <w:rsid w:val="00833962"/>
    <w:rsid w:val="0083706E"/>
    <w:rsid w:val="008408F6"/>
    <w:rsid w:val="008423A5"/>
    <w:rsid w:val="00843344"/>
    <w:rsid w:val="00850625"/>
    <w:rsid w:val="00853718"/>
    <w:rsid w:val="00855221"/>
    <w:rsid w:val="00860645"/>
    <w:rsid w:val="00871F71"/>
    <w:rsid w:val="00872FD8"/>
    <w:rsid w:val="0088069C"/>
    <w:rsid w:val="00885AF4"/>
    <w:rsid w:val="00886CDA"/>
    <w:rsid w:val="008939CD"/>
    <w:rsid w:val="00897B60"/>
    <w:rsid w:val="008B768C"/>
    <w:rsid w:val="008C4DB1"/>
    <w:rsid w:val="008C4EAF"/>
    <w:rsid w:val="008C5176"/>
    <w:rsid w:val="008C7FD0"/>
    <w:rsid w:val="008E1DE7"/>
    <w:rsid w:val="008E707C"/>
    <w:rsid w:val="008F42EE"/>
    <w:rsid w:val="00900B08"/>
    <w:rsid w:val="00902155"/>
    <w:rsid w:val="00902FA3"/>
    <w:rsid w:val="00923564"/>
    <w:rsid w:val="0092392E"/>
    <w:rsid w:val="00926D2F"/>
    <w:rsid w:val="009315F9"/>
    <w:rsid w:val="00933499"/>
    <w:rsid w:val="00935C98"/>
    <w:rsid w:val="00946945"/>
    <w:rsid w:val="00951248"/>
    <w:rsid w:val="0095152F"/>
    <w:rsid w:val="00954C49"/>
    <w:rsid w:val="00955E37"/>
    <w:rsid w:val="0097099F"/>
    <w:rsid w:val="00971997"/>
    <w:rsid w:val="00971FFC"/>
    <w:rsid w:val="0098660A"/>
    <w:rsid w:val="00992D8C"/>
    <w:rsid w:val="009931C3"/>
    <w:rsid w:val="009B2C43"/>
    <w:rsid w:val="009B4EAE"/>
    <w:rsid w:val="009B7573"/>
    <w:rsid w:val="009C22F4"/>
    <w:rsid w:val="009C2E98"/>
    <w:rsid w:val="009C37FB"/>
    <w:rsid w:val="009D3447"/>
    <w:rsid w:val="009D4711"/>
    <w:rsid w:val="009D771F"/>
    <w:rsid w:val="009F1185"/>
    <w:rsid w:val="009F18CD"/>
    <w:rsid w:val="009F2A13"/>
    <w:rsid w:val="009F6189"/>
    <w:rsid w:val="009F7527"/>
    <w:rsid w:val="00A039ED"/>
    <w:rsid w:val="00A04EB0"/>
    <w:rsid w:val="00A13CC1"/>
    <w:rsid w:val="00A16847"/>
    <w:rsid w:val="00A237D8"/>
    <w:rsid w:val="00A268C4"/>
    <w:rsid w:val="00A307CD"/>
    <w:rsid w:val="00A331C8"/>
    <w:rsid w:val="00A34CD0"/>
    <w:rsid w:val="00A35117"/>
    <w:rsid w:val="00A40A00"/>
    <w:rsid w:val="00A4142F"/>
    <w:rsid w:val="00A422EB"/>
    <w:rsid w:val="00A45BB7"/>
    <w:rsid w:val="00A54441"/>
    <w:rsid w:val="00A56DF2"/>
    <w:rsid w:val="00A56E6E"/>
    <w:rsid w:val="00A66AFA"/>
    <w:rsid w:val="00A67AB5"/>
    <w:rsid w:val="00A733B2"/>
    <w:rsid w:val="00A741C2"/>
    <w:rsid w:val="00A91760"/>
    <w:rsid w:val="00A93B00"/>
    <w:rsid w:val="00A93C21"/>
    <w:rsid w:val="00AA5CB9"/>
    <w:rsid w:val="00AB64C9"/>
    <w:rsid w:val="00AC3460"/>
    <w:rsid w:val="00AC3C6A"/>
    <w:rsid w:val="00AD0F83"/>
    <w:rsid w:val="00AD5620"/>
    <w:rsid w:val="00AD656B"/>
    <w:rsid w:val="00AD7C1B"/>
    <w:rsid w:val="00AE16BA"/>
    <w:rsid w:val="00AE1EBE"/>
    <w:rsid w:val="00AE43DB"/>
    <w:rsid w:val="00B03C9D"/>
    <w:rsid w:val="00B060AE"/>
    <w:rsid w:val="00B10517"/>
    <w:rsid w:val="00B14E76"/>
    <w:rsid w:val="00B161B8"/>
    <w:rsid w:val="00B2048C"/>
    <w:rsid w:val="00B3106D"/>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1BBC"/>
    <w:rsid w:val="00C30E69"/>
    <w:rsid w:val="00C33E72"/>
    <w:rsid w:val="00C354B2"/>
    <w:rsid w:val="00C35554"/>
    <w:rsid w:val="00C41F91"/>
    <w:rsid w:val="00C42709"/>
    <w:rsid w:val="00C533CC"/>
    <w:rsid w:val="00C5751C"/>
    <w:rsid w:val="00C61BFC"/>
    <w:rsid w:val="00C62B85"/>
    <w:rsid w:val="00C65438"/>
    <w:rsid w:val="00C8030E"/>
    <w:rsid w:val="00C91CBB"/>
    <w:rsid w:val="00CB270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27ED"/>
    <w:rsid w:val="00DC3745"/>
    <w:rsid w:val="00DC410D"/>
    <w:rsid w:val="00DC5A81"/>
    <w:rsid w:val="00DC68CA"/>
    <w:rsid w:val="00DC7CBA"/>
    <w:rsid w:val="00DD73B7"/>
    <w:rsid w:val="00DF28BC"/>
    <w:rsid w:val="00DF34B9"/>
    <w:rsid w:val="00E01053"/>
    <w:rsid w:val="00E07ACF"/>
    <w:rsid w:val="00E240F1"/>
    <w:rsid w:val="00E331A1"/>
    <w:rsid w:val="00E33202"/>
    <w:rsid w:val="00E336A9"/>
    <w:rsid w:val="00E35032"/>
    <w:rsid w:val="00E44243"/>
    <w:rsid w:val="00E472B1"/>
    <w:rsid w:val="00E50624"/>
    <w:rsid w:val="00E568DF"/>
    <w:rsid w:val="00E64269"/>
    <w:rsid w:val="00E66797"/>
    <w:rsid w:val="00E82267"/>
    <w:rsid w:val="00E853CE"/>
    <w:rsid w:val="00E867B6"/>
    <w:rsid w:val="00E87F08"/>
    <w:rsid w:val="00E90CB7"/>
    <w:rsid w:val="00EA010F"/>
    <w:rsid w:val="00EB4396"/>
    <w:rsid w:val="00ED1B63"/>
    <w:rsid w:val="00ED3C1F"/>
    <w:rsid w:val="00ED4085"/>
    <w:rsid w:val="00ED420E"/>
    <w:rsid w:val="00ED6FBE"/>
    <w:rsid w:val="00EE2F57"/>
    <w:rsid w:val="00EE79B4"/>
    <w:rsid w:val="00EF4C34"/>
    <w:rsid w:val="00EF77C6"/>
    <w:rsid w:val="00EF7FD0"/>
    <w:rsid w:val="00F05438"/>
    <w:rsid w:val="00F068A6"/>
    <w:rsid w:val="00F1361C"/>
    <w:rsid w:val="00F156F0"/>
    <w:rsid w:val="00F160C7"/>
    <w:rsid w:val="00F2408F"/>
    <w:rsid w:val="00F240E9"/>
    <w:rsid w:val="00F36D8F"/>
    <w:rsid w:val="00F417B1"/>
    <w:rsid w:val="00F45853"/>
    <w:rsid w:val="00F47558"/>
    <w:rsid w:val="00F57E08"/>
    <w:rsid w:val="00F602DF"/>
    <w:rsid w:val="00F611EA"/>
    <w:rsid w:val="00F754A1"/>
    <w:rsid w:val="00F81FD9"/>
    <w:rsid w:val="00F841AA"/>
    <w:rsid w:val="00F84A94"/>
    <w:rsid w:val="00F87E96"/>
    <w:rsid w:val="00FA23E8"/>
    <w:rsid w:val="00FA7B2D"/>
    <w:rsid w:val="00FD3CC1"/>
    <w:rsid w:val="00FF1E02"/>
    <w:rsid w:val="00FF30B4"/>
    <w:rsid w:val="05F32633"/>
    <w:rsid w:val="10C055FF"/>
    <w:rsid w:val="16BB723D"/>
    <w:rsid w:val="18F61043"/>
    <w:rsid w:val="1DA26215"/>
    <w:rsid w:val="21BC6746"/>
    <w:rsid w:val="240371BF"/>
    <w:rsid w:val="29FD04D3"/>
    <w:rsid w:val="2C8F1AB4"/>
    <w:rsid w:val="306E18B0"/>
    <w:rsid w:val="319F7F4E"/>
    <w:rsid w:val="43D66235"/>
    <w:rsid w:val="4A5C7687"/>
    <w:rsid w:val="4ECE2238"/>
    <w:rsid w:val="50F77663"/>
    <w:rsid w:val="550F04B8"/>
    <w:rsid w:val="5E511DFF"/>
    <w:rsid w:val="5F1C490C"/>
    <w:rsid w:val="64337E4A"/>
    <w:rsid w:val="72734D90"/>
    <w:rsid w:val="784E6FD1"/>
    <w:rsid w:val="7B1F63A3"/>
    <w:rsid w:val="7DF511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qowt-font7-gb2312"/>
    <w:basedOn w:val="14"/>
    <w:qFormat/>
    <w:uiPriority w:val="0"/>
  </w:style>
  <w:style w:type="paragraph" w:customStyle="1" w:styleId="32">
    <w:name w:val="qowt-stl-正文"/>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qowt-stl-17附件"/>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收、支决算总计变动情况图（单位：万元</a:t>
            </a:r>
            <a:r>
              <a:rPr lang="zh-CN" altLang="en-US" sz="1400" b="0" i="0" u="none" strike="noStrike" baseline="0">
                <a:effectLst/>
              </a:rPr>
              <a:t>）</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Lbls>
            <c:dLbl>
              <c:idx val="1"/>
              <c:layout/>
              <c:dLblPos val="outEnd"/>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1740.31</c:v>
                </c:pt>
                <c:pt idx="1">
                  <c:v>1957.11</c:v>
                </c:pt>
              </c:numCache>
            </c:numRef>
          </c:val>
        </c:ser>
        <c:ser>
          <c:idx val="1"/>
          <c:order val="1"/>
          <c:tx>
            <c:strRef>
              <c:f>Sheet1!$C$1</c:f>
              <c:strCache>
                <c:ptCount val="1"/>
                <c:pt idx="0">
                  <c:v>2020年度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1140.83</c:v>
                </c:pt>
                <c:pt idx="1">
                  <c:v>791.21</c:v>
                </c:pt>
              </c:numCache>
            </c:numRef>
          </c:val>
        </c:ser>
        <c:dLbls>
          <c:showLegendKey val="0"/>
          <c:showVal val="0"/>
          <c:showCatName val="0"/>
          <c:showSerName val="0"/>
          <c:showPercent val="0"/>
          <c:showBubbleSize val="0"/>
        </c:dLbls>
        <c:gapWidth val="219"/>
        <c:overlap val="-27"/>
        <c:axId val="564577504"/>
        <c:axId val="564577832"/>
      </c:barChart>
      <c:catAx>
        <c:axId val="5645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832"/>
        <c:crosses val="autoZero"/>
        <c:auto val="1"/>
        <c:lblAlgn val="ctr"/>
        <c:lblOffset val="100"/>
        <c:noMultiLvlLbl val="0"/>
      </c:catAx>
      <c:valAx>
        <c:axId val="56457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预算收入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c:v>
                </c:pt>
                <c:pt idx="1">
                  <c:v>政府基金预算</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1011.93</c:v>
                </c:pt>
                <c:pt idx="1">
                  <c:v>128.9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r>
              <a:rPr lang="zh-CN" altLang="en-US" sz="1400" b="0" i="0" u="none" strike="noStrike" baseline="0">
                <a:effectLst/>
              </a:rPr>
              <a:t>（单位：万元）</a:t>
            </a:r>
            <a:endParaRPr lang="zh-CN" altLang="en-US"/>
          </a:p>
        </c:rich>
      </c:tx>
      <c:layout>
        <c:manualLayout>
          <c:xMode val="edge"/>
          <c:yMode val="edge"/>
          <c:x val="0.266433903202504"/>
          <c:y val="0.0412796697626419"/>
        </c:manualLayout>
      </c:layout>
      <c:overlay val="0"/>
      <c:spPr>
        <a:noFill/>
        <a:ln>
          <a:noFill/>
        </a:ln>
        <a:effectLst/>
      </c:spPr>
    </c:title>
    <c:autoTitleDeleted val="0"/>
    <c:plotArea>
      <c:layout/>
      <c:pieChart>
        <c:varyColors val="1"/>
        <c:ser>
          <c:idx val="0"/>
          <c:order val="0"/>
          <c:tx>
            <c:strRef>
              <c:f>Sheet1!$B$1</c:f>
              <c:strCache>
                <c:ptCount val="1"/>
                <c:pt idx="0">
                  <c:v>预算支出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outEnd"/>
              <c:showLegendKey val="1"/>
              <c:showVal val="1"/>
              <c:showCatName val="1"/>
              <c:showSerName val="0"/>
              <c:showPercent val="0"/>
              <c:showBubbleSize val="0"/>
              <c:extLst>
                <c:ext xmlns:c15="http://schemas.microsoft.com/office/drawing/2012/chart" uri="{CE6537A1-D6FC-4f65-9D91-7224C49458BB}"/>
              </c:extLst>
            </c:dLbl>
            <c:dLbl>
              <c:idx val="1"/>
              <c:layout>
                <c:manualLayout>
                  <c:x val="-0.0288947748615459"/>
                  <c:y val="0.0247678018575851"/>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570.61</c:v>
                </c:pt>
                <c:pt idx="1">
                  <c:v>220.59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overlay val="0"/>
      <c:spPr>
        <a:noFill/>
        <a:ln>
          <a:noFill/>
        </a:ln>
        <a:effectLst/>
      </c:spPr>
    </c:title>
    <c:autoTitleDeleted val="0"/>
    <c:plotArea>
      <c:layout>
        <c:manualLayout>
          <c:layoutTarget val="inner"/>
          <c:xMode val="edge"/>
          <c:yMode val="edge"/>
          <c:x val="0.0772673581947212"/>
          <c:y val="0.141176470588235"/>
          <c:w val="0.893837866943733"/>
          <c:h val="0.690450582222114"/>
        </c:manualLayout>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Sheet1!$B$2:$B$3</c:f>
              <c:numCache>
                <c:formatCode>General</c:formatCode>
                <c:ptCount val="2"/>
                <c:pt idx="0">
                  <c:v>1740.31</c:v>
                </c:pt>
                <c:pt idx="1">
                  <c:v>1957.1</c:v>
                </c:pt>
              </c:numCache>
            </c:numRef>
          </c:val>
        </c:ser>
        <c:ser>
          <c:idx val="1"/>
          <c:order val="1"/>
          <c:tx>
            <c:strRef>
              <c:f>Sheet1!$C$1</c:f>
              <c:strCache>
                <c:ptCount val="1"/>
                <c:pt idx="0">
                  <c:v>2020年度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Sheet1!$C$2:$C$3</c:f>
              <c:numCache>
                <c:formatCode>General</c:formatCode>
                <c:ptCount val="2"/>
                <c:pt idx="0">
                  <c:v>1140.83</c:v>
                </c:pt>
                <c:pt idx="1">
                  <c:v>791.2</c:v>
                </c:pt>
              </c:numCache>
            </c:numRef>
          </c:val>
        </c:ser>
        <c:dLbls>
          <c:showLegendKey val="0"/>
          <c:showVal val="0"/>
          <c:showCatName val="0"/>
          <c:showSerName val="0"/>
          <c:showPercent val="0"/>
          <c:showBubbleSize val="0"/>
        </c:dLbls>
        <c:gapWidth val="219"/>
        <c:overlap val="-27"/>
        <c:axId val="564586688"/>
        <c:axId val="564582424"/>
      </c:barChart>
      <c:catAx>
        <c:axId val="5645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2424"/>
        <c:crosses val="autoZero"/>
        <c:auto val="1"/>
        <c:lblAlgn val="ctr"/>
        <c:lblOffset val="100"/>
        <c:noMultiLvlLbl val="0"/>
      </c:catAx>
      <c:valAx>
        <c:axId val="564582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r>
              <a:rPr lang="zh-CN" altLang="en-US" sz="1400" b="0" i="0" u="none" strike="noStrike" baseline="0">
                <a:effectLst/>
              </a:rPr>
              <a:t>（单位：万元）</a:t>
            </a:r>
            <a:endParaRPr lang="zh-CN" altLang="en-US"/>
          </a:p>
        </c:rich>
      </c:tx>
      <c:layout>
        <c:manualLayout>
          <c:xMode val="edge"/>
          <c:yMode val="edge"/>
          <c:x val="0.0810257645075849"/>
          <c:y val="0.02889576883384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Sheet1!$B$2:$B$3</c:f>
              <c:numCache>
                <c:formatCode>General</c:formatCode>
                <c:ptCount val="2"/>
                <c:pt idx="0">
                  <c:v>1455.51</c:v>
                </c:pt>
                <c:pt idx="1">
                  <c:v>1011.93</c:v>
                </c:pt>
              </c:numCache>
            </c:numRef>
          </c:val>
        </c:ser>
        <c:dLbls>
          <c:showLegendKey val="0"/>
          <c:showVal val="0"/>
          <c:showCatName val="0"/>
          <c:showSerName val="0"/>
          <c:showPercent val="0"/>
          <c:showBubbleSize val="0"/>
        </c:dLbls>
        <c:gapWidth val="219"/>
        <c:overlap val="-27"/>
        <c:axId val="562430120"/>
        <c:axId val="562429464"/>
      </c:barChart>
      <c:catAx>
        <c:axId val="56243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29464"/>
        <c:crosses val="autoZero"/>
        <c:auto val="1"/>
        <c:lblAlgn val="ctr"/>
        <c:lblOffset val="100"/>
        <c:noMultiLvlLbl val="0"/>
      </c:catAx>
      <c:valAx>
        <c:axId val="562429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30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numFmt formatCode="0.0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科学技术支出</c:v>
                </c:pt>
                <c:pt idx="2">
                  <c:v>社会保障和就业支出</c:v>
                </c:pt>
                <c:pt idx="3">
                  <c:v>卫生健康支出</c:v>
                </c:pt>
                <c:pt idx="4">
                  <c:v>文化旅游体育与传媒支出</c:v>
                </c:pt>
                <c:pt idx="5">
                  <c:v>农林水支出</c:v>
                </c:pt>
                <c:pt idx="6">
                  <c:v>资源勘探信息等支出</c:v>
                </c:pt>
                <c:pt idx="7">
                  <c:v>住房保障支出</c:v>
                </c:pt>
                <c:pt idx="8">
                  <c:v>其他支出</c:v>
                </c:pt>
              </c:strCache>
            </c:strRef>
          </c:cat>
          <c:val>
            <c:numRef>
              <c:f>Sheet1!$B$2:$B$10</c:f>
              <c:numCache>
                <c:formatCode>#,##0.00_ </c:formatCode>
                <c:ptCount val="9"/>
                <c:pt idx="0">
                  <c:v>519.28</c:v>
                </c:pt>
                <c:pt idx="1">
                  <c:v>218.5</c:v>
                </c:pt>
                <c:pt idx="2">
                  <c:v>50.75</c:v>
                </c:pt>
                <c:pt idx="3">
                  <c:v>11.81</c:v>
                </c:pt>
                <c:pt idx="4">
                  <c:v>150</c:v>
                </c:pt>
                <c:pt idx="5">
                  <c:v>2.98</c:v>
                </c:pt>
                <c:pt idx="6">
                  <c:v>14</c:v>
                </c:pt>
                <c:pt idx="7">
                  <c:v>44.61</c:v>
                </c:pt>
                <c:pt idx="8">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67276667469299"/>
                  <c:y val="0.17337461300309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62460871659042"/>
                  <c:y val="-0.123839009287926"/>
                </c:manualLayout>
              </c:layout>
              <c:numFmt formatCode="#,##0.00_);[Red]\(#,##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6486876956417"/>
                  <c:y val="-0.041279669762641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1e-7</c:v>
                </c:pt>
                <c:pt idx="2">
                  <c:v>1.71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E5B0-2EC5-48DA-BD98-B65220ECB92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53</Pages>
  <Words>3109</Words>
  <Characters>17725</Characters>
  <Lines>147</Lines>
  <Paragraphs>41</Paragraphs>
  <TotalTime>5</TotalTime>
  <ScaleCrop>false</ScaleCrop>
  <LinksUpToDate>false</LinksUpToDate>
  <CharactersWithSpaces>20793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2020-10-27T08:35:00Z</dcterms:created>
  <dc:creator>曹颖</dc:creator>
  <cp:lastModifiedBy>Administrator</cp:lastModifiedBy>
  <cp:lastPrinted>2020-07-23T02:58:00Z</cp:lastPrinted>
  <dcterms:modified xsi:type="dcterms:W3CDTF">2025-03-20T07:43:54Z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DA7F32E6FCC14794B79CC98F42AA6C9E</vt:lpwstr>
  </property>
</Properties>
</file>