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77425"/>
      <w:bookmarkStart w:id="1" w:name="_Toc15396597"/>
      <w:bookmarkStart w:id="2" w:name="_Toc15378441"/>
      <w:bookmarkStart w:id="3" w:name="_Toc15396475"/>
      <w:bookmarkStart w:id="4" w:name="_Toc15377193"/>
      <w:bookmarkStart w:id="5" w:name="_Toc15306267"/>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乐山市峨眉山市绥山镇太和小学校部门决算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公开时间：2021年10月</w:t>
      </w:r>
      <w:r>
        <w:rPr>
          <w:rFonts w:hint="eastAsia"/>
          <w:lang w:val="en-US" w:eastAsia="zh-CN"/>
        </w:rPr>
        <w:t>26</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部门概况4-10</w:t>
      </w:r>
    </w:p>
    <w:p>
      <w:pPr>
        <w:pStyle w:val="11"/>
        <w:adjustRightInd w:val="0"/>
        <w:snapToGrid w:val="0"/>
        <w:spacing w:line="440" w:lineRule="exact"/>
        <w:jc w:val="left"/>
        <w:rPr>
          <w:sz w:val="24"/>
        </w:rPr>
      </w:pPr>
      <w:r>
        <w:rPr>
          <w:rFonts w:hint="eastAsia"/>
          <w:sz w:val="24"/>
        </w:rPr>
        <w:t>一、基本职能及主要工作4-10</w:t>
      </w:r>
    </w:p>
    <w:p>
      <w:pPr>
        <w:pStyle w:val="11"/>
        <w:adjustRightInd w:val="0"/>
        <w:snapToGrid w:val="0"/>
        <w:spacing w:line="440" w:lineRule="exact"/>
        <w:jc w:val="left"/>
        <w:rPr>
          <w:rFonts w:ascii="仿宋" w:hAnsi="仿宋" w:eastAsia="仿宋" w:cstheme="minorBidi"/>
          <w:sz w:val="24"/>
        </w:rPr>
      </w:pPr>
      <w:r>
        <w:rPr>
          <w:rFonts w:hint="eastAsia"/>
          <w:sz w:val="24"/>
        </w:rPr>
        <w:t>二、机构设置10</w:t>
      </w:r>
    </w:p>
    <w:p>
      <w:pPr>
        <w:pStyle w:val="10"/>
        <w:adjustRightInd w:val="0"/>
        <w:snapToGrid w:val="0"/>
        <w:spacing w:before="0" w:line="440" w:lineRule="exact"/>
        <w:jc w:val="left"/>
        <w:rPr>
          <w:sz w:val="24"/>
        </w:rPr>
      </w:pPr>
      <w:r>
        <w:rPr>
          <w:rFonts w:hint="eastAsia"/>
          <w:sz w:val="24"/>
        </w:rPr>
        <w:t>第二部分度部门决算情况说明10-23</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一、收入支出决算总体情况说明10-11</w:t>
      </w:r>
    </w:p>
    <w:p>
      <w:pPr>
        <w:pStyle w:val="11"/>
        <w:adjustRightInd w:val="0"/>
        <w:snapToGrid w:val="0"/>
        <w:spacing w:line="440" w:lineRule="exact"/>
        <w:jc w:val="left"/>
        <w:rPr>
          <w:rFonts w:ascii="仿宋" w:hAnsi="仿宋" w:cstheme="minorBidi"/>
          <w:sz w:val="24"/>
        </w:rPr>
      </w:pPr>
      <w:r>
        <w:rPr>
          <w:rFonts w:hint="eastAsia"/>
          <w:sz w:val="24"/>
        </w:rPr>
        <w:t>二、收入决算情况说明11-12</w:t>
      </w:r>
    </w:p>
    <w:p>
      <w:pPr>
        <w:pStyle w:val="11"/>
        <w:adjustRightInd w:val="0"/>
        <w:snapToGrid w:val="0"/>
        <w:spacing w:line="440" w:lineRule="exact"/>
        <w:jc w:val="left"/>
        <w:rPr>
          <w:rFonts w:ascii="仿宋" w:hAnsi="仿宋" w:cstheme="minorBidi"/>
          <w:sz w:val="24"/>
        </w:rPr>
      </w:pPr>
      <w:r>
        <w:rPr>
          <w:rFonts w:hint="eastAsia"/>
          <w:sz w:val="24"/>
        </w:rPr>
        <w:t>三、支出决算情况说明12</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四、财政拨款收入支出决算总体情况说明13</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五、一般公共预算财政拨款支出决算情况说明13-16</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六、一般公共预算财政拨款基本支出决算情况说明16-17</w:t>
      </w:r>
    </w:p>
    <w:p>
      <w:pPr>
        <w:pStyle w:val="11"/>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三公”经费财政拨款支出决算情况说明17-18</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八、政府性基金预算支出决算情况说明18</w:t>
      </w:r>
    </w:p>
    <w:p>
      <w:pPr>
        <w:pStyle w:val="11"/>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有资本经营预算支出决算情况说明18</w:t>
      </w:r>
    </w:p>
    <w:p>
      <w:pPr>
        <w:adjustRightInd w:val="0"/>
        <w:snapToGrid w:val="0"/>
        <w:spacing w:line="440" w:lineRule="exact"/>
        <w:ind w:firstLine="480" w:firstLineChars="200"/>
        <w:jc w:val="left"/>
        <w:rPr>
          <w:rFonts w:eastAsia="仿宋"/>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18-22</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名词解释23-28</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附件29-41</w:t>
      </w:r>
    </w:p>
    <w:p>
      <w:pPr>
        <w:pStyle w:val="11"/>
        <w:adjustRightInd w:val="0"/>
        <w:snapToGrid w:val="0"/>
        <w:spacing w:line="440" w:lineRule="exact"/>
        <w:jc w:val="left"/>
        <w:rPr>
          <w:rFonts w:ascii="仿宋" w:hAnsi="仿宋" w:cstheme="minorBidi"/>
          <w:sz w:val="24"/>
        </w:rPr>
      </w:pPr>
      <w:r>
        <w:rPr>
          <w:rFonts w:hint="eastAsia"/>
          <w:sz w:val="24"/>
        </w:rPr>
        <w:t>附件1  29-37</w:t>
      </w:r>
    </w:p>
    <w:p>
      <w:pPr>
        <w:pStyle w:val="11"/>
        <w:adjustRightInd w:val="0"/>
        <w:snapToGrid w:val="0"/>
        <w:spacing w:line="440" w:lineRule="exact"/>
        <w:jc w:val="left"/>
        <w:rPr>
          <w:rFonts w:ascii="仿宋" w:hAnsi="仿宋" w:cstheme="minorBidi"/>
          <w:sz w:val="24"/>
        </w:rPr>
      </w:pPr>
      <w:r>
        <w:rPr>
          <w:rFonts w:hint="eastAsia"/>
          <w:sz w:val="24"/>
        </w:rPr>
        <w:t>附件2  38-41</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一、</w:t>
      </w:r>
      <w:r>
        <w:rPr>
          <w:rFonts w:hint="eastAsia"/>
          <w:sz w:val="24"/>
        </w:rPr>
        <w:t>收入支出决算总表42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四、</w:t>
      </w:r>
      <w:r>
        <w:rPr>
          <w:rFonts w:hint="eastAsia"/>
          <w:sz w:val="24"/>
        </w:rPr>
        <w:t>财政拨款收入支出决算总表42</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六、</w:t>
      </w:r>
      <w:r>
        <w:rPr>
          <w:rFonts w:hint="eastAsia"/>
          <w:sz w:val="24"/>
        </w:rPr>
        <w:t>一般公共预算财政拨款支出决算表42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七、</w:t>
      </w:r>
      <w:r>
        <w:rPr>
          <w:rFonts w:hint="eastAsia"/>
          <w:sz w:val="24"/>
        </w:rPr>
        <w:t>一般公共预算财政拨款支出决算明细表42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八、</w:t>
      </w:r>
      <w:r>
        <w:rPr>
          <w:rFonts w:hint="eastAsia"/>
          <w:sz w:val="24"/>
        </w:rPr>
        <w:t>一般公共预算财政拨款基本支出决算表42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九、</w:t>
      </w:r>
      <w:r>
        <w:rPr>
          <w:rFonts w:hint="eastAsia"/>
          <w:sz w:val="24"/>
        </w:rPr>
        <w:t>一般公共预算财政拨款项目支出决算表42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w:t>
      </w:r>
      <w:r>
        <w:rPr>
          <w:rFonts w:hint="eastAsia"/>
          <w:sz w:val="24"/>
        </w:rPr>
        <w:t>一般公共预算财政拨款“三公”经费支出决算表42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十一、</w:t>
      </w:r>
      <w:r>
        <w:rPr>
          <w:rFonts w:hint="eastAsia"/>
          <w:sz w:val="24"/>
        </w:rPr>
        <w:t>政府性基金预算财政拨款收入支出决算表42</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十二、</w:t>
      </w:r>
      <w:r>
        <w:rPr>
          <w:rFonts w:hint="eastAsia"/>
          <w:sz w:val="24"/>
        </w:rPr>
        <w:t>政府性基金预算财政拨款“三公”经费支出决算表42</w:t>
      </w:r>
    </w:p>
    <w:p>
      <w:pPr>
        <w:pStyle w:val="11"/>
        <w:adjustRightInd w:val="0"/>
        <w:snapToGrid w:val="0"/>
        <w:spacing w:line="440" w:lineRule="exact"/>
        <w:jc w:val="left"/>
        <w:rPr>
          <w:sz w:val="24"/>
        </w:rPr>
      </w:pPr>
      <w:r>
        <w:rPr>
          <w:rFonts w:hint="eastAsia" w:ascii="仿宋" w:hAnsi="仿宋" w:eastAsia="仿宋"/>
          <w:sz w:val="24"/>
        </w:rPr>
        <w:t>十三、</w:t>
      </w:r>
      <w:r>
        <w:rPr>
          <w:rFonts w:hint="eastAsia"/>
          <w:sz w:val="24"/>
        </w:rPr>
        <w:t>国有资本经营预算财政拨款收入支出决算表42</w:t>
      </w:r>
    </w:p>
    <w:p>
      <w:pPr>
        <w:pStyle w:val="11"/>
        <w:adjustRightInd w:val="0"/>
        <w:snapToGrid w:val="0"/>
        <w:spacing w:line="440" w:lineRule="exact"/>
        <w:jc w:val="left"/>
        <w:rPr>
          <w:rFonts w:ascii="仿宋" w:hAnsi="仿宋"/>
          <w:sz w:val="24"/>
        </w:rPr>
      </w:pPr>
      <w:r>
        <w:rPr>
          <w:rFonts w:hint="eastAsia" w:ascii="仿宋" w:hAnsi="仿宋" w:eastAsia="仿宋"/>
          <w:sz w:val="24"/>
        </w:rPr>
        <w:t>十四、</w:t>
      </w:r>
      <w:r>
        <w:rPr>
          <w:rFonts w:hint="eastAsia"/>
          <w:sz w:val="24"/>
        </w:rPr>
        <w:t>国有资本经营预算财政拨款支出决算表42</w:t>
      </w:r>
    </w:p>
    <w:p>
      <w:pPr>
        <w:pStyle w:val="2"/>
        <w:jc w:val="center"/>
        <w:rPr>
          <w:rFonts w:ascii="黑体" w:hAnsi="黑体" w:eastAsia="黑体"/>
          <w:b w:val="0"/>
        </w:rPr>
      </w:pPr>
      <w:bookmarkStart w:id="12" w:name="_Toc15377196"/>
      <w:bookmarkStart w:id="13" w:name="_Toc15396599"/>
    </w:p>
    <w:p>
      <w:pPr>
        <w:pStyle w:val="2"/>
        <w:rPr>
          <w:rFonts w:ascii="黑体" w:hAnsi="黑体" w:eastAsia="黑体"/>
          <w:b w:val="0"/>
        </w:rPr>
      </w:pPr>
    </w:p>
    <w:p/>
    <w:p/>
    <w:p/>
    <w:p/>
    <w:p/>
    <w:p/>
    <w:p/>
    <w:p/>
    <w:p/>
    <w:p/>
    <w:p/>
    <w:p/>
    <w:p/>
    <w:p/>
    <w:p>
      <w:pPr>
        <w:pStyle w:val="2"/>
        <w:jc w:val="center"/>
        <w:rPr>
          <w:rFonts w:ascii="黑体" w:hAnsi="黑体" w:eastAsia="黑体"/>
          <w:b w:val="0"/>
        </w:rPr>
      </w:pPr>
    </w:p>
    <w:p/>
    <w:p/>
    <w:p/>
    <w:p/>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11"/>
        <w:adjustRightInd w:val="0"/>
        <w:snapToGrid w:val="0"/>
        <w:spacing w:line="440" w:lineRule="exact"/>
        <w:jc w:val="left"/>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实施小学义务教育，促进基础</w:t>
      </w:r>
      <w:r>
        <w:rPr>
          <w:rFonts w:hint="eastAsia" w:ascii="仿宋" w:hAnsi="仿宋" w:eastAsia="仿宋"/>
          <w:bCs/>
          <w:color w:val="000000"/>
          <w:sz w:val="32"/>
          <w:szCs w:val="32"/>
        </w:rPr>
        <w:t>教育发展。进行小学学历教育。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r>
        <w:rPr>
          <w:rFonts w:hint="eastAsia" w:ascii="仿宋" w:hAnsi="仿宋" w:eastAsia="仿宋"/>
          <w:bCs/>
          <w:color w:val="000000"/>
          <w:sz w:val="32"/>
          <w:szCs w:val="32"/>
        </w:rPr>
        <w:t>（学校工作总结）</w:t>
      </w:r>
    </w:p>
    <w:p>
      <w:pPr>
        <w:ind w:firstLine="560" w:firstLineChars="200"/>
        <w:rPr>
          <w:rFonts w:ascii="仿宋" w:hAnsi="仿宋" w:eastAsia="仿宋"/>
          <w:sz w:val="28"/>
          <w:szCs w:val="28"/>
        </w:rPr>
      </w:pPr>
      <w:bookmarkStart w:id="20" w:name="_Toc15377200"/>
      <w:bookmarkStart w:id="21" w:name="_Toc15396601"/>
      <w:r>
        <w:rPr>
          <w:rFonts w:hint="eastAsia" w:ascii="仿宋" w:hAnsi="仿宋" w:eastAsia="仿宋"/>
          <w:sz w:val="28"/>
          <w:szCs w:val="28"/>
        </w:rPr>
        <w:t>本学年度，学校坚持以习近平新时代中国特色社会主义思想为指导，全面贯彻党的教育方针政策，坚持立德树人根本任务，坚持“五育”并举，围绕“知行合一、最好的自己”的办学理念，全面实施素质教育。一年来，在全体教职员工的共同努力下，学校各方面工作成绩显著，现将工作总结如下：</w:t>
      </w:r>
    </w:p>
    <w:p>
      <w:pPr>
        <w:ind w:firstLine="600" w:firstLineChars="200"/>
        <w:rPr>
          <w:rFonts w:ascii="黑体" w:hAnsi="黑体" w:eastAsia="黑体"/>
          <w:sz w:val="30"/>
          <w:szCs w:val="30"/>
        </w:rPr>
      </w:pPr>
      <w:r>
        <w:rPr>
          <w:rFonts w:hint="eastAsia" w:ascii="黑体" w:hAnsi="黑体" w:eastAsia="黑体"/>
          <w:sz w:val="30"/>
          <w:szCs w:val="30"/>
        </w:rPr>
        <w:t>一、党建引领，促进学校工作发展。</w:t>
      </w:r>
    </w:p>
    <w:p>
      <w:pPr>
        <w:ind w:firstLine="560" w:firstLineChars="200"/>
        <w:rPr>
          <w:rFonts w:ascii="仿宋" w:hAnsi="仿宋" w:eastAsia="仿宋"/>
          <w:sz w:val="28"/>
          <w:szCs w:val="28"/>
        </w:rPr>
      </w:pPr>
      <w:r>
        <w:rPr>
          <w:rFonts w:hint="eastAsia" w:ascii="仿宋" w:hAnsi="仿宋" w:eastAsia="仿宋"/>
          <w:sz w:val="28"/>
          <w:szCs w:val="28"/>
        </w:rPr>
        <w:t>学校以习近平新时代中国特色社会主义思想为指导，一年来，支部按照《关于加强中小学校党的建设工作的意见》，不断加强组织建设、思想建设、作风建设、党风廉政建设，规范推进党建工作，党建统领，有力的促进了学校各项工作的发展。党建工作总体评价好。</w:t>
      </w:r>
    </w:p>
    <w:p>
      <w:pPr>
        <w:ind w:firstLine="560" w:firstLineChars="200"/>
        <w:rPr>
          <w:rFonts w:ascii="仿宋" w:hAnsi="仿宋" w:eastAsia="仿宋"/>
          <w:sz w:val="28"/>
          <w:szCs w:val="28"/>
        </w:rPr>
      </w:pPr>
      <w:r>
        <w:rPr>
          <w:rFonts w:hint="eastAsia" w:ascii="仿宋" w:hAnsi="仿宋" w:eastAsia="仿宋"/>
          <w:sz w:val="28"/>
          <w:szCs w:val="28"/>
        </w:rPr>
        <w:t>1、组织建设。学年初，学校因校制宜，因人而用，建立健全党支部机构，进一步强化组织功能，落实工作责任，建章立制，保障了支部工作的正常运行。</w:t>
      </w:r>
    </w:p>
    <w:p>
      <w:pPr>
        <w:ind w:firstLine="560" w:firstLineChars="200"/>
        <w:rPr>
          <w:rFonts w:ascii="仿宋" w:hAnsi="仿宋" w:eastAsia="仿宋"/>
          <w:sz w:val="28"/>
          <w:szCs w:val="28"/>
        </w:rPr>
      </w:pPr>
      <w:r>
        <w:rPr>
          <w:rFonts w:hint="eastAsia" w:ascii="仿宋" w:hAnsi="仿宋" w:eastAsia="仿宋"/>
          <w:sz w:val="28"/>
          <w:szCs w:val="28"/>
        </w:rPr>
        <w:t>2、思想建设。积极组织学习，以集中学和个别谈话等形式加强党员和全体教职工的思想教育。通过支委会、党员大会、主题党日、每周教师例会等会议和活动，组织大家学习党章党规、</w:t>
      </w:r>
      <w:r>
        <w:rPr>
          <w:rFonts w:hint="eastAsia" w:ascii="仿宋" w:hAnsi="仿宋" w:eastAsia="仿宋"/>
          <w:sz w:val="28"/>
          <w:szCs w:val="28"/>
          <w:lang w:eastAsia="zh-CN"/>
        </w:rPr>
        <w:t>习近平总书记</w:t>
      </w:r>
      <w:bookmarkStart w:id="73" w:name="_GoBack"/>
      <w:bookmarkEnd w:id="73"/>
      <w:r>
        <w:rPr>
          <w:rFonts w:hint="eastAsia" w:ascii="仿宋" w:hAnsi="仿宋" w:eastAsia="仿宋"/>
          <w:sz w:val="28"/>
          <w:szCs w:val="28"/>
        </w:rPr>
        <w:t>系列重要讲话精神、宣讲“两会”精神，组织学习师德师风建设的有关精神和要求，组织开展党史学习教育，进一步增强了全体党员和教职工的思想政治素质。</w:t>
      </w:r>
    </w:p>
    <w:p>
      <w:pPr>
        <w:ind w:firstLine="560" w:firstLineChars="200"/>
        <w:rPr>
          <w:rFonts w:ascii="仿宋" w:hAnsi="仿宋" w:eastAsia="仿宋"/>
          <w:sz w:val="28"/>
          <w:szCs w:val="28"/>
        </w:rPr>
      </w:pPr>
      <w:r>
        <w:rPr>
          <w:rFonts w:hint="eastAsia" w:ascii="仿宋" w:hAnsi="仿宋" w:eastAsia="仿宋"/>
          <w:sz w:val="28"/>
          <w:szCs w:val="28"/>
        </w:rPr>
        <w:t>3、作风建设和党风廉政建设。作风建设永远在路上。一是组织教师学习《中小学教师职业道德规范》、《禁止在职教师从事有偿补课的若干规定》、《规范从教行为的通知》等，进一步明确规范要求；二是签订《师德师风承诺书》、《规范从教行为承诺书》；三是充分发挥纪律监督员作用，加强过程督查，强化遵章守纪、依法执教、依法管理、阳光运行。</w:t>
      </w:r>
    </w:p>
    <w:p>
      <w:pPr>
        <w:ind w:firstLine="560" w:firstLineChars="200"/>
        <w:rPr>
          <w:rFonts w:ascii="仿宋" w:hAnsi="仿宋" w:eastAsia="仿宋"/>
          <w:sz w:val="28"/>
          <w:szCs w:val="28"/>
        </w:rPr>
      </w:pPr>
      <w:r>
        <w:rPr>
          <w:rFonts w:hint="eastAsia" w:ascii="仿宋" w:hAnsi="仿宋" w:eastAsia="仿宋"/>
          <w:sz w:val="28"/>
          <w:szCs w:val="28"/>
        </w:rPr>
        <w:t>4、队伍建设。一是加强行政队伍管理，开展学习教育，提升行政队伍管理水平和责任角色担当服务等意识。二是开展师德师风教育和业务学习，提升了教师的思想素质和师德水平、业务水平，普通老师变得优秀，优秀教师更加优秀；强化制度管理和过程督查，增强了教师的爱岗敬业精神，进一步规范了从教行为。</w:t>
      </w:r>
    </w:p>
    <w:p>
      <w:pPr>
        <w:ind w:firstLine="560" w:firstLineChars="200"/>
        <w:rPr>
          <w:rFonts w:ascii="仿宋" w:hAnsi="仿宋" w:eastAsia="仿宋"/>
          <w:sz w:val="28"/>
          <w:szCs w:val="28"/>
        </w:rPr>
      </w:pPr>
      <w:r>
        <w:rPr>
          <w:rFonts w:hint="eastAsia" w:ascii="仿宋" w:hAnsi="仿宋" w:eastAsia="仿宋"/>
          <w:sz w:val="28"/>
          <w:szCs w:val="28"/>
        </w:rPr>
        <w:t>5、一年来，学校牢牢把握意识形态工作领导权和主动权，积极开展学习教育活动，强化政治思想教育，强化中国特色社会主义理论武装。同时加强对网络意识形态的宣传教育监督管理。</w:t>
      </w:r>
    </w:p>
    <w:p>
      <w:pPr>
        <w:ind w:firstLine="600" w:firstLineChars="200"/>
        <w:rPr>
          <w:rFonts w:ascii="黑体" w:hAnsi="黑体" w:eastAsia="黑体"/>
          <w:sz w:val="30"/>
          <w:szCs w:val="30"/>
        </w:rPr>
      </w:pPr>
      <w:r>
        <w:rPr>
          <w:rFonts w:hint="eastAsia" w:ascii="黑体" w:hAnsi="黑体" w:eastAsia="黑体"/>
          <w:sz w:val="30"/>
          <w:szCs w:val="30"/>
        </w:rPr>
        <w:t>二、德育工作丰富，成效显著。</w:t>
      </w:r>
    </w:p>
    <w:p>
      <w:pPr>
        <w:ind w:firstLine="560" w:firstLineChars="200"/>
        <w:rPr>
          <w:rFonts w:ascii="仿宋" w:hAnsi="仿宋" w:eastAsia="仿宋"/>
          <w:sz w:val="28"/>
          <w:szCs w:val="28"/>
        </w:rPr>
      </w:pPr>
      <w:r>
        <w:rPr>
          <w:rFonts w:hint="eastAsia" w:ascii="仿宋" w:hAnsi="仿宋" w:eastAsia="仿宋"/>
          <w:sz w:val="28"/>
          <w:szCs w:val="28"/>
        </w:rPr>
        <w:t>这一年，学校继续坚持德育为首，育人为先，积极落实立德树人根本任务，继续围绕“培养还习惯、塑造好品格”主题开展丰富多彩的德育活动，加强学生的良好行为习惯培养、思想教育、社会主义核心价值观教育等，德育工作成效显著。</w:t>
      </w:r>
    </w:p>
    <w:p>
      <w:pPr>
        <w:ind w:firstLine="560" w:firstLineChars="200"/>
        <w:rPr>
          <w:rFonts w:ascii="仿宋" w:hAnsi="仿宋" w:eastAsia="仿宋"/>
          <w:sz w:val="28"/>
          <w:szCs w:val="28"/>
        </w:rPr>
      </w:pPr>
      <w:r>
        <w:rPr>
          <w:rFonts w:hint="eastAsia" w:ascii="仿宋" w:hAnsi="仿宋" w:eastAsia="仿宋"/>
          <w:sz w:val="28"/>
          <w:szCs w:val="28"/>
        </w:rPr>
        <w:t>1、德育队伍素质不断提高。学期初，学校结合实际选优配齐德育工作队伍，积极组织开展德育管理培训，组织开展班主任工作交流，德育队伍思想素质、管理能力不断提高。</w:t>
      </w:r>
    </w:p>
    <w:p>
      <w:pPr>
        <w:ind w:firstLine="560" w:firstLineChars="200"/>
        <w:rPr>
          <w:rFonts w:ascii="仿宋" w:hAnsi="仿宋" w:eastAsia="仿宋"/>
          <w:sz w:val="28"/>
          <w:szCs w:val="28"/>
        </w:rPr>
      </w:pPr>
      <w:r>
        <w:rPr>
          <w:rFonts w:hint="eastAsia" w:ascii="仿宋" w:hAnsi="仿宋" w:eastAsia="仿宋"/>
          <w:sz w:val="28"/>
          <w:szCs w:val="28"/>
        </w:rPr>
        <w:t>2、扎实开展德育教育和德育活动。一是按照要求，积极认真开展指定性德育主题活动，活动计划安排周密，活动过程扎实，总结及时到位，充分体现教育意义；二是狠抓学生的日常思想行为养成，德育处、大队部、班级联动，做好日常对学生的教育活动；三是创新思路，结合学校实际和学生生活实际组织开展特色主题教育活动，让学生在实际生活中明确认知，积极践行；四是全体教师结合学科课程，深入挖掘教学内容的德育价值，渗透思想教育，培养良好习惯。五是通过校会、主题班、队活动开展各种教育，坚持升旗仪式，在国旗下进行五爱教育，充分利用纪念日对学生进行思想政治教育，优秀班级评比制度中把学生德育作为评比的一项内容。</w:t>
      </w:r>
    </w:p>
    <w:p>
      <w:pPr>
        <w:ind w:firstLine="560" w:firstLineChars="200"/>
        <w:rPr>
          <w:rFonts w:ascii="仿宋" w:hAnsi="仿宋" w:eastAsia="仿宋"/>
          <w:sz w:val="28"/>
          <w:szCs w:val="28"/>
        </w:rPr>
      </w:pPr>
      <w:r>
        <w:rPr>
          <w:rFonts w:hint="eastAsia" w:ascii="仿宋" w:hAnsi="仿宋" w:eastAsia="仿宋"/>
          <w:sz w:val="28"/>
          <w:szCs w:val="28"/>
        </w:rPr>
        <w:t>3、召开家长会等开展家庭教育培训，提高了家教水平。</w:t>
      </w:r>
    </w:p>
    <w:p>
      <w:pPr>
        <w:ind w:firstLine="560" w:firstLineChars="200"/>
        <w:rPr>
          <w:rFonts w:ascii="仿宋" w:hAnsi="仿宋" w:eastAsia="仿宋"/>
          <w:sz w:val="28"/>
          <w:szCs w:val="28"/>
        </w:rPr>
      </w:pPr>
      <w:r>
        <w:rPr>
          <w:rFonts w:hint="eastAsia" w:ascii="仿宋" w:hAnsi="仿宋" w:eastAsia="仿宋"/>
          <w:sz w:val="28"/>
          <w:szCs w:val="28"/>
        </w:rPr>
        <w:t>4、以“知味农场”为基地，以班级为单元，通过作物种植、卫生打扫等劳动形式积极开展劳动教育。在劳动中学生锻炼了意志，收获了快乐。</w:t>
      </w:r>
    </w:p>
    <w:p>
      <w:pPr>
        <w:ind w:firstLine="600" w:firstLineChars="200"/>
        <w:rPr>
          <w:rFonts w:ascii="黑体" w:hAnsi="黑体" w:eastAsia="黑体"/>
          <w:sz w:val="30"/>
          <w:szCs w:val="30"/>
        </w:rPr>
      </w:pPr>
      <w:r>
        <w:rPr>
          <w:rFonts w:hint="eastAsia" w:ascii="黑体" w:hAnsi="黑体" w:eastAsia="黑体"/>
          <w:sz w:val="30"/>
          <w:szCs w:val="30"/>
        </w:rPr>
        <w:t>三、教学稳中有升，教研工作扎实见效。</w:t>
      </w:r>
    </w:p>
    <w:p>
      <w:pPr>
        <w:ind w:firstLine="560" w:firstLineChars="200"/>
        <w:rPr>
          <w:rFonts w:ascii="仿宋" w:hAnsi="仿宋" w:eastAsia="仿宋"/>
          <w:b/>
          <w:sz w:val="28"/>
          <w:szCs w:val="28"/>
        </w:rPr>
      </w:pPr>
      <w:r>
        <w:rPr>
          <w:rFonts w:hint="eastAsia" w:ascii="仿宋" w:hAnsi="仿宋" w:eastAsia="仿宋"/>
          <w:sz w:val="28"/>
          <w:szCs w:val="28"/>
        </w:rPr>
        <w:t>学校根据立德树人、五育并举、深化课改、狠抓常规、优化课堂、扎实研训、创新提质的工作思路，努力提高教育教学质量。这一年，学校教学质量明显提升。</w:t>
      </w:r>
    </w:p>
    <w:p>
      <w:pPr>
        <w:ind w:firstLine="560" w:firstLineChars="200"/>
        <w:rPr>
          <w:rFonts w:ascii="黑体" w:hAnsi="黑体" w:eastAsia="黑体"/>
          <w:sz w:val="28"/>
          <w:szCs w:val="28"/>
        </w:rPr>
      </w:pPr>
      <w:r>
        <w:rPr>
          <w:rFonts w:hint="eastAsia" w:ascii="黑体" w:hAnsi="黑体" w:eastAsia="黑体"/>
          <w:sz w:val="28"/>
          <w:szCs w:val="28"/>
        </w:rPr>
        <w:t>（一）教学工作。</w:t>
      </w:r>
    </w:p>
    <w:p>
      <w:pPr>
        <w:ind w:firstLine="560" w:firstLineChars="200"/>
        <w:rPr>
          <w:rFonts w:ascii="仿宋" w:hAnsi="仿宋" w:eastAsia="仿宋"/>
          <w:sz w:val="28"/>
          <w:szCs w:val="28"/>
        </w:rPr>
      </w:pPr>
      <w:r>
        <w:rPr>
          <w:rFonts w:hint="eastAsia" w:ascii="仿宋" w:hAnsi="仿宋" w:eastAsia="仿宋"/>
          <w:sz w:val="28"/>
          <w:szCs w:val="28"/>
        </w:rPr>
        <w:t>1、加强学习。利用教师会等时间积极组织全体教师开展教学业务学习培训，推送有关的教学经验文章等。促使教师在学中悟，在实践中改进，成效显著。</w:t>
      </w:r>
    </w:p>
    <w:p>
      <w:pPr>
        <w:ind w:firstLine="560" w:firstLineChars="200"/>
        <w:rPr>
          <w:rFonts w:ascii="仿宋" w:hAnsi="仿宋" w:eastAsia="仿宋"/>
          <w:sz w:val="28"/>
          <w:szCs w:val="28"/>
        </w:rPr>
      </w:pPr>
      <w:r>
        <w:rPr>
          <w:rFonts w:hint="eastAsia" w:ascii="仿宋" w:hAnsi="仿宋" w:eastAsia="仿宋"/>
          <w:sz w:val="28"/>
          <w:szCs w:val="28"/>
        </w:rPr>
        <w:t>2、狠抓“六认真”，扎实常规。一是明确了“六认真”要求，强调过程扎实精细；二是学校坚持每学月教学常规检查督查，突出备课、作业布置批改等工作，及时对检查情况做全面客观的记录，并及时总结反馈，指出问题，表扬优秀。通过这样的举措，教学常规明显改进；三是继续进行学校行政常规巡导听课，做好教学交流指导；四是加大了随堂听课和经常看课力度，继续行政巡课检查工作，及时了解教师日常随堂课堂情况。</w:t>
      </w:r>
    </w:p>
    <w:p>
      <w:pPr>
        <w:ind w:firstLine="560" w:firstLineChars="200"/>
        <w:rPr>
          <w:rFonts w:ascii="仿宋" w:hAnsi="仿宋" w:eastAsia="仿宋"/>
          <w:sz w:val="28"/>
          <w:szCs w:val="28"/>
        </w:rPr>
      </w:pPr>
      <w:r>
        <w:rPr>
          <w:rFonts w:hint="eastAsia" w:ascii="仿宋" w:hAnsi="仿宋" w:eastAsia="仿宋"/>
          <w:sz w:val="28"/>
          <w:szCs w:val="28"/>
        </w:rPr>
        <w:t>3、召开全校教学质量工作会，目标年级教学质量会，学科教学质量会，统一思想、明确目标、找准问题、共谋对策，让大家牢固树立质量目标意识。</w:t>
      </w:r>
    </w:p>
    <w:p>
      <w:pPr>
        <w:ind w:firstLine="560" w:firstLineChars="200"/>
        <w:rPr>
          <w:rFonts w:ascii="仿宋" w:hAnsi="仿宋" w:eastAsia="仿宋"/>
          <w:sz w:val="28"/>
          <w:szCs w:val="28"/>
        </w:rPr>
      </w:pPr>
      <w:r>
        <w:rPr>
          <w:rFonts w:hint="eastAsia" w:ascii="仿宋" w:hAnsi="仿宋" w:eastAsia="仿宋"/>
          <w:sz w:val="28"/>
          <w:szCs w:val="28"/>
        </w:rPr>
        <w:t>4、多渠道、多形式凝心聚力，共促质量提升。经过大家的共同努力，这一年，我校教学质量稳中有升。</w:t>
      </w:r>
    </w:p>
    <w:p>
      <w:pPr>
        <w:ind w:firstLine="560" w:firstLineChars="200"/>
        <w:rPr>
          <w:rFonts w:ascii="仿宋" w:hAnsi="仿宋" w:eastAsia="仿宋"/>
          <w:sz w:val="28"/>
          <w:szCs w:val="28"/>
        </w:rPr>
      </w:pPr>
      <w:r>
        <w:rPr>
          <w:rFonts w:hint="eastAsia" w:ascii="仿宋" w:hAnsi="仿宋" w:eastAsia="仿宋"/>
          <w:sz w:val="28"/>
          <w:szCs w:val="28"/>
        </w:rPr>
        <w:t>5、严格执行上级的“五项管理”要求，加强宣传，细化方案，积极举措，以“五项管理”为抓手，规范教育教学常规工作，提升教学业务水平，增强为生服务效能。</w:t>
      </w:r>
    </w:p>
    <w:p>
      <w:pPr>
        <w:ind w:firstLine="560" w:firstLineChars="200"/>
        <w:rPr>
          <w:rFonts w:ascii="黑体" w:hAnsi="黑体" w:eastAsia="黑体"/>
          <w:sz w:val="28"/>
          <w:szCs w:val="28"/>
        </w:rPr>
      </w:pPr>
      <w:r>
        <w:rPr>
          <w:rFonts w:hint="eastAsia" w:ascii="黑体" w:hAnsi="黑体" w:eastAsia="黑体"/>
          <w:sz w:val="28"/>
          <w:szCs w:val="28"/>
        </w:rPr>
        <w:t>（二）研训工作。</w:t>
      </w:r>
    </w:p>
    <w:p>
      <w:pPr>
        <w:ind w:firstLine="560" w:firstLineChars="200"/>
        <w:rPr>
          <w:rFonts w:ascii="仿宋" w:hAnsi="仿宋" w:eastAsia="仿宋"/>
          <w:sz w:val="28"/>
          <w:szCs w:val="28"/>
        </w:rPr>
      </w:pPr>
      <w:r>
        <w:rPr>
          <w:rFonts w:hint="eastAsia" w:ascii="仿宋" w:hAnsi="仿宋" w:eastAsia="仿宋"/>
          <w:sz w:val="28"/>
          <w:szCs w:val="28"/>
        </w:rPr>
        <w:t>1、围绕学校研训主题积极开展学习活动。学校以“调动学生主动深度参与，让学习真发生”为课改思路和研究主题，灵活运用课堂“三步九环”模式，优化课堂环节效益，导引全体教师深入研究，积极实践，改进提升。</w:t>
      </w:r>
    </w:p>
    <w:p>
      <w:pPr>
        <w:ind w:firstLine="560" w:firstLineChars="200"/>
        <w:rPr>
          <w:rFonts w:ascii="仿宋" w:hAnsi="仿宋" w:eastAsia="仿宋"/>
          <w:sz w:val="28"/>
          <w:szCs w:val="28"/>
        </w:rPr>
      </w:pPr>
      <w:r>
        <w:rPr>
          <w:rFonts w:hint="eastAsia" w:ascii="仿宋" w:hAnsi="仿宋" w:eastAsia="仿宋"/>
          <w:sz w:val="28"/>
          <w:szCs w:val="28"/>
        </w:rPr>
        <w:t>2、精心组织校本教研活动。根据学校研训主题，各教研组确定好组内主题并组织学习。教研组按照学校的教研计划计划好本组的教研活动，定人、定时间、定内容，按照组内学习、集体备课、课例观摩研讨、成果物化及实践应用的研究模式精心组织、扎实过程。一年来，研训成果显成效，有力的促进了教学质量的提升。</w:t>
      </w:r>
    </w:p>
    <w:p>
      <w:pPr>
        <w:ind w:firstLine="600" w:firstLineChars="200"/>
        <w:rPr>
          <w:rFonts w:ascii="黑体" w:hAnsi="黑体" w:eastAsia="黑体"/>
          <w:sz w:val="30"/>
          <w:szCs w:val="30"/>
        </w:rPr>
      </w:pPr>
      <w:r>
        <w:rPr>
          <w:rFonts w:hint="eastAsia" w:ascii="黑体" w:hAnsi="黑体" w:eastAsia="黑体"/>
          <w:sz w:val="30"/>
          <w:szCs w:val="30"/>
        </w:rPr>
        <w:t>四、艺体卫工作全面促进素质教育。</w:t>
      </w:r>
    </w:p>
    <w:p>
      <w:pPr>
        <w:ind w:firstLine="560" w:firstLineChars="200"/>
        <w:rPr>
          <w:rFonts w:ascii="仿宋" w:hAnsi="仿宋" w:eastAsia="仿宋"/>
          <w:sz w:val="28"/>
          <w:szCs w:val="28"/>
        </w:rPr>
      </w:pPr>
      <w:r>
        <w:rPr>
          <w:rFonts w:hint="eastAsia" w:ascii="仿宋" w:hAnsi="仿宋" w:eastAsia="仿宋"/>
          <w:sz w:val="28"/>
          <w:szCs w:val="28"/>
        </w:rPr>
        <w:t>1、按照部颁要求开齐开足音乐、体育、美术、书法等课程，全面实施素质教育。</w:t>
      </w:r>
    </w:p>
    <w:p>
      <w:pPr>
        <w:ind w:firstLine="560" w:firstLineChars="200"/>
        <w:rPr>
          <w:rFonts w:ascii="仿宋" w:hAnsi="仿宋" w:eastAsia="仿宋"/>
          <w:sz w:val="28"/>
          <w:szCs w:val="28"/>
        </w:rPr>
      </w:pPr>
      <w:r>
        <w:rPr>
          <w:rFonts w:hint="eastAsia" w:ascii="仿宋" w:hAnsi="仿宋" w:eastAsia="仿宋"/>
          <w:sz w:val="28"/>
          <w:szCs w:val="28"/>
        </w:rPr>
        <w:t>2、组织开展庆祝新中国成立71周年活动（2020年国庆节），增强了学生的民族情感和爱国情怀。认真上好音乐、体育、美术、书法课，组织开展书法、绘画、舞蹈等艺术活动，积极组织学生参加科技创新比赛活动。提升了学生的审美能力和艺术特长。</w:t>
      </w:r>
    </w:p>
    <w:p>
      <w:pPr>
        <w:ind w:firstLine="560" w:firstLineChars="200"/>
        <w:rPr>
          <w:rFonts w:ascii="仿宋" w:hAnsi="仿宋" w:eastAsia="仿宋"/>
          <w:sz w:val="28"/>
          <w:szCs w:val="28"/>
        </w:rPr>
      </w:pPr>
      <w:r>
        <w:rPr>
          <w:rFonts w:hint="eastAsia" w:ascii="仿宋" w:hAnsi="仿宋" w:eastAsia="仿宋"/>
          <w:sz w:val="28"/>
          <w:szCs w:val="28"/>
        </w:rPr>
        <w:t>3、每学期组织至少一次全校运动会，积极组织学生参加市田径运动会。教导处牵头，体育组负责实施，做好学生的体质健康测试工作（测试、登记、上报、反馈）。结合疫情防控和爱国卫生月活动加强对学生的卫生健康教育，增强了师生的卫生意识和健康水平。</w:t>
      </w:r>
    </w:p>
    <w:p>
      <w:pPr>
        <w:ind w:firstLine="600" w:firstLineChars="200"/>
        <w:rPr>
          <w:rFonts w:ascii="黑体" w:hAnsi="黑体" w:eastAsia="黑体"/>
          <w:sz w:val="30"/>
          <w:szCs w:val="30"/>
        </w:rPr>
      </w:pPr>
      <w:r>
        <w:rPr>
          <w:rFonts w:hint="eastAsia" w:ascii="黑体" w:hAnsi="黑体" w:eastAsia="黑体"/>
          <w:sz w:val="30"/>
          <w:szCs w:val="30"/>
        </w:rPr>
        <w:t>五、安全及后勤有力保障学校工作有序开展。</w:t>
      </w:r>
    </w:p>
    <w:p>
      <w:pPr>
        <w:ind w:firstLine="560" w:firstLineChars="200"/>
        <w:rPr>
          <w:rFonts w:ascii="仿宋" w:hAnsi="仿宋" w:eastAsia="仿宋"/>
          <w:sz w:val="28"/>
          <w:szCs w:val="28"/>
        </w:rPr>
      </w:pPr>
      <w:r>
        <w:rPr>
          <w:rFonts w:hint="eastAsia" w:ascii="仿宋" w:hAnsi="仿宋" w:eastAsia="仿宋"/>
          <w:sz w:val="28"/>
          <w:szCs w:val="28"/>
        </w:rPr>
        <w:t>1、安全工作重于泰山，预防为主，加强目标管理，层层落实责任。（1）做好日常全方位对学生的安全教育，真教育，留痕迹。（2）定期开展安全排查。开学安全排查，日常安全排查，放假安全排查，发现问题及时排除，不能排除的及时报告。（3）根据要求积极开展安全演练。通过教育、演练等提高学生的安全意识，掌握学习生活的安全常识。（4）做好活动的安全保障。（5）严格按照疫情防控指南要求顶格做细做实新冠肺炎疫情的防控工作。扎实排查、检测、消毒等各项工作，形成联防联控和群防群控有效机制。一年来，学校平安有序。</w:t>
      </w:r>
    </w:p>
    <w:p>
      <w:pPr>
        <w:ind w:firstLine="560" w:firstLineChars="200"/>
        <w:rPr>
          <w:rFonts w:ascii="仿宋" w:hAnsi="仿宋" w:eastAsia="仿宋"/>
          <w:sz w:val="28"/>
          <w:szCs w:val="28"/>
        </w:rPr>
      </w:pPr>
      <w:r>
        <w:rPr>
          <w:rFonts w:hint="eastAsia" w:ascii="仿宋" w:hAnsi="仿宋" w:eastAsia="仿宋"/>
          <w:sz w:val="28"/>
          <w:szCs w:val="28"/>
        </w:rPr>
        <w:t>2、后勤保障到位，服务能力不断提升。（1）严格财经制度和财经纪律，认真做到财务公开，以勤俭办学为原则。（2）加强食堂管理，保障师生吃上放心餐，做好炊事员的体检和培训工作。（3）加强校产管理，做好校产登记、校产维护、校产使用，实行专人管理。后勤的规范认真工作，有力的保证了教育教学所需的物资供应，保证了教学的正常运行。（4）不断加强学习，提高服务意识和服务水平。</w:t>
      </w:r>
    </w:p>
    <w:p>
      <w:pPr>
        <w:ind w:firstLine="600" w:firstLineChars="200"/>
        <w:rPr>
          <w:rFonts w:ascii="黑体" w:hAnsi="黑体" w:eastAsia="黑体"/>
          <w:sz w:val="30"/>
          <w:szCs w:val="30"/>
        </w:rPr>
      </w:pPr>
      <w:r>
        <w:rPr>
          <w:rFonts w:hint="eastAsia" w:ascii="黑体" w:hAnsi="黑体" w:eastAsia="黑体"/>
          <w:sz w:val="30"/>
          <w:szCs w:val="30"/>
        </w:rPr>
        <w:t>六、其它工作。</w:t>
      </w:r>
    </w:p>
    <w:p>
      <w:pPr>
        <w:ind w:firstLine="560" w:firstLineChars="200"/>
        <w:rPr>
          <w:rFonts w:ascii="仿宋" w:hAnsi="仿宋" w:eastAsia="仿宋"/>
          <w:sz w:val="28"/>
          <w:szCs w:val="28"/>
        </w:rPr>
      </w:pPr>
      <w:r>
        <w:rPr>
          <w:rFonts w:hint="eastAsia" w:ascii="仿宋" w:hAnsi="仿宋" w:eastAsia="仿宋"/>
          <w:sz w:val="28"/>
          <w:szCs w:val="28"/>
        </w:rPr>
        <w:t>1、“与书为伴、快乐成长”读书主题活动效果显著。少先队大队部牵头，班级实施的寒暑假读书活动持续开展；午间国学阅读活动扎实推进；积极参与“书香峨眉、乐享阅读”活动。通过以上活动，学生养成了良好读书习惯。</w:t>
      </w:r>
    </w:p>
    <w:p>
      <w:pPr>
        <w:ind w:firstLine="560" w:firstLineChars="200"/>
        <w:rPr>
          <w:rFonts w:ascii="仿宋" w:hAnsi="仿宋" w:eastAsia="仿宋"/>
          <w:sz w:val="28"/>
          <w:szCs w:val="28"/>
        </w:rPr>
      </w:pPr>
      <w:r>
        <w:rPr>
          <w:rFonts w:hint="eastAsia" w:ascii="仿宋" w:hAnsi="仿宋" w:eastAsia="仿宋"/>
          <w:sz w:val="28"/>
          <w:szCs w:val="28"/>
        </w:rPr>
        <w:t>2、通过周末乡村学校少年宫活动，孩子们体验了快乐，增长了知识，开阔了眼界，发展了特长。</w:t>
      </w:r>
    </w:p>
    <w:p>
      <w:pPr>
        <w:ind w:firstLine="600" w:firstLineChars="200"/>
        <w:rPr>
          <w:rFonts w:ascii="黑体" w:hAnsi="黑体" w:eastAsia="黑体"/>
          <w:sz w:val="30"/>
          <w:szCs w:val="30"/>
        </w:rPr>
      </w:pPr>
      <w:r>
        <w:rPr>
          <w:rFonts w:hint="eastAsia" w:ascii="黑体" w:hAnsi="黑体" w:eastAsia="黑体"/>
          <w:sz w:val="30"/>
          <w:szCs w:val="30"/>
        </w:rPr>
        <w:t>七、存在问题。</w:t>
      </w:r>
    </w:p>
    <w:p>
      <w:pPr>
        <w:ind w:firstLine="560" w:firstLineChars="200"/>
        <w:rPr>
          <w:rFonts w:ascii="仿宋" w:hAnsi="仿宋" w:eastAsia="仿宋"/>
          <w:sz w:val="28"/>
          <w:szCs w:val="28"/>
        </w:rPr>
      </w:pPr>
      <w:r>
        <w:rPr>
          <w:rFonts w:hint="eastAsia" w:ascii="仿宋" w:hAnsi="仿宋" w:eastAsia="仿宋"/>
          <w:sz w:val="28"/>
          <w:szCs w:val="28"/>
        </w:rPr>
        <w:t>一是队伍素质还需要进一步提高，工作需进一步规范；二是管理需进一步落地，工作执行力度需加大；三是个别班级从班级管理到班风学风建设还需加强；四是教育教学质量发展不平衡，薄弱年级和学科仍然存在。未来我们将补短板、堵漏洞，强质量，克服困难，团结带领全体教职员工接续奋斗，为实现学校的更好更快发展，为办人民满意教育而努力。</w:t>
      </w:r>
    </w:p>
    <w:p>
      <w:pPr>
        <w:pStyle w:val="3"/>
        <w:rPr>
          <w:rFonts w:ascii="黑体" w:hAnsi="黑体" w:eastAsia="黑体"/>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峨眉山市绥山镇太和小学校下属二级单位0个，其中行政单位0个，参照公务员法管理的事业单位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bookmarkStart w:id="22" w:name="_Toc15396602"/>
      <w:bookmarkStart w:id="23" w:name="_Toc15377204"/>
    </w:p>
    <w:p/>
    <w:p/>
    <w:p/>
    <w:p/>
    <w:p/>
    <w:p/>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2020年度部门决算情况说明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2020年度收、支总计653.84万元。与2019年相比，收、支总计各减少15.61万元，下降2.33</w:t>
      </w:r>
      <w:r>
        <w:rPr>
          <w:rFonts w:ascii="仿宋" w:hAnsi="仿宋" w:eastAsia="仿宋"/>
          <w:color w:val="000000"/>
          <w:sz w:val="32"/>
          <w:szCs w:val="32"/>
        </w:rPr>
        <w:t>%</w:t>
      </w:r>
      <w:r>
        <w:rPr>
          <w:rFonts w:hint="eastAsia" w:ascii="仿宋" w:hAnsi="仿宋" w:eastAsia="仿宋"/>
          <w:color w:val="000000"/>
          <w:sz w:val="32"/>
          <w:szCs w:val="32"/>
        </w:rPr>
        <w:t>。主要变动原因教师人日用经费减少。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ind w:firstLine="800" w:firstLineChars="25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4011295" cy="2755265"/>
            <wp:effectExtent l="0" t="0" r="8255" b="698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6"/>
                    <a:stretch>
                      <a:fillRect/>
                    </a:stretch>
                  </pic:blipFill>
                  <pic:spPr>
                    <a:xfrm>
                      <a:off x="0" y="0"/>
                      <a:ext cx="4011295" cy="2755265"/>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20年本年收入合计650.84万元，其中：一般公共预算财政拨款收入639.82万元，占98.31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；政府性基金预算财政拨款收入7.21万元，占1.11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；事业收入3.80万元，占0.58</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011295" cy="2804160"/>
            <wp:effectExtent l="0" t="0" r="8255" b="1524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7"/>
                    <a:stretch>
                      <a:fillRect/>
                    </a:stretch>
                  </pic:blipFill>
                  <pic:spPr>
                    <a:xfrm>
                      <a:off x="0" y="0"/>
                      <a:ext cx="4011295" cy="2804160"/>
                    </a:xfrm>
                    <a:prstGeom prst="rect">
                      <a:avLst/>
                    </a:prstGeom>
                  </pic:spPr>
                </pic:pic>
              </a:graphicData>
            </a:graphic>
          </wp:inline>
        </w:drawing>
      </w:r>
    </w:p>
    <w:p>
      <w:pPr>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20年本年支出合计653.84万元，其中：基本支出639.22万元，占97.76</w:t>
      </w:r>
      <w:r>
        <w:rPr>
          <w:rFonts w:ascii="仿宋" w:hAnsi="仿宋" w:eastAsia="仿宋"/>
          <w:color w:val="000000"/>
          <w:sz w:val="32"/>
          <w:szCs w:val="32"/>
        </w:rPr>
        <w:t>%</w:t>
      </w:r>
      <w:r>
        <w:rPr>
          <w:rFonts w:hint="eastAsia" w:ascii="仿宋" w:hAnsi="仿宋" w:eastAsia="仿宋"/>
          <w:color w:val="000000"/>
          <w:sz w:val="32"/>
          <w:szCs w:val="32"/>
        </w:rPr>
        <w:t>；项目支出14.62万元，占2.24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011295" cy="2785745"/>
            <wp:effectExtent l="0" t="0" r="8255" b="14605"/>
            <wp:docPr id="12" name="图片 1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4"/>
                    <pic:cNvPicPr>
                      <a:picLocks noChangeAspect="1"/>
                    </pic:cNvPicPr>
                  </pic:nvPicPr>
                  <pic:blipFill>
                    <a:blip r:embed="rId8"/>
                    <a:stretch>
                      <a:fillRect/>
                    </a:stretch>
                  </pic:blipFill>
                  <pic:spPr>
                    <a:xfrm>
                      <a:off x="0" y="0"/>
                      <a:ext cx="4011295" cy="278574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20年财政拨款收、支总计650.04万元。与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9年相比，财政拨款收、支总计各增加29.65万元，增长4.78</w:t>
      </w:r>
      <w:r>
        <w:rPr>
          <w:rFonts w:ascii="仿宋" w:hAnsi="仿宋" w:eastAsia="仿宋"/>
          <w:color w:val="000000"/>
          <w:sz w:val="32"/>
          <w:szCs w:val="32"/>
        </w:rPr>
        <w:t>%</w:t>
      </w:r>
      <w:r>
        <w:rPr>
          <w:rFonts w:hint="eastAsia" w:ascii="仿宋" w:hAnsi="仿宋" w:eastAsia="仿宋"/>
          <w:color w:val="000000"/>
          <w:sz w:val="32"/>
          <w:szCs w:val="32"/>
        </w:rPr>
        <w:t>。主要变动原因是教师人数增加，相关工资、保险增加，人员经费增加。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p>
    <w:p>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114300" distR="114300">
            <wp:extent cx="4011295" cy="2755265"/>
            <wp:effectExtent l="0" t="0" r="8255" b="6985"/>
            <wp:docPr id="13" name="图片 1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5"/>
                    <pic:cNvPicPr>
                      <a:picLocks noChangeAspect="1"/>
                    </pic:cNvPicPr>
                  </pic:nvPicPr>
                  <pic:blipFill>
                    <a:blip r:embed="rId9"/>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Fonts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20年一般公共预算财政拨款支出642.83万元，占本年支出合计的98.32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9年相比，一般公共预算财政拨款支出增加25.60万元，增长4.15</w:t>
      </w:r>
      <w:r>
        <w:rPr>
          <w:rFonts w:ascii="仿宋" w:hAnsi="仿宋" w:eastAsia="仿宋"/>
          <w:color w:val="000000"/>
          <w:sz w:val="32"/>
          <w:szCs w:val="32"/>
        </w:rPr>
        <w:t>%</w:t>
      </w:r>
      <w:r>
        <w:rPr>
          <w:rFonts w:hint="eastAsia" w:ascii="仿宋" w:hAnsi="仿宋" w:eastAsia="仿宋"/>
          <w:color w:val="000000"/>
          <w:sz w:val="32"/>
          <w:szCs w:val="32"/>
        </w:rPr>
        <w:t>。主要变动原因是教师数增加，相关工资、保险增加，人员经费增加。人员经费的增加。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84065" cy="2773680"/>
            <wp:effectExtent l="0" t="0" r="6985" b="7620"/>
            <wp:docPr id="14" name="图片 14"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6"/>
                    <pic:cNvPicPr>
                      <a:picLocks noChangeAspect="1"/>
                    </pic:cNvPicPr>
                  </pic:nvPicPr>
                  <pic:blipFill>
                    <a:blip r:embed="rId10"/>
                    <a:stretch>
                      <a:fillRect/>
                    </a:stretch>
                  </pic:blipFill>
                  <pic:spPr>
                    <a:xfrm>
                      <a:off x="0" y="0"/>
                      <a:ext cx="4584065" cy="277368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政拨款支出642.83万元，主要用于以下方面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教育支出（205）495.17</w:t>
      </w:r>
      <w:r>
        <w:rPr>
          <w:rFonts w:hint="eastAsia" w:ascii="仿宋" w:hAnsi="仿宋" w:eastAsia="仿宋"/>
          <w:color w:val="000000" w:themeColor="text1"/>
          <w:sz w:val="32"/>
          <w:szCs w:val="32"/>
        </w:rPr>
        <w:t>万元，占77.03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支出77.47万元，占12.05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卫生健康（210）支出</w:t>
      </w:r>
      <w:r>
        <w:rPr>
          <w:rFonts w:hint="eastAsia" w:ascii="仿宋" w:hAnsi="仿宋" w:eastAsia="仿宋"/>
          <w:color w:val="000000" w:themeColor="text1"/>
          <w:sz w:val="32"/>
          <w:szCs w:val="32"/>
        </w:rPr>
        <w:t>19.04万元，占2.96</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；住房保障（221）支出51.15万元，占7.96</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；农林水（213）支出</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748530" cy="2987040"/>
            <wp:effectExtent l="0" t="0" r="13970" b="3810"/>
            <wp:docPr id="15" name="图片 15"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7"/>
                    <pic:cNvPicPr>
                      <a:picLocks noChangeAspect="1"/>
                    </pic:cNvPicPr>
                  </pic:nvPicPr>
                  <pic:blipFill>
                    <a:blip r:embed="rId11"/>
                    <a:stretch>
                      <a:fillRect/>
                    </a:stretch>
                  </pic:blipFill>
                  <pic:spPr>
                    <a:xfrm>
                      <a:off x="0" y="0"/>
                      <a:ext cx="4748530" cy="298704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2020年一般公共预算支出决算数为642.83</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themeColor="text1"/>
          <w:sz w:val="32"/>
          <w:szCs w:val="32"/>
        </w:rPr>
      </w:pPr>
      <w:r>
        <w:rPr>
          <w:rStyle w:val="14"/>
          <w:rFonts w:ascii="仿宋" w:hAnsi="仿宋" w:eastAsia="仿宋"/>
          <w:bCs/>
          <w:color w:val="000000" w:themeColor="text1"/>
          <w:sz w:val="32"/>
          <w:szCs w:val="32"/>
        </w:rPr>
        <w:t>2.</w:t>
      </w:r>
      <w:r>
        <w:rPr>
          <w:rStyle w:val="14"/>
          <w:rFonts w:hint="eastAsia" w:ascii="仿宋" w:hAnsi="仿宋" w:eastAsia="仿宋"/>
          <w:bCs/>
          <w:color w:val="000000" w:themeColor="text1"/>
          <w:sz w:val="32"/>
          <w:szCs w:val="32"/>
        </w:rPr>
        <w:t>教育（2050201学前教育）</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w:t>
      </w:r>
      <w:r>
        <w:rPr>
          <w:rStyle w:val="14"/>
          <w:rFonts w:ascii="仿宋" w:hAnsi="仿宋" w:eastAsia="仿宋"/>
          <w:b w:val="0"/>
          <w:bCs/>
          <w:color w:val="000000" w:themeColor="text1"/>
          <w:sz w:val="32"/>
          <w:szCs w:val="32"/>
        </w:rPr>
        <w:t>61.35</w:t>
      </w:r>
      <w:r>
        <w:rPr>
          <w:rStyle w:val="14"/>
          <w:rFonts w:hint="eastAsia" w:ascii="仿宋" w:hAnsi="仿宋" w:eastAsia="仿宋"/>
          <w:b w:val="0"/>
          <w:bCs/>
          <w:color w:val="000000" w:themeColor="text1"/>
          <w:sz w:val="32"/>
          <w:szCs w:val="32"/>
        </w:rPr>
        <w:t>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p>
    <w:p>
      <w:pPr>
        <w:spacing w:line="600" w:lineRule="exact"/>
        <w:ind w:firstLine="643" w:firstLineChars="200"/>
        <w:rPr>
          <w:rStyle w:val="14"/>
          <w:rFonts w:ascii="仿宋" w:hAnsi="仿宋" w:eastAsia="仿宋"/>
          <w:b w:val="0"/>
          <w:bCs/>
          <w:color w:val="000000" w:themeColor="text1"/>
          <w:sz w:val="32"/>
          <w:szCs w:val="32"/>
        </w:rPr>
      </w:pPr>
      <w:r>
        <w:rPr>
          <w:rStyle w:val="14"/>
          <w:rFonts w:hint="eastAsia" w:ascii="仿宋" w:hAnsi="仿宋" w:eastAsia="仿宋"/>
          <w:bCs/>
          <w:color w:val="000000" w:themeColor="text1"/>
          <w:sz w:val="32"/>
          <w:szCs w:val="32"/>
        </w:rPr>
        <w:t>教育（2050202小学教育）</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w:t>
      </w:r>
      <w:r>
        <w:rPr>
          <w:rStyle w:val="14"/>
          <w:rFonts w:ascii="仿宋" w:hAnsi="仿宋" w:eastAsia="仿宋"/>
          <w:b w:val="0"/>
          <w:bCs/>
          <w:color w:val="000000" w:themeColor="text1"/>
          <w:sz w:val="32"/>
          <w:szCs w:val="32"/>
        </w:rPr>
        <w:t>433.82</w:t>
      </w:r>
      <w:r>
        <w:rPr>
          <w:rStyle w:val="14"/>
          <w:rFonts w:hint="eastAsia" w:ascii="仿宋" w:hAnsi="仿宋" w:eastAsia="仿宋"/>
          <w:b w:val="0"/>
          <w:bCs/>
          <w:color w:val="000000" w:themeColor="text1"/>
          <w:sz w:val="32"/>
          <w:szCs w:val="32"/>
        </w:rPr>
        <w:t>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p>
    <w:p>
      <w:pPr>
        <w:spacing w:line="600" w:lineRule="exact"/>
        <w:ind w:firstLine="643" w:firstLineChars="200"/>
        <w:rPr>
          <w:rStyle w:val="14"/>
          <w:rFonts w:ascii="仿宋" w:hAnsi="仿宋" w:eastAsia="仿宋"/>
          <w:b w:val="0"/>
          <w:bCs/>
          <w:color w:val="000000" w:themeColor="text1"/>
          <w:sz w:val="32"/>
          <w:szCs w:val="32"/>
        </w:rPr>
      </w:pPr>
      <w:r>
        <w:rPr>
          <w:rStyle w:val="14"/>
          <w:rFonts w:hint="eastAsia" w:ascii="仿宋" w:hAnsi="仿宋" w:eastAsia="仿宋"/>
          <w:bCs/>
          <w:color w:val="000000" w:themeColor="text1"/>
          <w:sz w:val="32"/>
          <w:szCs w:val="32"/>
        </w:rPr>
        <w:t>教育（2050299其他普通教育支出）</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支出决算为0万元，完成预算</w:t>
      </w:r>
      <w:r>
        <w:rPr>
          <w:rStyle w:val="14"/>
          <w:rFonts w:ascii="仿宋" w:hAnsi="仿宋" w:eastAsia="仿宋"/>
          <w:b w:val="0"/>
          <w:bCs/>
          <w:color w:val="000000" w:themeColor="text1"/>
          <w:sz w:val="32"/>
          <w:szCs w:val="32"/>
        </w:rPr>
        <w:t>0%</w:t>
      </w:r>
      <w:r>
        <w:rPr>
          <w:rStyle w:val="14"/>
          <w:rFonts w:hint="eastAsia" w:ascii="仿宋" w:hAnsi="仿宋" w:eastAsia="仿宋"/>
          <w:b w:val="0"/>
          <w:bCs/>
          <w:color w:val="000000" w:themeColor="text1"/>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 xml:space="preserve"> 5.</w:t>
      </w:r>
      <w:r>
        <w:rPr>
          <w:rStyle w:val="14"/>
          <w:rFonts w:hint="eastAsia" w:ascii="仿宋" w:hAnsi="仿宋" w:eastAsia="仿宋"/>
          <w:bCs/>
          <w:color w:val="000000"/>
          <w:sz w:val="32"/>
          <w:szCs w:val="32"/>
        </w:rPr>
        <w:t>社会保障和就业（2080505机关事业单位基本养老保险缴费支出）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支出决算为47.</w:t>
      </w:r>
      <w:r>
        <w:rPr>
          <w:rStyle w:val="14"/>
          <w:rFonts w:ascii="仿宋" w:hAnsi="仿宋" w:eastAsia="仿宋"/>
          <w:b w:val="0"/>
          <w:bCs/>
          <w:color w:val="000000"/>
          <w:sz w:val="32"/>
          <w:szCs w:val="32"/>
        </w:rPr>
        <w:t>80</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社会保障和就业（2080506机关事业单位职业年金缴费支出）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支出决算为25.18万元，完成预算100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themeColor="text1"/>
          <w:sz w:val="32"/>
          <w:szCs w:val="32"/>
        </w:rPr>
      </w:pPr>
      <w:r>
        <w:rPr>
          <w:rStyle w:val="14"/>
          <w:rFonts w:hint="eastAsia" w:ascii="仿宋" w:hAnsi="仿宋" w:eastAsia="仿宋"/>
          <w:bCs/>
          <w:color w:val="000000" w:themeColor="text1"/>
          <w:sz w:val="32"/>
          <w:szCs w:val="32"/>
        </w:rPr>
        <w:t>社会保障和就业（2080801死亡抚恤）</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w:t>
      </w:r>
      <w:r>
        <w:rPr>
          <w:rStyle w:val="14"/>
          <w:rFonts w:ascii="仿宋" w:hAnsi="仿宋" w:eastAsia="仿宋"/>
          <w:b w:val="0"/>
          <w:bCs/>
          <w:color w:val="000000" w:themeColor="text1"/>
          <w:sz w:val="32"/>
          <w:szCs w:val="32"/>
        </w:rPr>
        <w:t>0</w:t>
      </w:r>
      <w:r>
        <w:rPr>
          <w:rStyle w:val="14"/>
          <w:rFonts w:hint="eastAsia" w:ascii="仿宋" w:hAnsi="仿宋" w:eastAsia="仿宋"/>
          <w:b w:val="0"/>
          <w:bCs/>
          <w:color w:val="000000" w:themeColor="text1"/>
          <w:sz w:val="32"/>
          <w:szCs w:val="32"/>
        </w:rPr>
        <w:t>万元，完成预算</w:t>
      </w:r>
      <w:r>
        <w:rPr>
          <w:rStyle w:val="14"/>
          <w:rFonts w:ascii="仿宋" w:hAnsi="仿宋" w:eastAsia="仿宋"/>
          <w:b w:val="0"/>
          <w:bCs/>
          <w:color w:val="000000" w:themeColor="text1"/>
          <w:sz w:val="32"/>
          <w:szCs w:val="32"/>
        </w:rPr>
        <w:t>0%</w:t>
      </w:r>
      <w:r>
        <w:rPr>
          <w:rStyle w:val="14"/>
          <w:rFonts w:hint="eastAsia" w:ascii="仿宋" w:hAnsi="仿宋" w:eastAsia="仿宋"/>
          <w:b w:val="0"/>
          <w:bCs/>
          <w:color w:val="000000" w:themeColor="text1"/>
          <w:sz w:val="32"/>
          <w:szCs w:val="32"/>
        </w:rPr>
        <w:t>。</w:t>
      </w:r>
    </w:p>
    <w:p>
      <w:pPr>
        <w:spacing w:line="600" w:lineRule="exact"/>
        <w:ind w:firstLine="643" w:firstLineChars="200"/>
        <w:rPr>
          <w:rStyle w:val="14"/>
          <w:rFonts w:ascii="仿宋" w:hAnsi="仿宋" w:eastAsia="仿宋"/>
          <w:b w:val="0"/>
          <w:bCs/>
          <w:color w:val="000000" w:themeColor="text1"/>
          <w:sz w:val="32"/>
          <w:szCs w:val="32"/>
        </w:rPr>
      </w:pPr>
      <w:r>
        <w:rPr>
          <w:rStyle w:val="14"/>
          <w:rFonts w:hint="eastAsia" w:ascii="仿宋" w:hAnsi="仿宋" w:eastAsia="仿宋"/>
          <w:bCs/>
          <w:color w:val="000000" w:themeColor="text1"/>
          <w:sz w:val="32"/>
          <w:szCs w:val="32"/>
        </w:rPr>
        <w:t>社会保障和就业（20808</w:t>
      </w:r>
      <w:r>
        <w:rPr>
          <w:rStyle w:val="14"/>
          <w:rFonts w:ascii="仿宋" w:hAnsi="仿宋" w:eastAsia="仿宋"/>
          <w:bCs/>
          <w:color w:val="000000" w:themeColor="text1"/>
          <w:sz w:val="32"/>
          <w:szCs w:val="32"/>
        </w:rPr>
        <w:t>99</w:t>
      </w:r>
      <w:r>
        <w:rPr>
          <w:rStyle w:val="14"/>
          <w:rFonts w:hint="eastAsia" w:ascii="仿宋" w:hAnsi="仿宋" w:eastAsia="仿宋"/>
          <w:bCs/>
          <w:color w:val="000000" w:themeColor="text1"/>
          <w:sz w:val="32"/>
          <w:szCs w:val="32"/>
        </w:rPr>
        <w:t>其他优抚支出）</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w:t>
      </w:r>
      <w:r>
        <w:rPr>
          <w:rStyle w:val="14"/>
          <w:rFonts w:ascii="仿宋" w:hAnsi="仿宋" w:eastAsia="仿宋"/>
          <w:b w:val="0"/>
          <w:bCs/>
          <w:color w:val="000000" w:themeColor="text1"/>
          <w:sz w:val="32"/>
          <w:szCs w:val="32"/>
        </w:rPr>
        <w:t>1.69</w:t>
      </w:r>
      <w:r>
        <w:rPr>
          <w:rStyle w:val="14"/>
          <w:rFonts w:hint="eastAsia" w:ascii="仿宋" w:hAnsi="仿宋" w:eastAsia="仿宋"/>
          <w:b w:val="0"/>
          <w:bCs/>
          <w:color w:val="000000" w:themeColor="text1"/>
          <w:sz w:val="32"/>
          <w:szCs w:val="32"/>
        </w:rPr>
        <w:t>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p>
    <w:p>
      <w:pPr>
        <w:spacing w:line="600" w:lineRule="exact"/>
        <w:ind w:firstLine="643" w:firstLineChars="200"/>
        <w:rPr>
          <w:rStyle w:val="14"/>
          <w:rFonts w:ascii="仿宋" w:hAnsi="仿宋" w:eastAsia="仿宋"/>
          <w:b w:val="0"/>
          <w:bCs/>
          <w:color w:val="000000" w:themeColor="text1"/>
          <w:sz w:val="32"/>
          <w:szCs w:val="32"/>
        </w:rPr>
      </w:pPr>
      <w:r>
        <w:rPr>
          <w:rStyle w:val="14"/>
          <w:rFonts w:hint="eastAsia" w:ascii="仿宋" w:hAnsi="仿宋" w:eastAsia="仿宋"/>
          <w:bCs/>
          <w:color w:val="000000" w:themeColor="text1"/>
          <w:sz w:val="32"/>
          <w:szCs w:val="32"/>
        </w:rPr>
        <w:t>社会保障和就业（208</w:t>
      </w:r>
      <w:r>
        <w:rPr>
          <w:rStyle w:val="14"/>
          <w:rFonts w:ascii="仿宋" w:hAnsi="仿宋" w:eastAsia="仿宋"/>
          <w:bCs/>
          <w:color w:val="000000" w:themeColor="text1"/>
          <w:sz w:val="32"/>
          <w:szCs w:val="32"/>
        </w:rPr>
        <w:t>9901</w:t>
      </w:r>
      <w:r>
        <w:rPr>
          <w:rStyle w:val="14"/>
          <w:rFonts w:hint="eastAsia" w:ascii="仿宋" w:hAnsi="仿宋" w:eastAsia="仿宋"/>
          <w:bCs/>
          <w:color w:val="000000" w:themeColor="text1"/>
          <w:sz w:val="32"/>
          <w:szCs w:val="32"/>
        </w:rPr>
        <w:t>其他优抚支出）</w:t>
      </w:r>
      <w:r>
        <w:rPr>
          <w:rStyle w:val="14"/>
          <w:rFonts w:ascii="仿宋" w:hAnsi="仿宋" w:eastAsia="仿宋"/>
          <w:bCs/>
          <w:color w:val="000000" w:themeColor="text1"/>
          <w:sz w:val="32"/>
          <w:szCs w:val="32"/>
        </w:rPr>
        <w:t>:</w:t>
      </w:r>
      <w:r>
        <w:rPr>
          <w:rStyle w:val="14"/>
          <w:rFonts w:ascii="仿宋" w:hAnsi="仿宋" w:eastAsia="仿宋"/>
          <w:b w:val="0"/>
          <w:bCs/>
          <w:color w:val="000000" w:themeColor="text1"/>
          <w:sz w:val="32"/>
          <w:szCs w:val="32"/>
        </w:rPr>
        <w:t xml:space="preserve"> </w:t>
      </w:r>
      <w:r>
        <w:rPr>
          <w:rStyle w:val="14"/>
          <w:rFonts w:hint="eastAsia" w:ascii="仿宋" w:hAnsi="仿宋" w:eastAsia="仿宋"/>
          <w:b w:val="0"/>
          <w:bCs/>
          <w:color w:val="000000" w:themeColor="text1"/>
          <w:sz w:val="32"/>
          <w:szCs w:val="32"/>
        </w:rPr>
        <w:t>支出决算为</w:t>
      </w:r>
      <w:r>
        <w:rPr>
          <w:rStyle w:val="14"/>
          <w:rFonts w:ascii="仿宋" w:hAnsi="仿宋" w:eastAsia="仿宋"/>
          <w:b w:val="0"/>
          <w:bCs/>
          <w:color w:val="000000" w:themeColor="text1"/>
          <w:sz w:val="32"/>
          <w:szCs w:val="32"/>
        </w:rPr>
        <w:t>2.80</w:t>
      </w:r>
      <w:r>
        <w:rPr>
          <w:rStyle w:val="14"/>
          <w:rFonts w:hint="eastAsia" w:ascii="仿宋" w:hAnsi="仿宋" w:eastAsia="仿宋"/>
          <w:b w:val="0"/>
          <w:bCs/>
          <w:color w:val="000000" w:themeColor="text1"/>
          <w:sz w:val="32"/>
          <w:szCs w:val="32"/>
        </w:rPr>
        <w:t>万元，完成预算100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（2101102事业单位医疗）</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支出决算为19.04万元，完成预算100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7.</w:t>
      </w:r>
      <w:r>
        <w:rPr>
          <w:rFonts w:hint="eastAsia" w:ascii="仿宋" w:hAnsi="仿宋" w:eastAsia="仿宋"/>
          <w:b/>
          <w:bCs/>
          <w:color w:val="000000" w:themeColor="text1"/>
          <w:sz w:val="32"/>
          <w:szCs w:val="32"/>
        </w:rPr>
        <w:t>住房保障</w:t>
      </w:r>
      <w:r>
        <w:rPr>
          <w:rStyle w:val="14"/>
          <w:rFonts w:hint="eastAsia" w:ascii="仿宋" w:hAnsi="仿宋" w:eastAsia="仿宋"/>
          <w:bCs/>
          <w:color w:val="000000"/>
          <w:sz w:val="32"/>
          <w:szCs w:val="32"/>
        </w:rPr>
        <w:t>（2210201住房公积金）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支出决算为51.15万元，完成预算100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20年一般公共预算财政拨款基本支出635.42万元，其中：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612.69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22.73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123825</wp:posOffset>
            </wp:positionV>
            <wp:extent cx="5610860" cy="1734820"/>
            <wp:effectExtent l="0" t="0" r="8890" b="1778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2"/>
                    <a:srcRect/>
                    <a:stretch>
                      <a:fillRect/>
                    </a:stretch>
                  </pic:blipFill>
                  <pic:spPr>
                    <a:xfrm>
                      <a:off x="0" y="0"/>
                      <a:ext cx="5610860" cy="173482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19年增加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96610"/>
      <w:bookmarkStart w:id="47" w:name="_Toc15377218"/>
      <w:r>
        <w:rPr>
          <w:rFonts w:hint="eastAsia" w:ascii="仿宋_GB2312" w:eastAsia="仿宋_GB2312"/>
          <w:color w:val="000000" w:themeColor="text1"/>
          <w:sz w:val="32"/>
          <w:szCs w:val="32"/>
        </w:rPr>
        <w:t>。</w:t>
      </w:r>
      <w:r>
        <w:rPr>
          <w:rFonts w:ascii="黑体" w:eastAsia="黑体"/>
          <w:color w:val="000000"/>
          <w:sz w:val="32"/>
          <w:szCs w:val="32"/>
        </w:rPr>
        <w:t xml:space="preserve"> </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20年政府性基金预算拨款支出7.21万元。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峨眉山市</w:t>
      </w:r>
      <w:r>
        <w:rPr>
          <w:rFonts w:hint="eastAsia" w:ascii="仿宋_GB2312" w:eastAsia="仿宋_GB2312"/>
          <w:color w:val="000000"/>
          <w:sz w:val="32"/>
          <w:szCs w:val="32"/>
        </w:rPr>
        <w:t>绥山镇太和</w:t>
      </w:r>
      <w:r>
        <w:rPr>
          <w:rFonts w:ascii="仿宋_GB2312" w:eastAsia="仿宋_GB2312"/>
          <w:color w:val="000000" w:themeColor="text1"/>
          <w:sz w:val="32"/>
          <w:szCs w:val="32"/>
        </w:rPr>
        <w:t>小学校</w:t>
      </w:r>
      <w:r>
        <w:rPr>
          <w:rFonts w:hint="eastAsia" w:ascii="仿宋_GB2312" w:eastAsia="仿宋_GB2312"/>
          <w:color w:val="000000"/>
          <w:sz w:val="32"/>
          <w:szCs w:val="32"/>
        </w:rPr>
        <w:t>机关运行经费支出</w:t>
      </w:r>
      <w:r>
        <w:rPr>
          <w:rFonts w:ascii="仿宋_GB2312" w:eastAsia="仿宋_GB2312"/>
          <w:color w:val="000000"/>
          <w:sz w:val="32"/>
          <w:szCs w:val="32"/>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峨眉山市</w:t>
      </w:r>
      <w:r>
        <w:rPr>
          <w:rFonts w:hint="eastAsia" w:ascii="仿宋_GB2312" w:eastAsia="仿宋_GB2312"/>
          <w:color w:val="000000"/>
          <w:sz w:val="32"/>
          <w:szCs w:val="32"/>
        </w:rPr>
        <w:t>绥山镇太和</w:t>
      </w:r>
      <w:r>
        <w:rPr>
          <w:rFonts w:ascii="仿宋_GB2312" w:eastAsia="仿宋_GB2312"/>
          <w:color w:val="000000" w:themeColor="text1"/>
          <w:sz w:val="32"/>
          <w:szCs w:val="32"/>
        </w:rPr>
        <w:t>小学校</w:t>
      </w:r>
      <w:r>
        <w:rPr>
          <w:rFonts w:hint="eastAsia" w:ascii="仿宋_GB2312" w:eastAsia="仿宋_GB2312"/>
          <w:color w:val="000000"/>
          <w:sz w:val="32"/>
          <w:szCs w:val="32"/>
        </w:rPr>
        <w:t>政府采购支出总额</w:t>
      </w:r>
      <w:r>
        <w:rPr>
          <w:rFonts w:ascii="仿宋_GB2312" w:eastAsia="仿宋_GB2312"/>
          <w:color w:val="000000"/>
          <w:sz w:val="32"/>
          <w:szCs w:val="32"/>
        </w:rPr>
        <w:t>1.24</w:t>
      </w:r>
      <w:r>
        <w:rPr>
          <w:rFonts w:hint="eastAsia" w:ascii="仿宋_GB2312" w:eastAsia="仿宋_GB2312"/>
          <w:color w:val="000000"/>
          <w:sz w:val="32"/>
          <w:szCs w:val="32"/>
        </w:rPr>
        <w:t>万元，其中：政府采购货物支出</w:t>
      </w:r>
      <w:r>
        <w:rPr>
          <w:rFonts w:ascii="仿宋_GB2312" w:eastAsia="仿宋_GB2312"/>
          <w:color w:val="000000"/>
          <w:sz w:val="32"/>
          <w:szCs w:val="32"/>
        </w:rPr>
        <w:t>1.24</w:t>
      </w:r>
      <w:r>
        <w:rPr>
          <w:rFonts w:hint="eastAsia" w:ascii="仿宋_GB2312" w:eastAsia="仿宋_GB2312"/>
          <w:color w:val="000000"/>
          <w:sz w:val="32"/>
          <w:szCs w:val="32"/>
        </w:rPr>
        <w:t>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峨眉山市</w:t>
      </w:r>
      <w:r>
        <w:rPr>
          <w:rFonts w:hint="eastAsia" w:ascii="仿宋_GB2312" w:eastAsia="仿宋_GB2312"/>
          <w:color w:val="000000"/>
          <w:sz w:val="32"/>
          <w:szCs w:val="32"/>
        </w:rPr>
        <w:t>绥山镇太和</w:t>
      </w:r>
      <w:r>
        <w:rPr>
          <w:rFonts w:ascii="仿宋_GB2312" w:eastAsia="仿宋_GB2312"/>
          <w:color w:val="000000" w:themeColor="text1"/>
          <w:sz w:val="32"/>
          <w:szCs w:val="32"/>
        </w:rPr>
        <w:t>小学校</w:t>
      </w:r>
      <w:r>
        <w:rPr>
          <w:rFonts w:hint="eastAsia" w:ascii="仿宋_GB2312" w:eastAsia="仿宋_GB2312"/>
          <w:color w:val="000000"/>
          <w:sz w:val="32"/>
          <w:szCs w:val="32"/>
        </w:rPr>
        <w:t>共有车辆0辆，其中：主要领导干部用车0辆、机要通信用车0辆、应急保障用车0辆、其他用车0辆，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根据预算绩效管理要求，本部门（单位）在年初预算编制阶段，组织对安保经费、人才队伍建设资金、援彝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项目开展了预算事前绩效评估，对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根据预算绩效管理要求，本部门（单位）在年初预算编制阶段，组织对安保经费、人才队伍建设、义教免作业本费、支边支教工作经费、援彝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项目开展了预算事前绩效评估，对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个项目开展绩效监控，年终执行完毕后，对1个项目开展了绩效目标完成情况自评。本部门按要求对20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年部门整体支出开展绩效自评，从评价情况来看20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年对以上</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进行了预算、严格按要求支出，及时完成了了绩效目标，取得了很好的效果。本部门还自行组织了1个项目支出绩效评价，我校成立了绩效评价工作领导小组，负责绩效评价工作的组织领导和具体实施。评价小组采取座谈等方式听取情况，检查基本支出、项目支出有关账目，收集整理支出相关资料，并根据报送的绩效自评材料进行分析，形成评价结论。</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年度部门决算中反映“安保经费”、 “人才队伍建设资金”、“支边支教工作经费” 、“援彝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（1）安保经费项目绩效目标完成情况综述。项目全年预算数7</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万元，执行数为7</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万元，完成预算的10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%。通过项目实施，保障了学校安保队伍的稳定，学校及周边治安的安全，学校教学秩序的正常运行，让全校师生全心全意投入到学校教育教学之中，让家长更放心，让社会更满意。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）人才队伍建设资金项目绩效目标完成情况综述。项目全年预算数0.</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万元，执行数为0.</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万元，完成预算的100%。通过项目实施，保障了我校骨干教师队伍的稳定，支持了学校教育教学科研项目的开展，促进了骨干教师示范带头作用，提高教师的工作积极性。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资金项目绩效目标完成情况综述。项目全年预算数</w:t>
      </w:r>
      <w:r>
        <w:rPr>
          <w:rFonts w:ascii="仿宋_GB2312" w:hAnsi="仿宋_GB2312" w:eastAsia="仿宋_GB2312" w:cs="仿宋_GB2312"/>
          <w:sz w:val="32"/>
          <w:szCs w:val="32"/>
        </w:rPr>
        <w:t>4.21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4.21</w:t>
      </w:r>
      <w:r>
        <w:rPr>
          <w:rFonts w:hint="eastAsia" w:ascii="仿宋_GB2312" w:hAnsi="仿宋_GB2312" w:eastAsia="仿宋_GB2312" w:cs="仿宋_GB2312"/>
          <w:sz w:val="32"/>
          <w:szCs w:val="32"/>
        </w:rPr>
        <w:t>万元，完成预算的100%。通过项目实施，保障援彝工作的开展，提高教师的工作积极性。</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ascii="宋体" w:hAnsi="宋体" w:cs="宋体"/>
                <w:color w:val="000000"/>
                <w:kern w:val="0"/>
                <w:sz w:val="36"/>
                <w:szCs w:val="36"/>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峨眉山市绥山镇太和小学校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.17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.17</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.17</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.17</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为学校教育教学提供安全保障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为学校教育教学提供安全保障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在规定时限内完成相关任务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学校教育教学工作正常进行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学校师生及社会满意度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年部门整体支出绩效评价情况开展自评，《峨眉山市绥山镇太和小学校部门20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开展了绩效评价，安保经费项目2020年绩效评价报告》见附件（附件2）。（非涉密部门均需公开部门整体支出评价报告，部门自行组织的绩效评价情况根据部门实际公开，若未组织项目绩效评价，则只需说明部门整体支出绩效评价情况）</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themeColor="text1"/>
          <w:sz w:val="32"/>
          <w:szCs w:val="32"/>
        </w:rPr>
        <w:t>5.用事业基金弥补收支差额：</w:t>
      </w:r>
      <w:r>
        <w:rPr>
          <w:rFonts w:hint="eastAsia" w:ascii="仿宋_GB2312" w:eastAsia="仿宋_GB2312"/>
          <w:color w:val="00000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rPr>
          <w:rFonts w:ascii="仿宋_GB2312" w:eastAsia="仿宋_GB2312"/>
          <w:color w:val="000000"/>
          <w:sz w:val="32"/>
          <w:szCs w:val="32"/>
        </w:rPr>
      </w:pPr>
    </w:p>
    <w:p>
      <w:pPr>
        <w:ind w:firstLine="640" w:firstLineChars="200"/>
        <w:rPr>
          <w:rFonts w:ascii="仿宋_GB2312" w:eastAsia="仿宋_GB2312"/>
          <w:color w:val="000000"/>
          <w:sz w:val="32"/>
          <w:szCs w:val="32"/>
        </w:rPr>
      </w:pP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峨眉山市绥山镇太和小学校</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w:t>
      </w:r>
      <w:r>
        <w:rPr>
          <w:rFonts w:hint="eastAsia" w:ascii="仿宋_GB2312" w:hAnsi="宋体" w:eastAsia="仿宋_GB2312" w:cs="宋体"/>
          <w:color w:val="000000"/>
          <w:kern w:val="0"/>
          <w:sz w:val="32"/>
          <w:szCs w:val="32"/>
          <w:shd w:val="clear" w:color="auto" w:fill="FFFFFF"/>
        </w:rPr>
        <w:t>绥山镇太和</w:t>
      </w:r>
      <w:r>
        <w:rPr>
          <w:rFonts w:hint="eastAsia" w:ascii="仿宋_GB2312" w:hAnsi="宋体" w:eastAsia="仿宋_GB2312" w:cs="宋体"/>
          <w:color w:val="000000"/>
          <w:kern w:val="0"/>
          <w:sz w:val="32"/>
          <w:szCs w:val="32"/>
          <w:shd w:val="clear" w:color="auto" w:fill="FFFFFF"/>
          <w:lang w:val="zh-CN"/>
        </w:rPr>
        <w:t>学校为全额拨款事业单位。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实施小学义务教育，促进基础教育发展。进行小学学历教育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shd w:val="clear" w:color="auto" w:fill="FFFFFF"/>
        <w:spacing w:line="58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FF0000"/>
          <w:kern w:val="0"/>
          <w:sz w:val="32"/>
          <w:szCs w:val="32"/>
          <w:shd w:val="clear" w:color="auto" w:fill="FFFFFF"/>
          <w:lang w:val="zh-CN"/>
        </w:rPr>
        <w:t xml:space="preserve"> </w:t>
      </w:r>
      <w:r>
        <w:rPr>
          <w:rFonts w:hint="eastAsia" w:ascii="仿宋_GB2312" w:hAnsi="宋体" w:eastAsia="仿宋_GB2312" w:cs="宋体"/>
          <w:color w:val="000000" w:themeColor="text1"/>
          <w:kern w:val="0"/>
          <w:sz w:val="32"/>
          <w:szCs w:val="32"/>
          <w:shd w:val="clear" w:color="auto" w:fill="FFFFFF"/>
          <w:lang w:val="zh-CN"/>
        </w:rPr>
        <w:t>峨眉山市</w:t>
      </w:r>
      <w:r>
        <w:rPr>
          <w:rFonts w:hint="eastAsia" w:ascii="仿宋_GB2312" w:hAnsi="宋体" w:eastAsia="仿宋_GB2312" w:cs="宋体"/>
          <w:color w:val="000000" w:themeColor="text1"/>
          <w:kern w:val="0"/>
          <w:sz w:val="32"/>
          <w:szCs w:val="32"/>
          <w:shd w:val="clear" w:color="auto" w:fill="FFFFFF"/>
        </w:rPr>
        <w:t>绥山镇太和</w:t>
      </w:r>
      <w:r>
        <w:rPr>
          <w:rFonts w:hint="eastAsia" w:ascii="仿宋_GB2312" w:hAnsi="宋体" w:eastAsia="仿宋_GB2312" w:cs="宋体"/>
          <w:color w:val="000000" w:themeColor="text1"/>
          <w:kern w:val="0"/>
          <w:sz w:val="32"/>
          <w:szCs w:val="32"/>
          <w:shd w:val="clear" w:color="auto" w:fill="FFFFFF"/>
          <w:lang w:val="zh-CN"/>
        </w:rPr>
        <w:t>小学校</w:t>
      </w:r>
      <w:r>
        <w:rPr>
          <w:rFonts w:hint="eastAsia" w:ascii="仿宋_GB2312" w:hAnsi="仿宋" w:eastAsia="仿宋_GB2312" w:cs="仿宋"/>
          <w:color w:val="000000" w:themeColor="text1"/>
          <w:sz w:val="32"/>
          <w:szCs w:val="32"/>
        </w:rPr>
        <w:t>核定事业编制35名，实际在岗编制39人，其中工勤人员1名，借调教育局1人，退休34人，</w:t>
      </w:r>
      <w:r>
        <w:rPr>
          <w:rFonts w:hint="eastAsia" w:ascii="仿宋_GB2312" w:hAnsi="仿宋_GB2312" w:eastAsia="仿宋_GB2312" w:cs="仿宋_GB2312"/>
          <w:color w:val="000000" w:themeColor="text1"/>
          <w:kern w:val="0"/>
          <w:sz w:val="32"/>
          <w:szCs w:val="32"/>
          <w:shd w:val="clear" w:color="auto" w:fill="FFFFFF"/>
        </w:rPr>
        <w:t>小学学生170人、幼儿园143人。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我校2020年部门决算收入为650.84万元，预算收入为502.15万元。</w:t>
      </w:r>
      <w:r>
        <w:rPr>
          <w:rFonts w:ascii="仿宋_GB2312" w:eastAsia="仿宋_GB2312" w:cs="宋体"/>
          <w:b/>
          <w:color w:val="000000" w:themeColor="text1"/>
          <w:kern w:val="0"/>
          <w:sz w:val="32"/>
          <w:szCs w:val="32"/>
        </w:rPr>
        <w:t xml:space="preserve"> </w:t>
      </w:r>
      <w:r>
        <w:rPr>
          <w:rFonts w:hint="eastAsia" w:ascii="仿宋_GB2312" w:eastAsia="仿宋_GB2312" w:cs="宋体"/>
          <w:color w:val="000000" w:themeColor="text1"/>
          <w:kern w:val="0"/>
          <w:sz w:val="32"/>
          <w:szCs w:val="32"/>
        </w:rPr>
        <w:t>决算收入与预算收入差额</w:t>
      </w:r>
      <w:r>
        <w:rPr>
          <w:rFonts w:hint="eastAsia" w:ascii="仿宋_GB2312" w:hAnsi="仿宋_GB2312" w:eastAsia="仿宋_GB2312" w:cs="仿宋_GB2312"/>
          <w:color w:val="000000" w:themeColor="text1"/>
          <w:kern w:val="0"/>
          <w:sz w:val="32"/>
          <w:szCs w:val="32"/>
        </w:rPr>
        <w:t>148.69万</w:t>
      </w:r>
      <w:r>
        <w:rPr>
          <w:rFonts w:hint="eastAsia" w:ascii="仿宋_GB2312" w:eastAsia="仿宋_GB2312" w:cs="宋体"/>
          <w:color w:val="000000" w:themeColor="text1"/>
          <w:kern w:val="0"/>
          <w:sz w:val="32"/>
          <w:szCs w:val="32"/>
        </w:rPr>
        <w:t>元，主要2020年人员经费（工资调标、遗属调标）</w:t>
      </w:r>
      <w:r>
        <w:rPr>
          <w:rFonts w:hint="eastAsia" w:ascii="仿宋_GB2312" w:hAnsi="宋体" w:eastAsia="仿宋_GB2312" w:cs="宋体"/>
          <w:color w:val="000000" w:themeColor="text1"/>
          <w:kern w:val="0"/>
          <w:sz w:val="32"/>
          <w:szCs w:val="32"/>
        </w:rPr>
        <w:t>增加、项目拨款（安保经费、援彝工作经费、少年宫经费、骨干教师津贴等）增加</w:t>
      </w:r>
      <w:r>
        <w:rPr>
          <w:rFonts w:hint="eastAsia" w:ascii="仿宋_GB2312" w:eastAsia="仿宋_GB2312" w:cs="宋体"/>
          <w:color w:val="000000" w:themeColor="text1"/>
          <w:kern w:val="0"/>
          <w:sz w:val="32"/>
          <w:szCs w:val="32"/>
        </w:rPr>
        <w:t>、幼儿园收入</w:t>
      </w:r>
      <w:r>
        <w:rPr>
          <w:rFonts w:hint="eastAsia" w:ascii="仿宋_GB2312" w:hAnsi="宋体" w:eastAsia="仿宋_GB2312" w:cs="宋体"/>
          <w:color w:val="000000" w:themeColor="text1"/>
          <w:kern w:val="0"/>
          <w:sz w:val="32"/>
          <w:szCs w:val="32"/>
        </w:rPr>
        <w:t>增加等</w:t>
      </w:r>
      <w:r>
        <w:rPr>
          <w:rFonts w:hint="eastAsia" w:ascii="仿宋_GB2312" w:eastAsia="仿宋_GB2312" w:cs="宋体"/>
          <w:color w:val="000000" w:themeColor="text1"/>
          <w:kern w:val="0"/>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shd w:val="clear" w:color="auto" w:fill="FFFFFF"/>
        <w:adjustRightInd w:val="0"/>
        <w:snapToGrid w:val="0"/>
        <w:spacing w:line="54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校2020年支出决算数为653.84万元，其中：基本支出639.22万元，项目支出14.62万元；预算数为502.15万元，其中：基本支出502.15万元，项目支出0万元。基本支出较预算增加的137.07万元，主要为2020年人员经费（工资调标、遗属调标等）增加、项目支出增加、</w:t>
      </w:r>
      <w:r>
        <w:rPr>
          <w:rFonts w:hint="eastAsia" w:ascii="仿宋_GB2312" w:hAnsi="仿宋_GB2312" w:eastAsia="仿宋_GB2312" w:cs="仿宋_GB2312"/>
          <w:color w:val="000000" w:themeColor="text1"/>
          <w:kern w:val="0"/>
          <w:sz w:val="32"/>
          <w:szCs w:val="32"/>
        </w:rPr>
        <w:t>主要为</w:t>
      </w:r>
      <w:r>
        <w:rPr>
          <w:rFonts w:hint="eastAsia" w:ascii="仿宋_GB2312" w:hAnsi="宋体" w:eastAsia="仿宋_GB2312" w:cs="宋体"/>
          <w:color w:val="000000" w:themeColor="text1"/>
          <w:kern w:val="0"/>
          <w:sz w:val="32"/>
          <w:szCs w:val="32"/>
        </w:rPr>
        <w:t>安保经费、援彝工作经费、少年宫经费、骨干教师津贴等。</w:t>
      </w:r>
    </w:p>
    <w:p>
      <w:pPr>
        <w:widowControl/>
        <w:shd w:val="clear" w:color="auto" w:fill="FFFFFF"/>
        <w:adjustRightInd w:val="0"/>
        <w:snapToGrid w:val="0"/>
        <w:spacing w:line="540" w:lineRule="exact"/>
        <w:ind w:firstLine="640" w:firstLineChars="20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决算支出较决算收入多3万元，年初结转结余列支3万元（年初结转结余3万元）。</w:t>
      </w:r>
    </w:p>
    <w:p>
      <w:pPr>
        <w:widowControl/>
        <w:shd w:val="clear" w:color="auto" w:fill="FFFFFF"/>
        <w:adjustRightInd w:val="0"/>
        <w:snapToGrid w:val="0"/>
        <w:spacing w:line="540" w:lineRule="exact"/>
        <w:jc w:val="left"/>
        <w:rPr>
          <w:rFonts w:ascii="仿宋" w:hAnsi="仿宋" w:eastAsia="仿宋" w:cs="仿宋"/>
          <w:kern w:val="0"/>
          <w:sz w:val="30"/>
          <w:szCs w:val="30"/>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（一）预决算编制情况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sz w:val="32"/>
          <w:szCs w:val="32"/>
        </w:rPr>
        <w:t>我单位严格按照财政部门的要求和实现编制预决算、填报绩效目标；2020年收入预算为502.15万元，其中公共财政预算收入437.75万元，财政专户收入64.40万元；支出预算502.15万元，其中基本支出预算502.15万元，项目预算支出为0。决算收入为650.84万元，决算支出为653.84万元，其中</w:t>
      </w:r>
      <w:r>
        <w:rPr>
          <w:rFonts w:hint="eastAsia" w:ascii="仿宋_GB2312" w:hAnsi="宋体" w:eastAsia="仿宋_GB2312" w:cs="宋体"/>
          <w:color w:val="000000" w:themeColor="text1"/>
          <w:kern w:val="0"/>
          <w:sz w:val="32"/>
          <w:szCs w:val="32"/>
        </w:rPr>
        <w:t>基本支出639.22万元，项目支出14.62万元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sz w:val="32"/>
          <w:szCs w:val="32"/>
        </w:rPr>
        <w:t>2020年度年初结转结余3.00万元，其中基本支出结转结余3.00万元，项目支出结转结余0万元；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xml:space="preserve"> 2020年度年末结转结余0万元。其中基本支出结转结余0万元，项目支出结转结余0万元。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（二）执行管理情况</w:t>
      </w:r>
    </w:p>
    <w:p>
      <w:pPr>
        <w:snapToGrid w:val="0"/>
        <w:spacing w:line="588" w:lineRule="exact"/>
        <w:ind w:firstLine="800" w:firstLineChars="250"/>
        <w:rPr>
          <w:rFonts w:ascii="仿宋_GB2312" w:hAnsi="仿宋" w:eastAsia="仿宋_GB2312"/>
          <w:color w:val="000000" w:themeColor="text1"/>
          <w:sz w:val="32"/>
          <w:szCs w:val="32"/>
        </w:rPr>
      </w:pPr>
      <w:r>
        <w:rPr>
          <w:rFonts w:hint="eastAsia" w:ascii="仿宋_GB2312" w:hAnsi="宋体" w:eastAsia="仿宋_GB2312" w:cs="宋体"/>
          <w:color w:val="000000" w:themeColor="text1"/>
          <w:sz w:val="32"/>
          <w:szCs w:val="32"/>
        </w:rPr>
        <w:t>我校严格按照预算执行，在收到财政到达的各类款项后，按照资金的用途使用，支出金额控制在预算总额内，按照预算执行进度，及时支付。临时事项，按规定程序报政府部门批准或是完成预算调整程序后执行。我单位基本支出部分按月均匀执行，项目支出部分按所报项目进度及时执行，执行比例100%,</w:t>
      </w:r>
      <w:r>
        <w:rPr>
          <w:rFonts w:hint="eastAsia" w:ascii="仿宋_GB2312" w:hAnsi="仿宋" w:eastAsia="仿宋_GB2312"/>
          <w:color w:val="000000" w:themeColor="text1"/>
          <w:sz w:val="32"/>
          <w:szCs w:val="32"/>
        </w:rPr>
        <w:t>全年支出执行良好。</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（三）支出绩效情况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eastAsia="仿宋_GB2312" w:cs="宋体"/>
          <w:color w:val="000000" w:themeColor="text1"/>
          <w:sz w:val="32"/>
          <w:szCs w:val="32"/>
        </w:rPr>
      </w:pPr>
      <w:r>
        <w:rPr>
          <w:rFonts w:hint="eastAsia" w:ascii="仿宋_GB2312" w:eastAsia="仿宋_GB2312" w:cs="宋体"/>
          <w:color w:val="000000" w:themeColor="text1"/>
          <w:sz w:val="32"/>
          <w:szCs w:val="32"/>
        </w:rPr>
        <w:t>我校严格遵守各项财经纪律，加强学校财务管理工作，制定了相关规章制度，加强和细化了预算编制，严格按照预算执行，确保财务收支平衡，保障学校工作正常开展和教育教学目标的完成。</w:t>
      </w:r>
    </w:p>
    <w:p>
      <w:pPr>
        <w:widowControl/>
        <w:shd w:val="clear" w:color="auto" w:fill="FFFFFF"/>
        <w:tabs>
          <w:tab w:val="center" w:pos="4528"/>
        </w:tabs>
        <w:adjustRightInd w:val="0"/>
        <w:snapToGrid w:val="0"/>
        <w:spacing w:before="100" w:beforeAutospacing="1" w:after="100" w:afterAutospacing="1" w:line="540" w:lineRule="exact"/>
        <w:ind w:firstLine="800" w:firstLineChars="250"/>
        <w:jc w:val="left"/>
        <w:outlineLvl w:val="0"/>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1.部门支出绩效</w:t>
      </w:r>
      <w:r>
        <w:rPr>
          <w:rFonts w:hint="eastAsia" w:ascii="仿宋_GB2312" w:hAnsi="宋体" w:eastAsia="仿宋_GB2312" w:cs="宋体"/>
          <w:color w:val="000000" w:themeColor="text1"/>
          <w:sz w:val="32"/>
          <w:szCs w:val="32"/>
        </w:rPr>
        <w:tab/>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（1）学校运行保障</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宋体" w:eastAsia="仿宋_GB2312" w:cs="宋体"/>
          <w:color w:val="000000" w:themeColor="text1"/>
          <w:kern w:val="0"/>
          <w:sz w:val="32"/>
          <w:szCs w:val="32"/>
        </w:rPr>
        <w:t>我单位基本支出的范围包括人员经费和日常公用经费，2020年基本支出决算数639.22万元，其中:人员经费615.07 万元</w:t>
      </w:r>
      <w:r>
        <w:rPr>
          <w:rFonts w:hint="eastAsia" w:ascii="仿宋_GB2312" w:eastAsia="仿宋_GB2312" w:cs="宋体" w:hAnsiTheme="minorHAnsi"/>
          <w:color w:val="000000" w:themeColor="text1"/>
          <w:kern w:val="0"/>
          <w:sz w:val="32"/>
          <w:szCs w:val="32"/>
        </w:rPr>
        <w:t>,</w:t>
      </w:r>
      <w:r>
        <w:rPr>
          <w:rFonts w:hint="eastAsia" w:ascii="仿宋_GB2312" w:hAnsi="宋体" w:eastAsia="仿宋_GB2312" w:cs="宋体"/>
          <w:color w:val="000000" w:themeColor="text1"/>
          <w:kern w:val="0"/>
          <w:sz w:val="32"/>
          <w:szCs w:val="32"/>
        </w:rPr>
        <w:t>日常公用经费24.14万元。基本支出能够保障学校教育教学正常进行</w:t>
      </w:r>
      <w:r>
        <w:rPr>
          <w:rFonts w:hint="eastAsia" w:ascii="仿宋_GB2312" w:hAnsi="仿宋_GB2312" w:eastAsia="仿宋_GB2312" w:cs="仿宋_GB2312"/>
          <w:color w:val="000000" w:themeColor="text1"/>
          <w:kern w:val="0"/>
          <w:sz w:val="32"/>
          <w:szCs w:val="32"/>
        </w:rPr>
        <w:t>。</w:t>
      </w:r>
    </w:p>
    <w:p>
      <w:pPr>
        <w:widowControl/>
        <w:spacing w:line="480" w:lineRule="auto"/>
        <w:ind w:firstLine="640" w:firstLineChars="200"/>
        <w:rPr>
          <w:rFonts w:ascii="仿宋_GB2312" w:eastAsia="仿宋_GB2312" w:cs="宋体" w:hAnsiTheme="minorHAnsi"/>
          <w:color w:val="000000" w:themeColor="text1"/>
          <w:kern w:val="0"/>
          <w:sz w:val="32"/>
          <w:szCs w:val="32"/>
        </w:rPr>
      </w:pPr>
      <w:r>
        <w:rPr>
          <w:rFonts w:hint="eastAsia" w:ascii="仿宋_GB2312" w:hAnsi="宋体" w:eastAsia="仿宋_GB2312" w:cs="宋体"/>
          <w:color w:val="000000" w:themeColor="text1"/>
          <w:kern w:val="0"/>
          <w:sz w:val="32"/>
          <w:szCs w:val="32"/>
        </w:rPr>
        <w:t>（2）学校厉行节约。</w:t>
      </w:r>
    </w:p>
    <w:p>
      <w:pPr>
        <w:widowControl/>
        <w:spacing w:line="480" w:lineRule="auto"/>
        <w:ind w:firstLine="640" w:firstLineChars="200"/>
        <w:rPr>
          <w:rFonts w:ascii="仿宋_GB2312" w:eastAsia="仿宋_GB2312" w:cs="宋体" w:hAnsiTheme="minorHAnsi"/>
          <w:color w:val="000000" w:themeColor="text1"/>
          <w:kern w:val="0"/>
          <w:sz w:val="32"/>
          <w:szCs w:val="32"/>
        </w:rPr>
      </w:pPr>
      <w:r>
        <w:rPr>
          <w:rFonts w:hint="eastAsia" w:ascii="仿宋_GB2312" w:hAnsi="仿宋_GB2312" w:eastAsia="仿宋_GB2312" w:cs="仿宋_GB2312"/>
          <w:color w:val="000000" w:themeColor="text1"/>
          <w:kern w:val="0"/>
          <w:sz w:val="32"/>
          <w:szCs w:val="32"/>
        </w:rPr>
        <w:t>2020年因公出国（境）费用、会议费、车辆购置及运行费用和公务接待经费等控制较好。</w:t>
      </w:r>
    </w:p>
    <w:p>
      <w:pPr>
        <w:pStyle w:val="23"/>
        <w:widowControl/>
        <w:numPr>
          <w:ilvl w:val="0"/>
          <w:numId w:val="4"/>
        </w:numPr>
        <w:spacing w:line="480" w:lineRule="auto"/>
        <w:ind w:firstLineChars="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“三公”经费支出情况：无</w:t>
      </w:r>
    </w:p>
    <w:p>
      <w:pPr>
        <w:pStyle w:val="23"/>
        <w:widowControl/>
        <w:numPr>
          <w:ilvl w:val="0"/>
          <w:numId w:val="4"/>
        </w:numPr>
        <w:spacing w:line="480" w:lineRule="auto"/>
        <w:ind w:firstLineChars="0"/>
        <w:rPr>
          <w:rFonts w:ascii="仿宋_GB2312" w:eastAsia="仿宋_GB2312" w:cs="宋体" w:hAnsiTheme="minorHAnsi"/>
          <w:kern w:val="0"/>
          <w:sz w:val="32"/>
          <w:szCs w:val="32"/>
        </w:rPr>
      </w:pPr>
      <w:r>
        <w:rPr>
          <w:rFonts w:hint="eastAsia" w:ascii="仿宋_GB2312" w:hAnsi="宋体" w:eastAsia="仿宋_GB2312" w:cs="宋体"/>
          <w:kern w:val="0"/>
          <w:sz w:val="32"/>
          <w:szCs w:val="32"/>
        </w:rPr>
        <w:t>会议费支出情况：本年支出0.64万元，主要是学生参加市运动会、武术比赛等支出</w:t>
      </w:r>
      <w:r>
        <w:rPr>
          <w:rFonts w:hint="eastAsia" w:ascii="仿宋_GB2312" w:eastAsia="仿宋_GB2312" w:cs="宋体" w:hAnsiTheme="minorHAnsi"/>
          <w:kern w:val="0"/>
          <w:sz w:val="32"/>
          <w:szCs w:val="32"/>
        </w:rPr>
        <w:t>,</w:t>
      </w:r>
      <w:r>
        <w:rPr>
          <w:rFonts w:hint="eastAsia" w:ascii="仿宋_GB2312" w:hAnsi="仿宋_GB2312" w:eastAsia="仿宋_GB2312" w:cs="仿宋_GB2312"/>
          <w:kern w:val="0"/>
          <w:sz w:val="32"/>
          <w:szCs w:val="32"/>
        </w:rPr>
        <w:t>较2019年减少</w:t>
      </w:r>
      <w:r>
        <w:rPr>
          <w:rFonts w:hint="eastAsia" w:ascii="仿宋_GB2312" w:eastAsia="仿宋_GB2312" w:cs="仿宋_GB2312" w:hAnsiTheme="minorHAnsi"/>
          <w:kern w:val="0"/>
          <w:sz w:val="32"/>
          <w:szCs w:val="32"/>
        </w:rPr>
        <w:t>。</w:t>
      </w:r>
    </w:p>
    <w:p>
      <w:pPr>
        <w:widowControl/>
        <w:spacing w:line="480" w:lineRule="auto"/>
        <w:ind w:firstLine="640" w:firstLineChars="200"/>
        <w:rPr>
          <w:rFonts w:ascii="仿宋_GB2312" w:hAnsi="仿宋_GB2312" w:eastAsia="仿宋_GB2312" w:cs="仿宋_GB2312"/>
          <w:kern w:val="0"/>
          <w:sz w:val="32"/>
          <w:szCs w:val="32"/>
        </w:rPr>
      </w:pPr>
      <w:r>
        <w:rPr>
          <w:rFonts w:hint="eastAsia" w:ascii="仿宋_GB2312" w:hAnsi="宋体" w:eastAsia="仿宋_GB2312" w:cs="宋体"/>
          <w:kern w:val="0"/>
          <w:sz w:val="32"/>
          <w:szCs w:val="32"/>
        </w:rPr>
        <w:t>③、培训费支出情况： 本年支出0.79万元，主要支出为教师培训费</w:t>
      </w:r>
      <w:r>
        <w:rPr>
          <w:rFonts w:hint="eastAsia" w:ascii="仿宋_GB2312" w:eastAsia="仿宋_GB2312" w:cs="宋体" w:hAnsiTheme="minorHAnsi"/>
          <w:kern w:val="0"/>
          <w:sz w:val="32"/>
          <w:szCs w:val="32"/>
        </w:rPr>
        <w:t>,</w:t>
      </w:r>
      <w:r>
        <w:rPr>
          <w:rFonts w:hint="eastAsia" w:ascii="仿宋_GB2312" w:hAnsi="仿宋_GB2312" w:eastAsia="仿宋_GB2312" w:cs="仿宋_GB2312"/>
          <w:kern w:val="0"/>
          <w:sz w:val="32"/>
          <w:szCs w:val="32"/>
        </w:rPr>
        <w:t>较2019年减少。</w:t>
      </w:r>
    </w:p>
    <w:p>
      <w:pPr>
        <w:widowControl/>
        <w:spacing w:line="480" w:lineRule="auto"/>
        <w:ind w:firstLine="640" w:firstLineChars="20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（3）机关节能降耗</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2020年学校总能耗2.82万元，较2019年增加0.81万元，略增加，节能降耗情况总体情况良好。</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2.专项预算项目支出绩效</w:t>
      </w:r>
      <w:r>
        <w:rPr>
          <w:rFonts w:hint="eastAsia" w:ascii="仿宋_GB2312" w:hAnsi="宋体" w:eastAsia="仿宋_GB2312" w:cs="宋体"/>
          <w:color w:val="000000" w:themeColor="text1"/>
          <w:kern w:val="0"/>
          <w:sz w:val="32"/>
          <w:szCs w:val="32"/>
        </w:rPr>
        <w:t>支边支教工作经费、援彝工作经费</w:t>
      </w:r>
    </w:p>
    <w:p>
      <w:pPr>
        <w:widowControl/>
        <w:spacing w:line="480" w:lineRule="auto"/>
        <w:ind w:left="210" w:leftChars="100"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（1）项目资金管理情况：骨干教师奖金0.24万元，安保经费7.17万元，</w:t>
      </w:r>
      <w:r>
        <w:rPr>
          <w:rFonts w:hint="eastAsia" w:ascii="仿宋_GB2312" w:hAnsi="宋体" w:eastAsia="仿宋_GB2312" w:cs="宋体"/>
          <w:kern w:val="0"/>
          <w:sz w:val="32"/>
          <w:szCs w:val="32"/>
        </w:rPr>
        <w:t>援彝工作经费4.21</w:t>
      </w:r>
      <w:r>
        <w:rPr>
          <w:rFonts w:hint="eastAsia" w:ascii="仿宋_GB2312" w:hAnsi="仿宋_GB2312" w:eastAsia="仿宋_GB2312" w:cs="仿宋_GB2312"/>
          <w:kern w:val="0"/>
          <w:sz w:val="32"/>
          <w:szCs w:val="32"/>
        </w:rPr>
        <w:t>万元，乡村少年宫经费3万元。骨干教师奖金0.24万元，安保经费7.17万元，用于保安的工资；</w:t>
      </w:r>
      <w:r>
        <w:rPr>
          <w:rFonts w:hint="eastAsia" w:ascii="仿宋_GB2312" w:hAnsi="宋体" w:eastAsia="仿宋_GB2312" w:cs="宋体"/>
          <w:kern w:val="0"/>
          <w:sz w:val="32"/>
          <w:szCs w:val="32"/>
        </w:rPr>
        <w:t>援彝工作经费4.21</w:t>
      </w:r>
      <w:r>
        <w:rPr>
          <w:rFonts w:hint="eastAsia" w:ascii="仿宋_GB2312" w:hAnsi="仿宋_GB2312" w:eastAsia="仿宋_GB2312" w:cs="仿宋_GB2312"/>
          <w:kern w:val="0"/>
          <w:sz w:val="32"/>
          <w:szCs w:val="32"/>
        </w:rPr>
        <w:t>万元，用于援彝教师补助；</w:t>
      </w:r>
      <w:r>
        <w:rPr>
          <w:rFonts w:hint="eastAsia" w:ascii="仿宋_GB2312" w:hAnsi="仿宋_GB2312" w:eastAsia="仿宋_GB2312" w:cs="仿宋_GB2312"/>
          <w:color w:val="000000" w:themeColor="text1"/>
          <w:kern w:val="0"/>
          <w:sz w:val="32"/>
          <w:szCs w:val="32"/>
        </w:rPr>
        <w:t>乡村少年宫经费3万元，该经费用途为购置少年宫器材及聘用少年宫教师的劳务费。</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（2）项目资金管理情况</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(3)绩效目标完成情况</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xml:space="preserve">紧紧围绕全年教育教学线，开展学生德育活动。通过多种有效途径加强学生爱国主义教育和公民道德教育，强化法制、安全、心理健康教育，收到较好效果。开展教学和教研活动。加强教学常规管理，贯彻落实减负措施。培养学生综合素质，切实开展“阳光体育”。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账账相符。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 </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（4）财务管理情况</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（5）绩效管理工作开展情况</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pacing w:line="480" w:lineRule="auto"/>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通过绩效评价梳理出的问题，将通过座谈的形式传达给相关领导和股室负责人，以便完善。</w:t>
      </w:r>
    </w:p>
    <w:p>
      <w:pPr>
        <w:widowControl/>
        <w:shd w:val="clear" w:color="auto" w:fill="FFFFFF"/>
        <w:adjustRightInd w:val="0"/>
        <w:snapToGrid w:val="0"/>
        <w:spacing w:before="100" w:beforeAutospacing="1" w:after="100" w:afterAutospacing="1" w:line="540" w:lineRule="exact"/>
        <w:ind w:firstLine="640"/>
        <w:jc w:val="left"/>
        <w:rPr>
          <w:rFonts w:ascii="黑体" w:eastAsia="黑体" w:cs="宋体"/>
          <w:b/>
          <w:bCs/>
          <w:color w:val="000000" w:themeColor="text1"/>
          <w:kern w:val="0"/>
          <w:sz w:val="32"/>
          <w:szCs w:val="32"/>
        </w:rPr>
      </w:pPr>
      <w:r>
        <w:rPr>
          <w:rFonts w:hint="eastAsia" w:ascii="黑体" w:hAnsi="宋体" w:eastAsia="黑体" w:cs="宋体"/>
          <w:b/>
          <w:bCs/>
          <w:color w:val="000000" w:themeColor="text1"/>
          <w:kern w:val="0"/>
          <w:sz w:val="32"/>
          <w:szCs w:val="32"/>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我单位部门支出绩效评价得分95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95</w:t>
            </w:r>
          </w:p>
        </w:tc>
      </w:tr>
    </w:tbl>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（二）存在问题</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sz w:val="32"/>
          <w:szCs w:val="32"/>
        </w:rPr>
        <w:t>1、</w:t>
      </w:r>
      <w:r>
        <w:rPr>
          <w:rFonts w:hint="eastAsia" w:ascii="仿宋_GB2312" w:hAnsi="宋体" w:eastAsia="仿宋_GB2312" w:cs="宋体"/>
          <w:color w:val="000000" w:themeColor="text1"/>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4、对相关人员加强培训，特别是针对《预算法》、《行政事业单位会计制度》等学习培训，规范部门预算收支核算，切实提高部门预算收支管理水平。</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shd w:val="clear" w:color="auto" w:fill="FFFFFF"/>
        <w:adjustRightInd w:val="0"/>
        <w:snapToGrid w:val="0"/>
        <w:spacing w:line="580" w:lineRule="exact"/>
        <w:ind w:right="420"/>
        <w:jc w:val="righ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峨眉山市绥山镇太和小学校</w:t>
      </w:r>
    </w:p>
    <w:p>
      <w:pPr>
        <w:spacing w:line="58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2021.10.</w:t>
      </w:r>
      <w:r>
        <w:rPr>
          <w:rFonts w:ascii="仿宋_GB2312" w:hAnsi="仿宋_GB2312" w:eastAsia="仿宋_GB2312" w:cs="仿宋_GB2312"/>
          <w:sz w:val="32"/>
          <w:szCs w:val="32"/>
        </w:rPr>
        <w:t>25</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rPr>
          <w:rFonts w:ascii="宋体" w:hAnsi="宋体"/>
          <w:sz w:val="32"/>
          <w:szCs w:val="32"/>
          <w:lang w:val="zh-CN"/>
        </w:rPr>
      </w:pPr>
      <w:r>
        <w:rPr>
          <w:rFonts w:hint="eastAsia" w:ascii="宋体" w:hAnsi="宋体"/>
          <w:sz w:val="32"/>
          <w:szCs w:val="32"/>
          <w:lang w:val="zh-CN"/>
        </w:rPr>
        <w:t xml:space="preserve">        </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rPr>
        <w:t>峨眉山市绥山镇太和小学校安保经费</w:t>
      </w:r>
      <w:r>
        <w:rPr>
          <w:rFonts w:hint="eastAsia" w:ascii="方正小标宋简体" w:hAnsi="宋体" w:eastAsia="方正小标宋简体"/>
          <w:kern w:val="0"/>
          <w:sz w:val="44"/>
          <w:szCs w:val="44"/>
          <w:lang w:val="zh-CN"/>
        </w:rPr>
        <w:t>项目</w:t>
      </w:r>
      <w:r>
        <w:rPr>
          <w:rFonts w:hint="eastAsia" w:ascii="方正小标宋简体" w:hAnsi="宋体" w:eastAsia="方正小标宋简体"/>
          <w:kern w:val="0"/>
          <w:sz w:val="44"/>
          <w:szCs w:val="44"/>
        </w:rPr>
        <w:t>2020年</w:t>
      </w:r>
      <w:r>
        <w:rPr>
          <w:rFonts w:hint="eastAsia" w:ascii="方正小标宋简体" w:hAnsi="宋体" w:eastAsia="方正小标宋简体"/>
          <w:kern w:val="0"/>
          <w:sz w:val="44"/>
          <w:szCs w:val="44"/>
          <w:lang w:val="zh-CN"/>
        </w:rPr>
        <w:t>绩效评价报告</w:t>
      </w:r>
    </w:p>
    <w:p>
      <w:pPr>
        <w:spacing w:line="600" w:lineRule="exact"/>
        <w:rPr>
          <w:rFonts w:ascii="宋体" w:hAnsi="宋体"/>
          <w:color w:val="FF0000"/>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w:t>
      </w:r>
      <w:r>
        <w:rPr>
          <w:rFonts w:ascii="仿宋_GB2312" w:eastAsia="仿宋_GB2312" w:hAnsiTheme="minorEastAsia"/>
          <w:sz w:val="32"/>
          <w:szCs w:val="32"/>
        </w:rPr>
        <w:t>20</w:t>
      </w:r>
      <w:r>
        <w:rPr>
          <w:rFonts w:hint="eastAsia" w:ascii="仿宋_GB2312" w:eastAsia="仿宋_GB2312" w:hAnsiTheme="minorEastAsia"/>
          <w:sz w:val="32"/>
          <w:szCs w:val="32"/>
        </w:rPr>
        <w:t>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为进一步加强学校安全工作，切实保障广大师生人身安全，维护学校长期安全稳定，根据《中共峨眉山市委办公室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学校按统一要求加强人防、物防和技防工作，其中全市义务教育阶段学校安保和宿管员由市财政本级预算“学校安保经费补助”项目予以保障。2020年，市人大批复峨眉山市绥山镇太和小学校年初预算“学校安保经费补助”7.17万元，每人每年预算标准为3.58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1．资金计划及到位。2020年，该项目预算资金7.17万元。2020年，分春秋两季拨付资金，春季学期在6月前，秋季拨付在11月前。拨付时间绩效目标完成率100%，拨付资金额度完成率100%。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2．资金使用。2020年，该项目实际使用资金7.17万元，全额用于发放学校聘请的保安工资。项目预算标准为每人每年3.58万元。项目开支范围、标准及支付进度、支付依据均合规合法，资金支付与预算相符。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该项目对照预算，截止2020年12月31日，下达预算指标7.17万元，</w:t>
      </w:r>
      <w:r>
        <w:rPr>
          <w:rFonts w:hint="eastAsia" w:ascii="仿宋_GB2312" w:hAnsi="宋体" w:eastAsia="仿宋_GB2312"/>
          <w:sz w:val="32"/>
          <w:szCs w:val="32"/>
          <w:lang w:val="zh-CN"/>
        </w:rPr>
        <w:t>预算指标和资金拨付分春秋两季下达，全年使用资金7.17万元。资金拨付进度、拨付总额达到预期安排，项目完成情况较好，完成率100%。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由于项目预算标准较低，学校经费不足，所聘人员待遇不高，缺乏培训经费。导致学校聘请的保安缺乏专业安保管理能力，保安人员年龄老化严重，缺少专业培训，人员素养不够。</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建议提高项目预算标准，参照市级其他部门做法，将城学校保安工作整体打包，由教育局公开招标，外包给专业保安公司管理，学校以购买服务的方式使用保安。</w:t>
      </w:r>
    </w:p>
    <w:p>
      <w:pPr>
        <w:widowControl/>
        <w:shd w:val="clear" w:color="auto" w:fill="FFFFFF"/>
        <w:adjustRightInd w:val="0"/>
        <w:snapToGrid w:val="0"/>
        <w:spacing w:line="580" w:lineRule="exact"/>
        <w:ind w:right="1220"/>
        <w:jc w:val="right"/>
        <w:rPr>
          <w:rFonts w:ascii="仿宋_GB2312" w:hAnsi="宋体" w:eastAsia="仿宋_GB2312" w:cs="宋体"/>
          <w:kern w:val="0"/>
          <w:sz w:val="32"/>
          <w:szCs w:val="32"/>
        </w:rPr>
      </w:pPr>
    </w:p>
    <w:p>
      <w:pPr>
        <w:widowControl/>
        <w:shd w:val="clear" w:color="auto" w:fill="FFFFFF"/>
        <w:adjustRightInd w:val="0"/>
        <w:snapToGrid w:val="0"/>
        <w:spacing w:line="580" w:lineRule="exact"/>
        <w:ind w:right="1220"/>
        <w:jc w:val="right"/>
        <w:rPr>
          <w:rFonts w:ascii="仿宋_GB2312" w:hAnsi="宋体" w:eastAsia="仿宋_GB2312" w:cs="宋体"/>
          <w:kern w:val="0"/>
          <w:sz w:val="32"/>
          <w:szCs w:val="32"/>
        </w:rPr>
      </w:pPr>
    </w:p>
    <w:p>
      <w:pPr>
        <w:widowControl/>
        <w:shd w:val="clear" w:color="auto" w:fill="FFFFFF"/>
        <w:adjustRightInd w:val="0"/>
        <w:snapToGrid w:val="0"/>
        <w:spacing w:line="580" w:lineRule="exact"/>
        <w:ind w:right="58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峨眉山市绥山镇太和小学校</w:t>
      </w:r>
    </w:p>
    <w:p>
      <w:pPr>
        <w:spacing w:line="580" w:lineRule="exact"/>
        <w:ind w:firstLine="5760" w:firstLineChars="1800"/>
        <w:rPr>
          <w:rFonts w:ascii="仿宋_GB2312" w:hAnsi="仿宋_GB2312" w:eastAsia="仿宋_GB2312" w:cs="仿宋_GB2312"/>
          <w:sz w:val="32"/>
          <w:szCs w:val="32"/>
        </w:rPr>
      </w:pPr>
      <w:bookmarkStart w:id="59" w:name="_Toc15396618"/>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5.</w:t>
      </w:r>
    </w:p>
    <w:p>
      <w:pPr>
        <w:spacing w:line="600" w:lineRule="exact"/>
        <w:jc w:val="center"/>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Fonts w:ascii="黑体" w:hAnsi="黑体" w:eastAsia="黑体"/>
          <w:color w:val="000000"/>
          <w:sz w:val="44"/>
          <w:szCs w:val="44"/>
        </w:rPr>
      </w:pPr>
    </w:p>
    <w:p>
      <w:pPr>
        <w:spacing w:line="600" w:lineRule="exact"/>
        <w:ind w:firstLine="2640" w:firstLineChars="60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bookmarkStart w:id="60" w:name="_Toc15396619"/>
    </w:p>
    <w:p>
      <w:pPr>
        <w:spacing w:line="600" w:lineRule="exact"/>
        <w:outlineLvl w:val="0"/>
        <w:rPr>
          <w:rFonts w:ascii="仿宋" w:hAnsi="仿宋" w:eastAsia="仿宋"/>
          <w:color w:val="000000"/>
        </w:rPr>
      </w:pPr>
      <w:r>
        <w:rPr>
          <w:rStyle w:val="25"/>
          <w:rFonts w:hint="eastAsia" w:ascii="仿宋" w:hAnsi="仿宋" w:eastAsia="仿宋"/>
          <w:b w:val="0"/>
          <w:bCs w:val="0"/>
        </w:rPr>
        <w:t>一、收入支出决算总表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b w:val="0"/>
          <w:color w:val="000000"/>
        </w:rPr>
      </w:pPr>
      <w:bookmarkStart w:id="72" w:name="_Toc15396631"/>
      <w:r>
        <w:rPr>
          <w:rStyle w:val="25"/>
          <w:rFonts w:hint="eastAsia" w:ascii="仿宋" w:hAnsi="仿宋" w:eastAsia="仿宋"/>
          <w:b w:val="0"/>
          <w:bCs w:val="0"/>
        </w:rPr>
        <w:t>十三、</w:t>
      </w:r>
      <w:bookmarkEnd w:id="72"/>
      <w:r>
        <w:rPr>
          <w:rFonts w:hint="eastAsia" w:ascii="仿宋" w:hAnsi="仿宋" w:eastAsia="仿宋"/>
          <w:b w:val="0"/>
          <w:color w:val="000000"/>
        </w:rPr>
        <w:t>国有资本经营预算财政拨款支出决算表</w:t>
      </w:r>
    </w:p>
    <w:p>
      <w:pPr>
        <w:pStyle w:val="2"/>
        <w:jc w:val="center"/>
        <w:rPr>
          <w:rFonts w:ascii="黑体" w:hAnsi="黑体" w:eastAsia="黑体"/>
          <w:b w:val="0"/>
        </w:rPr>
      </w:pPr>
    </w:p>
    <w:p>
      <w:pPr>
        <w:pStyle w:val="3"/>
        <w:rPr>
          <w:rStyle w:val="25"/>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991E81"/>
    <w:multiLevelType w:val="multilevel"/>
    <w:tmpl w:val="21991E81"/>
    <w:lvl w:ilvl="0" w:tentative="0">
      <w:start w:val="1"/>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F0F"/>
    <w:rsid w:val="00007292"/>
    <w:rsid w:val="00013361"/>
    <w:rsid w:val="00013B6C"/>
    <w:rsid w:val="00014222"/>
    <w:rsid w:val="000222C6"/>
    <w:rsid w:val="0002549F"/>
    <w:rsid w:val="00025C24"/>
    <w:rsid w:val="000308FD"/>
    <w:rsid w:val="000316CC"/>
    <w:rsid w:val="00031FCA"/>
    <w:rsid w:val="00032737"/>
    <w:rsid w:val="00040E29"/>
    <w:rsid w:val="00044B40"/>
    <w:rsid w:val="000468DB"/>
    <w:rsid w:val="00055A5C"/>
    <w:rsid w:val="0006215D"/>
    <w:rsid w:val="000645C3"/>
    <w:rsid w:val="0006487A"/>
    <w:rsid w:val="00065F8F"/>
    <w:rsid w:val="00070408"/>
    <w:rsid w:val="00070A43"/>
    <w:rsid w:val="0007298C"/>
    <w:rsid w:val="000768F2"/>
    <w:rsid w:val="00083895"/>
    <w:rsid w:val="000916E8"/>
    <w:rsid w:val="0009184B"/>
    <w:rsid w:val="00094236"/>
    <w:rsid w:val="0009471F"/>
    <w:rsid w:val="00095414"/>
    <w:rsid w:val="00095524"/>
    <w:rsid w:val="0009593C"/>
    <w:rsid w:val="00097322"/>
    <w:rsid w:val="000A0733"/>
    <w:rsid w:val="000A1FDD"/>
    <w:rsid w:val="000A2BAE"/>
    <w:rsid w:val="000A383C"/>
    <w:rsid w:val="000A5963"/>
    <w:rsid w:val="000A6A92"/>
    <w:rsid w:val="000A75B4"/>
    <w:rsid w:val="000B047F"/>
    <w:rsid w:val="000B1609"/>
    <w:rsid w:val="000B1F3B"/>
    <w:rsid w:val="000B5923"/>
    <w:rsid w:val="000B5A48"/>
    <w:rsid w:val="000B6FF3"/>
    <w:rsid w:val="000C0140"/>
    <w:rsid w:val="000C0BEC"/>
    <w:rsid w:val="000C0C55"/>
    <w:rsid w:val="000C3467"/>
    <w:rsid w:val="000C3CA6"/>
    <w:rsid w:val="000C4870"/>
    <w:rsid w:val="000C59E8"/>
    <w:rsid w:val="000D0ECB"/>
    <w:rsid w:val="000D1267"/>
    <w:rsid w:val="000D1D50"/>
    <w:rsid w:val="000D5782"/>
    <w:rsid w:val="000E4D4F"/>
    <w:rsid w:val="000E65D5"/>
    <w:rsid w:val="000E6613"/>
    <w:rsid w:val="000E7119"/>
    <w:rsid w:val="000E7F6A"/>
    <w:rsid w:val="000F0A1E"/>
    <w:rsid w:val="000F255A"/>
    <w:rsid w:val="000F37A3"/>
    <w:rsid w:val="000F6196"/>
    <w:rsid w:val="000F627C"/>
    <w:rsid w:val="000F7224"/>
    <w:rsid w:val="00106DB2"/>
    <w:rsid w:val="00114E9B"/>
    <w:rsid w:val="001171A0"/>
    <w:rsid w:val="00122B64"/>
    <w:rsid w:val="00123209"/>
    <w:rsid w:val="001328F4"/>
    <w:rsid w:val="00135463"/>
    <w:rsid w:val="00135548"/>
    <w:rsid w:val="00142216"/>
    <w:rsid w:val="00144D6A"/>
    <w:rsid w:val="0014729F"/>
    <w:rsid w:val="00147612"/>
    <w:rsid w:val="00153545"/>
    <w:rsid w:val="00154017"/>
    <w:rsid w:val="00154F1F"/>
    <w:rsid w:val="00157BAB"/>
    <w:rsid w:val="001624A2"/>
    <w:rsid w:val="001654D1"/>
    <w:rsid w:val="00165E88"/>
    <w:rsid w:val="001737F0"/>
    <w:rsid w:val="00174518"/>
    <w:rsid w:val="00176413"/>
    <w:rsid w:val="00177953"/>
    <w:rsid w:val="0018106D"/>
    <w:rsid w:val="00181986"/>
    <w:rsid w:val="001822FA"/>
    <w:rsid w:val="0018250C"/>
    <w:rsid w:val="00184F2D"/>
    <w:rsid w:val="00185C67"/>
    <w:rsid w:val="0018735F"/>
    <w:rsid w:val="001877A7"/>
    <w:rsid w:val="00187D1A"/>
    <w:rsid w:val="0019042F"/>
    <w:rsid w:val="00191536"/>
    <w:rsid w:val="00193A87"/>
    <w:rsid w:val="00194761"/>
    <w:rsid w:val="00196687"/>
    <w:rsid w:val="001A2264"/>
    <w:rsid w:val="001A29BA"/>
    <w:rsid w:val="001B7441"/>
    <w:rsid w:val="001C0962"/>
    <w:rsid w:val="001C1C66"/>
    <w:rsid w:val="001C59E1"/>
    <w:rsid w:val="001D43CA"/>
    <w:rsid w:val="001D56B9"/>
    <w:rsid w:val="001D6283"/>
    <w:rsid w:val="001D7531"/>
    <w:rsid w:val="001E2CDF"/>
    <w:rsid w:val="001E31AE"/>
    <w:rsid w:val="001E3A97"/>
    <w:rsid w:val="001E5A0B"/>
    <w:rsid w:val="001E6AF3"/>
    <w:rsid w:val="001E737D"/>
    <w:rsid w:val="001F0592"/>
    <w:rsid w:val="001F308B"/>
    <w:rsid w:val="001F7506"/>
    <w:rsid w:val="002006CD"/>
    <w:rsid w:val="00201F49"/>
    <w:rsid w:val="00202B36"/>
    <w:rsid w:val="00204B7A"/>
    <w:rsid w:val="00204CDE"/>
    <w:rsid w:val="0020562B"/>
    <w:rsid w:val="002076EB"/>
    <w:rsid w:val="0021101A"/>
    <w:rsid w:val="0021118B"/>
    <w:rsid w:val="002134BA"/>
    <w:rsid w:val="00214629"/>
    <w:rsid w:val="00220536"/>
    <w:rsid w:val="00221917"/>
    <w:rsid w:val="0022329F"/>
    <w:rsid w:val="00227AFC"/>
    <w:rsid w:val="00230B1A"/>
    <w:rsid w:val="00232366"/>
    <w:rsid w:val="00234FED"/>
    <w:rsid w:val="00235629"/>
    <w:rsid w:val="00235E81"/>
    <w:rsid w:val="00236E02"/>
    <w:rsid w:val="00253000"/>
    <w:rsid w:val="00253642"/>
    <w:rsid w:val="00254137"/>
    <w:rsid w:val="00260C38"/>
    <w:rsid w:val="002616C0"/>
    <w:rsid w:val="002619A3"/>
    <w:rsid w:val="00262B6D"/>
    <w:rsid w:val="00265372"/>
    <w:rsid w:val="00265CC8"/>
    <w:rsid w:val="00265F16"/>
    <w:rsid w:val="002662AA"/>
    <w:rsid w:val="0026654D"/>
    <w:rsid w:val="002702B5"/>
    <w:rsid w:val="00271304"/>
    <w:rsid w:val="00272E4C"/>
    <w:rsid w:val="00273180"/>
    <w:rsid w:val="00277586"/>
    <w:rsid w:val="00280496"/>
    <w:rsid w:val="002825B5"/>
    <w:rsid w:val="00284898"/>
    <w:rsid w:val="00294DC9"/>
    <w:rsid w:val="00295495"/>
    <w:rsid w:val="002A1807"/>
    <w:rsid w:val="002A31A6"/>
    <w:rsid w:val="002A31DE"/>
    <w:rsid w:val="002A4461"/>
    <w:rsid w:val="002B10FE"/>
    <w:rsid w:val="002B2613"/>
    <w:rsid w:val="002C2130"/>
    <w:rsid w:val="002D19B0"/>
    <w:rsid w:val="002D2739"/>
    <w:rsid w:val="002D2988"/>
    <w:rsid w:val="002D444F"/>
    <w:rsid w:val="002D507F"/>
    <w:rsid w:val="002D691A"/>
    <w:rsid w:val="002D6D05"/>
    <w:rsid w:val="002E256F"/>
    <w:rsid w:val="002E52A0"/>
    <w:rsid w:val="002E6498"/>
    <w:rsid w:val="002F152B"/>
    <w:rsid w:val="002F1818"/>
    <w:rsid w:val="002F1A4F"/>
    <w:rsid w:val="002F31AB"/>
    <w:rsid w:val="002F4095"/>
    <w:rsid w:val="002F4624"/>
    <w:rsid w:val="002F567B"/>
    <w:rsid w:val="00301780"/>
    <w:rsid w:val="00303828"/>
    <w:rsid w:val="00303E64"/>
    <w:rsid w:val="0030476A"/>
    <w:rsid w:val="00306094"/>
    <w:rsid w:val="003077D2"/>
    <w:rsid w:val="00313844"/>
    <w:rsid w:val="003204F5"/>
    <w:rsid w:val="003216A9"/>
    <w:rsid w:val="00321B1D"/>
    <w:rsid w:val="00325A57"/>
    <w:rsid w:val="00334AEC"/>
    <w:rsid w:val="00334CEF"/>
    <w:rsid w:val="00335A74"/>
    <w:rsid w:val="0033600D"/>
    <w:rsid w:val="003370D8"/>
    <w:rsid w:val="003405FB"/>
    <w:rsid w:val="00343115"/>
    <w:rsid w:val="00350F7E"/>
    <w:rsid w:val="00351CD6"/>
    <w:rsid w:val="00355948"/>
    <w:rsid w:val="00361080"/>
    <w:rsid w:val="00362561"/>
    <w:rsid w:val="0036467F"/>
    <w:rsid w:val="00365162"/>
    <w:rsid w:val="0036561B"/>
    <w:rsid w:val="0037013F"/>
    <w:rsid w:val="00372C75"/>
    <w:rsid w:val="00376DA8"/>
    <w:rsid w:val="00377641"/>
    <w:rsid w:val="00377AE4"/>
    <w:rsid w:val="00380C92"/>
    <w:rsid w:val="00383384"/>
    <w:rsid w:val="003837FB"/>
    <w:rsid w:val="00386618"/>
    <w:rsid w:val="0039077A"/>
    <w:rsid w:val="0039148F"/>
    <w:rsid w:val="00394DA4"/>
    <w:rsid w:val="003A0593"/>
    <w:rsid w:val="003A43C8"/>
    <w:rsid w:val="003A484F"/>
    <w:rsid w:val="003A4883"/>
    <w:rsid w:val="003B0BE0"/>
    <w:rsid w:val="003B0C1B"/>
    <w:rsid w:val="003B688C"/>
    <w:rsid w:val="003C0175"/>
    <w:rsid w:val="003C0291"/>
    <w:rsid w:val="003C39AE"/>
    <w:rsid w:val="003C7B60"/>
    <w:rsid w:val="003D0C0F"/>
    <w:rsid w:val="003D1FB2"/>
    <w:rsid w:val="003D2543"/>
    <w:rsid w:val="003D66DA"/>
    <w:rsid w:val="003E1310"/>
    <w:rsid w:val="003E6F55"/>
    <w:rsid w:val="003F3D35"/>
    <w:rsid w:val="003F6DC9"/>
    <w:rsid w:val="00404412"/>
    <w:rsid w:val="00406254"/>
    <w:rsid w:val="00412EDB"/>
    <w:rsid w:val="00416CD4"/>
    <w:rsid w:val="004223DE"/>
    <w:rsid w:val="0042485C"/>
    <w:rsid w:val="00430118"/>
    <w:rsid w:val="004317F6"/>
    <w:rsid w:val="004318C9"/>
    <w:rsid w:val="0043197D"/>
    <w:rsid w:val="00434489"/>
    <w:rsid w:val="00437085"/>
    <w:rsid w:val="004374CC"/>
    <w:rsid w:val="00441D59"/>
    <w:rsid w:val="00443880"/>
    <w:rsid w:val="00443963"/>
    <w:rsid w:val="00445DD6"/>
    <w:rsid w:val="004461A9"/>
    <w:rsid w:val="00446340"/>
    <w:rsid w:val="004464F4"/>
    <w:rsid w:val="00455647"/>
    <w:rsid w:val="0046782A"/>
    <w:rsid w:val="0047034A"/>
    <w:rsid w:val="00471401"/>
    <w:rsid w:val="00473F31"/>
    <w:rsid w:val="00474185"/>
    <w:rsid w:val="00476FCA"/>
    <w:rsid w:val="00477AF5"/>
    <w:rsid w:val="0048263A"/>
    <w:rsid w:val="00485536"/>
    <w:rsid w:val="00486F68"/>
    <w:rsid w:val="00487E5D"/>
    <w:rsid w:val="00496E80"/>
    <w:rsid w:val="004A14EE"/>
    <w:rsid w:val="004A527A"/>
    <w:rsid w:val="004A711F"/>
    <w:rsid w:val="004A7BA2"/>
    <w:rsid w:val="004B04E4"/>
    <w:rsid w:val="004B0E95"/>
    <w:rsid w:val="004B199D"/>
    <w:rsid w:val="004B4690"/>
    <w:rsid w:val="004B766B"/>
    <w:rsid w:val="004D1DB1"/>
    <w:rsid w:val="004D5A7F"/>
    <w:rsid w:val="004D7753"/>
    <w:rsid w:val="004E0A2D"/>
    <w:rsid w:val="004E206B"/>
    <w:rsid w:val="004E6DF7"/>
    <w:rsid w:val="004E797E"/>
    <w:rsid w:val="004F0FBD"/>
    <w:rsid w:val="004F403E"/>
    <w:rsid w:val="004F470D"/>
    <w:rsid w:val="004F5566"/>
    <w:rsid w:val="004F5E19"/>
    <w:rsid w:val="004F5FE5"/>
    <w:rsid w:val="004F72E4"/>
    <w:rsid w:val="00500E7B"/>
    <w:rsid w:val="005038D6"/>
    <w:rsid w:val="005045E1"/>
    <w:rsid w:val="00505A47"/>
    <w:rsid w:val="00512FDA"/>
    <w:rsid w:val="005133BB"/>
    <w:rsid w:val="00513BC4"/>
    <w:rsid w:val="00514FF7"/>
    <w:rsid w:val="00520DA0"/>
    <w:rsid w:val="00522C56"/>
    <w:rsid w:val="00526192"/>
    <w:rsid w:val="00530C43"/>
    <w:rsid w:val="00531011"/>
    <w:rsid w:val="005325FB"/>
    <w:rsid w:val="0053676B"/>
    <w:rsid w:val="005425C6"/>
    <w:rsid w:val="00552245"/>
    <w:rsid w:val="00553600"/>
    <w:rsid w:val="00554789"/>
    <w:rsid w:val="00555F6A"/>
    <w:rsid w:val="00556AEF"/>
    <w:rsid w:val="005602BF"/>
    <w:rsid w:val="00562E0C"/>
    <w:rsid w:val="005664BB"/>
    <w:rsid w:val="005669BA"/>
    <w:rsid w:val="00566CDB"/>
    <w:rsid w:val="00566FFA"/>
    <w:rsid w:val="00567580"/>
    <w:rsid w:val="00567D5F"/>
    <w:rsid w:val="00574201"/>
    <w:rsid w:val="005742A4"/>
    <w:rsid w:val="0057481D"/>
    <w:rsid w:val="005759AB"/>
    <w:rsid w:val="00575F0B"/>
    <w:rsid w:val="005773A6"/>
    <w:rsid w:val="00580C0C"/>
    <w:rsid w:val="005839FE"/>
    <w:rsid w:val="0058486E"/>
    <w:rsid w:val="00585B33"/>
    <w:rsid w:val="0059014D"/>
    <w:rsid w:val="00590415"/>
    <w:rsid w:val="00591516"/>
    <w:rsid w:val="00596925"/>
    <w:rsid w:val="005A0256"/>
    <w:rsid w:val="005A0406"/>
    <w:rsid w:val="005A2A4B"/>
    <w:rsid w:val="005B1573"/>
    <w:rsid w:val="005B3F29"/>
    <w:rsid w:val="005B5C64"/>
    <w:rsid w:val="005C6BD0"/>
    <w:rsid w:val="005C6C4C"/>
    <w:rsid w:val="005C7CDB"/>
    <w:rsid w:val="005D1C8B"/>
    <w:rsid w:val="005D3F49"/>
    <w:rsid w:val="005D468D"/>
    <w:rsid w:val="005D5CED"/>
    <w:rsid w:val="005D71DF"/>
    <w:rsid w:val="005E0F68"/>
    <w:rsid w:val="005E1EA9"/>
    <w:rsid w:val="005E5A86"/>
    <w:rsid w:val="005F1A4C"/>
    <w:rsid w:val="005F23C6"/>
    <w:rsid w:val="005F5E3F"/>
    <w:rsid w:val="006004B7"/>
    <w:rsid w:val="00603FC2"/>
    <w:rsid w:val="00604494"/>
    <w:rsid w:val="00604CBD"/>
    <w:rsid w:val="00605688"/>
    <w:rsid w:val="00605F80"/>
    <w:rsid w:val="006070AF"/>
    <w:rsid w:val="00607E6C"/>
    <w:rsid w:val="006101B1"/>
    <w:rsid w:val="00610A6D"/>
    <w:rsid w:val="00614E44"/>
    <w:rsid w:val="00616184"/>
    <w:rsid w:val="0062270A"/>
    <w:rsid w:val="00622830"/>
    <w:rsid w:val="00623372"/>
    <w:rsid w:val="00623671"/>
    <w:rsid w:val="00623DA0"/>
    <w:rsid w:val="006242FB"/>
    <w:rsid w:val="00624E45"/>
    <w:rsid w:val="006278F4"/>
    <w:rsid w:val="00630288"/>
    <w:rsid w:val="00630AEF"/>
    <w:rsid w:val="00631676"/>
    <w:rsid w:val="006325F8"/>
    <w:rsid w:val="0063288D"/>
    <w:rsid w:val="0063303D"/>
    <w:rsid w:val="00633463"/>
    <w:rsid w:val="0063414F"/>
    <w:rsid w:val="00634C9A"/>
    <w:rsid w:val="00637524"/>
    <w:rsid w:val="006422FD"/>
    <w:rsid w:val="006440E4"/>
    <w:rsid w:val="00645902"/>
    <w:rsid w:val="00651B1B"/>
    <w:rsid w:val="0065223D"/>
    <w:rsid w:val="0066214D"/>
    <w:rsid w:val="0066343B"/>
    <w:rsid w:val="00664777"/>
    <w:rsid w:val="0067442F"/>
    <w:rsid w:val="006748A4"/>
    <w:rsid w:val="00681A31"/>
    <w:rsid w:val="00683E73"/>
    <w:rsid w:val="006859C2"/>
    <w:rsid w:val="006873CA"/>
    <w:rsid w:val="00690727"/>
    <w:rsid w:val="006911C7"/>
    <w:rsid w:val="006915E9"/>
    <w:rsid w:val="00691787"/>
    <w:rsid w:val="006952F9"/>
    <w:rsid w:val="00697F81"/>
    <w:rsid w:val="006A18F1"/>
    <w:rsid w:val="006A3141"/>
    <w:rsid w:val="006A5338"/>
    <w:rsid w:val="006A56E9"/>
    <w:rsid w:val="006A5BEF"/>
    <w:rsid w:val="006A5E34"/>
    <w:rsid w:val="006B2422"/>
    <w:rsid w:val="006B2B9A"/>
    <w:rsid w:val="006B3859"/>
    <w:rsid w:val="006B496C"/>
    <w:rsid w:val="006B5EAE"/>
    <w:rsid w:val="006B6AB5"/>
    <w:rsid w:val="006C0DE7"/>
    <w:rsid w:val="006C1937"/>
    <w:rsid w:val="006C58E9"/>
    <w:rsid w:val="006D2F72"/>
    <w:rsid w:val="006E1690"/>
    <w:rsid w:val="006E16A2"/>
    <w:rsid w:val="006E5AF8"/>
    <w:rsid w:val="006E5EA1"/>
    <w:rsid w:val="006F020C"/>
    <w:rsid w:val="006F125B"/>
    <w:rsid w:val="006F1E2D"/>
    <w:rsid w:val="006F47AF"/>
    <w:rsid w:val="006F6719"/>
    <w:rsid w:val="007019C7"/>
    <w:rsid w:val="0070257B"/>
    <w:rsid w:val="00704495"/>
    <w:rsid w:val="007127B7"/>
    <w:rsid w:val="007165E3"/>
    <w:rsid w:val="0071798E"/>
    <w:rsid w:val="00725F55"/>
    <w:rsid w:val="00727533"/>
    <w:rsid w:val="00730781"/>
    <w:rsid w:val="00730A97"/>
    <w:rsid w:val="00731826"/>
    <w:rsid w:val="00733D35"/>
    <w:rsid w:val="0073581E"/>
    <w:rsid w:val="007372ED"/>
    <w:rsid w:val="00740197"/>
    <w:rsid w:val="007416B6"/>
    <w:rsid w:val="00746F48"/>
    <w:rsid w:val="007520BA"/>
    <w:rsid w:val="00752CC3"/>
    <w:rsid w:val="007535D4"/>
    <w:rsid w:val="0075404D"/>
    <w:rsid w:val="007573D4"/>
    <w:rsid w:val="0076182A"/>
    <w:rsid w:val="007640BB"/>
    <w:rsid w:val="00767B7E"/>
    <w:rsid w:val="007712CF"/>
    <w:rsid w:val="00774395"/>
    <w:rsid w:val="007770C3"/>
    <w:rsid w:val="00784D24"/>
    <w:rsid w:val="00785FBA"/>
    <w:rsid w:val="00786E4A"/>
    <w:rsid w:val="007875EB"/>
    <w:rsid w:val="0079426B"/>
    <w:rsid w:val="007B1E22"/>
    <w:rsid w:val="007C37F7"/>
    <w:rsid w:val="007C384B"/>
    <w:rsid w:val="007C52AD"/>
    <w:rsid w:val="007D1682"/>
    <w:rsid w:val="007D2421"/>
    <w:rsid w:val="007D312A"/>
    <w:rsid w:val="007D3F19"/>
    <w:rsid w:val="007E23B0"/>
    <w:rsid w:val="007F0000"/>
    <w:rsid w:val="007F0BF7"/>
    <w:rsid w:val="007F1991"/>
    <w:rsid w:val="007F19E9"/>
    <w:rsid w:val="007F1E55"/>
    <w:rsid w:val="007F2C2F"/>
    <w:rsid w:val="007F3471"/>
    <w:rsid w:val="007F4D61"/>
    <w:rsid w:val="007F55FC"/>
    <w:rsid w:val="007F5665"/>
    <w:rsid w:val="007F6F0D"/>
    <w:rsid w:val="00800112"/>
    <w:rsid w:val="00803137"/>
    <w:rsid w:val="0080429E"/>
    <w:rsid w:val="00804DE7"/>
    <w:rsid w:val="008100CE"/>
    <w:rsid w:val="00812374"/>
    <w:rsid w:val="00813072"/>
    <w:rsid w:val="00813348"/>
    <w:rsid w:val="0081436F"/>
    <w:rsid w:val="00815914"/>
    <w:rsid w:val="008253BB"/>
    <w:rsid w:val="0082702E"/>
    <w:rsid w:val="0083264C"/>
    <w:rsid w:val="00833962"/>
    <w:rsid w:val="0083706E"/>
    <w:rsid w:val="008408F6"/>
    <w:rsid w:val="00840ECA"/>
    <w:rsid w:val="00842314"/>
    <w:rsid w:val="008423A5"/>
    <w:rsid w:val="008424C5"/>
    <w:rsid w:val="0084329C"/>
    <w:rsid w:val="00844CD4"/>
    <w:rsid w:val="00847C00"/>
    <w:rsid w:val="00850625"/>
    <w:rsid w:val="00853718"/>
    <w:rsid w:val="00855221"/>
    <w:rsid w:val="00860645"/>
    <w:rsid w:val="00866DDA"/>
    <w:rsid w:val="00871F71"/>
    <w:rsid w:val="00872FD8"/>
    <w:rsid w:val="00873246"/>
    <w:rsid w:val="0087532C"/>
    <w:rsid w:val="00875596"/>
    <w:rsid w:val="00875943"/>
    <w:rsid w:val="008770AC"/>
    <w:rsid w:val="00881345"/>
    <w:rsid w:val="00885658"/>
    <w:rsid w:val="00885AF4"/>
    <w:rsid w:val="00887D17"/>
    <w:rsid w:val="008939CD"/>
    <w:rsid w:val="0089504C"/>
    <w:rsid w:val="008A3FF8"/>
    <w:rsid w:val="008A63E3"/>
    <w:rsid w:val="008B568E"/>
    <w:rsid w:val="008B5B96"/>
    <w:rsid w:val="008B768C"/>
    <w:rsid w:val="008C1DCB"/>
    <w:rsid w:val="008C25D4"/>
    <w:rsid w:val="008C4DB1"/>
    <w:rsid w:val="008C4EAF"/>
    <w:rsid w:val="008C5176"/>
    <w:rsid w:val="008C7563"/>
    <w:rsid w:val="008C7FD0"/>
    <w:rsid w:val="008D395D"/>
    <w:rsid w:val="008D7B0D"/>
    <w:rsid w:val="008E07F2"/>
    <w:rsid w:val="008E1DE7"/>
    <w:rsid w:val="008E50A3"/>
    <w:rsid w:val="008E707C"/>
    <w:rsid w:val="00900B08"/>
    <w:rsid w:val="00902155"/>
    <w:rsid w:val="00902596"/>
    <w:rsid w:val="00902FA3"/>
    <w:rsid w:val="00911155"/>
    <w:rsid w:val="0091292F"/>
    <w:rsid w:val="00914C90"/>
    <w:rsid w:val="00923564"/>
    <w:rsid w:val="0092392E"/>
    <w:rsid w:val="00924B4E"/>
    <w:rsid w:val="00926506"/>
    <w:rsid w:val="00926DB1"/>
    <w:rsid w:val="00931510"/>
    <w:rsid w:val="009315F9"/>
    <w:rsid w:val="00931CC5"/>
    <w:rsid w:val="00933499"/>
    <w:rsid w:val="00935C98"/>
    <w:rsid w:val="00942954"/>
    <w:rsid w:val="00942FD2"/>
    <w:rsid w:val="009436CA"/>
    <w:rsid w:val="00946945"/>
    <w:rsid w:val="00946FB8"/>
    <w:rsid w:val="009477B3"/>
    <w:rsid w:val="00950760"/>
    <w:rsid w:val="00951248"/>
    <w:rsid w:val="0095152F"/>
    <w:rsid w:val="0095337A"/>
    <w:rsid w:val="00954C49"/>
    <w:rsid w:val="00955E37"/>
    <w:rsid w:val="00956E28"/>
    <w:rsid w:val="00960A43"/>
    <w:rsid w:val="009655F1"/>
    <w:rsid w:val="00966F8D"/>
    <w:rsid w:val="0097099F"/>
    <w:rsid w:val="00971997"/>
    <w:rsid w:val="00971FFC"/>
    <w:rsid w:val="00977B47"/>
    <w:rsid w:val="009829E7"/>
    <w:rsid w:val="00985819"/>
    <w:rsid w:val="0098660A"/>
    <w:rsid w:val="00992448"/>
    <w:rsid w:val="009931C3"/>
    <w:rsid w:val="00996F88"/>
    <w:rsid w:val="009B24B0"/>
    <w:rsid w:val="009B2C43"/>
    <w:rsid w:val="009B4DD2"/>
    <w:rsid w:val="009B4EAE"/>
    <w:rsid w:val="009B6167"/>
    <w:rsid w:val="009B7573"/>
    <w:rsid w:val="009B7FDA"/>
    <w:rsid w:val="009C0DB0"/>
    <w:rsid w:val="009C22F4"/>
    <w:rsid w:val="009C259E"/>
    <w:rsid w:val="009C2E98"/>
    <w:rsid w:val="009C37FB"/>
    <w:rsid w:val="009C4C33"/>
    <w:rsid w:val="009D0818"/>
    <w:rsid w:val="009D0A01"/>
    <w:rsid w:val="009D11C7"/>
    <w:rsid w:val="009D3447"/>
    <w:rsid w:val="009D4711"/>
    <w:rsid w:val="009D6C2A"/>
    <w:rsid w:val="009E1163"/>
    <w:rsid w:val="009E6D78"/>
    <w:rsid w:val="009F03DB"/>
    <w:rsid w:val="009F1185"/>
    <w:rsid w:val="009F18CD"/>
    <w:rsid w:val="009F2A13"/>
    <w:rsid w:val="009F31BC"/>
    <w:rsid w:val="009F52F9"/>
    <w:rsid w:val="009F6999"/>
    <w:rsid w:val="009F7527"/>
    <w:rsid w:val="00A02DCD"/>
    <w:rsid w:val="00A039ED"/>
    <w:rsid w:val="00A03A45"/>
    <w:rsid w:val="00A04EB0"/>
    <w:rsid w:val="00A05126"/>
    <w:rsid w:val="00A13CC1"/>
    <w:rsid w:val="00A16847"/>
    <w:rsid w:val="00A20536"/>
    <w:rsid w:val="00A237D8"/>
    <w:rsid w:val="00A268C4"/>
    <w:rsid w:val="00A27D58"/>
    <w:rsid w:val="00A307CD"/>
    <w:rsid w:val="00A3086C"/>
    <w:rsid w:val="00A331C8"/>
    <w:rsid w:val="00A35117"/>
    <w:rsid w:val="00A35E69"/>
    <w:rsid w:val="00A40A00"/>
    <w:rsid w:val="00A4142F"/>
    <w:rsid w:val="00A42220"/>
    <w:rsid w:val="00A422EB"/>
    <w:rsid w:val="00A437A2"/>
    <w:rsid w:val="00A45BB7"/>
    <w:rsid w:val="00A50E98"/>
    <w:rsid w:val="00A545E5"/>
    <w:rsid w:val="00A56DF2"/>
    <w:rsid w:val="00A56E6E"/>
    <w:rsid w:val="00A601EC"/>
    <w:rsid w:val="00A616F6"/>
    <w:rsid w:val="00A65058"/>
    <w:rsid w:val="00A677FE"/>
    <w:rsid w:val="00A67AB5"/>
    <w:rsid w:val="00A7093E"/>
    <w:rsid w:val="00A733B2"/>
    <w:rsid w:val="00A741C2"/>
    <w:rsid w:val="00A74564"/>
    <w:rsid w:val="00A75816"/>
    <w:rsid w:val="00A80A82"/>
    <w:rsid w:val="00A85E88"/>
    <w:rsid w:val="00A91760"/>
    <w:rsid w:val="00A9284B"/>
    <w:rsid w:val="00A92DCD"/>
    <w:rsid w:val="00A93B00"/>
    <w:rsid w:val="00A93C21"/>
    <w:rsid w:val="00AA0BAF"/>
    <w:rsid w:val="00AB2E52"/>
    <w:rsid w:val="00AB64C9"/>
    <w:rsid w:val="00AB7916"/>
    <w:rsid w:val="00AC000A"/>
    <w:rsid w:val="00AC3C6A"/>
    <w:rsid w:val="00AC5BB7"/>
    <w:rsid w:val="00AC77A5"/>
    <w:rsid w:val="00AD0F83"/>
    <w:rsid w:val="00AD193E"/>
    <w:rsid w:val="00AD52C0"/>
    <w:rsid w:val="00AD5620"/>
    <w:rsid w:val="00AD5839"/>
    <w:rsid w:val="00AD656B"/>
    <w:rsid w:val="00AD6C6D"/>
    <w:rsid w:val="00AD7C1B"/>
    <w:rsid w:val="00AE16BA"/>
    <w:rsid w:val="00AE1DEF"/>
    <w:rsid w:val="00AE1EBE"/>
    <w:rsid w:val="00AE743E"/>
    <w:rsid w:val="00AF3EBA"/>
    <w:rsid w:val="00AF7A63"/>
    <w:rsid w:val="00B00322"/>
    <w:rsid w:val="00B03C9D"/>
    <w:rsid w:val="00B0463D"/>
    <w:rsid w:val="00B060AE"/>
    <w:rsid w:val="00B10517"/>
    <w:rsid w:val="00B122F2"/>
    <w:rsid w:val="00B138A4"/>
    <w:rsid w:val="00B146B5"/>
    <w:rsid w:val="00B14E76"/>
    <w:rsid w:val="00B15690"/>
    <w:rsid w:val="00B161B8"/>
    <w:rsid w:val="00B2048C"/>
    <w:rsid w:val="00B22CD8"/>
    <w:rsid w:val="00B23EEF"/>
    <w:rsid w:val="00B310B9"/>
    <w:rsid w:val="00B32298"/>
    <w:rsid w:val="00B345FD"/>
    <w:rsid w:val="00B35F3F"/>
    <w:rsid w:val="00B35FC0"/>
    <w:rsid w:val="00B36CBB"/>
    <w:rsid w:val="00B40E47"/>
    <w:rsid w:val="00B425E0"/>
    <w:rsid w:val="00B440AA"/>
    <w:rsid w:val="00B44B70"/>
    <w:rsid w:val="00B50BA4"/>
    <w:rsid w:val="00B52985"/>
    <w:rsid w:val="00B53C56"/>
    <w:rsid w:val="00B57DAF"/>
    <w:rsid w:val="00B6610E"/>
    <w:rsid w:val="00B6642C"/>
    <w:rsid w:val="00B666AC"/>
    <w:rsid w:val="00B667D7"/>
    <w:rsid w:val="00B6696C"/>
    <w:rsid w:val="00B77EA6"/>
    <w:rsid w:val="00B81033"/>
    <w:rsid w:val="00B81598"/>
    <w:rsid w:val="00B818ED"/>
    <w:rsid w:val="00B81C6F"/>
    <w:rsid w:val="00B841F1"/>
    <w:rsid w:val="00B84CE6"/>
    <w:rsid w:val="00B92FB3"/>
    <w:rsid w:val="00B944D6"/>
    <w:rsid w:val="00B94CE4"/>
    <w:rsid w:val="00B96A47"/>
    <w:rsid w:val="00B97D09"/>
    <w:rsid w:val="00BA0E7B"/>
    <w:rsid w:val="00BA2BEA"/>
    <w:rsid w:val="00BA4F4A"/>
    <w:rsid w:val="00BB353C"/>
    <w:rsid w:val="00BB4DF0"/>
    <w:rsid w:val="00BC02ED"/>
    <w:rsid w:val="00BC289F"/>
    <w:rsid w:val="00BC2D50"/>
    <w:rsid w:val="00BC35BC"/>
    <w:rsid w:val="00BC5361"/>
    <w:rsid w:val="00BC5460"/>
    <w:rsid w:val="00BC6B50"/>
    <w:rsid w:val="00BD0E25"/>
    <w:rsid w:val="00BE3418"/>
    <w:rsid w:val="00BF5BD6"/>
    <w:rsid w:val="00BF7301"/>
    <w:rsid w:val="00C03E31"/>
    <w:rsid w:val="00C22655"/>
    <w:rsid w:val="00C23311"/>
    <w:rsid w:val="00C25A8B"/>
    <w:rsid w:val="00C27176"/>
    <w:rsid w:val="00C30E69"/>
    <w:rsid w:val="00C30EE2"/>
    <w:rsid w:val="00C3197B"/>
    <w:rsid w:val="00C32A4A"/>
    <w:rsid w:val="00C33E72"/>
    <w:rsid w:val="00C34FFE"/>
    <w:rsid w:val="00C354B2"/>
    <w:rsid w:val="00C35554"/>
    <w:rsid w:val="00C36217"/>
    <w:rsid w:val="00C402D3"/>
    <w:rsid w:val="00C42709"/>
    <w:rsid w:val="00C4412A"/>
    <w:rsid w:val="00C47421"/>
    <w:rsid w:val="00C520E9"/>
    <w:rsid w:val="00C533CC"/>
    <w:rsid w:val="00C55A2A"/>
    <w:rsid w:val="00C5751C"/>
    <w:rsid w:val="00C600E8"/>
    <w:rsid w:val="00C60468"/>
    <w:rsid w:val="00C61BFC"/>
    <w:rsid w:val="00C62B85"/>
    <w:rsid w:val="00C6341B"/>
    <w:rsid w:val="00C63713"/>
    <w:rsid w:val="00C65340"/>
    <w:rsid w:val="00C65438"/>
    <w:rsid w:val="00C70EF7"/>
    <w:rsid w:val="00C71F6F"/>
    <w:rsid w:val="00C71F9F"/>
    <w:rsid w:val="00C73B3B"/>
    <w:rsid w:val="00C76C9F"/>
    <w:rsid w:val="00C8062E"/>
    <w:rsid w:val="00C8312E"/>
    <w:rsid w:val="00C85DC8"/>
    <w:rsid w:val="00C91188"/>
    <w:rsid w:val="00C91CBB"/>
    <w:rsid w:val="00C96258"/>
    <w:rsid w:val="00C968EB"/>
    <w:rsid w:val="00CA567C"/>
    <w:rsid w:val="00CB1891"/>
    <w:rsid w:val="00CB2532"/>
    <w:rsid w:val="00CB4E70"/>
    <w:rsid w:val="00CB52DB"/>
    <w:rsid w:val="00CC09B6"/>
    <w:rsid w:val="00CC0C7D"/>
    <w:rsid w:val="00CC4DB6"/>
    <w:rsid w:val="00CC666F"/>
    <w:rsid w:val="00CC6968"/>
    <w:rsid w:val="00CD0CC6"/>
    <w:rsid w:val="00CD1E3F"/>
    <w:rsid w:val="00CD516B"/>
    <w:rsid w:val="00CE0884"/>
    <w:rsid w:val="00CE44F6"/>
    <w:rsid w:val="00CE49DA"/>
    <w:rsid w:val="00CE4F7B"/>
    <w:rsid w:val="00CE7B61"/>
    <w:rsid w:val="00CF0692"/>
    <w:rsid w:val="00CF28C9"/>
    <w:rsid w:val="00CF2B3E"/>
    <w:rsid w:val="00D00095"/>
    <w:rsid w:val="00D02009"/>
    <w:rsid w:val="00D042FB"/>
    <w:rsid w:val="00D056C9"/>
    <w:rsid w:val="00D1044F"/>
    <w:rsid w:val="00D114F0"/>
    <w:rsid w:val="00D129E9"/>
    <w:rsid w:val="00D13557"/>
    <w:rsid w:val="00D148E5"/>
    <w:rsid w:val="00D20620"/>
    <w:rsid w:val="00D254F7"/>
    <w:rsid w:val="00D25CEA"/>
    <w:rsid w:val="00D26091"/>
    <w:rsid w:val="00D2685C"/>
    <w:rsid w:val="00D26870"/>
    <w:rsid w:val="00D26EE4"/>
    <w:rsid w:val="00D27E2C"/>
    <w:rsid w:val="00D34E7C"/>
    <w:rsid w:val="00D35489"/>
    <w:rsid w:val="00D36AFE"/>
    <w:rsid w:val="00D36E6C"/>
    <w:rsid w:val="00D51276"/>
    <w:rsid w:val="00D51A8F"/>
    <w:rsid w:val="00D51CE9"/>
    <w:rsid w:val="00D52D0F"/>
    <w:rsid w:val="00D55594"/>
    <w:rsid w:val="00D61C9D"/>
    <w:rsid w:val="00D638E6"/>
    <w:rsid w:val="00D658B3"/>
    <w:rsid w:val="00D7035F"/>
    <w:rsid w:val="00D71C42"/>
    <w:rsid w:val="00D73142"/>
    <w:rsid w:val="00D7741E"/>
    <w:rsid w:val="00D840E5"/>
    <w:rsid w:val="00D855B4"/>
    <w:rsid w:val="00D85BE6"/>
    <w:rsid w:val="00D91A32"/>
    <w:rsid w:val="00D932DF"/>
    <w:rsid w:val="00DA0C7D"/>
    <w:rsid w:val="00DA472D"/>
    <w:rsid w:val="00DA634F"/>
    <w:rsid w:val="00DA65AC"/>
    <w:rsid w:val="00DA6605"/>
    <w:rsid w:val="00DB14C0"/>
    <w:rsid w:val="00DB1913"/>
    <w:rsid w:val="00DB460E"/>
    <w:rsid w:val="00DB60A6"/>
    <w:rsid w:val="00DC0025"/>
    <w:rsid w:val="00DC13F8"/>
    <w:rsid w:val="00DC1A4C"/>
    <w:rsid w:val="00DC410D"/>
    <w:rsid w:val="00DC5A81"/>
    <w:rsid w:val="00DC6759"/>
    <w:rsid w:val="00DC68CA"/>
    <w:rsid w:val="00DC7A2E"/>
    <w:rsid w:val="00DC7CBA"/>
    <w:rsid w:val="00DD73B7"/>
    <w:rsid w:val="00DD7670"/>
    <w:rsid w:val="00DE3D2B"/>
    <w:rsid w:val="00DE6381"/>
    <w:rsid w:val="00DE7939"/>
    <w:rsid w:val="00DF1D74"/>
    <w:rsid w:val="00DF28BC"/>
    <w:rsid w:val="00DF34B9"/>
    <w:rsid w:val="00DF3F6E"/>
    <w:rsid w:val="00DF530F"/>
    <w:rsid w:val="00DF7C78"/>
    <w:rsid w:val="00E00465"/>
    <w:rsid w:val="00E01053"/>
    <w:rsid w:val="00E04486"/>
    <w:rsid w:val="00E053F6"/>
    <w:rsid w:val="00E05FA1"/>
    <w:rsid w:val="00E07ACF"/>
    <w:rsid w:val="00E10A46"/>
    <w:rsid w:val="00E11204"/>
    <w:rsid w:val="00E12363"/>
    <w:rsid w:val="00E13DE2"/>
    <w:rsid w:val="00E17C89"/>
    <w:rsid w:val="00E201C1"/>
    <w:rsid w:val="00E25645"/>
    <w:rsid w:val="00E26E9D"/>
    <w:rsid w:val="00E331A1"/>
    <w:rsid w:val="00E33202"/>
    <w:rsid w:val="00E336A9"/>
    <w:rsid w:val="00E42F68"/>
    <w:rsid w:val="00E472B1"/>
    <w:rsid w:val="00E50624"/>
    <w:rsid w:val="00E568DF"/>
    <w:rsid w:val="00E64269"/>
    <w:rsid w:val="00E66797"/>
    <w:rsid w:val="00E6739B"/>
    <w:rsid w:val="00E7502B"/>
    <w:rsid w:val="00E75CAD"/>
    <w:rsid w:val="00E81702"/>
    <w:rsid w:val="00E82267"/>
    <w:rsid w:val="00E83A95"/>
    <w:rsid w:val="00E8496E"/>
    <w:rsid w:val="00E853CE"/>
    <w:rsid w:val="00E867B6"/>
    <w:rsid w:val="00E867D0"/>
    <w:rsid w:val="00E87F08"/>
    <w:rsid w:val="00E919FA"/>
    <w:rsid w:val="00E91DF2"/>
    <w:rsid w:val="00E929B9"/>
    <w:rsid w:val="00E93329"/>
    <w:rsid w:val="00E95B0E"/>
    <w:rsid w:val="00E95D62"/>
    <w:rsid w:val="00EA010F"/>
    <w:rsid w:val="00EB55DE"/>
    <w:rsid w:val="00EB5F87"/>
    <w:rsid w:val="00EC075A"/>
    <w:rsid w:val="00EC2941"/>
    <w:rsid w:val="00ED1928"/>
    <w:rsid w:val="00ED1B63"/>
    <w:rsid w:val="00ED3C1F"/>
    <w:rsid w:val="00ED4085"/>
    <w:rsid w:val="00ED420E"/>
    <w:rsid w:val="00ED6FBE"/>
    <w:rsid w:val="00EE2F57"/>
    <w:rsid w:val="00EE32E7"/>
    <w:rsid w:val="00EE3F55"/>
    <w:rsid w:val="00EE4657"/>
    <w:rsid w:val="00EE71CF"/>
    <w:rsid w:val="00EF0B32"/>
    <w:rsid w:val="00EF4C34"/>
    <w:rsid w:val="00EF77C6"/>
    <w:rsid w:val="00EF7B51"/>
    <w:rsid w:val="00F01C11"/>
    <w:rsid w:val="00F029A7"/>
    <w:rsid w:val="00F05438"/>
    <w:rsid w:val="00F07A51"/>
    <w:rsid w:val="00F1361C"/>
    <w:rsid w:val="00F15404"/>
    <w:rsid w:val="00F156F0"/>
    <w:rsid w:val="00F160C7"/>
    <w:rsid w:val="00F21B8E"/>
    <w:rsid w:val="00F2408F"/>
    <w:rsid w:val="00F240E9"/>
    <w:rsid w:val="00F24EF3"/>
    <w:rsid w:val="00F26739"/>
    <w:rsid w:val="00F36D8F"/>
    <w:rsid w:val="00F417B1"/>
    <w:rsid w:val="00F444B4"/>
    <w:rsid w:val="00F45853"/>
    <w:rsid w:val="00F47D8D"/>
    <w:rsid w:val="00F55EFB"/>
    <w:rsid w:val="00F571B9"/>
    <w:rsid w:val="00F602DF"/>
    <w:rsid w:val="00F62747"/>
    <w:rsid w:val="00F666FC"/>
    <w:rsid w:val="00F67C33"/>
    <w:rsid w:val="00F7266F"/>
    <w:rsid w:val="00F72DA8"/>
    <w:rsid w:val="00F754A1"/>
    <w:rsid w:val="00F77B57"/>
    <w:rsid w:val="00F8137B"/>
    <w:rsid w:val="00F81FD9"/>
    <w:rsid w:val="00F83EC5"/>
    <w:rsid w:val="00F841AA"/>
    <w:rsid w:val="00F84A94"/>
    <w:rsid w:val="00F87E96"/>
    <w:rsid w:val="00F90458"/>
    <w:rsid w:val="00F90B4F"/>
    <w:rsid w:val="00F944F1"/>
    <w:rsid w:val="00F94AD3"/>
    <w:rsid w:val="00FA0867"/>
    <w:rsid w:val="00FA0C8F"/>
    <w:rsid w:val="00FA23E8"/>
    <w:rsid w:val="00FA5306"/>
    <w:rsid w:val="00FB0BA3"/>
    <w:rsid w:val="00FB5C3F"/>
    <w:rsid w:val="00FC1267"/>
    <w:rsid w:val="00FC3FAD"/>
    <w:rsid w:val="00FD3CC1"/>
    <w:rsid w:val="00FD4A6A"/>
    <w:rsid w:val="00FD5A4F"/>
    <w:rsid w:val="00FE1223"/>
    <w:rsid w:val="00FE2A72"/>
    <w:rsid w:val="00FE5E3A"/>
    <w:rsid w:val="00FF1E02"/>
    <w:rsid w:val="00FF30B4"/>
    <w:rsid w:val="00FF466A"/>
    <w:rsid w:val="00FF603F"/>
    <w:rsid w:val="00FF7764"/>
    <w:rsid w:val="018D74A0"/>
    <w:rsid w:val="03CA565D"/>
    <w:rsid w:val="05C5693C"/>
    <w:rsid w:val="0B4D3FA8"/>
    <w:rsid w:val="0BA42F96"/>
    <w:rsid w:val="0C607910"/>
    <w:rsid w:val="0CE75329"/>
    <w:rsid w:val="0DA8037A"/>
    <w:rsid w:val="0E0B08DE"/>
    <w:rsid w:val="0E57704A"/>
    <w:rsid w:val="109F5ACD"/>
    <w:rsid w:val="10C055FF"/>
    <w:rsid w:val="11E70F5C"/>
    <w:rsid w:val="11E913D0"/>
    <w:rsid w:val="16916BB8"/>
    <w:rsid w:val="16BB723D"/>
    <w:rsid w:val="17BD351D"/>
    <w:rsid w:val="17FE2642"/>
    <w:rsid w:val="18AF7653"/>
    <w:rsid w:val="1B3D135C"/>
    <w:rsid w:val="1DF11D91"/>
    <w:rsid w:val="1E0D2C4A"/>
    <w:rsid w:val="1F7158DC"/>
    <w:rsid w:val="23E617E8"/>
    <w:rsid w:val="240371BF"/>
    <w:rsid w:val="24706B32"/>
    <w:rsid w:val="284D63B7"/>
    <w:rsid w:val="28D56921"/>
    <w:rsid w:val="29FD04D3"/>
    <w:rsid w:val="2A8112FA"/>
    <w:rsid w:val="2BAF66B7"/>
    <w:rsid w:val="2D12444B"/>
    <w:rsid w:val="2D1F39A0"/>
    <w:rsid w:val="2F2B7A3E"/>
    <w:rsid w:val="309D7E5E"/>
    <w:rsid w:val="319F7F4E"/>
    <w:rsid w:val="35B93A6D"/>
    <w:rsid w:val="384C684F"/>
    <w:rsid w:val="388803F6"/>
    <w:rsid w:val="391B51B8"/>
    <w:rsid w:val="3B9B2957"/>
    <w:rsid w:val="3C183715"/>
    <w:rsid w:val="3D706CA8"/>
    <w:rsid w:val="3DF01E91"/>
    <w:rsid w:val="402E609F"/>
    <w:rsid w:val="417E3AFE"/>
    <w:rsid w:val="423F409A"/>
    <w:rsid w:val="431237D4"/>
    <w:rsid w:val="47623FA4"/>
    <w:rsid w:val="49503732"/>
    <w:rsid w:val="4C2B5022"/>
    <w:rsid w:val="4C3151D3"/>
    <w:rsid w:val="4CB855C6"/>
    <w:rsid w:val="4D054C59"/>
    <w:rsid w:val="4ECE2238"/>
    <w:rsid w:val="4F2E77F6"/>
    <w:rsid w:val="50497AB1"/>
    <w:rsid w:val="52025C6D"/>
    <w:rsid w:val="53CC5EC0"/>
    <w:rsid w:val="53FA41E2"/>
    <w:rsid w:val="56757063"/>
    <w:rsid w:val="56DB4B3B"/>
    <w:rsid w:val="57280537"/>
    <w:rsid w:val="58473FA1"/>
    <w:rsid w:val="58553CA6"/>
    <w:rsid w:val="5E7C548E"/>
    <w:rsid w:val="5FF93D44"/>
    <w:rsid w:val="6A9A2FB8"/>
    <w:rsid w:val="6FC02285"/>
    <w:rsid w:val="71AA10CA"/>
    <w:rsid w:val="72734D90"/>
    <w:rsid w:val="72FF3D1F"/>
    <w:rsid w:val="73A47450"/>
    <w:rsid w:val="73B61FC4"/>
    <w:rsid w:val="73EA64FA"/>
    <w:rsid w:val="749B5798"/>
    <w:rsid w:val="761F23C8"/>
    <w:rsid w:val="78795668"/>
    <w:rsid w:val="7A562ADF"/>
    <w:rsid w:val="7F9837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458C-090D-4806-B662-A0A0719958A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15987</Words>
  <Characters>1673</Characters>
  <Lines>13</Lines>
  <Paragraphs>35</Paragraphs>
  <TotalTime>219</TotalTime>
  <ScaleCrop>false</ScaleCrop>
  <LinksUpToDate>false</LinksUpToDate>
  <CharactersWithSpaces>17625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2021-10-25T05:09:00Z</dcterms:created>
  <dc:creator>曹颖</dc:creator>
  <cp:lastModifiedBy>尧冰松</cp:lastModifiedBy>
  <cp:lastPrinted>2020-07-23T02:58:00Z</cp:lastPrinted>
  <dcterms:modified xsi:type="dcterms:W3CDTF">2025-03-17T03:41:05Z</dcterms:modified>
  <dc:title>四川省***</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BF8988E5A1A64093A1ED1D166AF96009</vt:lpwstr>
  </property>
</Properties>
</file>