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7193"/>
      <w:bookmarkStart w:id="4" w:name="_Toc15396475"/>
      <w:bookmarkStart w:id="5" w:name="_Toc15378441"/>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78442"/>
      <w:bookmarkStart w:id="8" w:name="_Toc15377194"/>
      <w:bookmarkStart w:id="9" w:name="_Toc15396598"/>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峨眉山市峨山小学校部门决算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公开时间：2021年10月</w:t>
      </w:r>
      <w:r>
        <w:rPr>
          <w:rFonts w:hint="eastAsia"/>
          <w:lang w:val="en-US" w:eastAsia="zh-CN"/>
        </w:rPr>
        <w:t>26</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sz w:val="24"/>
        </w:rPr>
      </w:pPr>
      <w:r>
        <w:rPr>
          <w:rFonts w:hint="eastAsia"/>
          <w:sz w:val="24"/>
        </w:rPr>
        <w:t>一、基本职能及主要工作                               4</w:t>
      </w:r>
    </w:p>
    <w:p>
      <w:pPr>
        <w:pStyle w:val="11"/>
        <w:adjustRightInd w:val="0"/>
        <w:snapToGrid w:val="0"/>
        <w:spacing w:line="440" w:lineRule="exact"/>
        <w:jc w:val="left"/>
        <w:rPr>
          <w:rFonts w:ascii="仿宋" w:hAnsi="仿宋" w:cstheme="minorBidi"/>
          <w:sz w:val="24"/>
        </w:rPr>
      </w:pPr>
      <w:r>
        <w:rPr>
          <w:rFonts w:hint="eastAsia"/>
          <w:sz w:val="24"/>
        </w:rPr>
        <w:t>二、机构设置                                         5</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                         6</w:t>
      </w:r>
    </w:p>
    <w:p>
      <w:pPr>
        <w:pStyle w:val="11"/>
        <w:adjustRightInd w:val="0"/>
        <w:snapToGrid w:val="0"/>
        <w:spacing w:line="440" w:lineRule="exact"/>
        <w:jc w:val="left"/>
        <w:rPr>
          <w:rFonts w:ascii="仿宋" w:hAnsi="仿宋" w:cstheme="minorBidi"/>
          <w:sz w:val="24"/>
        </w:rPr>
      </w:pPr>
      <w:r>
        <w:rPr>
          <w:rFonts w:hint="eastAsia"/>
          <w:sz w:val="24"/>
        </w:rPr>
        <w:t>二、收入决算情况说明                                 6</w:t>
      </w:r>
    </w:p>
    <w:p>
      <w:pPr>
        <w:pStyle w:val="11"/>
        <w:adjustRightInd w:val="0"/>
        <w:snapToGrid w:val="0"/>
        <w:spacing w:line="440" w:lineRule="exact"/>
        <w:jc w:val="left"/>
        <w:rPr>
          <w:rFonts w:ascii="仿宋" w:hAnsi="仿宋" w:cstheme="minorBidi"/>
          <w:sz w:val="24"/>
        </w:rPr>
      </w:pPr>
      <w:r>
        <w:rPr>
          <w:rFonts w:hint="eastAsia"/>
          <w:sz w:val="24"/>
        </w:rPr>
        <w:t>三、支出决算情况说明                                 7</w:t>
      </w:r>
    </w:p>
    <w:p>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                 8</w:t>
      </w:r>
    </w:p>
    <w:p>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             8</w:t>
      </w:r>
    </w:p>
    <w:p>
      <w:pPr>
        <w:pStyle w:val="11"/>
        <w:adjustRightInd w:val="0"/>
        <w:snapToGrid w:val="0"/>
        <w:spacing w:line="440" w:lineRule="exact"/>
        <w:jc w:val="left"/>
        <w:rPr>
          <w:sz w:val="24"/>
        </w:rPr>
      </w:pPr>
      <w:r>
        <w:rPr>
          <w:rFonts w:hint="eastAsia"/>
          <w:sz w:val="24"/>
        </w:rPr>
        <w:t>六、一般公共预算财政拨款基本支出决算情况说明        11</w:t>
      </w:r>
    </w:p>
    <w:p>
      <w:pPr>
        <w:pStyle w:val="11"/>
        <w:adjustRightInd w:val="0"/>
        <w:snapToGrid w:val="0"/>
        <w:spacing w:line="440" w:lineRule="exact"/>
        <w:jc w:val="left"/>
        <w:rPr>
          <w:rFonts w:ascii="仿宋" w:hAnsi="仿宋" w:cstheme="minorBidi"/>
          <w:sz w:val="24"/>
        </w:rPr>
      </w:pPr>
      <w:r>
        <w:rPr>
          <w:rFonts w:hint="eastAsia"/>
          <w:sz w:val="24"/>
        </w:rPr>
        <w:t>七、</w:t>
      </w:r>
      <w:r>
        <w:rPr>
          <w:sz w:val="24"/>
        </w:rPr>
        <w:t>“</w:t>
      </w:r>
      <w:r>
        <w:rPr>
          <w:rFonts w:hint="eastAsia"/>
          <w:sz w:val="24"/>
        </w:rPr>
        <w:t>三公”经费财政拨款支出决算情况说明             12</w:t>
      </w:r>
    </w:p>
    <w:p>
      <w:pPr>
        <w:pStyle w:val="11"/>
        <w:adjustRightInd w:val="0"/>
        <w:snapToGrid w:val="0"/>
        <w:spacing w:line="440" w:lineRule="exact"/>
        <w:jc w:val="left"/>
        <w:rPr>
          <w:rFonts w:ascii="仿宋" w:hAnsi="仿宋" w:cstheme="minorBidi"/>
          <w:sz w:val="24"/>
        </w:rPr>
      </w:pPr>
      <w:r>
        <w:rPr>
          <w:rFonts w:hint="eastAsia"/>
          <w:sz w:val="24"/>
        </w:rPr>
        <w:t xml:space="preserve">八、政府性基金预算支出决算情况说明                  13   </w:t>
      </w:r>
    </w:p>
    <w:p>
      <w:pPr>
        <w:pStyle w:val="11"/>
        <w:adjustRightInd w:val="0"/>
        <w:snapToGrid w:val="0"/>
        <w:spacing w:line="44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               13</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rPr>
        <w:t xml:space="preserve">                        13</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                                       21</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 xml:space="preserve">附件  </w:t>
      </w:r>
    </w:p>
    <w:p>
      <w:pPr>
        <w:pStyle w:val="11"/>
        <w:adjustRightInd w:val="0"/>
        <w:snapToGrid w:val="0"/>
        <w:spacing w:line="440" w:lineRule="exact"/>
        <w:jc w:val="left"/>
        <w:rPr>
          <w:rFonts w:ascii="仿宋" w:hAnsi="仿宋" w:cstheme="minorBidi"/>
          <w:sz w:val="24"/>
        </w:rPr>
      </w:pPr>
      <w:r>
        <w:rPr>
          <w:rFonts w:hint="eastAsia"/>
          <w:sz w:val="24"/>
        </w:rPr>
        <w:t>附件</w:t>
      </w:r>
      <w:r>
        <w:rPr>
          <w:sz w:val="24"/>
        </w:rPr>
        <w:t>1</w:t>
      </w:r>
      <w:r>
        <w:rPr>
          <w:rFonts w:hint="eastAsia"/>
          <w:sz w:val="24"/>
        </w:rPr>
        <w:t xml:space="preserve">                                               27</w:t>
      </w:r>
    </w:p>
    <w:p>
      <w:pPr>
        <w:pStyle w:val="11"/>
        <w:adjustRightInd w:val="0"/>
        <w:snapToGrid w:val="0"/>
        <w:spacing w:line="440" w:lineRule="exact"/>
        <w:jc w:val="left"/>
        <w:rPr>
          <w:rFonts w:ascii="仿宋" w:hAnsi="仿宋" w:cstheme="minorBidi"/>
          <w:sz w:val="24"/>
        </w:rPr>
      </w:pPr>
      <w:r>
        <w:rPr>
          <w:rFonts w:hint="eastAsia"/>
          <w:sz w:val="24"/>
        </w:rPr>
        <w:t>附件</w:t>
      </w:r>
      <w:r>
        <w:rPr>
          <w:sz w:val="24"/>
        </w:rPr>
        <w:t>2</w:t>
      </w:r>
      <w:r>
        <w:rPr>
          <w:rFonts w:hint="eastAsia"/>
          <w:sz w:val="24"/>
        </w:rPr>
        <w:t xml:space="preserve">                                               34</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一、</w:t>
      </w:r>
      <w:r>
        <w:rPr>
          <w:rFonts w:hint="eastAsia"/>
          <w:sz w:val="24"/>
        </w:rPr>
        <w:t>收入支出决算总表                                39</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                                      39</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                                      39</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四、</w:t>
      </w:r>
      <w:r>
        <w:rPr>
          <w:rFonts w:hint="eastAsia"/>
          <w:sz w:val="24"/>
        </w:rPr>
        <w:t>财政拨款收入支出决算总表                        39</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                          39</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六、</w:t>
      </w:r>
      <w:r>
        <w:rPr>
          <w:rFonts w:hint="eastAsia"/>
          <w:sz w:val="24"/>
        </w:rPr>
        <w:t>一般公共预算财政拨款支出决算表                  39</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七、</w:t>
      </w:r>
      <w:r>
        <w:rPr>
          <w:rFonts w:hint="eastAsia"/>
          <w:sz w:val="24"/>
        </w:rPr>
        <w:t>一般公共预算财政拨款支出决算明细表              39</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八、</w:t>
      </w:r>
      <w:r>
        <w:rPr>
          <w:rFonts w:hint="eastAsia"/>
          <w:sz w:val="24"/>
        </w:rPr>
        <w:t>一般公共预算财政拨款基本支出决算表                39</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九、</w:t>
      </w:r>
      <w:r>
        <w:rPr>
          <w:rFonts w:hint="eastAsia"/>
          <w:sz w:val="24"/>
        </w:rPr>
        <w:t>一般公共预算财政拨款项目支出决算表                39</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w:t>
      </w:r>
      <w:r>
        <w:rPr>
          <w:rFonts w:hint="eastAsia"/>
          <w:sz w:val="24"/>
        </w:rPr>
        <w:t>一般公共预算财政拨款“三公”经费支出决算表        39</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十一、</w:t>
      </w:r>
      <w:r>
        <w:rPr>
          <w:rFonts w:hint="eastAsia"/>
          <w:sz w:val="24"/>
        </w:rPr>
        <w:t>政府性基金预算财政拨款收入支出决算表            39</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十二、</w:t>
      </w:r>
      <w:r>
        <w:rPr>
          <w:rFonts w:hint="eastAsia"/>
          <w:sz w:val="24"/>
        </w:rPr>
        <w:t>政府性基金预算财政拨款“三公”经费支出决算表    39</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十三、</w:t>
      </w:r>
      <w:r>
        <w:rPr>
          <w:rFonts w:hint="eastAsia"/>
          <w:sz w:val="24"/>
        </w:rPr>
        <w:t>国有资本经营预算支出决算表                      39</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11"/>
        <w:adjustRightInd w:val="0"/>
        <w:snapToGrid w:val="0"/>
        <w:spacing w:line="440" w:lineRule="exact"/>
        <w:jc w:val="left"/>
        <w:rPr>
          <w:rFonts w:ascii="仿宋" w:hAnsi="仿宋"/>
          <w:sz w:val="24"/>
        </w:rPr>
      </w:pPr>
      <w:bookmarkStart w:id="16" w:name="_Toc15378445"/>
      <w:bookmarkStart w:id="17" w:name="_Toc15377198"/>
      <w:r>
        <w:rPr>
          <w:rFonts w:hint="eastAsia" w:ascii="仿宋" w:hAnsi="仿宋" w:eastAsia="仿宋"/>
          <w:bCs/>
          <w:color w:val="000000"/>
          <w:sz w:val="32"/>
          <w:szCs w:val="32"/>
        </w:rPr>
        <w:t>（一）主要职能。</w:t>
      </w:r>
      <w:r>
        <w:rPr>
          <w:rFonts w:hint="eastAsia"/>
          <w:sz w:val="24"/>
        </w:rPr>
        <w:t>实施小学义务教育，促进基础教育发展，从事小学学历教育。</w:t>
      </w:r>
    </w:p>
    <w:bookmarkEnd w:id="16"/>
    <w:bookmarkEnd w:id="17"/>
    <w:p>
      <w:pPr>
        <w:pStyle w:val="5"/>
        <w:adjustRightInd w:val="0"/>
        <w:snapToGrid w:val="0"/>
        <w:spacing w:before="93" w:line="600" w:lineRule="exact"/>
        <w:ind w:firstLine="320" w:firstLineChars="10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18"/>
      <w:bookmarkEnd w:id="19"/>
    </w:p>
    <w:p>
      <w:pPr>
        <w:rPr>
          <w:sz w:val="32"/>
          <w:szCs w:val="32"/>
        </w:rPr>
      </w:pPr>
      <w:r>
        <w:rPr>
          <w:rFonts w:hint="eastAsia"/>
          <w:sz w:val="32"/>
          <w:szCs w:val="32"/>
        </w:rPr>
        <w:t xml:space="preserve">    1、党建工作扎实推进</w:t>
      </w:r>
    </w:p>
    <w:p>
      <w:pPr>
        <w:rPr>
          <w:sz w:val="32"/>
          <w:szCs w:val="32"/>
        </w:rPr>
      </w:pPr>
      <w:r>
        <w:rPr>
          <w:rFonts w:hint="eastAsia"/>
          <w:sz w:val="32"/>
          <w:szCs w:val="32"/>
        </w:rPr>
        <w:t xml:space="preserve">    按时每月召开主题党日活动，党员教师主动担任上精彩的党课，积极参与志愿服务活动，按期进行大走访大服务活动 </w:t>
      </w:r>
    </w:p>
    <w:p>
      <w:pPr>
        <w:rPr>
          <w:sz w:val="32"/>
          <w:szCs w:val="32"/>
        </w:rPr>
      </w:pPr>
      <w:r>
        <w:rPr>
          <w:rFonts w:hint="eastAsia"/>
          <w:sz w:val="32"/>
          <w:szCs w:val="32"/>
        </w:rPr>
        <w:t xml:space="preserve">    2、教学质量提升强劲</w:t>
      </w:r>
    </w:p>
    <w:p>
      <w:pPr>
        <w:rPr>
          <w:sz w:val="32"/>
          <w:szCs w:val="32"/>
        </w:rPr>
      </w:pPr>
      <w:r>
        <w:rPr>
          <w:rFonts w:hint="eastAsia"/>
          <w:sz w:val="32"/>
          <w:szCs w:val="32"/>
        </w:rPr>
        <w:t xml:space="preserve">   五六年级各学科于市平差距不大，较之去年略有提升，但幅度不大，且六年级双科优生率居全市前列；其余年级总体成绩略有上升。2020年－2021学年度教学质量一等奖。</w:t>
      </w:r>
    </w:p>
    <w:p>
      <w:pPr>
        <w:rPr>
          <w:sz w:val="32"/>
          <w:szCs w:val="32"/>
        </w:rPr>
      </w:pPr>
      <w:r>
        <w:rPr>
          <w:rFonts w:hint="eastAsia"/>
          <w:sz w:val="32"/>
          <w:szCs w:val="32"/>
        </w:rPr>
        <w:t xml:space="preserve">    3、幼儿园稳步前行</w:t>
      </w:r>
    </w:p>
    <w:p>
      <w:pPr>
        <w:rPr>
          <w:sz w:val="32"/>
          <w:szCs w:val="32"/>
        </w:rPr>
      </w:pPr>
      <w:r>
        <w:rPr>
          <w:rFonts w:hint="eastAsia"/>
          <w:sz w:val="32"/>
          <w:szCs w:val="32"/>
        </w:rPr>
        <w:t xml:space="preserve">   幼儿园保教常规和安全工作，有效地避免“小学化”倾向，确保我校幼儿学前教育的方向。</w:t>
      </w:r>
    </w:p>
    <w:p>
      <w:pPr>
        <w:rPr>
          <w:sz w:val="32"/>
          <w:szCs w:val="32"/>
        </w:rPr>
      </w:pPr>
      <w:r>
        <w:rPr>
          <w:rFonts w:hint="eastAsia"/>
          <w:sz w:val="32"/>
          <w:szCs w:val="32"/>
        </w:rPr>
        <w:t xml:space="preserve">    4、研训工作扎实有效</w:t>
      </w:r>
    </w:p>
    <w:p>
      <w:pPr>
        <w:rPr>
          <w:sz w:val="32"/>
          <w:szCs w:val="32"/>
        </w:rPr>
      </w:pPr>
      <w:r>
        <w:rPr>
          <w:rFonts w:hint="eastAsia"/>
          <w:sz w:val="32"/>
          <w:szCs w:val="32"/>
        </w:rPr>
        <w:t xml:space="preserve">    本期开展主题为“基于研创学习设计，建构教学评一体化”的课题研究；同时还承担的乐山市级课题《农村小学礼育文化建设研究》稳步推进，统领学校德育、文化建设工作。2019年学校工作正常运转，年终综合评估优秀。绩效一等奖。</w:t>
      </w:r>
    </w:p>
    <w:p>
      <w:pPr>
        <w:rPr>
          <w:sz w:val="32"/>
          <w:szCs w:val="32"/>
        </w:rPr>
      </w:pPr>
      <w:r>
        <w:rPr>
          <w:rFonts w:hint="eastAsia"/>
          <w:sz w:val="32"/>
          <w:szCs w:val="32"/>
        </w:rPr>
        <w:t xml:space="preserve">    5、素质教育成效初显</w:t>
      </w:r>
    </w:p>
    <w:p>
      <w:pPr>
        <w:rPr>
          <w:sz w:val="32"/>
          <w:szCs w:val="32"/>
        </w:rPr>
      </w:pPr>
      <w:r>
        <w:rPr>
          <w:rFonts w:hint="eastAsia"/>
          <w:sz w:val="32"/>
          <w:szCs w:val="32"/>
        </w:rPr>
        <w:t xml:space="preserve">    我校本期开设了特色课程体系，通过美育、德育、体育等落实五育并举。我校2名学生获乐山市第十五届中小学电脑制作活动乐山市二、三等奖；</w:t>
      </w:r>
    </w:p>
    <w:p>
      <w:pPr>
        <w:rPr>
          <w:sz w:val="32"/>
          <w:szCs w:val="32"/>
        </w:rPr>
      </w:pPr>
      <w:r>
        <w:rPr>
          <w:rFonts w:hint="eastAsia"/>
          <w:sz w:val="32"/>
          <w:szCs w:val="32"/>
        </w:rPr>
        <w:t xml:space="preserve">    6、常态工作常抓不懈</w:t>
      </w:r>
    </w:p>
    <w:p>
      <w:pPr>
        <w:rPr>
          <w:sz w:val="32"/>
          <w:szCs w:val="32"/>
        </w:rPr>
      </w:pPr>
      <w:r>
        <w:rPr>
          <w:rFonts w:hint="eastAsia"/>
          <w:sz w:val="32"/>
          <w:szCs w:val="32"/>
        </w:rPr>
        <w:t xml:space="preserve">    一是学校拟定了《两案九制》，先后修订了三次关于疫情防控工作的相关制度；二是坚持每月对临聘人员进行业务培训；三是每月组织全体师生进行安全应急演练；四是每月组织一次安全主题教育活动；四月份“传染病防控主题教育”和安全用电主题教育；五月份交通安全主题教育；六月份防溺水安全主题教育及安全生产月活动；七月份防校园欺凌主题教育；五是利用好乐山安全教育平台对学生开展各项安全教育，</w:t>
      </w:r>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rPr>
          <w:sz w:val="32"/>
          <w:szCs w:val="32"/>
        </w:rPr>
      </w:pPr>
      <w:r>
        <w:rPr>
          <w:rFonts w:hint="eastAsia"/>
          <w:sz w:val="32"/>
          <w:szCs w:val="32"/>
        </w:rPr>
        <w:t xml:space="preserve">    峨眉山市峨山镇小学校下属二级单位0个，其中行政单位0个，参照公务员法管理的事业单位0个，其他事业单位0个。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2020年度部门决算情况说明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2020年度收、支总计646.78万元。与2019年相比，收、支总计各增加7.35万元，增长1.15</w:t>
      </w:r>
      <w:r>
        <w:rPr>
          <w:rFonts w:ascii="仿宋" w:hAnsi="仿宋" w:eastAsia="仿宋"/>
          <w:color w:val="000000"/>
          <w:sz w:val="32"/>
          <w:szCs w:val="32"/>
        </w:rPr>
        <w:t>%</w:t>
      </w:r>
      <w:r>
        <w:rPr>
          <w:rFonts w:hint="eastAsia" w:ascii="仿宋" w:hAnsi="仿宋" w:eastAsia="仿宋"/>
          <w:color w:val="000000"/>
          <w:sz w:val="32"/>
          <w:szCs w:val="32"/>
        </w:rPr>
        <w:t>。主要变动原因是人员经费增加。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r>
        <w:drawing>
          <wp:inline distT="0" distB="0" distL="0" distR="0">
            <wp:extent cx="5275580" cy="2158365"/>
            <wp:effectExtent l="19050" t="0" r="20261" b="0"/>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20年本年收入合计639.23万元，其中：一般公共预算财政拨款收入633.95万元，占99.17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；政府性基金预算财政拨款收入5.29万元，占0.83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r>
        <w:drawing>
          <wp:inline distT="0" distB="0" distL="0" distR="0">
            <wp:extent cx="5277485" cy="2795905"/>
            <wp:effectExtent l="19050" t="0" r="18356" b="3987"/>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20年本年支出合计639.17万元，其中：基本支出622.04万元，占97.32</w:t>
      </w:r>
      <w:r>
        <w:rPr>
          <w:rFonts w:ascii="仿宋" w:hAnsi="仿宋" w:eastAsia="仿宋"/>
          <w:color w:val="000000"/>
          <w:sz w:val="32"/>
          <w:szCs w:val="32"/>
        </w:rPr>
        <w:t>%</w:t>
      </w:r>
      <w:r>
        <w:rPr>
          <w:rFonts w:hint="eastAsia" w:ascii="仿宋" w:hAnsi="仿宋" w:eastAsia="仿宋"/>
          <w:color w:val="000000"/>
          <w:sz w:val="32"/>
          <w:szCs w:val="32"/>
        </w:rPr>
        <w:t>；项目支出17.13万元，占2.68</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r>
        <w:drawing>
          <wp:inline distT="0" distB="0" distL="0" distR="0">
            <wp:extent cx="5360670" cy="3455035"/>
            <wp:effectExtent l="19050" t="0" r="11075" b="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20年财政拨款收、支总计646.33万元。与</w:t>
      </w:r>
      <w:r>
        <w:rPr>
          <w:rFonts w:ascii="仿宋" w:hAnsi="仿宋" w:eastAsia="仿宋"/>
          <w:color w:val="000000"/>
          <w:sz w:val="32"/>
          <w:szCs w:val="32"/>
        </w:rPr>
        <w:t>201</w:t>
      </w:r>
      <w:r>
        <w:rPr>
          <w:rFonts w:hint="eastAsia" w:ascii="仿宋" w:hAnsi="仿宋" w:eastAsia="仿宋"/>
          <w:color w:val="000000"/>
          <w:sz w:val="32"/>
          <w:szCs w:val="32"/>
        </w:rPr>
        <w:t>9年相比，财政拨款收、支总计各增加14.69万元，增长2.33</w:t>
      </w:r>
      <w:r>
        <w:rPr>
          <w:rFonts w:ascii="仿宋" w:hAnsi="仿宋" w:eastAsia="仿宋"/>
          <w:color w:val="000000"/>
          <w:sz w:val="32"/>
          <w:szCs w:val="32"/>
        </w:rPr>
        <w:t>%</w:t>
      </w:r>
      <w:r>
        <w:rPr>
          <w:rFonts w:hint="eastAsia" w:ascii="仿宋" w:hAnsi="仿宋" w:eastAsia="仿宋"/>
          <w:color w:val="000000"/>
          <w:sz w:val="32"/>
          <w:szCs w:val="32"/>
        </w:rPr>
        <w:t>。主要变动原因是人员经费增加。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r>
        <w:drawing>
          <wp:inline distT="0" distB="0" distL="0" distR="0">
            <wp:extent cx="5279390" cy="3030220"/>
            <wp:effectExtent l="19050" t="0" r="16451" b="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20年一般公共预算财政拨款支出633.44万元，占本年支出合计的99.13</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9年相比，一般公共预算财政拨款增加8.89万元，增长1.42</w:t>
      </w:r>
      <w:r>
        <w:rPr>
          <w:rFonts w:ascii="仿宋" w:hAnsi="仿宋" w:eastAsia="仿宋"/>
          <w:color w:val="000000"/>
          <w:sz w:val="32"/>
          <w:szCs w:val="32"/>
        </w:rPr>
        <w:t>%</w:t>
      </w:r>
      <w:r>
        <w:rPr>
          <w:rFonts w:hint="eastAsia" w:ascii="仿宋" w:hAnsi="仿宋" w:eastAsia="仿宋"/>
          <w:color w:val="000000"/>
          <w:sz w:val="32"/>
          <w:szCs w:val="32"/>
        </w:rPr>
        <w:t>。主要变动原因是人员经费增加。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r>
        <w:drawing>
          <wp:inline distT="0" distB="0" distL="0" distR="0">
            <wp:extent cx="5281295" cy="2817495"/>
            <wp:effectExtent l="19050" t="0" r="14546" b="1773"/>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rPr>
        <w:t>政拨款支出633.44万元，主要用于以下方面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教育支出（2050201）学前教育支出</w:t>
      </w:r>
      <w:r>
        <w:rPr>
          <w:rFonts w:hint="eastAsia" w:ascii="仿宋" w:hAnsi="仿宋" w:eastAsia="仿宋"/>
          <w:color w:val="000000" w:themeColor="text1"/>
          <w:sz w:val="32"/>
          <w:szCs w:val="32"/>
        </w:rPr>
        <w:t>9.46万元，占1.49</w:t>
      </w:r>
      <w:r>
        <w:rPr>
          <w:rFonts w:ascii="仿宋" w:hAnsi="仿宋" w:eastAsia="仿宋"/>
          <w:color w:val="000000" w:themeColor="text1"/>
          <w:sz w:val="32"/>
          <w:szCs w:val="32"/>
        </w:rPr>
        <w:t>%</w:t>
      </w:r>
      <w:r>
        <w:rPr>
          <w:rFonts w:hint="eastAsia" w:ascii="仿宋" w:hAnsi="仿宋" w:eastAsia="仿宋"/>
          <w:color w:val="000000" w:themeColor="text1"/>
          <w:sz w:val="32"/>
          <w:szCs w:val="32"/>
        </w:rPr>
        <w:t>（2050202）小学教育支出468.01万元，占73.88</w:t>
      </w:r>
      <w:r>
        <w:rPr>
          <w:rFonts w:ascii="仿宋" w:hAnsi="仿宋" w:eastAsia="仿宋"/>
          <w:color w:val="000000" w:themeColor="text1"/>
          <w:sz w:val="32"/>
          <w:szCs w:val="32"/>
        </w:rPr>
        <w:t>%</w:t>
      </w:r>
      <w:r>
        <w:rPr>
          <w:rFonts w:hint="eastAsia" w:ascii="仿宋" w:hAnsi="仿宋" w:eastAsia="仿宋"/>
          <w:color w:val="000000" w:themeColor="text1"/>
          <w:sz w:val="32"/>
          <w:szCs w:val="32"/>
        </w:rPr>
        <w:t>，（2050299）其他普通教育支出支出0.3万元，占0.05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社会保障和就业（2080505）机关事业单位养老保险缴费支出</w:t>
      </w:r>
      <w:r>
        <w:rPr>
          <w:rFonts w:hint="eastAsia" w:ascii="仿宋" w:hAnsi="仿宋" w:eastAsia="仿宋"/>
          <w:color w:val="000000" w:themeColor="text1"/>
          <w:sz w:val="32"/>
          <w:szCs w:val="32"/>
        </w:rPr>
        <w:t>支出49.55万元，占7.82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（2080506）机关事业单位职业年金缴费</w:t>
      </w:r>
      <w:r>
        <w:rPr>
          <w:rFonts w:hint="eastAsia" w:ascii="仿宋" w:hAnsi="仿宋" w:eastAsia="仿宋"/>
          <w:color w:val="000000" w:themeColor="text1"/>
          <w:sz w:val="32"/>
          <w:szCs w:val="32"/>
        </w:rPr>
        <w:t>支出26.15万元，占4.13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卫生健康支出（2101102）事业单位医疗</w:t>
      </w:r>
      <w:r>
        <w:rPr>
          <w:rFonts w:hint="eastAsia" w:ascii="仿宋" w:hAnsi="仿宋" w:eastAsia="仿宋"/>
          <w:color w:val="000000" w:themeColor="text1"/>
          <w:sz w:val="32"/>
          <w:szCs w:val="32"/>
        </w:rPr>
        <w:t>19.75万元，占3.12</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；住房保障（2010201）住房公积金支出52.7万元，占8.32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抚恤（2080801）（类）</w:t>
      </w:r>
      <w:r>
        <w:rPr>
          <w:rFonts w:hint="eastAsia" w:ascii="仿宋" w:hAnsi="仿宋" w:eastAsia="仿宋"/>
          <w:color w:val="000000" w:themeColor="text1"/>
          <w:sz w:val="32"/>
          <w:szCs w:val="32"/>
        </w:rPr>
        <w:t>支出4.82万元，占0.76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r>
        <w:drawing>
          <wp:inline distT="0" distB="0" distL="0" distR="0">
            <wp:extent cx="5290820" cy="2945130"/>
            <wp:effectExtent l="19050" t="0" r="23761" b="7531"/>
            <wp:docPr id="1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rPr>
        <w:t>2020年般公共预算支出决算数为633.44</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预算97.94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教育（类）20502（款）普通教育（项）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支出决算为477.77万元，完成预算100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.教育支出（2050201）支出决算为9.46万元，完成预算100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；小学教育（2050202）支出决算为468.01万元，完成预算100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，决算数小于预算数的主要原因是2020公用经费结转7.61万元；其他普通教育支出（2050299）支出决算为0.3万元，完成预算100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社会保障和就业（类）（20805）（款）行政事业单位离退休（项）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支出决算为75.74万元，完成预算100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（类）（210）（款）21011行政事业单位医疗（项）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支出决算为19.75万元，完成预算100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4"/>
          <w:rFonts w:hint="eastAsia" w:ascii="仿宋" w:hAnsi="仿宋" w:eastAsia="仿宋"/>
          <w:bCs/>
          <w:color w:val="000000"/>
          <w:sz w:val="32"/>
          <w:szCs w:val="32"/>
        </w:rPr>
        <w:t>（类）（221）（款）22102住房改革支出（项）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支出决算为52.70万元，完成预算100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20年一般公共预算财政拨款基本支出621.59万元，其中：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583.14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34.95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20年政府性基金预算拨款支出</w:t>
      </w:r>
      <w:r>
        <w:rPr>
          <w:rFonts w:hint="eastAsia" w:ascii="仿宋" w:hAnsi="仿宋" w:eastAsia="仿宋"/>
          <w:color w:val="000000"/>
          <w:sz w:val="32"/>
          <w:szCs w:val="32"/>
        </w:rPr>
        <w:t>5.29</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w:t>
      </w:r>
      <w:r>
        <w:rPr>
          <w:rFonts w:hint="eastAsia" w:ascii="仿宋_GB2312" w:eastAsia="仿宋_GB2312"/>
          <w:color w:val="000000"/>
          <w:sz w:val="32"/>
          <w:szCs w:val="32"/>
        </w:rPr>
        <w:t>20年，四川省峨眉山市峨山镇小学校机关运行经费支出34.95万元，比</w:t>
      </w:r>
      <w:r>
        <w:rPr>
          <w:rFonts w:ascii="仿宋_GB2312" w:eastAsia="仿宋_GB2312"/>
          <w:color w:val="000000"/>
          <w:sz w:val="32"/>
          <w:szCs w:val="32"/>
        </w:rPr>
        <w:t>201</w:t>
      </w:r>
      <w:r>
        <w:rPr>
          <w:rFonts w:hint="eastAsia" w:ascii="仿宋_GB2312" w:eastAsia="仿宋_GB2312"/>
          <w:color w:val="000000"/>
          <w:sz w:val="32"/>
          <w:szCs w:val="32"/>
        </w:rPr>
        <w:t>9年增加-2.87万元，增长-7.59</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主要原因是维修减少。</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20年，四川省峨眉山市峨山镇小学校政府采购支出总额0万元，其中：政府采购货物支出0万元、政府采购工程支出0万元、政府采购服务支出0万元。主要用于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日，四川省峨眉山市峨山镇小学校共有车辆0辆，其中：主要领导干部用车0辆、机要通信用车0辆、应急保障用车0辆、其他用车0辆……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校园维修专项资金”、“学校安保经费”、“人才队伍建设经费”、“小学免作业本费”项目（项目名称）开展了预算事前绩效评估，对4个项目编制了绩效目标，预算执行过程中，选取4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本部门在2020年度部门决算中反映“学校安保经费”、“人才队伍建设经费”、“小学免作业本费”“校园维修专项资金”、等4个项目绩效目标实际完成情况。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校安保经费”项目绩效目标完成情况综述。项目全年预算数10.5万元，执行数为10.5万元，完成预算的100%。通过项目实施，保障了学校安保工作的正常开展，维护校园安全稳定，为学校教育教学工作正常秩序提供保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人才队伍建设资金”项目绩效目标完成情况综述。项目全年预算数0.3万元，执行数为0.3万元，完成预算的100%。通过项目实施，促进了学校人才队伍建设工作开展，提高了学校骨干教师业务能力，促进了全校教师教育教学能力的提升。提高了全校教学成绩。</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（3）“义务教育免作业本费”项目绩效目标完成情况综述。项目全年预算数1.542万元，执行数为1.542万元，完成预算的100%。通过项目实施，保障了贫困学生的就学，减轻了学生家庭负担。</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（4）“校园维修专项资金”项目绩效目标完成情况综述。项目全年预算数6.35万元，执行数为6.35万元，完成预算的100%。通过项目实施，保障了学校教学环境的正常运行和学生安全。</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tbl>
            <w:tblPr>
              <w:tblStyle w:val="12"/>
              <w:tblpPr w:leftFromText="180" w:rightFromText="180" w:vertAnchor="text" w:horzAnchor="page" w:tblpXSpec="center" w:tblpY="423"/>
              <w:tblOverlap w:val="never"/>
              <w:tblW w:w="10099" w:type="dxa"/>
              <w:jc w:val="center"/>
              <w:tblLayout w:type="fixed"/>
              <w:tblCellMar>
                <w:top w:w="0" w:type="dxa"/>
                <w:left w:w="0" w:type="dxa"/>
                <w:bottom w:w="0" w:type="dxa"/>
                <w:right w:w="0" w:type="dxa"/>
              </w:tblCellMar>
            </w:tblPr>
            <w:tblGrid>
              <w:gridCol w:w="396"/>
              <w:gridCol w:w="1385"/>
              <w:gridCol w:w="1041"/>
              <w:gridCol w:w="2425"/>
              <w:gridCol w:w="2427"/>
              <w:gridCol w:w="2425"/>
            </w:tblGrid>
            <w:tr>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学校安保工作经费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峨眉山市峨山镇小学校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10.5万元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10.5万元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10.5万元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10.5万元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安保人员数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保障了学校安保工作正常开展，维护学校教育教学正常秩序。</w:t>
                  </w:r>
                </w:p>
              </w:tc>
            </w:tr>
            <w:tr>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维护校园周边安全稳定</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校园周边安全稳定</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校园周边安全稳定</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r>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义务教育免作业本费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峨眉山市峨山镇小学校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1.542万元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1.542万元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1.542万元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1.542万元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免作业本学生数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514人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514人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r>
            <w:tr>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r>
            <w:tr>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bl>
          <w:p>
            <w:pPr>
              <w:spacing w:line="580" w:lineRule="exact"/>
              <w:ind w:firstLine="800" w:firstLineChars="250"/>
              <w:rPr>
                <w:rFonts w:ascii="楷体_GB2312" w:hAnsi="楷体_GB2312" w:eastAsia="楷体_GB2312" w:cs="楷体_GB2312"/>
                <w:sz w:val="32"/>
                <w:szCs w:val="32"/>
              </w:rPr>
            </w:pPr>
          </w:p>
          <w:tbl>
            <w:tblPr>
              <w:tblStyle w:val="12"/>
              <w:tblpPr w:leftFromText="180" w:rightFromText="180" w:vertAnchor="text" w:horzAnchor="page" w:tblpXSpec="center" w:tblpY="423"/>
              <w:tblOverlap w:val="never"/>
              <w:tblW w:w="10099" w:type="dxa"/>
              <w:jc w:val="center"/>
              <w:tblLayout w:type="fixed"/>
              <w:tblCellMar>
                <w:top w:w="0" w:type="dxa"/>
                <w:left w:w="0" w:type="dxa"/>
                <w:bottom w:w="0" w:type="dxa"/>
                <w:right w:w="0" w:type="dxa"/>
              </w:tblCellMar>
            </w:tblPr>
            <w:tblGrid>
              <w:gridCol w:w="396"/>
              <w:gridCol w:w="1385"/>
              <w:gridCol w:w="1041"/>
              <w:gridCol w:w="2425"/>
              <w:gridCol w:w="2427"/>
              <w:gridCol w:w="2425"/>
            </w:tblGrid>
            <w:tr>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人才队伍建设</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峨眉山市峨山镇小学校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0.78万元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0.78万元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0.78万元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0.78万元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ascii="宋体" w:hAnsi="宋体" w:cs="宋体"/>
                      <w:sz w:val="32"/>
                      <w:szCs w:val="32"/>
                    </w:rPr>
                  </w:pPr>
                  <w:r>
                    <w:rPr>
                      <w:rFonts w:hint="eastAsia" w:ascii="宋体" w:hAnsi="宋体" w:cs="宋体"/>
                      <w:szCs w:val="21"/>
                    </w:rPr>
                    <w:t>促进了学校人才队伍建设工作开展，提高了学校骨干教师业务能力，促进了全校教师教育教学能力的提升。提高了全校教学成绩。</w:t>
                  </w:r>
                </w:p>
                <w:p>
                  <w:pPr>
                    <w:widowControl/>
                    <w:jc w:val="left"/>
                    <w:textAlignment w:val="center"/>
                    <w:rPr>
                      <w:rFonts w:cs="宋体" w:asciiTheme="minorEastAsia" w:hAnsiTheme="minorEastAsia" w:eastAsiaTheme="minorEastAsia"/>
                      <w:color w:val="000000"/>
                      <w:szCs w:val="21"/>
                    </w:rPr>
                  </w:pP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骨干教师人数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ascii="宋体" w:hAnsi="宋体" w:cs="宋体"/>
                      <w:sz w:val="32"/>
                      <w:szCs w:val="32"/>
                    </w:rPr>
                  </w:pPr>
                  <w:r>
                    <w:rPr>
                      <w:rFonts w:hint="eastAsia" w:ascii="宋体" w:hAnsi="宋体" w:cs="宋体"/>
                      <w:szCs w:val="21"/>
                    </w:rPr>
                    <w:t>促进了学校人才队伍建设工作开展，提高了学校骨干教师业务能力，促进了全校教师教育教学能力的提升。提高了全校教学成绩。</w:t>
                  </w:r>
                </w:p>
                <w:p>
                  <w:pPr>
                    <w:widowControl/>
                    <w:jc w:val="left"/>
                    <w:textAlignment w:val="center"/>
                    <w:rPr>
                      <w:rFonts w:cs="宋体" w:asciiTheme="minorEastAsia" w:hAnsiTheme="minorEastAsia" w:eastAsiaTheme="minorEastAsia"/>
                      <w:color w:val="000000"/>
                      <w:szCs w:val="21"/>
                    </w:rPr>
                  </w:pP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ascii="宋体" w:hAnsi="宋体" w:cs="宋体"/>
                      <w:sz w:val="32"/>
                      <w:szCs w:val="32"/>
                    </w:rPr>
                  </w:pPr>
                  <w:r>
                    <w:rPr>
                      <w:rFonts w:hint="eastAsia" w:ascii="宋体" w:hAnsi="宋体" w:cs="宋体"/>
                      <w:szCs w:val="21"/>
                    </w:rPr>
                    <w:t>促进了学校人才队伍建设工作开展，提高了学校骨干教师业务能力，促进了全校教师教育教学能力的提升。提高了全校教学成绩。</w:t>
                  </w:r>
                </w:p>
                <w:p>
                  <w:pPr>
                    <w:widowControl/>
                    <w:jc w:val="left"/>
                    <w:textAlignment w:val="center"/>
                    <w:rPr>
                      <w:rFonts w:cs="宋体" w:asciiTheme="minorEastAsia" w:hAnsiTheme="minorEastAsia" w:eastAsiaTheme="minorEastAsia"/>
                      <w:color w:val="000000"/>
                      <w:szCs w:val="21"/>
                    </w:rPr>
                  </w:pP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ascii="宋体" w:hAnsi="宋体" w:cs="宋体"/>
                      <w:sz w:val="32"/>
                      <w:szCs w:val="32"/>
                    </w:rPr>
                  </w:pPr>
                  <w:r>
                    <w:rPr>
                      <w:rFonts w:hint="eastAsia" w:ascii="宋体" w:hAnsi="宋体" w:cs="宋体"/>
                      <w:szCs w:val="21"/>
                    </w:rPr>
                    <w:t>促进了学校人才队伍建设工作开展，提高了学校骨干教师业务能力，促进了全校教师教育教学能力的提升。提高了全校教学成绩。</w:t>
                  </w:r>
                </w:p>
                <w:p>
                  <w:pPr>
                    <w:widowControl/>
                    <w:jc w:val="left"/>
                    <w:textAlignment w:val="center"/>
                    <w:rPr>
                      <w:rFonts w:cs="宋体" w:asciiTheme="minorEastAsia" w:hAnsiTheme="minorEastAsia" w:eastAsiaTheme="minorEastAsia"/>
                      <w:color w:val="000000"/>
                      <w:szCs w:val="21"/>
                    </w:rPr>
                  </w:pP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ascii="宋体" w:hAnsi="宋体" w:cs="宋体"/>
                      <w:szCs w:val="21"/>
                    </w:rPr>
                    <w:t>促进了学校人才队伍建设工作开展，提高了学校骨干教师业务能力</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ascii="宋体" w:hAnsi="宋体" w:cs="宋体"/>
                      <w:szCs w:val="21"/>
                    </w:rPr>
                    <w:t>促进了学校人才队伍建设工作开展，提高了学校骨干教师业务能力</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ascii="宋体" w:hAnsi="宋体" w:cs="宋体"/>
                      <w:szCs w:val="21"/>
                    </w:rPr>
                    <w:t>促进了学校人才队伍建设工作开展，提高了学校骨干教师业务能力</w:t>
                  </w:r>
                </w:p>
              </w:tc>
            </w:tr>
            <w:tr>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bl>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校园维修专项资金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峨眉山市峨山镇小学校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6.35万元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6.35万元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6.35万元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6.35万元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改善了学校的教学条件，改善了校园环境，让学生在良好的学习环境里学习。</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514人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514人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质量目标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改善了学校的教学条件，改善了校园环境，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改善了学校的教学条件，改善了校园环境，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改善了学校的教学条件，改善了校园环境，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在规定时效内完成相关工作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让学生在良好的学习环境里学习，办人民满意学校。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让学生在良好的学习环境里学习，办人民满意学校。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让学生在良好的学习环境里学习，办人民满意学校。</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家长、教师、学生满意度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本部门按要求对2020年部门整体支出绩效评价情况开展自评，《四川省峨眉山市峨山小学校部门2020年部门整体支出绩效评价报告》见附件（附件1）。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本部门自行组织对“学校安保经费”项目开展了绩效评价，《四川省峨眉山市峨山小学校项目2020年绩效评价报告》见附件（附件2）。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bookmarkStart w:id="57" w:name="_Toc15377226"/>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 w:hAnsi="仿宋" w:eastAsia="仿宋"/>
          <w:b/>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四川省峨眉山市峨山镇小学校</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320" w:firstLineChars="1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我校是1个独立编制、独立核算财政全额拨款事业单位。内设校长办公室、教导办公室、安保办公室、后勤办公室和一个附属幼儿园。</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 xml:space="preserve">  </w:t>
      </w:r>
      <w:r>
        <w:rPr>
          <w:rFonts w:hint="eastAsia" w:ascii="仿宋" w:hAnsi="仿宋" w:eastAsia="仿宋"/>
          <w:bCs/>
          <w:color w:val="000000"/>
          <w:sz w:val="32"/>
          <w:szCs w:val="32"/>
        </w:rPr>
        <w:t>实施小学义务教育，促进基础教育发展，小学学历教育。</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核定事业编制45名，实际在岗39人。学生514人。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我单位2020年部门决算收入为639.23万元，调整预算为646.78万元，政府性基金预算资金5.29；决算收入与预算收入的差额7.55万元,主要为</w:t>
      </w:r>
      <w:r>
        <w:rPr>
          <w:rFonts w:hint="eastAsia" w:ascii="仿宋" w:hAnsi="仿宋" w:eastAsia="仿宋"/>
          <w:sz w:val="32"/>
          <w:szCs w:val="32"/>
        </w:rPr>
        <w:t>主要为年初结转.</w:t>
      </w:r>
    </w:p>
    <w:p>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    我单位2020年支出决算数为639.17万元，其中：基本支出622.04万元，项目支出17.13万元。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ind w:firstLine="640" w:firstLineChars="200"/>
        <w:rPr>
          <w:rFonts w:ascii="仿宋" w:hAnsi="仿宋" w:eastAsia="仿宋" w:cs="宋体"/>
          <w:sz w:val="32"/>
          <w:szCs w:val="32"/>
        </w:rPr>
      </w:pPr>
      <w:r>
        <w:rPr>
          <w:rFonts w:hint="eastAsia" w:ascii="仿宋_GB2312" w:hAnsi="宋体" w:eastAsia="仿宋_GB2312" w:cs="宋体"/>
          <w:color w:val="000000"/>
          <w:kern w:val="0"/>
          <w:sz w:val="32"/>
          <w:szCs w:val="32"/>
          <w:shd w:val="clear" w:color="auto" w:fill="FFFFFF"/>
          <w:lang w:val="zh-CN"/>
        </w:rPr>
        <w:t>我单位严格按照财政部门的要求和实现编制预决算、填报绩效目标；</w:t>
      </w:r>
      <w:r>
        <w:rPr>
          <w:rFonts w:hint="eastAsia" w:ascii="仿宋" w:hAnsi="仿宋" w:eastAsia="仿宋" w:cs="宋体"/>
          <w:sz w:val="32"/>
          <w:szCs w:val="32"/>
        </w:rPr>
        <w:t xml:space="preserve"> 2020年收入年初预算为442.66万元，调整预算为641.04万元，其中：一般公共</w:t>
      </w:r>
      <w:r>
        <w:rPr>
          <w:rFonts w:hint="eastAsia" w:ascii="仿宋" w:hAnsi="仿宋" w:eastAsia="仿宋" w:cs="宋体"/>
          <w:sz w:val="32"/>
          <w:szCs w:val="32"/>
          <w:lang w:eastAsia="zh-CN"/>
        </w:rPr>
        <w:t>财政拨款</w:t>
      </w:r>
      <w:bookmarkStart w:id="73" w:name="_GoBack"/>
      <w:bookmarkEnd w:id="73"/>
      <w:r>
        <w:rPr>
          <w:rFonts w:hint="eastAsia" w:ascii="仿宋" w:hAnsi="仿宋" w:eastAsia="仿宋" w:cs="宋体"/>
          <w:sz w:val="32"/>
          <w:szCs w:val="32"/>
        </w:rPr>
        <w:t>633.95万元，政府性基金5.29万元；事业收入（财政专户收入）0万元。支出年初预算450.94万元，调整预算支出为629.2万元。其中：基本支出450.94万元（人员经费583.14万元，日常公用经费34.95万元），项目支出11.84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2020年度年初结转结余7.1万元，年末结转结余为 7.61 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我单位严格按照上报的资金计划完成资金拨付，根据预算合理控制支出数额及支出进度，基本支出部分按月均匀执行，项目支出部分按所报项目进度及时执行，全年支出执行良好。</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（二）执行管理情况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我单位严格按照上报的资金计划完成资金拨付，根据预算合理控制支出数额及支出进度，基本支出部分按月均匀执行，项目支出部分按所报项目进度及时执行，全年支出执行良好。</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（三）支出绩效情况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1.部门支出绩效</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（1）运行保障</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我单位基本支出的范围包括人员经费和日常公用经费，2020年基本支出决算数622.04万元，其中:人员经费583.14万元，日常公用经费34.95万元。基本支出能够保障学校正常运转。</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（2）厉行节约。</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2020年因公出国（境）费用、会议费、车辆购置及运行费用和公务接待经费等控制较好。2020年三公经费、会议费、培训费总额0.47万元，较201年（总额1.2万元）略有减少。2020年各项费用与2019年对比情况如下：；会议费0.19万元，较2019年增加0.03万元，培训费0.28万元，较2019年减少0.76万元。</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（3）机关节能降耗</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2020年学校总能耗3.12万元，2019年学校总能耗3.09万元，较2019年增加0.03万元，节能降耗情况总体情况良好。</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2.项目支出绩效</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（1）资金绩效分配情况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安保经费。全年安保经费支出10.5万元，主要用于三位保安的工资和购买安保器械等.</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免作业本费：全年支出1.54万元，用于支付学生作业本费。</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骨干教师补贴：全年支出四名骨干教师津贴0.78万元。</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④校园维修专项资金：全年支出6.35万元。</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（2）项目资金管理情况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所有项目资金的管理都按照相关规定执行，实行专款专用，及时支付。</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 xml:space="preserve">   （3）绩效目标完成情况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安保经费。全年安保经费支出10.5万元，主要用于三位保安的工资和购买安保器械等.</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免作业本费：全年支出1.54万元，用于支付学生作业本费。</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骨干教师补贴：全年支出四名骨干教师津贴0.78万元。</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④校园维修专项资金：全年支出6.35万元。</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（4）财务管理情况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所有专项资金实行专款专用，不得挪用、截留；在资金拨付阶段严格审核资金分配方案、对象主体资格、绩效评估报告、合同、文件、拨付审批等，确保资金拨付符合要求，合理合规。</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（5）绩效管理工作开展情况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根据《峨眉山市财政局关于开展2020年财政支出绩效评价工作的通知》（峨财通[2020]36号）文件精神，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通过绩效评价梳理出的问题，将通过座谈的形式传达给相关领导，以便完善。</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我单位部门支出绩效评价得分95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94.5</w:t>
            </w:r>
          </w:p>
        </w:tc>
      </w:tr>
    </w:tbl>
    <w:p>
      <w:pPr>
        <w:spacing w:line="580" w:lineRule="exact"/>
        <w:ind w:firstLine="640" w:firstLineChars="200"/>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1、预算编制工作有待细化。预算编制不够明确和细化，预算编制的合理性需要提高，预算执行力度还要进一步加强。</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2、部门支出相关（基本支出方面）的规章制度还不够完善。</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针对上述存在的问题及对外整体支出管理工作的需要，拟实施的改进措施如下：</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细化预算编制工作，认真做好预算的编制。进一步加强单位内部机构各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4、对相关人员加强培训，特别是针对《预算法》、《行政事业单位会计制度》等学习培训，规范部门预算收支核算，切实提高部门预算收支管理水平。</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 </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 </w:t>
      </w:r>
    </w:p>
    <w:p>
      <w:pPr>
        <w:spacing w:line="580" w:lineRule="exact"/>
        <w:ind w:firstLine="5120" w:firstLineChars="16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峨眉山市峨山小学校</w:t>
      </w:r>
    </w:p>
    <w:p>
      <w:pPr>
        <w:spacing w:line="580" w:lineRule="exact"/>
        <w:ind w:firstLine="5440" w:firstLineChars="17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2021年08月2日</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峨眉山市峨山镇小学校</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2020年学校安保经费补助项目支出绩效</w:t>
      </w:r>
    </w:p>
    <w:p>
      <w:pPr>
        <w:adjustRightInd w:val="0"/>
        <w:snapToGrid w:val="0"/>
        <w:spacing w:line="600" w:lineRule="exact"/>
        <w:ind w:firstLine="1162" w:firstLineChars="263"/>
        <w:jc w:val="center"/>
        <w:rPr>
          <w:rFonts w:ascii="方正小标宋_GBK" w:hAnsi="宋体" w:eastAsia="方正小标宋_GBK"/>
          <w:b/>
          <w:sz w:val="44"/>
          <w:szCs w:val="44"/>
        </w:rPr>
      </w:pPr>
      <w:r>
        <w:rPr>
          <w:rFonts w:hint="eastAsia" w:ascii="方正小标宋_GBK" w:hAnsi="宋体" w:eastAsia="方正小标宋_GBK"/>
          <w:b/>
          <w:sz w:val="44"/>
          <w:szCs w:val="44"/>
        </w:rPr>
        <w:t>自评报告</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根据市财政局《关于开展2020年财政支出绩效评价工作的通知》（峨财通〔2020〕36号）文件要求，我局开展了2020年学校安保经费补助项目支出绩效自评工作，现将评价结果报告如下：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项目资金申报及批复情况。</w:t>
      </w:r>
      <w:r>
        <w:rPr>
          <w:rFonts w:hint="eastAsia" w:ascii="仿宋_GB2312" w:eastAsia="仿宋_GB2312" w:hAnsiTheme="minorEastAsia"/>
          <w:sz w:val="32"/>
          <w:szCs w:val="32"/>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2020年，市人大批复教育系统年初预算“学校安保经费补助”10.5万元，预算人数为3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宿管人员工资发放。</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2020年，该项目预算资金</w:t>
      </w:r>
      <w:r>
        <w:rPr>
          <w:rFonts w:hint="eastAsia" w:ascii="仿宋_GB2312" w:hAnsi="宋体" w:eastAsia="仿宋_GB2312"/>
          <w:sz w:val="32"/>
          <w:szCs w:val="32"/>
        </w:rPr>
        <w:t>10.5</w:t>
      </w:r>
      <w:r>
        <w:rPr>
          <w:rFonts w:hint="eastAsia" w:ascii="仿宋_GB2312" w:hAnsi="宋体" w:eastAsia="仿宋_GB2312"/>
          <w:sz w:val="32"/>
          <w:szCs w:val="32"/>
          <w:lang w:val="zh-CN"/>
        </w:rPr>
        <w:t>万元，年末市财政调减预算指标</w:t>
      </w:r>
      <w:r>
        <w:rPr>
          <w:rFonts w:hint="eastAsia" w:ascii="仿宋_GB2312" w:hAnsi="宋体" w:eastAsia="仿宋_GB2312"/>
          <w:sz w:val="32"/>
          <w:szCs w:val="32"/>
        </w:rPr>
        <w:t>10.5</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2020年，该项目预算资金</w:t>
      </w:r>
      <w:r>
        <w:rPr>
          <w:rFonts w:hint="eastAsia" w:ascii="仿宋_GB2312" w:hAnsi="宋体" w:eastAsia="仿宋_GB2312"/>
          <w:sz w:val="32"/>
          <w:szCs w:val="32"/>
        </w:rPr>
        <w:t>10.5</w:t>
      </w:r>
      <w:r>
        <w:rPr>
          <w:rFonts w:hint="eastAsia" w:ascii="仿宋_GB2312" w:hAnsi="宋体" w:eastAsia="仿宋_GB2312"/>
          <w:sz w:val="32"/>
          <w:szCs w:val="32"/>
          <w:lang w:val="zh-CN"/>
        </w:rPr>
        <w:t>万元，年末市财政调减预算指标</w:t>
      </w:r>
      <w:r>
        <w:rPr>
          <w:rFonts w:hint="eastAsia" w:ascii="仿宋_GB2312" w:hAnsi="宋体" w:eastAsia="仿宋_GB2312"/>
          <w:sz w:val="32"/>
          <w:szCs w:val="32"/>
        </w:rPr>
        <w:t>10.5</w:t>
      </w:r>
      <w:r>
        <w:rPr>
          <w:rFonts w:hint="eastAsia" w:ascii="仿宋_GB2312" w:hAnsi="宋体" w:eastAsia="仿宋_GB2312"/>
          <w:sz w:val="32"/>
          <w:szCs w:val="32"/>
          <w:lang w:val="zh-CN"/>
        </w:rPr>
        <w:t>万元。项目由市教育局汇总学校情况，制定拨款报告给市财政局，市财政局审核后，将项目指标分解下达各学校并进行资金拨付。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2020年，分春秋两季拨付资金，春季学期在6月前，秋季拨付在11月前。拨付时间绩效目标完成率100%，拨付资金额度完成率100%。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2020年，该项目实际使用资金</w:t>
      </w:r>
      <w:r>
        <w:rPr>
          <w:rFonts w:hint="eastAsia" w:ascii="仿宋_GB2312" w:hAnsi="宋体" w:eastAsia="仿宋_GB2312"/>
          <w:sz w:val="32"/>
          <w:szCs w:val="32"/>
        </w:rPr>
        <w:t>10.5</w:t>
      </w:r>
      <w:r>
        <w:rPr>
          <w:rFonts w:hint="eastAsia" w:ascii="仿宋_GB2312" w:hAnsi="宋体" w:eastAsia="仿宋_GB2312"/>
          <w:sz w:val="32"/>
          <w:szCs w:val="32"/>
          <w:lang w:val="zh-CN"/>
        </w:rPr>
        <w:t>万元，全额用于发放学校聘请的保安、宿管人员工资。项目开支范围、标准及支付进度、支付依据均合规合法，资金支付与预算相符。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该项目对照预算，截止2020年12月31日，下达预算指标10.5万元，年末调减预算指标10.5万元，实际下达预算指标</w:t>
      </w:r>
      <w:r>
        <w:rPr>
          <w:rFonts w:hint="eastAsia" w:ascii="仿宋_GB2312" w:hAnsi="宋体" w:eastAsia="仿宋_GB2312"/>
          <w:sz w:val="32"/>
          <w:szCs w:val="32"/>
        </w:rPr>
        <w:t>10.5</w:t>
      </w:r>
      <w:r>
        <w:rPr>
          <w:rFonts w:hint="eastAsia" w:ascii="仿宋_GB2312" w:hAnsi="宋体" w:eastAsia="仿宋_GB2312"/>
          <w:sz w:val="32"/>
          <w:szCs w:val="32"/>
          <w:lang w:val="zh-CN"/>
        </w:rPr>
        <w:t>万元。预算指标和资金拨付分春秋两季下达，全年使用资金</w:t>
      </w:r>
      <w:r>
        <w:rPr>
          <w:rFonts w:hint="eastAsia" w:ascii="仿宋_GB2312" w:hAnsi="宋体" w:eastAsia="仿宋_GB2312"/>
          <w:sz w:val="32"/>
          <w:szCs w:val="32"/>
        </w:rPr>
        <w:t>10.5</w:t>
      </w:r>
      <w:r>
        <w:rPr>
          <w:rFonts w:hint="eastAsia" w:ascii="仿宋_GB2312" w:hAnsi="宋体" w:eastAsia="仿宋_GB2312"/>
          <w:sz w:val="32"/>
          <w:szCs w:val="32"/>
          <w:lang w:val="zh-CN"/>
        </w:rPr>
        <w:t>万元。资金拨付进度、拨付总额达到预期安排，项目完成情况较好，完成率100%。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eastAsia="仿宋_GB2312" w:hAnsiTheme="minorEastAsia"/>
          <w:sz w:val="32"/>
          <w:szCs w:val="32"/>
        </w:rPr>
        <w:t>项目实施切实保障义教段公办学校按要求配齐、配足保安人员，公办寄宿制学校配足、配齐宿管人员，避免学校因经费不足导致安保人员配备不达标、或拖欠安保人员工资等情况发生。对加强我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保证了学校教育教学正常秩序，</w:t>
      </w:r>
      <w:r>
        <w:rPr>
          <w:rFonts w:hint="eastAsia" w:ascii="仿宋_GB2312" w:eastAsia="仿宋_GB2312" w:hAnsiTheme="minorEastAsia"/>
          <w:sz w:val="32"/>
          <w:szCs w:val="32"/>
        </w:rPr>
        <w:t>该项目实施的社会效益、经济效益明显</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eastAsia="仿宋_GB2312" w:hAnsiTheme="minor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pPr>
        <w:spacing w:line="600" w:lineRule="exact"/>
        <w:ind w:right="640"/>
        <w:jc w:val="right"/>
        <w:rPr>
          <w:rFonts w:ascii="仿宋_GB2312" w:eastAsia="仿宋_GB2312" w:hAnsiTheme="minorEastAsia"/>
          <w:sz w:val="32"/>
          <w:szCs w:val="32"/>
        </w:rPr>
      </w:pPr>
    </w:p>
    <w:p>
      <w:pPr>
        <w:spacing w:line="600" w:lineRule="exact"/>
        <w:ind w:right="640"/>
        <w:jc w:val="right"/>
        <w:rPr>
          <w:rFonts w:ascii="仿宋_GB2312" w:eastAsia="仿宋_GB2312" w:hAnsiTheme="minorEastAsia"/>
          <w:sz w:val="32"/>
          <w:szCs w:val="32"/>
        </w:rPr>
      </w:pPr>
      <w:r>
        <w:rPr>
          <w:rFonts w:hint="eastAsia" w:ascii="仿宋_GB2312" w:eastAsia="仿宋_GB2312" w:hAnsiTheme="minorEastAsia"/>
          <w:sz w:val="32"/>
          <w:szCs w:val="32"/>
        </w:rPr>
        <w:t>峨眉山市峨山镇小学校</w:t>
      </w:r>
    </w:p>
    <w:p>
      <w:pPr>
        <w:spacing w:line="600" w:lineRule="exact"/>
        <w:ind w:right="640" w:firstLine="4752" w:firstLineChars="1485"/>
        <w:rPr>
          <w:sz w:val="32"/>
          <w:szCs w:val="32"/>
        </w:rPr>
      </w:pPr>
      <w:r>
        <w:rPr>
          <w:rFonts w:hint="eastAsia" w:ascii="仿宋_GB2312" w:eastAsia="仿宋_GB2312" w:hAnsiTheme="minorEastAsia"/>
          <w:sz w:val="32"/>
          <w:szCs w:val="32"/>
        </w:rPr>
        <w:t>2021年08月2日</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CFE3C4A"/>
    <w:multiLevelType w:val="singleLevel"/>
    <w:tmpl w:val="DCFE3C4A"/>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098B65E7"/>
    <w:multiLevelType w:val="singleLevel"/>
    <w:tmpl w:val="098B65E7"/>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E571B"/>
    <w:rsid w:val="002F1818"/>
    <w:rsid w:val="002F567B"/>
    <w:rsid w:val="003216A9"/>
    <w:rsid w:val="00335A74"/>
    <w:rsid w:val="00352E06"/>
    <w:rsid w:val="0036561B"/>
    <w:rsid w:val="0037013F"/>
    <w:rsid w:val="00380C92"/>
    <w:rsid w:val="003A484F"/>
    <w:rsid w:val="003A4883"/>
    <w:rsid w:val="003B0BE0"/>
    <w:rsid w:val="003B0C1B"/>
    <w:rsid w:val="003B688C"/>
    <w:rsid w:val="003C0291"/>
    <w:rsid w:val="003C2591"/>
    <w:rsid w:val="003C39AE"/>
    <w:rsid w:val="003C7B60"/>
    <w:rsid w:val="003D0C0F"/>
    <w:rsid w:val="003D1FB2"/>
    <w:rsid w:val="003D66DA"/>
    <w:rsid w:val="003E1310"/>
    <w:rsid w:val="003E6F55"/>
    <w:rsid w:val="00406254"/>
    <w:rsid w:val="00416CD4"/>
    <w:rsid w:val="004223DE"/>
    <w:rsid w:val="0042555A"/>
    <w:rsid w:val="00434489"/>
    <w:rsid w:val="00437085"/>
    <w:rsid w:val="00443880"/>
    <w:rsid w:val="004464F4"/>
    <w:rsid w:val="00457703"/>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A7EC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2498"/>
    <w:rsid w:val="0075404D"/>
    <w:rsid w:val="0076182A"/>
    <w:rsid w:val="00767B7E"/>
    <w:rsid w:val="00772C13"/>
    <w:rsid w:val="007770C3"/>
    <w:rsid w:val="00784D24"/>
    <w:rsid w:val="00785FBA"/>
    <w:rsid w:val="00786E4A"/>
    <w:rsid w:val="007875EB"/>
    <w:rsid w:val="0079426B"/>
    <w:rsid w:val="007B56B4"/>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63215"/>
    <w:rsid w:val="00871F71"/>
    <w:rsid w:val="00872FD8"/>
    <w:rsid w:val="00885AF4"/>
    <w:rsid w:val="00892FD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526D"/>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1177"/>
    <w:rsid w:val="00A237D8"/>
    <w:rsid w:val="00A268C4"/>
    <w:rsid w:val="00A307CD"/>
    <w:rsid w:val="00A331C8"/>
    <w:rsid w:val="00A35117"/>
    <w:rsid w:val="00A40A00"/>
    <w:rsid w:val="00A4142F"/>
    <w:rsid w:val="00A422EB"/>
    <w:rsid w:val="00A45BB7"/>
    <w:rsid w:val="00A56DF2"/>
    <w:rsid w:val="00A56E6E"/>
    <w:rsid w:val="00A630FA"/>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44BF"/>
    <w:rsid w:val="00B35F3F"/>
    <w:rsid w:val="00B36CBB"/>
    <w:rsid w:val="00B425E0"/>
    <w:rsid w:val="00B440AA"/>
    <w:rsid w:val="00B44B70"/>
    <w:rsid w:val="00B53C56"/>
    <w:rsid w:val="00B57DAF"/>
    <w:rsid w:val="00B75B1A"/>
    <w:rsid w:val="00B77EA6"/>
    <w:rsid w:val="00B81598"/>
    <w:rsid w:val="00B841F1"/>
    <w:rsid w:val="00B944D6"/>
    <w:rsid w:val="00BA53DA"/>
    <w:rsid w:val="00BB4DF0"/>
    <w:rsid w:val="00BB6BA1"/>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2992"/>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31F2"/>
    <w:rsid w:val="00D7035F"/>
    <w:rsid w:val="00D817B4"/>
    <w:rsid w:val="00D93CB7"/>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673D5"/>
    <w:rsid w:val="00E82267"/>
    <w:rsid w:val="00E853CE"/>
    <w:rsid w:val="00E867B6"/>
    <w:rsid w:val="00E87F08"/>
    <w:rsid w:val="00EA010F"/>
    <w:rsid w:val="00EC5EF0"/>
    <w:rsid w:val="00ED1B63"/>
    <w:rsid w:val="00ED3C1F"/>
    <w:rsid w:val="00ED4085"/>
    <w:rsid w:val="00ED420E"/>
    <w:rsid w:val="00ED6FBE"/>
    <w:rsid w:val="00EE2F57"/>
    <w:rsid w:val="00EF4C34"/>
    <w:rsid w:val="00EF77C6"/>
    <w:rsid w:val="00F05438"/>
    <w:rsid w:val="00F1361C"/>
    <w:rsid w:val="00F156F0"/>
    <w:rsid w:val="00F160C7"/>
    <w:rsid w:val="00F22BD1"/>
    <w:rsid w:val="00F2408F"/>
    <w:rsid w:val="00F240E9"/>
    <w:rsid w:val="00F36D8F"/>
    <w:rsid w:val="00F417B1"/>
    <w:rsid w:val="00F418A7"/>
    <w:rsid w:val="00F45853"/>
    <w:rsid w:val="00F602DF"/>
    <w:rsid w:val="00F621DD"/>
    <w:rsid w:val="00F754A1"/>
    <w:rsid w:val="00F81FD9"/>
    <w:rsid w:val="00F841AA"/>
    <w:rsid w:val="00F84A94"/>
    <w:rsid w:val="00F87E96"/>
    <w:rsid w:val="00F9619D"/>
    <w:rsid w:val="00FA23E8"/>
    <w:rsid w:val="00FC0B3D"/>
    <w:rsid w:val="00FD3CC1"/>
    <w:rsid w:val="00FF1E02"/>
    <w:rsid w:val="00FF30B4"/>
    <w:rsid w:val="03365D29"/>
    <w:rsid w:val="03450337"/>
    <w:rsid w:val="04D63603"/>
    <w:rsid w:val="062543BB"/>
    <w:rsid w:val="088D22D9"/>
    <w:rsid w:val="0AE95173"/>
    <w:rsid w:val="0FE1081A"/>
    <w:rsid w:val="10C055FF"/>
    <w:rsid w:val="10D247E6"/>
    <w:rsid w:val="11CA5287"/>
    <w:rsid w:val="16BB723D"/>
    <w:rsid w:val="17220CEC"/>
    <w:rsid w:val="19553725"/>
    <w:rsid w:val="1DA43327"/>
    <w:rsid w:val="21710033"/>
    <w:rsid w:val="22023BA6"/>
    <w:rsid w:val="22BE25A4"/>
    <w:rsid w:val="240371BF"/>
    <w:rsid w:val="26AE5803"/>
    <w:rsid w:val="29FD04D3"/>
    <w:rsid w:val="2C376CF0"/>
    <w:rsid w:val="2DE12B41"/>
    <w:rsid w:val="2E0771DA"/>
    <w:rsid w:val="2F435FE7"/>
    <w:rsid w:val="300B4998"/>
    <w:rsid w:val="31140976"/>
    <w:rsid w:val="319F7F4E"/>
    <w:rsid w:val="352E688A"/>
    <w:rsid w:val="390C01E9"/>
    <w:rsid w:val="3A100939"/>
    <w:rsid w:val="3C577859"/>
    <w:rsid w:val="412B29C3"/>
    <w:rsid w:val="422207B4"/>
    <w:rsid w:val="427A32F0"/>
    <w:rsid w:val="44462BD7"/>
    <w:rsid w:val="4889677D"/>
    <w:rsid w:val="49F03D60"/>
    <w:rsid w:val="4A2D71A7"/>
    <w:rsid w:val="4A870710"/>
    <w:rsid w:val="4C987A49"/>
    <w:rsid w:val="4D3D4DAB"/>
    <w:rsid w:val="4E2567D1"/>
    <w:rsid w:val="4ECE2238"/>
    <w:rsid w:val="4ED977CD"/>
    <w:rsid w:val="5281563B"/>
    <w:rsid w:val="55502C5B"/>
    <w:rsid w:val="58502199"/>
    <w:rsid w:val="5E2262CB"/>
    <w:rsid w:val="60F25EEB"/>
    <w:rsid w:val="67225C54"/>
    <w:rsid w:val="675F26F6"/>
    <w:rsid w:val="6BF86CE7"/>
    <w:rsid w:val="6F15064D"/>
    <w:rsid w:val="6F613E3D"/>
    <w:rsid w:val="705A4579"/>
    <w:rsid w:val="7151016E"/>
    <w:rsid w:val="71D00172"/>
    <w:rsid w:val="72734D90"/>
    <w:rsid w:val="7366737E"/>
    <w:rsid w:val="7511456D"/>
    <w:rsid w:val="7A660B1F"/>
    <w:rsid w:val="7B9409D3"/>
    <w:rsid w:val="7D9A41DF"/>
    <w:rsid w:val="7DEC7F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Administrator\Desktop\&#26032;&#24314;&#25991;&#20214;&#22841;%20(6)\&#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Administrator\Desktop\&#19978;&#25253;\&#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Administrator\Desktop\&#19978;&#25253;\&#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Administrator\Desktop\&#19978;&#25253;\&#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s\Administrator\Desktop\&#19978;&#25253;\&#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ers\Administrator\Desktop\&#19978;&#25253;\&#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6771653543307"/>
          <c:y val="0.0730593607305936"/>
          <c:w val="0.754891462096651"/>
          <c:h val="0.684413044259879"/>
        </c:manualLayout>
      </c:layout>
      <c:barChart>
        <c:barDir val="col"/>
        <c:grouping val="stacked"/>
        <c:varyColors val="0"/>
        <c:ser>
          <c:idx val="0"/>
          <c:order val="0"/>
          <c:spPr>
            <a:solidFill>
              <a:srgbClr val="4F81BD"/>
            </a:solidFill>
            <a:ln w="25400">
              <a:noFill/>
            </a:ln>
          </c:spPr>
          <c:invertIfNegative val="0"/>
          <c:dLbls>
            <c:delete val="1"/>
          </c:dLbls>
          <c:cat>
            <c:strRef>
              <c:f>Sheet1!$A$128:$A$131</c:f>
              <c:strCache>
                <c:ptCount val="2"/>
                <c:pt idx="0">
                  <c:v>2019年收、支</c:v>
                </c:pt>
                <c:pt idx="1">
                  <c:v>2020年收、支</c:v>
                </c:pt>
              </c:strCache>
            </c:strRef>
          </c:cat>
          <c:val>
            <c:numRef>
              <c:f>Sheet1!$B$128:$B$131</c:f>
              <c:numCache>
                <c:formatCode>General</c:formatCode>
                <c:ptCount val="4"/>
                <c:pt idx="0">
                  <c:v>136.7</c:v>
                </c:pt>
                <c:pt idx="1">
                  <c:v>132.01</c:v>
                </c:pt>
              </c:numCache>
            </c:numRef>
          </c:val>
        </c:ser>
        <c:dLbls>
          <c:showLegendKey val="0"/>
          <c:showVal val="0"/>
          <c:showCatName val="0"/>
          <c:showSerName val="0"/>
          <c:showPercent val="0"/>
          <c:showBubbleSize val="0"/>
        </c:dLbls>
        <c:gapWidth val="150"/>
        <c:overlap val="100"/>
        <c:axId val="141505664"/>
        <c:axId val="141507200"/>
      </c:barChart>
      <c:catAx>
        <c:axId val="14150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27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41507200"/>
        <c:crosses val="autoZero"/>
        <c:auto val="1"/>
        <c:lblAlgn val="ctr"/>
        <c:lblOffset val="100"/>
        <c:noMultiLvlLbl val="0"/>
      </c:catAx>
      <c:valAx>
        <c:axId val="1415072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41505664"/>
        <c:crosses val="autoZero"/>
        <c:crossBetween val="between"/>
      </c:valAx>
      <c:spPr>
        <a:noFill/>
        <a:ln w="25400">
          <a:noFill/>
        </a:ln>
      </c:spPr>
    </c:plotArea>
    <c:legend>
      <c:legendPos val="r"/>
      <c:layout/>
      <c:overlay val="0"/>
      <c:spPr>
        <a:noFill/>
        <a:ln w="25400">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88097112860893"/>
                  <c:y val="0.009411636045494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8"/>
                  <c:y val="0.02798447069116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633.95</c:v>
                </c:pt>
                <c:pt idx="1">
                  <c:v>5.29</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1"/>
                  <c:y val="0.02567111402741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622.04</c:v>
                </c:pt>
                <c:pt idx="1">
                  <c:v>17.13</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5"/>
          <c:h val="0.828939195100612"/>
        </c:manualLayout>
      </c:layout>
      <c:barChart>
        <c:barDir val="col"/>
        <c:grouping val="clustered"/>
        <c:varyColors val="0"/>
        <c:ser>
          <c:idx val="0"/>
          <c:order val="0"/>
          <c:invertIfNegative val="0"/>
          <c:dLbls>
            <c:delete val="1"/>
          </c:dLbls>
          <c:cat>
            <c:strRef>
              <c:f>Sheet1!$A$38:$A$39</c:f>
              <c:strCache>
                <c:ptCount val="2"/>
                <c:pt idx="0">
                  <c:v>2020年财政拨款收支</c:v>
                </c:pt>
                <c:pt idx="1">
                  <c:v>2019年财政拨款收支</c:v>
                </c:pt>
              </c:strCache>
            </c:strRef>
          </c:cat>
          <c:val>
            <c:numRef>
              <c:f>Sheet1!$B$38:$B$39</c:f>
              <c:numCache>
                <c:formatCode>General</c:formatCode>
                <c:ptCount val="2"/>
                <c:pt idx="0">
                  <c:v>646.33</c:v>
                </c:pt>
                <c:pt idx="1">
                  <c:v>631.64</c:v>
                </c:pt>
              </c:numCache>
            </c:numRef>
          </c:val>
        </c:ser>
        <c:dLbls>
          <c:showLegendKey val="0"/>
          <c:showVal val="0"/>
          <c:showCatName val="0"/>
          <c:showSerName val="0"/>
          <c:showPercent val="0"/>
          <c:showBubbleSize val="0"/>
        </c:dLbls>
        <c:gapWidth val="150"/>
        <c:axId val="141843072"/>
        <c:axId val="141853056"/>
      </c:barChart>
      <c:catAx>
        <c:axId val="141843072"/>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1853056"/>
        <c:crosses val="autoZero"/>
        <c:auto val="1"/>
        <c:lblAlgn val="ctr"/>
        <c:lblOffset val="100"/>
        <c:noMultiLvlLbl val="0"/>
      </c:catAx>
      <c:valAx>
        <c:axId val="141853056"/>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1843072"/>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rgbClr val="4F81BD"/>
            </a:solidFill>
            <a:ln w="25400">
              <a:noFill/>
            </a:ln>
          </c:spPr>
          <c:invertIfNegative val="0"/>
          <c:dLbls>
            <c:delete val="1"/>
          </c:dLbls>
          <c:cat>
            <c:strRef>
              <c:f>Sheet1!$A$59:$A$60</c:f>
              <c:strCache>
                <c:ptCount val="2"/>
                <c:pt idx="0">
                  <c:v>2020年度一般公共预算财政拨款支出</c:v>
                </c:pt>
                <c:pt idx="1">
                  <c:v>2019年度一般公共预算财政拨款支出</c:v>
                </c:pt>
              </c:strCache>
            </c:strRef>
          </c:cat>
          <c:val>
            <c:numRef>
              <c:f>Sheet1!$B$59:$B$60</c:f>
              <c:numCache>
                <c:formatCode>General</c:formatCode>
                <c:ptCount val="2"/>
                <c:pt idx="0">
                  <c:v>633.44</c:v>
                </c:pt>
                <c:pt idx="1" c:formatCode="0.00_ ">
                  <c:v>624.55</c:v>
                </c:pt>
              </c:numCache>
            </c:numRef>
          </c:val>
        </c:ser>
        <c:dLbls>
          <c:showLegendKey val="0"/>
          <c:showVal val="0"/>
          <c:showCatName val="0"/>
          <c:showSerName val="0"/>
          <c:showPercent val="0"/>
          <c:showBubbleSize val="0"/>
        </c:dLbls>
        <c:gapWidth val="150"/>
        <c:overlap val="100"/>
        <c:axId val="141881344"/>
        <c:axId val="141882880"/>
      </c:barChart>
      <c:catAx>
        <c:axId val="14188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41882880"/>
        <c:crosses val="autoZero"/>
        <c:auto val="1"/>
        <c:lblAlgn val="ctr"/>
        <c:lblOffset val="100"/>
        <c:noMultiLvlLbl val="0"/>
      </c:catAx>
      <c:valAx>
        <c:axId val="1418828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4188134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381003488060102"/>
          <c:y val="0.0641025641025641"/>
          <c:w val="0.656023611483768"/>
          <c:h val="0.834615384615385"/>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Sheet1!$B$79:$B$85</c:f>
              <c:numCache>
                <c:formatCode>General</c:formatCode>
                <c:ptCount val="7"/>
                <c:pt idx="0">
                  <c:v>0</c:v>
                </c:pt>
                <c:pt idx="1">
                  <c:v>0</c:v>
                </c:pt>
                <c:pt idx="2">
                  <c:v>477.78</c:v>
                </c:pt>
                <c:pt idx="3">
                  <c:v>83.21</c:v>
                </c:pt>
                <c:pt idx="4">
                  <c:v>19.75</c:v>
                </c:pt>
                <c:pt idx="5">
                  <c:v>0</c:v>
                </c:pt>
                <c:pt idx="6">
                  <c:v>52.7</c:v>
                </c:pt>
              </c:numCache>
            </c:numRef>
          </c:val>
        </c:ser>
        <c:dLbls>
          <c:showLegendKey val="0"/>
          <c:showVal val="1"/>
          <c:showCatName val="0"/>
          <c:showSerName val="0"/>
          <c:showPercent val="0"/>
          <c:showBubbleSize val="0"/>
        </c:dLbls>
      </c:pie3DChart>
      <c:spPr>
        <a:noFill/>
        <a:ln w="25400">
          <a:noFill/>
        </a:ln>
      </c:spPr>
    </c:plotArea>
    <c:legend>
      <c:legendPos val="r"/>
      <c:layout>
        <c:manualLayout>
          <c:xMode val="edge"/>
          <c:yMode val="edge"/>
          <c:x val="0.712500092418026"/>
          <c:y val="0.16399993270072"/>
          <c:w val="0.255500034326695"/>
          <c:h val="0.633499899051081"/>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16966-9CCA-4E29-A8FE-1A57A0F2213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14391</Words>
  <Characters>2605</Characters>
  <Lines>21</Lines>
  <Paragraphs>33</Paragraphs>
  <TotalTime>204</TotalTime>
  <ScaleCrop>false</ScaleCrop>
  <LinksUpToDate>false</LinksUpToDate>
  <CharactersWithSpaces>16963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2020-07-23T02:58:00Z</cp:lastPrinted>
  <dcterms:modified xsi:type="dcterms:W3CDTF">2025-07-11T03:08:10Z</dcterms:modified>
  <dc:title>四川省***</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3EF4AC12A3F443F28501F1269E850F98</vt:lpwstr>
  </property>
</Properties>
</file>