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仿宋" w:hAnsi="仿宋" w:eastAsia="仿宋"/>
          <w:color w:val="000000"/>
          <w:sz w:val="72"/>
          <w:szCs w:val="72"/>
        </w:rPr>
      </w:pPr>
      <w:bookmarkStart w:id="0" w:name="_Toc15378441"/>
      <w:bookmarkStart w:id="1" w:name="_Toc15396475"/>
      <w:bookmarkStart w:id="2" w:name="_Toc15377425"/>
      <w:bookmarkStart w:id="3" w:name="_Toc15396597"/>
      <w:bookmarkStart w:id="4" w:name="_Toc15377193"/>
    </w:p>
    <w:p>
      <w:pPr>
        <w:adjustRightInd w:val="0"/>
        <w:snapToGrid w:val="0"/>
        <w:spacing w:line="360" w:lineRule="auto"/>
        <w:ind w:firstLine="1440" w:firstLineChars="200"/>
        <w:outlineLvl w:val="0"/>
        <w:rPr>
          <w:rFonts w:ascii="仿宋" w:hAnsi="仿宋" w:eastAsia="仿宋"/>
          <w:color w:val="000000"/>
          <w:sz w:val="48"/>
          <w:szCs w:val="48"/>
        </w:rPr>
        <w:sectPr>
          <w:pgSz w:w="11906" w:h="16838"/>
          <w:pgMar w:top="1440" w:right="1800" w:bottom="1440" w:left="1800" w:header="851" w:footer="992" w:gutter="0"/>
          <w:pgNumType w:start="0"/>
          <w:cols w:space="425" w:num="1"/>
          <w:docGrid w:type="lines" w:linePitch="312" w:charSpace="0"/>
        </w:sectPr>
      </w:pPr>
      <w:r>
        <w:rPr>
          <w:rFonts w:hint="eastAsia" w:ascii="仿宋" w:hAnsi="仿宋" w:eastAsia="仿宋"/>
          <w:color w:val="000000"/>
          <w:sz w:val="72"/>
          <w:szCs w:val="72"/>
        </w:rPr>
        <w:t>关于编制</w:t>
      </w:r>
      <w:r>
        <w:rPr>
          <w:rFonts w:ascii="仿宋" w:hAnsi="仿宋" w:eastAsia="仿宋"/>
          <w:color w:val="000000"/>
          <w:sz w:val="72"/>
          <w:szCs w:val="72"/>
        </w:rPr>
        <w:t>20</w:t>
      </w:r>
      <w:r>
        <w:rPr>
          <w:rFonts w:hint="eastAsia" w:ascii="仿宋" w:hAnsi="仿宋" w:eastAsia="仿宋"/>
          <w:color w:val="000000"/>
          <w:sz w:val="72"/>
          <w:szCs w:val="72"/>
        </w:rPr>
        <w:t>20年度</w:t>
      </w:r>
      <w:bookmarkEnd w:id="0"/>
      <w:bookmarkEnd w:id="1"/>
      <w:bookmarkEnd w:id="2"/>
      <w:bookmarkEnd w:id="3"/>
      <w:bookmarkEnd w:id="4"/>
      <w:r>
        <w:rPr>
          <w:rFonts w:hint="eastAsia" w:ascii="仿宋" w:hAnsi="仿宋" w:eastAsia="仿宋"/>
          <w:color w:val="000000"/>
          <w:sz w:val="72"/>
          <w:szCs w:val="72"/>
        </w:rPr>
        <w:t>四川省</w:t>
      </w:r>
      <w:bookmarkStart w:id="5" w:name="_Toc15396476"/>
      <w:bookmarkStart w:id="6" w:name="_Toc15378442"/>
      <w:bookmarkStart w:id="7" w:name="_Toc15396598"/>
      <w:bookmarkStart w:id="8" w:name="_Toc15306268"/>
      <w:bookmarkStart w:id="9" w:name="_Toc15377194"/>
      <w:bookmarkStart w:id="10" w:name="_Toc15377426"/>
      <w:r>
        <w:rPr>
          <w:rFonts w:hint="eastAsia" w:ascii="仿宋" w:hAnsi="仿宋" w:eastAsia="仿宋"/>
          <w:color w:val="000000"/>
          <w:sz w:val="72"/>
          <w:szCs w:val="72"/>
        </w:rPr>
        <w:t>乐山市峨眉山市规划建设服务中心（本级）部门决算</w:t>
      </w:r>
      <w:bookmarkEnd w:id="5"/>
      <w:bookmarkEnd w:id="6"/>
      <w:bookmarkEnd w:id="7"/>
      <w:bookmarkEnd w:id="8"/>
      <w:bookmarkEnd w:id="9"/>
      <w:bookmarkEnd w:id="10"/>
      <w:r>
        <w:rPr>
          <w:rFonts w:hint="eastAsia" w:ascii="仿宋" w:hAnsi="仿宋" w:eastAsia="仿宋"/>
          <w:color w:val="000000"/>
          <w:sz w:val="72"/>
          <w:szCs w:val="72"/>
        </w:rPr>
        <w:t>的说明</w:t>
      </w:r>
    </w:p>
    <w:p>
      <w:pPr>
        <w:widowControl/>
        <w:jc w:val="center"/>
        <w:rPr>
          <w:rFonts w:ascii="仿宋" w:hAnsi="仿宋" w:eastAsia="仿宋"/>
          <w:color w:val="000000"/>
          <w:sz w:val="48"/>
          <w:szCs w:val="48"/>
        </w:rPr>
      </w:pPr>
      <w:r>
        <w:rPr>
          <w:rFonts w:hint="eastAsia" w:ascii="仿宋" w:hAnsi="仿宋" w:eastAsia="仿宋"/>
          <w:color w:val="000000"/>
          <w:sz w:val="48"/>
          <w:szCs w:val="48"/>
        </w:rPr>
        <w:t>目录</w:t>
      </w:r>
    </w:p>
    <w:p>
      <w:pPr>
        <w:widowControl/>
        <w:jc w:val="center"/>
        <w:rPr>
          <w:rFonts w:ascii="仿宋" w:hAnsi="仿宋" w:eastAsia="仿宋" w:cstheme="minorBidi"/>
          <w:sz w:val="28"/>
          <w:szCs w:val="28"/>
        </w:rPr>
      </w:pPr>
    </w:p>
    <w:p>
      <w:pPr>
        <w:pStyle w:val="8"/>
      </w:pPr>
      <w:r>
        <w:rPr>
          <w:rFonts w:hint="eastAsia"/>
        </w:rPr>
        <w:t>公开时间：2021年10月26日</w:t>
      </w:r>
    </w:p>
    <w:p>
      <w:pPr>
        <w:rPr>
          <w:rFonts w:ascii="仿宋" w:hAnsi="仿宋" w:eastAsia="仿宋"/>
        </w:rPr>
      </w:pPr>
    </w:p>
    <w:p>
      <w:pPr>
        <w:pStyle w:val="8"/>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8"/>
        <w:adjustRightInd w:val="0"/>
        <w:snapToGrid w:val="0"/>
        <w:spacing w:before="0" w:line="440" w:lineRule="exact"/>
        <w:jc w:val="left"/>
        <w:rPr>
          <w:sz w:val="24"/>
          <w:szCs w:val="24"/>
        </w:rPr>
      </w:pPr>
      <w:r>
        <w:rPr>
          <w:rFonts w:hint="eastAsia"/>
          <w:sz w:val="24"/>
        </w:rPr>
        <w:t>第二部分度部门决算情况说明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9"/>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3"/>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8"/>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8"/>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附件</w:t>
      </w:r>
      <w:r>
        <w:rPr>
          <w:rFonts w:ascii="仿宋" w:hAnsi="仿宋" w:eastAsia="仿宋"/>
          <w:sz w:val="24"/>
        </w:rPr>
        <w:t>1</w:t>
      </w:r>
    </w:p>
    <w:p>
      <w:pPr>
        <w:pStyle w:val="8"/>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二、收入决算表</w:t>
      </w:r>
    </w:p>
    <w:p>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三、支出决算表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9"/>
        <w:adjustRightInd w:val="0"/>
        <w:snapToGrid w:val="0"/>
        <w:spacing w:line="440" w:lineRule="exact"/>
        <w:jc w:val="left"/>
        <w:rPr>
          <w:rFonts w:ascii="仿宋" w:hAnsi="仿宋" w:eastAsia="仿宋" w:cs="宋体"/>
          <w:sz w:val="24"/>
        </w:rPr>
      </w:pPr>
      <w:r>
        <w:rPr>
          <w:rFonts w:hint="eastAsia" w:ascii="仿宋" w:hAnsi="仿宋" w:eastAsia="仿宋" w:cs="宋体"/>
          <w:sz w:val="24"/>
        </w:rPr>
        <w:t>五、财政拨款支出决算明细表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ind w:firstLine="480" w:firstLineChars="200"/>
        <w:rPr>
          <w:rFonts w:hint="eastAsia" w:ascii="仿宋" w:hAnsi="仿宋" w:eastAsia="仿宋" w:cs="Times New Roman"/>
          <w:kern w:val="2"/>
          <w:sz w:val="24"/>
          <w:szCs w:val="24"/>
          <w:lang w:val="en-US" w:eastAsia="zh-CN" w:bidi="ar-SA"/>
        </w:rPr>
      </w:pPr>
      <w:bookmarkStart w:id="11" w:name="_Toc15377196"/>
      <w:bookmarkStart w:id="12" w:name="_Toc15396599"/>
      <w:r>
        <w:rPr>
          <w:rFonts w:hint="eastAsia" w:ascii="仿宋" w:hAnsi="仿宋" w:eastAsia="仿宋" w:cs="Times New Roman"/>
          <w:kern w:val="2"/>
          <w:sz w:val="24"/>
          <w:szCs w:val="24"/>
          <w:lang w:val="en-US" w:eastAsia="zh-CN" w:bidi="ar-SA"/>
        </w:rPr>
        <w:t>十三、国有资本经营预算财政拨款收入支出决算表</w:t>
      </w:r>
    </w:p>
    <w:p>
      <w:pPr>
        <w:ind w:firstLine="480" w:firstLineChars="200"/>
        <w:rPr>
          <w:rFonts w:ascii="仿宋" w:hAnsi="仿宋" w:eastAsia="仿宋"/>
          <w:color w:val="000000"/>
          <w:sz w:val="24"/>
          <w:szCs w:val="24"/>
        </w:rPr>
      </w:pPr>
      <w:r>
        <w:rPr>
          <w:rFonts w:hint="eastAsia" w:ascii="仿宋" w:hAnsi="仿宋" w:eastAsia="仿宋" w:cs="Times New Roman"/>
          <w:kern w:val="2"/>
          <w:sz w:val="24"/>
          <w:szCs w:val="24"/>
          <w:lang w:val="en-US" w:eastAsia="zh-CN" w:bidi="ar-SA"/>
        </w:rPr>
        <w:t>十</w:t>
      </w:r>
      <w:r>
        <w:rPr>
          <w:rFonts w:hint="eastAsia" w:ascii="仿宋" w:hAnsi="仿宋" w:eastAsia="仿宋" w:cs="Times New Roman"/>
          <w:b w:val="0"/>
          <w:bCs w:val="0"/>
          <w:kern w:val="2"/>
          <w:sz w:val="24"/>
          <w:szCs w:val="24"/>
          <w:lang w:val="en-US" w:eastAsia="zh-CN" w:bidi="ar-SA"/>
        </w:rPr>
        <w:t>四、国有资本经营预算财政拨款</w:t>
      </w:r>
      <w:r>
        <w:rPr>
          <w:rStyle w:val="22"/>
          <w:rFonts w:hint="eastAsia" w:ascii="仿宋" w:hAnsi="仿宋" w:eastAsia="仿宋"/>
          <w:b w:val="0"/>
          <w:bCs w:val="0"/>
          <w:sz w:val="24"/>
          <w:szCs w:val="24"/>
        </w:rPr>
        <w:t>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14"/>
          <w:rFonts w:ascii="仿宋" w:hAnsi="仿宋" w:eastAsia="仿宋"/>
          <w:b/>
          <w:bCs w:val="0"/>
        </w:rPr>
      </w:pPr>
      <w:r>
        <w:rPr>
          <w:rFonts w:hint="eastAsia" w:ascii="仿宋" w:hAnsi="仿宋" w:eastAsia="仿宋"/>
          <w:b w:val="0"/>
        </w:rPr>
        <w:t xml:space="preserve">第一部分 </w:t>
      </w:r>
      <w:r>
        <w:rPr>
          <w:rStyle w:val="14"/>
          <w:rFonts w:hint="eastAsia" w:ascii="仿宋" w:hAnsi="仿宋" w:eastAsia="仿宋"/>
          <w:b w:val="0"/>
          <w:bCs w:val="0"/>
        </w:rPr>
        <w:t>部门概况</w:t>
      </w:r>
      <w:bookmarkEnd w:id="11"/>
      <w:bookmarkEnd w:id="12"/>
    </w:p>
    <w:p>
      <w:pPr>
        <w:widowControl/>
        <w:jc w:val="left"/>
        <w:rPr>
          <w:rFonts w:ascii="仿宋" w:hAnsi="仿宋" w:eastAsia="仿宋"/>
          <w:color w:val="000000"/>
          <w:sz w:val="32"/>
          <w:szCs w:val="32"/>
        </w:rPr>
      </w:pPr>
    </w:p>
    <w:p>
      <w:pPr>
        <w:pStyle w:val="3"/>
        <w:rPr>
          <w:rStyle w:val="15"/>
          <w:rFonts w:ascii="仿宋" w:hAnsi="仿宋" w:eastAsia="仿宋"/>
          <w:b w:val="0"/>
          <w:bCs w:val="0"/>
        </w:rPr>
      </w:pPr>
      <w:bookmarkStart w:id="13" w:name="_Toc15377197"/>
      <w:bookmarkStart w:id="14" w:name="_Toc15396600"/>
      <w:r>
        <w:rPr>
          <w:rFonts w:hint="eastAsia" w:ascii="仿宋" w:hAnsi="仿宋" w:eastAsia="仿宋"/>
          <w:b w:val="0"/>
          <w:color w:val="000000"/>
        </w:rPr>
        <w:t>一、基</w:t>
      </w:r>
      <w:r>
        <w:rPr>
          <w:rStyle w:val="15"/>
          <w:rFonts w:hint="eastAsia" w:ascii="仿宋" w:hAnsi="仿宋" w:eastAsia="仿宋"/>
          <w:b w:val="0"/>
          <w:bCs w:val="0"/>
        </w:rPr>
        <w:t>本职能及主要工作</w:t>
      </w:r>
      <w:bookmarkEnd w:id="13"/>
      <w:bookmarkEnd w:id="14"/>
    </w:p>
    <w:p>
      <w:pPr>
        <w:pStyle w:val="4"/>
        <w:adjustRightInd w:val="0"/>
        <w:snapToGrid w:val="0"/>
        <w:spacing w:before="93" w:line="600" w:lineRule="exact"/>
        <w:ind w:firstLine="672" w:firstLineChars="210"/>
        <w:outlineLvl w:val="2"/>
        <w:rPr>
          <w:rFonts w:ascii="仿宋" w:hAnsi="仿宋" w:eastAsia="仿宋"/>
          <w:bCs/>
          <w:color w:val="000000"/>
          <w:sz w:val="32"/>
          <w:szCs w:val="32"/>
        </w:rPr>
      </w:pPr>
      <w:bookmarkStart w:id="15" w:name="_Toc15378445"/>
      <w:bookmarkStart w:id="16" w:name="_Toc15377198"/>
      <w:r>
        <w:rPr>
          <w:rFonts w:hint="eastAsia" w:ascii="仿宋" w:hAnsi="仿宋" w:eastAsia="仿宋"/>
          <w:bCs/>
          <w:color w:val="000000"/>
          <w:sz w:val="32"/>
          <w:szCs w:val="32"/>
        </w:rPr>
        <w:t>（一）主要职能。</w:t>
      </w:r>
      <w:bookmarkEnd w:id="15"/>
      <w:bookmarkEnd w:id="16"/>
    </w:p>
    <w:p>
      <w:pPr>
        <w:ind w:firstLine="960" w:firstLineChars="300"/>
        <w:rPr>
          <w:rStyle w:val="18"/>
          <w:rFonts w:ascii="仿宋" w:hAnsi="仿宋" w:eastAsia="仿宋" w:cstheme="minorBidi"/>
          <w:sz w:val="32"/>
          <w:szCs w:val="32"/>
        </w:rPr>
      </w:pPr>
      <w:r>
        <w:rPr>
          <w:rStyle w:val="18"/>
          <w:rFonts w:hint="eastAsia" w:ascii="仿宋" w:hAnsi="仿宋" w:eastAsia="仿宋" w:cstheme="minorBidi"/>
          <w:sz w:val="32"/>
          <w:szCs w:val="32"/>
        </w:rPr>
        <w:t>负责为城市规划提供技术服务、技术咨询、规划资料等；负责基础测绘的编制和组织实施，对全市测绘市场进行统一指导；负责村站建设相关事务性工作；负责城乡建设档案收集、整理、保管、利用等工作。</w:t>
      </w:r>
    </w:p>
    <w:p>
      <w:pPr>
        <w:pStyle w:val="4"/>
        <w:adjustRightInd w:val="0"/>
        <w:snapToGrid w:val="0"/>
        <w:spacing w:before="93" w:line="600" w:lineRule="exact"/>
        <w:ind w:firstLine="672" w:firstLineChars="210"/>
        <w:outlineLvl w:val="2"/>
        <w:rPr>
          <w:rFonts w:ascii="仿宋" w:hAnsi="仿宋" w:eastAsia="仿宋"/>
          <w:bCs/>
          <w:color w:val="000000"/>
          <w:sz w:val="32"/>
          <w:szCs w:val="32"/>
        </w:rPr>
      </w:pPr>
      <w:bookmarkStart w:id="17" w:name="_Toc15378446"/>
      <w:bookmarkStart w:id="18"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7"/>
      <w:bookmarkEnd w:id="18"/>
    </w:p>
    <w:p>
      <w:pPr>
        <w:ind w:firstLine="960" w:firstLineChars="300"/>
        <w:rPr>
          <w:rFonts w:ascii="仿宋" w:hAnsi="仿宋" w:eastAsia="仿宋"/>
        </w:rPr>
      </w:pPr>
      <w:r>
        <w:rPr>
          <w:rStyle w:val="18"/>
          <w:rFonts w:ascii="仿宋" w:hAnsi="仿宋" w:eastAsia="仿宋"/>
          <w:sz w:val="32"/>
          <w:szCs w:val="32"/>
        </w:rPr>
        <w:t>根据创建乡村振兴示范村及去年省级示范村需编制多规合一村规划相关要求及镇、乡（街道）需求，将罗目镇廖林村、绥山镇荷叶村等19个村已列入村规划编制计划</w:t>
      </w:r>
      <w:r>
        <w:rPr>
          <w:rStyle w:val="18"/>
          <w:rFonts w:hint="eastAsia" w:ascii="仿宋" w:hAnsi="仿宋" w:eastAsia="仿宋"/>
          <w:sz w:val="32"/>
          <w:szCs w:val="32"/>
        </w:rPr>
        <w:t>。完成了</w:t>
      </w:r>
      <w:r>
        <w:rPr>
          <w:rStyle w:val="18"/>
          <w:rFonts w:ascii="仿宋" w:hAnsi="仿宋" w:eastAsia="仿宋"/>
          <w:sz w:val="32"/>
          <w:szCs w:val="32"/>
        </w:rPr>
        <w:t>国土空间规划“一张图”实施监督信息系统建设招标工作</w:t>
      </w:r>
      <w:r>
        <w:rPr>
          <w:rStyle w:val="18"/>
          <w:rFonts w:hint="eastAsia" w:ascii="仿宋" w:hAnsi="仿宋" w:eastAsia="仿宋"/>
          <w:sz w:val="32"/>
          <w:szCs w:val="32"/>
        </w:rPr>
        <w:t>。</w:t>
      </w:r>
    </w:p>
    <w:p>
      <w:pPr>
        <w:pStyle w:val="3"/>
        <w:rPr>
          <w:rStyle w:val="15"/>
          <w:rFonts w:ascii="仿宋" w:hAnsi="仿宋" w:eastAsia="仿宋"/>
          <w:b w:val="0"/>
          <w:bCs w:val="0"/>
        </w:rPr>
      </w:pPr>
      <w:bookmarkStart w:id="19" w:name="_Toc15377200"/>
      <w:bookmarkStart w:id="20" w:name="_Toc15396601"/>
      <w:r>
        <w:rPr>
          <w:rFonts w:hint="eastAsia" w:ascii="仿宋" w:hAnsi="仿宋" w:eastAsia="仿宋"/>
          <w:b w:val="0"/>
          <w:color w:val="000000"/>
        </w:rPr>
        <w:t>二、机</w:t>
      </w:r>
      <w:r>
        <w:rPr>
          <w:rStyle w:val="15"/>
          <w:rFonts w:hint="eastAsia" w:ascii="仿宋" w:hAnsi="仿宋" w:eastAsia="仿宋"/>
          <w:b w:val="0"/>
          <w:bCs w:val="0"/>
        </w:rPr>
        <w:t>构设置</w:t>
      </w:r>
      <w:bookmarkEnd w:id="19"/>
      <w:bookmarkEnd w:id="20"/>
    </w:p>
    <w:p>
      <w:pPr>
        <w:ind w:firstLine="800" w:firstLineChars="250"/>
        <w:rPr>
          <w:rFonts w:ascii="仿宋" w:hAnsi="仿宋" w:eastAsia="仿宋"/>
          <w:sz w:val="32"/>
          <w:szCs w:val="32"/>
        </w:rPr>
      </w:pPr>
      <w:r>
        <w:rPr>
          <w:rFonts w:hint="eastAsia" w:ascii="仿宋" w:hAnsi="仿宋" w:eastAsia="仿宋"/>
          <w:sz w:val="32"/>
          <w:szCs w:val="32"/>
        </w:rPr>
        <w:t>峨眉山市规划建设服务中心属于副科级一类公益事业单位，没有下属二级单位，机构改革前属于峨眉山市住建局管理，机构改革后其建设职能划归峨眉山市市住建局，规划职能划归峨眉山市自然资源局。</w:t>
      </w:r>
    </w:p>
    <w:p>
      <w:pPr>
        <w:pStyle w:val="2"/>
        <w:ind w:right="440"/>
        <w:jc w:val="right"/>
        <w:rPr>
          <w:rStyle w:val="14"/>
          <w:rFonts w:ascii="仿宋" w:hAnsi="仿宋" w:eastAsia="仿宋"/>
          <w:b w:val="0"/>
          <w:bCs w:val="0"/>
        </w:rPr>
      </w:pPr>
      <w:bookmarkStart w:id="21" w:name="_Toc15377204"/>
      <w:bookmarkStart w:id="22" w:name="_Toc15396602"/>
      <w:r>
        <w:rPr>
          <w:rFonts w:hint="eastAsia" w:ascii="仿宋" w:hAnsi="仿宋" w:eastAsia="仿宋"/>
          <w:b w:val="0"/>
          <w:color w:val="000000"/>
        </w:rPr>
        <w:t>第二部分</w:t>
      </w:r>
      <w:r>
        <w:rPr>
          <w:rFonts w:hint="eastAsia" w:ascii="仿宋" w:hAnsi="仿宋" w:eastAsia="仿宋"/>
          <w:color w:val="000000"/>
        </w:rPr>
        <w:t xml:space="preserve"> </w:t>
      </w:r>
      <w:r>
        <w:rPr>
          <w:rStyle w:val="14"/>
          <w:rFonts w:hint="eastAsia" w:ascii="仿宋" w:hAnsi="仿宋" w:eastAsia="仿宋"/>
          <w:b w:val="0"/>
          <w:bCs w:val="0"/>
        </w:rPr>
        <w:t>2020年度部门决算情况说明</w:t>
      </w:r>
      <w:bookmarkEnd w:id="21"/>
      <w:bookmarkEnd w:id="22"/>
    </w:p>
    <w:p>
      <w:pPr>
        <w:rPr>
          <w:rFonts w:ascii="仿宋" w:hAnsi="仿宋" w:eastAsia="仿宋"/>
        </w:rPr>
      </w:pPr>
    </w:p>
    <w:p>
      <w:pPr>
        <w:pStyle w:val="16"/>
        <w:numPr>
          <w:ilvl w:val="0"/>
          <w:numId w:val="2"/>
        </w:numPr>
        <w:spacing w:line="600" w:lineRule="exact"/>
        <w:ind w:firstLineChars="0"/>
        <w:outlineLvl w:val="1"/>
        <w:rPr>
          <w:rStyle w:val="15"/>
          <w:rFonts w:ascii="仿宋" w:hAnsi="仿宋" w:eastAsia="仿宋"/>
          <w:b w:val="0"/>
        </w:rPr>
      </w:pPr>
      <w:bookmarkStart w:id="23" w:name="_Toc15377205"/>
      <w:bookmarkStart w:id="24" w:name="_Toc15396603"/>
      <w:r>
        <w:rPr>
          <w:rFonts w:hint="eastAsia" w:ascii="仿宋" w:hAnsi="仿宋" w:eastAsia="仿宋"/>
          <w:color w:val="000000"/>
          <w:sz w:val="32"/>
          <w:szCs w:val="32"/>
        </w:rPr>
        <w:t>收</w:t>
      </w:r>
      <w:r>
        <w:rPr>
          <w:rStyle w:val="15"/>
          <w:rFonts w:hint="eastAsia" w:ascii="仿宋" w:hAnsi="仿宋" w:eastAsia="仿宋"/>
          <w:b w:val="0"/>
        </w:rPr>
        <w:t>入支出决算总体情况说明</w:t>
      </w:r>
      <w:bookmarkEnd w:id="23"/>
      <w:bookmarkEnd w:id="24"/>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2020年度收、支总计78.67万元。与2019年相比，收、支总计各减少514.93万元，减少86.75</w:t>
      </w:r>
      <w:r>
        <w:rPr>
          <w:rFonts w:ascii="仿宋" w:hAnsi="仿宋" w:eastAsia="仿宋"/>
          <w:color w:val="000000"/>
          <w:sz w:val="32"/>
          <w:szCs w:val="32"/>
        </w:rPr>
        <w:t>%</w:t>
      </w:r>
      <w:r>
        <w:rPr>
          <w:rFonts w:hint="eastAsia" w:ascii="仿宋" w:hAnsi="仿宋" w:eastAsia="仿宋"/>
          <w:color w:val="000000"/>
          <w:sz w:val="32"/>
          <w:szCs w:val="32"/>
        </w:rPr>
        <w:t>。主要变动原因是单位重新组建，人员减少，经费减少。</w:t>
      </w:r>
    </w:p>
    <w:p>
      <w:pPr>
        <w:rPr>
          <w:rFonts w:ascii="仿宋" w:hAnsi="仿宋" w:eastAsia="仿宋"/>
        </w:rPr>
      </w:pP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6"/>
        <w:numPr>
          <w:ilvl w:val="0"/>
          <w:numId w:val="2"/>
        </w:numPr>
        <w:spacing w:line="600" w:lineRule="exact"/>
        <w:ind w:firstLineChars="0"/>
        <w:outlineLvl w:val="1"/>
        <w:rPr>
          <w:rStyle w:val="15"/>
          <w:rFonts w:ascii="仿宋" w:hAnsi="仿宋" w:eastAsia="仿宋"/>
          <w:b w:val="0"/>
        </w:rPr>
      </w:pPr>
      <w:bookmarkStart w:id="25" w:name="_Toc15377206"/>
      <w:bookmarkStart w:id="26" w:name="_Toc15396604"/>
      <w:r>
        <w:rPr>
          <w:rFonts w:hint="eastAsia" w:ascii="仿宋" w:hAnsi="仿宋" w:eastAsia="仿宋"/>
          <w:color w:val="000000"/>
          <w:sz w:val="32"/>
          <w:szCs w:val="32"/>
        </w:rPr>
        <w:t>收</w:t>
      </w:r>
      <w:r>
        <w:rPr>
          <w:rStyle w:val="15"/>
          <w:rFonts w:hint="eastAsia" w:ascii="仿宋" w:hAnsi="仿宋" w:eastAsia="仿宋"/>
          <w:b w:val="0"/>
        </w:rPr>
        <w:t>入决算情况说明</w:t>
      </w:r>
      <w:bookmarkEnd w:id="25"/>
      <w:bookmarkEnd w:id="2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20年本年收入合计73.64万元，其中：一般公共预算财政拨款收入73.64万元，占100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w:t>
      </w:r>
    </w:p>
    <w:p>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589145" cy="3838575"/>
            <wp:effectExtent l="4445" t="5080" r="16510" b="44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numPr>
          <w:ilvl w:val="0"/>
          <w:numId w:val="2"/>
        </w:numPr>
        <w:spacing w:line="600" w:lineRule="exact"/>
        <w:ind w:firstLineChars="0"/>
        <w:outlineLvl w:val="1"/>
        <w:rPr>
          <w:rStyle w:val="15"/>
          <w:rFonts w:ascii="仿宋" w:hAnsi="仿宋" w:eastAsia="仿宋"/>
          <w:b w:val="0"/>
        </w:rPr>
      </w:pPr>
      <w:bookmarkStart w:id="27" w:name="_Toc15396605"/>
      <w:bookmarkStart w:id="28" w:name="_Toc15377207"/>
      <w:r>
        <w:rPr>
          <w:rFonts w:hint="eastAsia" w:ascii="仿宋" w:hAnsi="仿宋" w:eastAsia="仿宋"/>
          <w:color w:val="000000"/>
          <w:sz w:val="32"/>
          <w:szCs w:val="32"/>
        </w:rPr>
        <w:t>支</w:t>
      </w:r>
      <w:r>
        <w:rPr>
          <w:rStyle w:val="15"/>
          <w:rFonts w:hint="eastAsia" w:ascii="仿宋" w:hAnsi="仿宋" w:eastAsia="仿宋"/>
          <w:b w:val="0"/>
        </w:rPr>
        <w:t>出决算情况说明</w:t>
      </w:r>
      <w:bookmarkEnd w:id="27"/>
      <w:bookmarkEnd w:id="28"/>
    </w:p>
    <w:p>
      <w:pPr>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20年本年支出合计73.56万元，其中：基本支出67.03万元，占91.12</w:t>
      </w:r>
      <w:r>
        <w:rPr>
          <w:rFonts w:ascii="仿宋" w:hAnsi="仿宋" w:eastAsia="仿宋"/>
          <w:color w:val="000000"/>
          <w:sz w:val="32"/>
          <w:szCs w:val="32"/>
        </w:rPr>
        <w:t>%</w:t>
      </w:r>
      <w:r>
        <w:rPr>
          <w:rFonts w:hint="eastAsia" w:ascii="仿宋" w:hAnsi="仿宋" w:eastAsia="仿宋"/>
          <w:color w:val="000000"/>
          <w:sz w:val="32"/>
          <w:szCs w:val="32"/>
        </w:rPr>
        <w:t>；项目支出6.53万元，占8.88</w:t>
      </w:r>
      <w:r>
        <w:rPr>
          <w:rFonts w:ascii="仿宋" w:hAnsi="仿宋" w:eastAsia="仿宋"/>
          <w:color w:val="000000"/>
          <w:sz w:val="32"/>
          <w:szCs w:val="32"/>
        </w:rPr>
        <w:t>%</w:t>
      </w:r>
      <w:r>
        <w:rPr>
          <w:rFonts w:hint="eastAsia" w:ascii="仿宋" w:hAnsi="仿宋" w:eastAsia="仿宋"/>
          <w:color w:val="000000"/>
          <w:sz w:val="32"/>
          <w:szCs w:val="32"/>
        </w:rPr>
        <w:t>。</w:t>
      </w:r>
    </w:p>
    <w:p>
      <w:pPr>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rPr>
        <w:drawing>
          <wp:inline distT="0" distB="0" distL="114300" distR="114300">
            <wp:extent cx="4596130" cy="3845560"/>
            <wp:effectExtent l="4445" t="4445" r="952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5"/>
          <w:rFonts w:ascii="仿宋" w:hAnsi="仿宋" w:eastAsia="仿宋"/>
          <w:b w:val="0"/>
        </w:rPr>
      </w:pPr>
      <w:bookmarkStart w:id="29" w:name="_Toc15396606"/>
      <w:bookmarkStart w:id="30" w:name="_Toc15377208"/>
      <w:r>
        <w:rPr>
          <w:rFonts w:hint="eastAsia" w:ascii="仿宋" w:hAnsi="仿宋" w:eastAsia="仿宋"/>
          <w:color w:val="000000"/>
          <w:sz w:val="32"/>
          <w:szCs w:val="32"/>
        </w:rPr>
        <w:t>四、财</w:t>
      </w:r>
      <w:r>
        <w:rPr>
          <w:rStyle w:val="15"/>
          <w:rFonts w:hint="eastAsia" w:ascii="仿宋" w:hAnsi="仿宋" w:eastAsia="仿宋"/>
          <w:b w:val="0"/>
        </w:rPr>
        <w:t>政拨款收入支出决算总体情况说明</w:t>
      </w:r>
      <w:bookmarkEnd w:id="29"/>
      <w:bookmarkEnd w:id="30"/>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2020年度财政拨款收、支总计78.67万元。与2019年相比，财政拨款收、支总计各减少514.93万元，减少86.75</w:t>
      </w:r>
      <w:r>
        <w:rPr>
          <w:rFonts w:ascii="仿宋" w:hAnsi="仿宋" w:eastAsia="仿宋"/>
          <w:color w:val="000000"/>
          <w:sz w:val="32"/>
          <w:szCs w:val="32"/>
        </w:rPr>
        <w:t>%</w:t>
      </w:r>
      <w:r>
        <w:rPr>
          <w:rFonts w:hint="eastAsia" w:ascii="仿宋" w:hAnsi="仿宋" w:eastAsia="仿宋"/>
          <w:color w:val="000000"/>
          <w:sz w:val="32"/>
          <w:szCs w:val="32"/>
        </w:rPr>
        <w:t>。主要变动原因是单位重新组建，人员减少，经费减少。</w:t>
      </w:r>
    </w:p>
    <w:p>
      <w:pPr>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rPr>
        <w:drawing>
          <wp:inline distT="0" distB="0" distL="114300" distR="114300">
            <wp:extent cx="4223385" cy="3751580"/>
            <wp:effectExtent l="4445" t="4445" r="20320" b="1587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5"/>
          <w:rFonts w:ascii="仿宋" w:hAnsi="仿宋" w:eastAsia="仿宋"/>
          <w:b w:val="0"/>
        </w:rPr>
      </w:pPr>
      <w:bookmarkStart w:id="31" w:name="_Toc15396607"/>
      <w:bookmarkStart w:id="32"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15"/>
          <w:rFonts w:hint="eastAsia" w:ascii="仿宋" w:hAnsi="仿宋" w:eastAsia="仿宋"/>
          <w:b w:val="0"/>
        </w:rPr>
        <w:t>般公共预算财政拨款支出决算情况说明</w:t>
      </w:r>
      <w:bookmarkEnd w:id="31"/>
      <w:bookmarkEnd w:id="32"/>
    </w:p>
    <w:p>
      <w:pPr>
        <w:spacing w:line="600" w:lineRule="exact"/>
        <w:ind w:firstLine="643" w:firstLineChars="2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pPr>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20年一般公共预算财政拨款支出73.56万元，占本年支出合计的100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19年相比，一般公共预算财政拨款支出减少515.01万元，下降87.5</w:t>
      </w:r>
      <w:r>
        <w:rPr>
          <w:rFonts w:ascii="仿宋" w:hAnsi="仿宋" w:eastAsia="仿宋"/>
          <w:color w:val="000000"/>
          <w:sz w:val="32"/>
          <w:szCs w:val="32"/>
        </w:rPr>
        <w:t>%</w:t>
      </w:r>
      <w:r>
        <w:rPr>
          <w:rFonts w:hint="eastAsia" w:ascii="仿宋" w:hAnsi="仿宋" w:eastAsia="仿宋"/>
          <w:color w:val="000000"/>
          <w:sz w:val="32"/>
          <w:szCs w:val="32"/>
        </w:rPr>
        <w:t>。主要变动原因是单位重新组建，人员减少，经费减少。</w:t>
      </w:r>
    </w:p>
    <w:p>
      <w:pPr>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rPr>
        <w:drawing>
          <wp:inline distT="0" distB="0" distL="114300" distR="114300">
            <wp:extent cx="4370070" cy="3883025"/>
            <wp:effectExtent l="4445" t="4445" r="6985"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ascii="仿宋" w:hAnsi="仿宋" w:eastAsia="仿宋"/>
          <w:b/>
          <w:color w:val="000000"/>
          <w:sz w:val="32"/>
          <w:szCs w:val="32"/>
        </w:rPr>
      </w:pPr>
      <w:bookmarkStart w:id="34" w:name="_Toc15377211"/>
      <w:r>
        <w:rPr>
          <w:rFonts w:hint="eastAsia" w:ascii="仿宋" w:hAnsi="仿宋" w:eastAsia="仿宋"/>
          <w:b/>
          <w:color w:val="000000"/>
          <w:sz w:val="32"/>
          <w:szCs w:val="32"/>
        </w:rPr>
        <w:t>（二）一般公共预算财政拨款支出决算结构情况</w:t>
      </w:r>
      <w:bookmarkEnd w:id="34"/>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政拨款支出73.56万元，主要用于以下方面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支出10.1万元，占13.73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rPr>
        <w:t>2.72万元，占3.7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城乡社区</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rPr>
        <w:t>45.93万元，占62.44%；</w:t>
      </w:r>
      <w:r>
        <w:rPr>
          <w:rFonts w:hint="eastAsia" w:ascii="仿宋" w:hAnsi="仿宋" w:eastAsia="仿宋"/>
          <w:b/>
          <w:bCs/>
          <w:color w:val="000000" w:themeColor="text1"/>
          <w:sz w:val="32"/>
          <w:szCs w:val="32"/>
        </w:rPr>
        <w:t>自然资源海洋气象</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rPr>
        <w:t>6.53万元，占8.88%，</w:t>
      </w:r>
      <w:r>
        <w:rPr>
          <w:rFonts w:hint="eastAsia" w:ascii="仿宋" w:hAnsi="仿宋" w:eastAsia="仿宋"/>
          <w:b/>
          <w:bCs/>
          <w:color w:val="000000" w:themeColor="text1"/>
          <w:sz w:val="32"/>
          <w:szCs w:val="32"/>
        </w:rPr>
        <w:t>住房保障</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rPr>
        <w:t>8.28万元，占11.25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6350" t="6350" r="19050"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pPr>
        <w:spacing w:line="600" w:lineRule="exact"/>
        <w:ind w:firstLine="643" w:firstLineChars="200"/>
        <w:outlineLvl w:val="2"/>
        <w:rPr>
          <w:rFonts w:ascii="仿宋" w:hAnsi="仿宋" w:eastAsia="仿宋"/>
          <w:color w:val="FF0000"/>
          <w:sz w:val="32"/>
          <w:szCs w:val="32"/>
        </w:rPr>
      </w:pPr>
      <w:bookmarkStart w:id="36" w:name="_Toc15377213"/>
      <w:bookmarkStart w:id="37" w:name="_Toc15377444"/>
      <w:bookmarkStart w:id="38" w:name="_Toc15378460"/>
      <w:r>
        <w:rPr>
          <w:rFonts w:hint="eastAsia" w:ascii="仿宋" w:hAnsi="仿宋" w:eastAsia="仿宋"/>
          <w:b/>
          <w:color w:val="000000" w:themeColor="text1"/>
          <w:sz w:val="32"/>
          <w:szCs w:val="32"/>
        </w:rPr>
        <w:t>2020年一般公共预算支出决算数为73.56万元</w:t>
      </w:r>
      <w:r>
        <w:rPr>
          <w:rFonts w:hint="eastAsia" w:ascii="仿宋" w:hAnsi="仿宋" w:eastAsia="仿宋"/>
          <w:color w:val="000000" w:themeColor="text1"/>
          <w:sz w:val="32"/>
          <w:szCs w:val="32"/>
        </w:rPr>
        <w:t>，</w:t>
      </w:r>
      <w:r>
        <w:rPr>
          <w:rStyle w:val="12"/>
          <w:rFonts w:hint="eastAsia" w:ascii="仿宋" w:hAnsi="仿宋" w:eastAsia="仿宋"/>
          <w:bCs/>
          <w:color w:val="000000" w:themeColor="text1"/>
          <w:sz w:val="32"/>
          <w:szCs w:val="32"/>
        </w:rPr>
        <w:t>完成</w:t>
      </w:r>
      <w:r>
        <w:rPr>
          <w:rStyle w:val="12"/>
          <w:rFonts w:hint="eastAsia" w:ascii="仿宋" w:hAnsi="仿宋" w:eastAsia="仿宋"/>
          <w:bCs/>
          <w:color w:val="000000"/>
          <w:sz w:val="32"/>
          <w:szCs w:val="32"/>
        </w:rPr>
        <w:t>预算99.89</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36"/>
      <w:bookmarkEnd w:id="37"/>
      <w:bookmarkEnd w:id="38"/>
    </w:p>
    <w:p>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ascii="仿宋" w:hAnsi="仿宋" w:eastAsia="仿宋"/>
          <w:bCs/>
          <w:color w:val="000000"/>
          <w:sz w:val="32"/>
          <w:szCs w:val="32"/>
        </w:rPr>
        <w:t>.</w:t>
      </w:r>
      <w:r>
        <w:rPr>
          <w:rStyle w:val="12"/>
          <w:rFonts w:hint="eastAsia" w:ascii="仿宋" w:hAnsi="仿宋" w:eastAsia="仿宋"/>
          <w:bCs/>
          <w:color w:val="000000"/>
          <w:sz w:val="30"/>
          <w:szCs w:val="30"/>
        </w:rPr>
        <w:t>社会保障和就业（类）行政事业单位养老支出（款）机关事业单位基本养老保险缴费支出（项）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支出决算为6.51万元，完成预算100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firstLineChars="200"/>
        <w:rPr>
          <w:rStyle w:val="12"/>
          <w:rFonts w:ascii="仿宋" w:hAnsi="仿宋" w:eastAsia="仿宋"/>
          <w:b w:val="0"/>
          <w:bCs/>
          <w:color w:val="000000"/>
          <w:sz w:val="32"/>
          <w:szCs w:val="32"/>
        </w:rPr>
      </w:pPr>
      <w:r>
        <w:rPr>
          <w:rStyle w:val="12"/>
          <w:rFonts w:hint="eastAsia" w:ascii="仿宋" w:hAnsi="仿宋" w:eastAsia="仿宋"/>
          <w:b w:val="0"/>
          <w:bCs/>
          <w:color w:val="000000"/>
          <w:sz w:val="32"/>
          <w:szCs w:val="32"/>
        </w:rPr>
        <w:t>2.</w:t>
      </w:r>
      <w:r>
        <w:rPr>
          <w:rStyle w:val="12"/>
          <w:rFonts w:hint="eastAsia" w:ascii="仿宋" w:hAnsi="仿宋" w:eastAsia="仿宋"/>
          <w:bCs/>
          <w:color w:val="000000"/>
          <w:sz w:val="30"/>
          <w:szCs w:val="30"/>
        </w:rPr>
        <w:t>社会保障和就业（类）行政事业单位养老支出（款）机关事业单位职业年金缴费支出（项）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支出决算为3.26万元，完成预算100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firstLineChars="200"/>
        <w:rPr>
          <w:rStyle w:val="12"/>
          <w:rFonts w:ascii="仿宋" w:hAnsi="仿宋" w:eastAsia="仿宋"/>
          <w:b w:val="0"/>
          <w:bCs/>
          <w:color w:val="000000"/>
          <w:sz w:val="32"/>
          <w:szCs w:val="32"/>
        </w:rPr>
      </w:pPr>
      <w:r>
        <w:rPr>
          <w:rStyle w:val="12"/>
          <w:rFonts w:hint="eastAsia" w:ascii="仿宋" w:hAnsi="仿宋" w:eastAsia="仿宋"/>
          <w:b w:val="0"/>
          <w:bCs/>
          <w:color w:val="000000"/>
          <w:sz w:val="32"/>
          <w:szCs w:val="32"/>
        </w:rPr>
        <w:t>3.</w:t>
      </w:r>
      <w:r>
        <w:rPr>
          <w:rStyle w:val="12"/>
          <w:rFonts w:hint="eastAsia" w:ascii="仿宋" w:hAnsi="仿宋" w:eastAsia="仿宋"/>
          <w:bCs/>
          <w:color w:val="000000"/>
          <w:sz w:val="30"/>
          <w:szCs w:val="30"/>
        </w:rPr>
        <w:t>社会保障和就业（类）其他社会保障和就业支出（款）其他社会保障和就业支出（项）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支出决算为0.33万元，完成预算100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firstLineChars="200"/>
        <w:rPr>
          <w:rStyle w:val="12"/>
          <w:rFonts w:ascii="仿宋" w:hAnsi="仿宋" w:eastAsia="仿宋"/>
          <w:b w:val="0"/>
          <w:bCs/>
          <w:color w:val="000000"/>
          <w:sz w:val="32"/>
          <w:szCs w:val="32"/>
        </w:rPr>
      </w:pPr>
    </w:p>
    <w:p>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4</w:t>
      </w:r>
      <w:r>
        <w:rPr>
          <w:rStyle w:val="12"/>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2"/>
          <w:rFonts w:hint="eastAsia" w:ascii="仿宋" w:hAnsi="仿宋" w:eastAsia="仿宋"/>
          <w:bCs/>
          <w:color w:val="000000"/>
          <w:sz w:val="32"/>
          <w:szCs w:val="32"/>
        </w:rPr>
        <w:t>（类）行政事业单位医疗（款）事业单位医疗（项）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支出决算为2.72万元，完成预算100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ascii="仿宋" w:hAnsi="仿宋" w:eastAsia="仿宋"/>
          <w:b w:val="0"/>
          <w:bCs/>
          <w:color w:val="000000"/>
          <w:sz w:val="32"/>
          <w:szCs w:val="32"/>
          <w:highlight w:val="yellow"/>
        </w:rPr>
      </w:pPr>
      <w:r>
        <w:rPr>
          <w:rStyle w:val="12"/>
          <w:rFonts w:hint="eastAsia" w:ascii="仿宋" w:hAnsi="仿宋" w:eastAsia="仿宋"/>
          <w:bCs/>
          <w:color w:val="000000"/>
          <w:sz w:val="32"/>
          <w:szCs w:val="32"/>
        </w:rPr>
        <w:t>5.城乡社区支出（类）城乡社区管理事务（款）其他城乡社区管理事务支出（项）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支出决算为45.93万元，完成预算100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ascii="仿宋" w:hAnsi="仿宋" w:eastAsia="仿宋" w:cstheme="minorBidi"/>
          <w:b w:val="0"/>
          <w:bCs/>
          <w:color w:val="000000"/>
          <w:sz w:val="32"/>
          <w:szCs w:val="32"/>
        </w:rPr>
      </w:pPr>
      <w:r>
        <w:rPr>
          <w:rStyle w:val="12"/>
          <w:rFonts w:hint="eastAsia" w:ascii="仿宋" w:hAnsi="仿宋" w:eastAsia="仿宋" w:cstheme="minorBidi"/>
          <w:bCs/>
          <w:color w:val="000000"/>
          <w:sz w:val="32"/>
          <w:szCs w:val="32"/>
        </w:rPr>
        <w:t>6</w:t>
      </w:r>
      <w:r>
        <w:rPr>
          <w:rStyle w:val="12"/>
          <w:rFonts w:hint="eastAsia" w:ascii="仿宋" w:hAnsi="仿宋" w:eastAsia="仿宋"/>
          <w:b w:val="0"/>
          <w:bCs/>
          <w:color w:val="000000"/>
          <w:sz w:val="32"/>
          <w:szCs w:val="32"/>
        </w:rPr>
        <w:t>.</w:t>
      </w:r>
      <w:r>
        <w:rPr>
          <w:rStyle w:val="12"/>
          <w:rFonts w:hint="eastAsia" w:ascii="仿宋" w:hAnsi="仿宋" w:eastAsia="仿宋" w:cstheme="minorBidi"/>
          <w:bCs/>
          <w:color w:val="000000"/>
          <w:sz w:val="32"/>
          <w:szCs w:val="32"/>
        </w:rPr>
        <w:t>自然资源海洋气象等支出（类）自然资源事务（款）自然资源规划及管理（项）：</w:t>
      </w:r>
      <w:r>
        <w:rPr>
          <w:rStyle w:val="12"/>
          <w:rFonts w:hint="eastAsia" w:ascii="仿宋" w:hAnsi="仿宋" w:eastAsia="仿宋" w:cstheme="minorBidi"/>
          <w:b w:val="0"/>
          <w:bCs/>
          <w:color w:val="000000"/>
          <w:sz w:val="32"/>
          <w:szCs w:val="32"/>
        </w:rPr>
        <w:t>支出决算为6.53万元，完成预算98.79%，决算数小于预算数的主要原因是借款退回结转。</w:t>
      </w:r>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rPr>
        <w:t>7.住房保障支出（类）住房改革支出（款）住房公积金（项）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支出决算为8.28万元，完成预算100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tabs>
          <w:tab w:val="right" w:pos="8306"/>
        </w:tabs>
        <w:spacing w:line="600" w:lineRule="exact"/>
        <w:ind w:firstLine="640"/>
        <w:outlineLvl w:val="1"/>
        <w:rPr>
          <w:rStyle w:val="15"/>
          <w:rFonts w:ascii="仿宋" w:hAnsi="仿宋" w:eastAsia="仿宋"/>
        </w:rPr>
      </w:pPr>
      <w:bookmarkStart w:id="39" w:name="_Toc15377214"/>
      <w:bookmarkStart w:id="40" w:name="_Toc15396608"/>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15"/>
          <w:rFonts w:hint="eastAsia" w:ascii="仿宋" w:hAnsi="仿宋" w:eastAsia="仿宋"/>
          <w:b w:val="0"/>
        </w:rPr>
        <w:t>般公共预算财政拨款基本支出决算情况说明</w:t>
      </w:r>
      <w:bookmarkEnd w:id="39"/>
      <w:bookmarkEnd w:id="40"/>
      <w:r>
        <w:rPr>
          <w:rStyle w:val="15"/>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20年一般公共预算财政拨款基本支出67.03万元，其中：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61.91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5"/>
          <w:rFonts w:ascii="仿宋" w:hAnsi="仿宋" w:eastAsia="仿宋"/>
          <w:b w:val="0"/>
        </w:rPr>
      </w:pPr>
      <w:bookmarkStart w:id="41" w:name="_Toc15377215"/>
      <w:bookmarkStart w:id="42" w:name="_Toc15396609"/>
      <w:r>
        <w:rPr>
          <w:rFonts w:hint="eastAsia" w:ascii="仿宋" w:hAnsi="仿宋" w:eastAsia="仿宋"/>
          <w:color w:val="000000"/>
          <w:sz w:val="32"/>
          <w:szCs w:val="32"/>
        </w:rPr>
        <w:t>七、</w:t>
      </w:r>
      <w:r>
        <w:rPr>
          <w:rStyle w:val="15"/>
          <w:rFonts w:hint="eastAsia" w:ascii="仿宋" w:hAnsi="仿宋" w:eastAsia="仿宋"/>
        </w:rPr>
        <w:t>“</w:t>
      </w:r>
      <w:r>
        <w:rPr>
          <w:rStyle w:val="15"/>
          <w:rFonts w:hint="eastAsia" w:ascii="仿宋" w:hAnsi="仿宋" w:eastAsia="仿宋"/>
          <w:b w:val="0"/>
        </w:rPr>
        <w:t>三公”经费财政拨款支出决算情况说明</w:t>
      </w:r>
      <w:bookmarkEnd w:id="41"/>
      <w:bookmarkEnd w:id="42"/>
    </w:p>
    <w:p>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0万元。主要用于开展规划建设服务管理所需的公务用车燃料费、维修费、过路过桥费、保险费等支出。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0万元0</w:t>
      </w:r>
      <w:r>
        <w:rPr>
          <w:rStyle w:val="12"/>
          <w:rFonts w:hint="eastAsia" w:ascii="仿宋" w:hAnsi="仿宋" w:eastAsia="仿宋"/>
          <w:b w:val="0"/>
          <w:bCs/>
          <w:color w:val="000000"/>
          <w:sz w:val="32"/>
          <w:szCs w:val="32"/>
        </w:rPr>
        <w:t>。</w:t>
      </w:r>
    </w:p>
    <w:p>
      <w:pPr>
        <w:spacing w:line="600" w:lineRule="exact"/>
        <w:ind w:firstLine="640"/>
        <w:outlineLvl w:val="1"/>
        <w:rPr>
          <w:rStyle w:val="15"/>
          <w:rFonts w:ascii="仿宋" w:hAnsi="仿宋" w:eastAsia="仿宋"/>
        </w:rPr>
      </w:pPr>
      <w:bookmarkStart w:id="45" w:name="_Toc15377218"/>
      <w:bookmarkStart w:id="46" w:name="_Toc15396610"/>
      <w:r>
        <w:rPr>
          <w:rFonts w:hint="eastAsia" w:ascii="仿宋" w:hAnsi="仿宋" w:eastAsia="仿宋"/>
          <w:color w:val="000000"/>
          <w:sz w:val="32"/>
          <w:szCs w:val="32"/>
        </w:rPr>
        <w:t>八、</w:t>
      </w:r>
      <w:r>
        <w:rPr>
          <w:rStyle w:val="15"/>
          <w:rFonts w:hint="eastAsia" w:ascii="仿宋" w:hAnsi="仿宋" w:eastAsia="仿宋"/>
          <w:b w:val="0"/>
        </w:rPr>
        <w:t>政府性基金预算支出决算情况说明</w:t>
      </w:r>
      <w:bookmarkEnd w:id="45"/>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20年政府性基金预算拨款支出0万元。</w:t>
      </w:r>
    </w:p>
    <w:p>
      <w:pPr>
        <w:numPr>
          <w:ilvl w:val="0"/>
          <w:numId w:val="3"/>
        </w:numPr>
        <w:spacing w:line="600" w:lineRule="exact"/>
        <w:ind w:firstLine="640"/>
        <w:outlineLvl w:val="1"/>
        <w:rPr>
          <w:rStyle w:val="15"/>
          <w:rFonts w:ascii="仿宋" w:hAnsi="仿宋" w:eastAsia="仿宋"/>
          <w:b w:val="0"/>
        </w:rPr>
      </w:pPr>
      <w:bookmarkStart w:id="47" w:name="_Toc15377219"/>
      <w:bookmarkStart w:id="48" w:name="_Toc15396611"/>
      <w:r>
        <w:rPr>
          <w:rStyle w:val="15"/>
          <w:rFonts w:hint="eastAsia" w:ascii="仿宋" w:hAnsi="仿宋" w:eastAsia="仿宋"/>
          <w:b w:val="0"/>
        </w:rPr>
        <w:t>国有资本经营预算支出决算情况说明</w:t>
      </w:r>
      <w:bookmarkEnd w:id="47"/>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pPr>
        <w:spacing w:line="600" w:lineRule="exact"/>
        <w:ind w:firstLine="800" w:firstLineChars="250"/>
        <w:outlineLvl w:val="1"/>
        <w:rPr>
          <w:rStyle w:val="15"/>
          <w:rFonts w:ascii="仿宋" w:hAnsi="仿宋" w:eastAsia="仿宋"/>
        </w:rPr>
      </w:pPr>
      <w:bookmarkStart w:id="49" w:name="_Toc15396612"/>
      <w:bookmarkStart w:id="50" w:name="_Toc15377221"/>
      <w:r>
        <w:rPr>
          <w:rFonts w:hint="eastAsia" w:ascii="仿宋" w:hAnsi="仿宋" w:eastAsia="仿宋"/>
          <w:color w:val="000000"/>
          <w:sz w:val="32"/>
          <w:szCs w:val="32"/>
        </w:rPr>
        <w:t>十</w:t>
      </w:r>
      <w:r>
        <w:rPr>
          <w:rStyle w:val="15"/>
          <w:rFonts w:hint="eastAsia" w:ascii="仿宋" w:hAnsi="仿宋" w:eastAsia="仿宋"/>
        </w:rPr>
        <w:t>、</w:t>
      </w:r>
      <w:r>
        <w:rPr>
          <w:rStyle w:val="15"/>
          <w:rFonts w:hint="eastAsia" w:ascii="仿宋" w:hAnsi="仿宋" w:eastAsia="仿宋"/>
          <w:b w:val="0"/>
        </w:rPr>
        <w:t>其他重要事项的情况说明</w:t>
      </w:r>
      <w:bookmarkEnd w:id="49"/>
      <w:bookmarkEnd w:id="50"/>
    </w:p>
    <w:p>
      <w:pPr>
        <w:spacing w:line="600" w:lineRule="exact"/>
        <w:ind w:firstLine="643" w:firstLineChars="2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pPr>
        <w:spacing w:line="600" w:lineRule="exact"/>
        <w:ind w:firstLine="640" w:firstLineChars="200"/>
        <w:rPr>
          <w:rFonts w:ascii="仿宋" w:hAnsi="仿宋" w:eastAsia="仿宋"/>
          <w:color w:val="000000" w:themeColor="text1"/>
          <w:sz w:val="32"/>
          <w:szCs w:val="32"/>
          <w:highlight w:val="yellow"/>
        </w:rPr>
      </w:pPr>
      <w:r>
        <w:rPr>
          <w:rFonts w:ascii="仿宋" w:hAnsi="仿宋" w:eastAsia="仿宋"/>
          <w:color w:val="000000"/>
          <w:sz w:val="32"/>
          <w:szCs w:val="32"/>
        </w:rPr>
        <w:t>20</w:t>
      </w:r>
      <w:r>
        <w:rPr>
          <w:rFonts w:hint="eastAsia" w:ascii="仿宋" w:hAnsi="仿宋" w:eastAsia="仿宋"/>
          <w:color w:val="000000"/>
          <w:sz w:val="32"/>
          <w:szCs w:val="32"/>
        </w:rPr>
        <w:t>20年，峨眉山市规划建设服务中心机关运行经费支出0万元，与</w:t>
      </w:r>
      <w:r>
        <w:rPr>
          <w:rFonts w:ascii="仿宋" w:hAnsi="仿宋" w:eastAsia="仿宋"/>
          <w:color w:val="000000"/>
          <w:sz w:val="32"/>
          <w:szCs w:val="32"/>
        </w:rPr>
        <w:t>2019</w:t>
      </w:r>
      <w:r>
        <w:rPr>
          <w:rFonts w:hint="eastAsia" w:ascii="仿宋" w:hAnsi="仿宋" w:eastAsia="仿宋"/>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峨眉山市规划建设服务中心政府采购支出总额0万元，其中：政府采购货物支出0万元、政府采购工程支出0万元、政府采购服务支出0万元。0授予中小企业合同金额0万元0，其中：授予小微企业合同金额0万元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日，峨眉山市规划建设服务中心共有车辆0辆，其中：主要领导干部用车0辆、机要通信用车0辆、应急保障用车0辆、执法执勤车0辆、其他用车0辆。</w:t>
      </w:r>
      <w:r>
        <w:rPr>
          <w:rFonts w:hint="eastAsia" w:ascii="仿宋" w:hAnsi="仿宋" w:eastAsia="仿宋"/>
          <w:color w:val="000000" w:themeColor="text1"/>
          <w:sz w:val="32"/>
          <w:szCs w:val="32"/>
        </w:rPr>
        <w:t>其他用车主要是用于开展规划建设服务管理。单价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万元以上通用设备0台（套），单价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numPr>
          <w:ilvl w:val="0"/>
          <w:numId w:val="4"/>
        </w:num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年初预算编制阶段，组织对规划运转项目开展了预算事前绩效评估，对1个项目编制了绩效目标，预算执行过程中，选取该项目开展绩效监控，年终执行完毕后，对该项目开展了绩效目标完成情况自评。</w:t>
      </w:r>
    </w:p>
    <w:p>
      <w:pPr>
        <w:autoSpaceDE w:val="0"/>
        <w:autoSpaceDN w:val="0"/>
        <w:adjustRightInd w:val="0"/>
        <w:spacing w:line="600" w:lineRule="exact"/>
        <w:ind w:firstLine="640" w:firstLineChars="200"/>
        <w:jc w:val="left"/>
        <w:outlineLvl w:val="2"/>
        <w:rPr>
          <w:rFonts w:ascii="仿宋" w:hAnsi="仿宋" w:eastAsia="仿宋" w:cs="仿宋_GB2312"/>
          <w:sz w:val="32"/>
          <w:szCs w:val="32"/>
        </w:rPr>
      </w:pPr>
      <w:r>
        <w:rPr>
          <w:rFonts w:hint="eastAsia" w:ascii="仿宋" w:hAnsi="仿宋" w:eastAsia="仿宋" w:cs="仿宋_GB2312"/>
          <w:sz w:val="32"/>
          <w:szCs w:val="32"/>
        </w:rPr>
        <w:t>本部门按要求对2020年部门整体支出开展绩效自评，从评价情况来看预、决算编制合理，支出高效规范，财政支出既确保了机关正常运转，又保证了重点项目开支，财政支出整体运转平稳。</w:t>
      </w: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1.项目绩效目标完成情况。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本部门在2020年度部门决算中反映“规划运转经费”项目绩效目标实际完成情况。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规划运转经费项目绩效目标完成情况综述。项目全年预算数20万元，执行数为6.53万元，完成预算的32.65%。通过项目实施，保障项目的有序开展，发现的主要问题：预算执行率不高。下一步改进措施：进一步加强预算管理，提高预算执行率。</w:t>
      </w:r>
    </w:p>
    <w:p>
      <w:pPr>
        <w:spacing w:line="580" w:lineRule="exact"/>
        <w:ind w:firstLine="640" w:firstLineChars="200"/>
        <w:rPr>
          <w:rFonts w:ascii="仿宋" w:hAnsi="仿宋" w:eastAsia="仿宋" w:cs="仿宋_GB2312"/>
          <w:sz w:val="32"/>
          <w:szCs w:val="32"/>
        </w:rPr>
      </w:pPr>
    </w:p>
    <w:p>
      <w:pPr>
        <w:autoSpaceDE w:val="0"/>
        <w:autoSpaceDN w:val="0"/>
        <w:adjustRightInd w:val="0"/>
        <w:spacing w:line="600" w:lineRule="exact"/>
        <w:ind w:firstLine="640" w:firstLineChars="200"/>
        <w:jc w:val="left"/>
        <w:outlineLvl w:val="2"/>
        <w:rPr>
          <w:rFonts w:ascii="仿宋" w:hAnsi="仿宋" w:eastAsia="仿宋" w:cs="仿宋_GB2312"/>
          <w:sz w:val="32"/>
          <w:szCs w:val="32"/>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78"/>
        <w:gridCol w:w="2408"/>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9"/>
              <w:widowControl/>
              <w:spacing w:before="93"/>
              <w:ind w:left="4173" w:leftChars="1310" w:hanging="1422" w:hangingChars="395"/>
              <w:textAlignment w:val="center"/>
              <w:rPr>
                <w:rFonts w:ascii="仿宋" w:hAnsi="仿宋" w:eastAsia="仿宋" w:cs="宋体"/>
                <w:color w:val="000000"/>
                <w:sz w:val="36"/>
                <w:szCs w:val="36"/>
              </w:rPr>
            </w:pPr>
            <w:r>
              <w:rPr>
                <w:rFonts w:hint="eastAsia" w:ascii="仿宋" w:hAnsi="仿宋" w:eastAsia="仿宋" w:cs="宋体"/>
                <w:bCs/>
                <w:color w:val="000000"/>
                <w:kern w:val="0"/>
                <w:sz w:val="36"/>
                <w:szCs w:val="36"/>
              </w:rPr>
              <w:t>项目支出绩效目标完成情况表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w:t>
            </w:r>
            <w:r>
              <w:rPr>
                <w:rFonts w:hint="eastAsia" w:ascii="仿宋" w:hAnsi="仿宋" w:eastAsia="仿宋" w:cs="宋体"/>
                <w:color w:val="000000"/>
                <w:kern w:val="0"/>
                <w:sz w:val="36"/>
                <w:szCs w:val="36"/>
              </w:rPr>
              <w:t>20年度</w:t>
            </w:r>
            <w:r>
              <w:rPr>
                <w:rFonts w:ascii="仿宋" w:hAnsi="仿宋" w:eastAsia="仿宋"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规划运转经费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峨眉山市规划建设服务中心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3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20万</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6.53万</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20万</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6.53万</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47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完成2020年城市规划日常工作</w:t>
            </w:r>
          </w:p>
        </w:tc>
        <w:tc>
          <w:tcPr>
            <w:tcW w:w="48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完成2020年城市规划日常工作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621" w:hRule="atLeast"/>
        </w:trPr>
        <w:tc>
          <w:tcPr>
            <w:tcW w:w="390" w:type="dxa"/>
            <w:vMerge w:val="continue"/>
            <w:tcBorders>
              <w:left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数量指标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按项目需求规划</w:t>
            </w:r>
          </w:p>
        </w:tc>
        <w:tc>
          <w:tcPr>
            <w:tcW w:w="2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根据城市建设需要</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根据城市建设需要完成</w:t>
            </w:r>
          </w:p>
        </w:tc>
      </w:tr>
      <w:tr>
        <w:tblPrEx>
          <w:tblCellMar>
            <w:top w:w="0" w:type="dxa"/>
            <w:left w:w="0" w:type="dxa"/>
            <w:bottom w:w="0" w:type="dxa"/>
            <w:right w:w="0" w:type="dxa"/>
          </w:tblCellMar>
        </w:tblPrEx>
        <w:trPr>
          <w:trHeight w:val="580" w:hRule="atLeast"/>
        </w:trPr>
        <w:tc>
          <w:tcPr>
            <w:tcW w:w="390" w:type="dxa"/>
            <w:vMerge w:val="continue"/>
            <w:tcBorders>
              <w:left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时效指标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项目完成节点</w:t>
            </w:r>
          </w:p>
        </w:tc>
        <w:tc>
          <w:tcPr>
            <w:tcW w:w="2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在规定时间内完成</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在规定时间内完成</w:t>
            </w:r>
          </w:p>
        </w:tc>
      </w:tr>
      <w:tr>
        <w:tblPrEx>
          <w:tblCellMar>
            <w:top w:w="0" w:type="dxa"/>
            <w:left w:w="0" w:type="dxa"/>
            <w:bottom w:w="0" w:type="dxa"/>
            <w:right w:w="0" w:type="dxa"/>
          </w:tblCellMar>
        </w:tblPrEx>
        <w:trPr>
          <w:trHeight w:val="258" w:hRule="atLeast"/>
        </w:trPr>
        <w:tc>
          <w:tcPr>
            <w:tcW w:w="390" w:type="dxa"/>
            <w:vMerge w:val="continue"/>
            <w:tcBorders>
              <w:left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完成全市规划需要</w:t>
            </w:r>
          </w:p>
        </w:tc>
        <w:tc>
          <w:tcPr>
            <w:tcW w:w="2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完成全市规划需要</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完成</w:t>
            </w:r>
          </w:p>
        </w:tc>
      </w:tr>
      <w:tr>
        <w:tblPrEx>
          <w:tblCellMar>
            <w:top w:w="0" w:type="dxa"/>
            <w:left w:w="0" w:type="dxa"/>
            <w:bottom w:w="0" w:type="dxa"/>
            <w:right w:w="0" w:type="dxa"/>
          </w:tblCellMar>
        </w:tblPrEx>
        <w:trPr>
          <w:trHeight w:val="258" w:hRule="atLeast"/>
        </w:trPr>
        <w:tc>
          <w:tcPr>
            <w:tcW w:w="390" w:type="dxa"/>
            <w:vMerge w:val="continue"/>
            <w:tcBorders>
              <w:left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生态效益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提升城市形象，建设美丽乡村</w:t>
            </w:r>
          </w:p>
        </w:tc>
        <w:tc>
          <w:tcPr>
            <w:tcW w:w="2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提升城市形象，建设美丽乡村</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完成</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满意度指标</w:t>
            </w:r>
          </w:p>
        </w:tc>
        <w:tc>
          <w:tcPr>
            <w:tcW w:w="23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完善全市规划，让全市人民满意</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90%</w:t>
            </w:r>
          </w:p>
        </w:tc>
      </w:tr>
    </w:tbl>
    <w:p>
      <w:pPr>
        <w:autoSpaceDE w:val="0"/>
        <w:autoSpaceDN w:val="0"/>
        <w:adjustRightInd w:val="0"/>
        <w:spacing w:line="600" w:lineRule="exact"/>
        <w:ind w:firstLine="640" w:firstLineChars="200"/>
        <w:jc w:val="left"/>
        <w:rPr>
          <w:rFonts w:ascii="仿宋" w:hAnsi="仿宋" w:eastAsia="仿宋"/>
          <w:color w:val="000000"/>
          <w:sz w:val="32"/>
          <w:szCs w:val="32"/>
        </w:rPr>
      </w:pPr>
    </w:p>
    <w:p>
      <w:pPr>
        <w:spacing w:line="580" w:lineRule="exact"/>
        <w:ind w:left="630"/>
        <w:rPr>
          <w:rFonts w:ascii="仿宋" w:hAnsi="仿宋" w:eastAsia="仿宋" w:cs="仿宋_GB2312"/>
          <w:sz w:val="32"/>
          <w:szCs w:val="32"/>
        </w:rPr>
      </w:pPr>
      <w:r>
        <w:rPr>
          <w:rFonts w:hint="eastAsia" w:ascii="仿宋" w:hAnsi="仿宋" w:eastAsia="仿宋" w:cs="楷体_GB2312"/>
          <w:sz w:val="32"/>
          <w:szCs w:val="32"/>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本部门按要求对2020年部门整体支出绩效评价情况开展自评，《峨眉山市规划建设服务中心2020年部门整体支出绩效评价报告》见附件1。</w:t>
      </w:r>
    </w:p>
    <w:p>
      <w:pPr>
        <w:widowControl/>
        <w:jc w:val="left"/>
        <w:rPr>
          <w:rFonts w:ascii="仿宋" w:hAnsi="仿宋" w:eastAsia="仿宋"/>
          <w:b/>
          <w:color w:val="000000"/>
          <w:sz w:val="32"/>
          <w:szCs w:val="32"/>
        </w:rPr>
      </w:pPr>
    </w:p>
    <w:p>
      <w:pPr>
        <w:widowControl/>
        <w:jc w:val="left"/>
        <w:rPr>
          <w:rFonts w:ascii="仿宋" w:hAnsi="仿宋" w:eastAsia="仿宋"/>
          <w:b/>
          <w:color w:val="000000"/>
          <w:sz w:val="32"/>
          <w:szCs w:val="32"/>
        </w:rPr>
      </w:pPr>
    </w:p>
    <w:p>
      <w:pPr>
        <w:widowControl/>
        <w:jc w:val="left"/>
        <w:rPr>
          <w:rFonts w:ascii="仿宋" w:hAnsi="仿宋" w:eastAsia="仿宋"/>
          <w:b/>
          <w:color w:val="000000"/>
          <w:sz w:val="32"/>
          <w:szCs w:val="32"/>
        </w:rPr>
      </w:pPr>
    </w:p>
    <w:p>
      <w:pPr>
        <w:numPr>
          <w:ilvl w:val="0"/>
          <w:numId w:val="5"/>
        </w:numPr>
        <w:spacing w:line="600" w:lineRule="exact"/>
        <w:ind w:firstLine="660" w:firstLineChars="150"/>
        <w:jc w:val="center"/>
        <w:outlineLvl w:val="0"/>
        <w:rPr>
          <w:rStyle w:val="14"/>
          <w:rFonts w:ascii="仿宋" w:hAnsi="仿宋" w:eastAsia="仿宋"/>
          <w:b w:val="0"/>
        </w:rPr>
      </w:pPr>
      <w:bookmarkStart w:id="54" w:name="_Toc15377225"/>
      <w:bookmarkStart w:id="55" w:name="_Toc15396613"/>
      <w:r>
        <w:rPr>
          <w:rFonts w:hint="eastAsia" w:ascii="仿宋" w:hAnsi="仿宋" w:eastAsia="仿宋"/>
          <w:color w:val="000000"/>
          <w:sz w:val="44"/>
          <w:szCs w:val="44"/>
        </w:rPr>
        <w:t>名</w:t>
      </w:r>
      <w:r>
        <w:rPr>
          <w:rStyle w:val="14"/>
          <w:rFonts w:hint="eastAsia" w:ascii="仿宋" w:hAnsi="仿宋" w:eastAsia="仿宋"/>
          <w:b w:val="0"/>
        </w:rPr>
        <w:t>词解释</w:t>
      </w:r>
      <w:bookmarkEnd w:id="54"/>
      <w:bookmarkEnd w:id="55"/>
    </w:p>
    <w:p>
      <w:pPr>
        <w:spacing w:line="600" w:lineRule="exact"/>
        <w:jc w:val="left"/>
        <w:rPr>
          <w:rFonts w:ascii="仿宋" w:hAnsi="仿宋" w:eastAsia="仿宋"/>
          <w:b/>
          <w:color w:val="000000"/>
          <w:sz w:val="44"/>
          <w:szCs w:val="44"/>
        </w:rPr>
      </w:pPr>
    </w:p>
    <w:p>
      <w:pPr>
        <w:pStyle w:val="17"/>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17"/>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17"/>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17"/>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17"/>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pStyle w:val="17"/>
        <w:spacing w:line="560" w:lineRule="exact"/>
        <w:ind w:firstLine="640" w:firstLineChars="200"/>
        <w:rPr>
          <w:rFonts w:hAnsi="仿宋"/>
          <w:sz w:val="32"/>
          <w:szCs w:val="32"/>
        </w:rPr>
      </w:pPr>
      <w:r>
        <w:rPr>
          <w:rFonts w:hint="eastAsia" w:hAnsi="仿宋"/>
          <w:sz w:val="32"/>
          <w:szCs w:val="32"/>
        </w:rPr>
        <w:t>9.社会保障和就业（类）行政事业单位养老支出（款）机关事业单位基本养老保险缴费支出（项）：指机关事业单位实施养老保险制度由单位缴纳的基本养老保险支出。</w:t>
      </w:r>
    </w:p>
    <w:p>
      <w:pPr>
        <w:pStyle w:val="17"/>
        <w:spacing w:line="560" w:lineRule="exact"/>
        <w:ind w:firstLine="640" w:firstLineChars="200"/>
        <w:rPr>
          <w:rFonts w:hint="eastAsia" w:hAnsi="仿宋"/>
          <w:sz w:val="32"/>
          <w:szCs w:val="32"/>
        </w:rPr>
      </w:pPr>
      <w:r>
        <w:rPr>
          <w:rFonts w:hAnsi="仿宋"/>
          <w:sz w:val="32"/>
          <w:szCs w:val="32"/>
        </w:rPr>
        <w:t>1</w:t>
      </w:r>
      <w:r>
        <w:rPr>
          <w:rFonts w:hint="eastAsia" w:hAnsi="仿宋"/>
          <w:sz w:val="32"/>
          <w:szCs w:val="32"/>
        </w:rPr>
        <w:t>0</w:t>
      </w:r>
      <w:r>
        <w:rPr>
          <w:rFonts w:hAnsi="仿宋"/>
          <w:sz w:val="32"/>
          <w:szCs w:val="32"/>
        </w:rPr>
        <w:t>.</w:t>
      </w:r>
      <w:r>
        <w:rPr>
          <w:rFonts w:hint="eastAsia" w:hAnsi="仿宋"/>
          <w:sz w:val="32"/>
          <w:szCs w:val="32"/>
        </w:rPr>
        <w:t>社会保障和就业（类）行政事业单位养老支出（款）机关事业单位职业年金缴费支出（项）</w:t>
      </w:r>
      <w:r>
        <w:rPr>
          <w:rFonts w:hAnsi="仿宋"/>
          <w:sz w:val="32"/>
          <w:szCs w:val="32"/>
        </w:rPr>
        <w:t>:</w:t>
      </w:r>
      <w:r>
        <w:rPr>
          <w:rFonts w:hint="eastAsia" w:hAnsi="仿宋"/>
          <w:sz w:val="32"/>
          <w:szCs w:val="32"/>
        </w:rPr>
        <w:t>指机关事业单位实施养老保险制度由单位实际缴纳的职业年金支出。</w:t>
      </w:r>
    </w:p>
    <w:p>
      <w:pPr>
        <w:pStyle w:val="17"/>
        <w:spacing w:line="560" w:lineRule="exact"/>
        <w:ind w:firstLine="640" w:firstLineChars="200"/>
        <w:rPr>
          <w:rFonts w:hAnsi="仿宋"/>
          <w:sz w:val="32"/>
          <w:szCs w:val="32"/>
        </w:rPr>
      </w:pPr>
      <w:r>
        <w:rPr>
          <w:rFonts w:hint="eastAsia" w:hAnsi="仿宋"/>
          <w:sz w:val="32"/>
          <w:szCs w:val="32"/>
        </w:rPr>
        <w:t>11．社会保障和就业支出（类）其他社会保障和就业支出（款）其他社会保障和就业支出（项）:其他用于社会保障和就业支出。</w:t>
      </w:r>
    </w:p>
    <w:p>
      <w:pPr>
        <w:pStyle w:val="17"/>
        <w:spacing w:line="560" w:lineRule="exact"/>
        <w:ind w:firstLine="640" w:firstLineChars="200"/>
        <w:rPr>
          <w:rFonts w:hAnsi="仿宋"/>
          <w:sz w:val="32"/>
          <w:szCs w:val="32"/>
        </w:rPr>
      </w:pPr>
      <w:r>
        <w:rPr>
          <w:rFonts w:hAnsi="仿宋"/>
          <w:sz w:val="32"/>
          <w:szCs w:val="32"/>
        </w:rPr>
        <w:t>1</w:t>
      </w:r>
      <w:r>
        <w:rPr>
          <w:rFonts w:hint="eastAsia" w:hAnsi="仿宋"/>
          <w:sz w:val="32"/>
          <w:szCs w:val="32"/>
        </w:rPr>
        <w:t>2</w:t>
      </w:r>
      <w:r>
        <w:rPr>
          <w:rFonts w:hAnsi="仿宋"/>
          <w:sz w:val="32"/>
          <w:szCs w:val="32"/>
        </w:rPr>
        <w:t>.</w:t>
      </w:r>
      <w:r>
        <w:rPr>
          <w:rFonts w:hint="eastAsia" w:hAnsi="仿宋"/>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pPr>
        <w:pStyle w:val="17"/>
        <w:spacing w:line="560" w:lineRule="exact"/>
        <w:ind w:firstLine="640" w:firstLineChars="200"/>
        <w:rPr>
          <w:rFonts w:hAnsi="仿宋"/>
          <w:sz w:val="32"/>
          <w:szCs w:val="32"/>
        </w:rPr>
      </w:pPr>
      <w:r>
        <w:rPr>
          <w:rFonts w:hAnsi="仿宋"/>
          <w:sz w:val="32"/>
          <w:szCs w:val="32"/>
        </w:rPr>
        <w:t>1</w:t>
      </w:r>
      <w:r>
        <w:rPr>
          <w:rFonts w:hint="eastAsia" w:hAnsi="仿宋"/>
          <w:sz w:val="32"/>
          <w:szCs w:val="32"/>
        </w:rPr>
        <w:t>3</w:t>
      </w:r>
      <w:r>
        <w:rPr>
          <w:rFonts w:hAnsi="仿宋"/>
          <w:sz w:val="32"/>
          <w:szCs w:val="32"/>
        </w:rPr>
        <w:t>.</w:t>
      </w:r>
      <w:r>
        <w:rPr>
          <w:rFonts w:hint="eastAsia" w:hAnsi="仿宋"/>
          <w:sz w:val="32"/>
          <w:szCs w:val="32"/>
        </w:rPr>
        <w:t>城乡社区支出（类）城乡社区管理事务（款） 其他城乡社区管理事务支出（项）</w:t>
      </w:r>
      <w:r>
        <w:rPr>
          <w:rFonts w:hAnsi="仿宋"/>
          <w:sz w:val="32"/>
          <w:szCs w:val="32"/>
        </w:rPr>
        <w:t xml:space="preserve">: </w:t>
      </w:r>
      <w:r>
        <w:rPr>
          <w:rFonts w:hint="eastAsia" w:hAnsi="仿宋"/>
          <w:sz w:val="32"/>
          <w:szCs w:val="32"/>
        </w:rPr>
        <w:t>指其他用于城乡社区方面的支出。</w:t>
      </w:r>
    </w:p>
    <w:p>
      <w:pPr>
        <w:pStyle w:val="17"/>
        <w:spacing w:line="560" w:lineRule="exact"/>
        <w:ind w:firstLine="640" w:firstLineChars="200"/>
        <w:rPr>
          <w:rFonts w:hAnsi="仿宋"/>
          <w:sz w:val="32"/>
          <w:szCs w:val="32"/>
        </w:rPr>
      </w:pPr>
      <w:r>
        <w:rPr>
          <w:rFonts w:hint="eastAsia" w:hAnsi="仿宋"/>
          <w:sz w:val="32"/>
          <w:szCs w:val="32"/>
        </w:rPr>
        <w:t>14.自然资源海洋气象等支出（类）自然资源事务（款）自然资源规划及管理（项）</w:t>
      </w:r>
      <w:r>
        <w:rPr>
          <w:rFonts w:hAnsi="仿宋"/>
          <w:sz w:val="32"/>
          <w:szCs w:val="32"/>
        </w:rPr>
        <w:t>:</w:t>
      </w:r>
      <w:r>
        <w:rPr>
          <w:rFonts w:hint="eastAsia" w:hAnsi="仿宋"/>
          <w:sz w:val="32"/>
          <w:szCs w:val="32"/>
        </w:rPr>
        <w:t>指用于自然资源规划、研究、管理方面的支出。</w:t>
      </w:r>
    </w:p>
    <w:p>
      <w:pPr>
        <w:pStyle w:val="17"/>
        <w:spacing w:line="560" w:lineRule="exact"/>
        <w:ind w:firstLine="640" w:firstLineChars="200"/>
        <w:rPr>
          <w:rFonts w:hAnsi="仿宋"/>
          <w:sz w:val="32"/>
          <w:szCs w:val="32"/>
        </w:rPr>
      </w:pPr>
      <w:r>
        <w:rPr>
          <w:rFonts w:hint="eastAsia" w:hAnsi="仿宋"/>
          <w:sz w:val="32"/>
          <w:szCs w:val="32"/>
        </w:rPr>
        <w:t>15.住房保障支出（类）住房改革支出（款）住房公积金（项）</w:t>
      </w:r>
      <w:r>
        <w:rPr>
          <w:rFonts w:hAnsi="仿宋"/>
          <w:sz w:val="32"/>
          <w:szCs w:val="32"/>
        </w:rPr>
        <w:t xml:space="preserve">: </w:t>
      </w:r>
      <w:r>
        <w:rPr>
          <w:rFonts w:hint="eastAsia" w:hAnsi="仿宋"/>
          <w:sz w:val="32"/>
          <w:szCs w:val="32"/>
        </w:rPr>
        <w:t>指行政事业单位按人力资源和社会保障部、财政部规定的基本工资和津贴补贴以及规定比例为职工缴纳的住房公积金。</w:t>
      </w:r>
    </w:p>
    <w:p>
      <w:pPr>
        <w:pStyle w:val="17"/>
        <w:spacing w:line="560" w:lineRule="exact"/>
        <w:ind w:firstLine="640" w:firstLineChars="200"/>
        <w:rPr>
          <w:rFonts w:hAnsi="仿宋"/>
          <w:sz w:val="32"/>
          <w:szCs w:val="32"/>
        </w:rPr>
      </w:pPr>
      <w:r>
        <w:rPr>
          <w:rFonts w:hint="eastAsia" w:hAnsi="仿宋"/>
          <w:sz w:val="32"/>
          <w:szCs w:val="32"/>
        </w:rPr>
        <w:t>16</w:t>
      </w:r>
      <w:r>
        <w:rPr>
          <w:rFonts w:hAnsi="仿宋"/>
          <w:sz w:val="32"/>
          <w:szCs w:val="32"/>
        </w:rPr>
        <w:t>.</w:t>
      </w:r>
      <w:r>
        <w:rPr>
          <w:rFonts w:hint="eastAsia" w:hAnsi="仿宋"/>
          <w:sz w:val="32"/>
          <w:szCs w:val="32"/>
        </w:rPr>
        <w:t>基本支出：指为保障机构正常运转、完成日常工作任务而发生的人员支出和公用支出。</w:t>
      </w:r>
    </w:p>
    <w:p>
      <w:pPr>
        <w:pStyle w:val="17"/>
        <w:spacing w:line="560" w:lineRule="exact"/>
        <w:ind w:firstLine="640" w:firstLineChars="200"/>
        <w:rPr>
          <w:rFonts w:hAnsi="仿宋"/>
          <w:sz w:val="32"/>
          <w:szCs w:val="32"/>
        </w:rPr>
      </w:pPr>
      <w:r>
        <w:rPr>
          <w:rFonts w:hint="eastAsia" w:hAnsi="仿宋"/>
          <w:sz w:val="32"/>
          <w:szCs w:val="32"/>
        </w:rPr>
        <w:t>17</w:t>
      </w:r>
      <w:r>
        <w:rPr>
          <w:rFonts w:hAnsi="仿宋"/>
          <w:sz w:val="32"/>
          <w:szCs w:val="32"/>
        </w:rPr>
        <w:t>.</w:t>
      </w:r>
      <w:r>
        <w:rPr>
          <w:rFonts w:hint="eastAsia" w:hAnsi="仿宋"/>
          <w:sz w:val="32"/>
          <w:szCs w:val="32"/>
        </w:rPr>
        <w:t>项目支出：指在基本支出之外为完成特定行政任务和事业发展目标所发生的支出。</w:t>
      </w:r>
      <w:r>
        <w:rPr>
          <w:rFonts w:hAnsi="仿宋"/>
          <w:sz w:val="32"/>
          <w:szCs w:val="32"/>
        </w:rPr>
        <w:t xml:space="preserve"> </w:t>
      </w:r>
    </w:p>
    <w:p>
      <w:pPr>
        <w:pStyle w:val="17"/>
        <w:spacing w:line="560" w:lineRule="exact"/>
        <w:ind w:firstLine="640" w:firstLineChars="200"/>
        <w:rPr>
          <w:rFonts w:hAnsi="仿宋"/>
          <w:sz w:val="32"/>
          <w:szCs w:val="32"/>
        </w:rPr>
      </w:pPr>
      <w:r>
        <w:rPr>
          <w:rFonts w:hint="eastAsia" w:hAnsi="仿宋"/>
          <w:sz w:val="32"/>
          <w:szCs w:val="32"/>
        </w:rPr>
        <w:t>18</w:t>
      </w:r>
      <w:r>
        <w:rPr>
          <w:rFonts w:hAnsi="仿宋"/>
          <w:sz w:val="32"/>
          <w:szCs w:val="32"/>
        </w:rPr>
        <w:t>.</w:t>
      </w:r>
      <w:r>
        <w:rPr>
          <w:rFonts w:hint="eastAsia" w:hAnsi="仿宋"/>
          <w:sz w:val="32"/>
          <w:szCs w:val="32"/>
        </w:rPr>
        <w:t>经营支出：指事业单位在专业业务活动及其辅助活动之外开展非独立核算经营活动发生的支出。</w:t>
      </w:r>
    </w:p>
    <w:p>
      <w:pPr>
        <w:pStyle w:val="17"/>
        <w:spacing w:line="560" w:lineRule="exact"/>
        <w:ind w:firstLine="640" w:firstLineChars="200"/>
        <w:rPr>
          <w:rFonts w:hAnsi="仿宋"/>
          <w:sz w:val="32"/>
          <w:szCs w:val="32"/>
        </w:rPr>
      </w:pPr>
      <w:r>
        <w:rPr>
          <w:rFonts w:hint="eastAsia" w:hAnsi="仿宋"/>
          <w:sz w:val="32"/>
          <w:szCs w:val="32"/>
        </w:rPr>
        <w:t>19</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Ansi="仿宋"/>
          <w:sz w:val="32"/>
          <w:szCs w:val="32"/>
        </w:rPr>
      </w:pPr>
      <w:r>
        <w:rPr>
          <w:rFonts w:hint="eastAsia" w:hAnsi="仿宋"/>
          <w:sz w:val="32"/>
          <w:szCs w:val="32"/>
        </w:rPr>
        <w:t>20</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40" w:firstLineChars="200"/>
        <w:rPr>
          <w:rFonts w:hAnsi="仿宋"/>
          <w:sz w:val="32"/>
          <w:szCs w:val="32"/>
        </w:rPr>
      </w:pPr>
    </w:p>
    <w:p>
      <w:pPr>
        <w:pStyle w:val="17"/>
        <w:spacing w:line="560" w:lineRule="exact"/>
        <w:ind w:firstLine="640" w:firstLineChars="200"/>
        <w:rPr>
          <w:rFonts w:hAnsi="仿宋"/>
          <w:sz w:val="32"/>
          <w:szCs w:val="32"/>
        </w:rPr>
      </w:pPr>
    </w:p>
    <w:p>
      <w:pPr>
        <w:spacing w:line="600" w:lineRule="exact"/>
        <w:jc w:val="center"/>
        <w:outlineLvl w:val="0"/>
        <w:rPr>
          <w:rStyle w:val="20"/>
          <w:rFonts w:ascii="仿宋" w:hAnsi="仿宋" w:eastAsia="仿宋"/>
          <w:b w:val="0"/>
        </w:rPr>
      </w:pPr>
      <w:bookmarkStart w:id="56" w:name="_Toc15377226"/>
      <w:r>
        <w:rPr>
          <w:rFonts w:hint="eastAsia" w:ascii="仿宋" w:hAnsi="仿宋" w:eastAsia="仿宋"/>
          <w:color w:val="000000"/>
          <w:sz w:val="44"/>
          <w:szCs w:val="44"/>
        </w:rPr>
        <w:t>第</w:t>
      </w:r>
      <w:r>
        <w:rPr>
          <w:rStyle w:val="20"/>
          <w:rFonts w:hint="eastAsia" w:ascii="仿宋" w:hAnsi="仿宋" w:eastAsia="仿宋"/>
          <w:b w:val="0"/>
        </w:rPr>
        <w:t>四部分</w:t>
      </w:r>
      <w:r>
        <w:rPr>
          <w:rStyle w:val="20"/>
          <w:rFonts w:ascii="仿宋" w:hAnsi="仿宋" w:eastAsia="仿宋"/>
          <w:b w:val="0"/>
        </w:rPr>
        <w:t xml:space="preserve"> </w:t>
      </w:r>
      <w:r>
        <w:rPr>
          <w:rStyle w:val="20"/>
          <w:rFonts w:hint="eastAsia" w:ascii="仿宋" w:hAnsi="仿宋" w:eastAsia="仿宋"/>
          <w:b w:val="0"/>
        </w:rPr>
        <w:t>附件</w:t>
      </w:r>
    </w:p>
    <w:p>
      <w:pPr>
        <w:spacing w:line="600" w:lineRule="exact"/>
        <w:jc w:val="left"/>
        <w:outlineLvl w:val="0"/>
        <w:rPr>
          <w:rFonts w:ascii="仿宋" w:hAnsi="仿宋" w:eastAsia="仿宋" w:cs="方正小标宋简体"/>
          <w:sz w:val="32"/>
          <w:szCs w:val="32"/>
        </w:rPr>
      </w:pPr>
      <w:r>
        <w:rPr>
          <w:rFonts w:hint="eastAsia" w:ascii="仿宋" w:hAnsi="仿宋" w:eastAsia="仿宋" w:cs="黑体"/>
          <w:sz w:val="32"/>
          <w:szCs w:val="32"/>
        </w:rPr>
        <w:t>附件</w:t>
      </w:r>
      <w:r>
        <w:rPr>
          <w:rFonts w:ascii="仿宋" w:hAnsi="仿宋" w:eastAsia="仿宋" w:cs="黑体"/>
          <w:sz w:val="32"/>
          <w:szCs w:val="32"/>
        </w:rPr>
        <w:t>1</w:t>
      </w:r>
    </w:p>
    <w:p>
      <w:pPr>
        <w:spacing w:line="580" w:lineRule="exact"/>
        <w:jc w:val="center"/>
        <w:rPr>
          <w:rFonts w:ascii="仿宋" w:hAnsi="仿宋" w:eastAsia="仿宋" w:cs="方正小标宋简体"/>
          <w:sz w:val="44"/>
          <w:szCs w:val="44"/>
        </w:rPr>
      </w:pPr>
    </w:p>
    <w:p>
      <w:pPr>
        <w:spacing w:line="600" w:lineRule="exact"/>
        <w:jc w:val="center"/>
        <w:rPr>
          <w:rFonts w:ascii="仿宋" w:hAnsi="仿宋" w:eastAsia="仿宋"/>
          <w:color w:val="000000"/>
          <w:kern w:val="0"/>
          <w:sz w:val="40"/>
          <w:szCs w:val="44"/>
          <w:lang w:val="zh-CN"/>
        </w:rPr>
      </w:pPr>
      <w:r>
        <w:rPr>
          <w:rFonts w:hint="eastAsia" w:ascii="仿宋" w:hAnsi="仿宋" w:eastAsia="仿宋"/>
          <w:color w:val="000000"/>
          <w:kern w:val="0"/>
          <w:sz w:val="40"/>
          <w:szCs w:val="44"/>
        </w:rPr>
        <w:t xml:space="preserve"> 峨眉山市规划服务中心</w:t>
      </w:r>
      <w:r>
        <w:rPr>
          <w:rFonts w:ascii="仿宋" w:hAnsi="仿宋" w:eastAsia="仿宋"/>
          <w:color w:val="000000"/>
          <w:kern w:val="0"/>
          <w:sz w:val="40"/>
          <w:szCs w:val="44"/>
        </w:rPr>
        <w:t>2020</w:t>
      </w:r>
      <w:r>
        <w:rPr>
          <w:rFonts w:hint="eastAsia" w:ascii="仿宋" w:hAnsi="仿宋" w:eastAsia="仿宋"/>
          <w:color w:val="000000"/>
          <w:kern w:val="0"/>
          <w:sz w:val="40"/>
          <w:szCs w:val="44"/>
        </w:rPr>
        <w:t>年部门</w:t>
      </w:r>
      <w:r>
        <w:rPr>
          <w:rFonts w:hint="eastAsia" w:ascii="仿宋" w:hAnsi="仿宋" w:eastAsia="仿宋"/>
          <w:color w:val="000000"/>
          <w:kern w:val="0"/>
          <w:sz w:val="40"/>
          <w:szCs w:val="44"/>
          <w:lang w:val="zh-CN"/>
        </w:rPr>
        <w:t>整体支出绩效评价报告</w:t>
      </w:r>
    </w:p>
    <w:p>
      <w:pPr>
        <w:spacing w:line="600" w:lineRule="exact"/>
        <w:jc w:val="center"/>
        <w:rPr>
          <w:rFonts w:ascii="仿宋" w:hAnsi="仿宋" w:eastAsia="仿宋"/>
          <w:color w:val="000000"/>
          <w:kern w:val="0"/>
          <w:sz w:val="40"/>
          <w:szCs w:val="44"/>
          <w:lang w:val="zh-CN"/>
        </w:rPr>
      </w:pP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一、</w:t>
      </w:r>
      <w:r>
        <w:rPr>
          <w:rFonts w:hint="eastAsia" w:ascii="仿宋" w:hAnsi="仿宋" w:eastAsia="仿宋"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r>
        <w:rPr>
          <w:rFonts w:hint="eastAsia" w:ascii="仿宋" w:hAnsi="仿宋" w:eastAsia="仿宋"/>
          <w:sz w:val="32"/>
          <w:szCs w:val="32"/>
        </w:rPr>
        <w:t>峨眉山市规划建设服务中心属于副科级一类公益事业单位。</w:t>
      </w:r>
    </w:p>
    <w:p>
      <w:pPr>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r>
        <w:rPr>
          <w:rStyle w:val="18"/>
          <w:rFonts w:hint="eastAsia" w:ascii="仿宋" w:hAnsi="仿宋" w:eastAsia="仿宋" w:cstheme="minorBidi"/>
          <w:sz w:val="32"/>
          <w:szCs w:val="32"/>
        </w:rPr>
        <w:t>负责为城市规划提供技术服务、技术咨询、规划资料等；负责基础测绘的编制和组织实施，对全市测绘市场进行统一指导；负责村站建设相关事务性工作；负责城乡建设档案收集、整理、保管、利用等工作。</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w:t>
      </w:r>
      <w:r>
        <w:rPr>
          <w:rFonts w:hint="eastAsia" w:ascii="仿宋" w:hAnsi="仿宋" w:eastAsia="仿宋" w:cs="宋体"/>
          <w:color w:val="000000"/>
          <w:kern w:val="0"/>
          <w:sz w:val="32"/>
          <w:szCs w:val="32"/>
          <w:shd w:val="clear" w:color="auto" w:fill="FFFFFF"/>
        </w:rPr>
        <w:t>事业</w:t>
      </w:r>
      <w:r>
        <w:rPr>
          <w:rFonts w:hint="eastAsia" w:ascii="仿宋" w:hAnsi="仿宋" w:eastAsia="仿宋" w:cs="宋体"/>
          <w:color w:val="000000"/>
          <w:kern w:val="0"/>
          <w:sz w:val="32"/>
          <w:szCs w:val="32"/>
          <w:shd w:val="clear" w:color="auto" w:fill="FFFFFF"/>
          <w:lang w:val="zh-CN"/>
        </w:rPr>
        <w:t>编制数</w:t>
      </w:r>
      <w:r>
        <w:rPr>
          <w:rFonts w:hint="eastAsia" w:ascii="仿宋" w:hAnsi="仿宋" w:eastAsia="仿宋" w:cs="宋体"/>
          <w:color w:val="000000"/>
          <w:kern w:val="0"/>
          <w:sz w:val="32"/>
          <w:szCs w:val="32"/>
          <w:shd w:val="clear" w:color="auto" w:fill="FFFFFF"/>
        </w:rPr>
        <w:t>7</w:t>
      </w:r>
      <w:r>
        <w:rPr>
          <w:rFonts w:hint="eastAsia" w:ascii="仿宋" w:hAnsi="仿宋" w:eastAsia="仿宋" w:cs="宋体"/>
          <w:color w:val="000000"/>
          <w:kern w:val="0"/>
          <w:sz w:val="32"/>
          <w:szCs w:val="32"/>
          <w:shd w:val="clear" w:color="auto" w:fill="FFFFFF"/>
          <w:lang w:val="zh-CN"/>
        </w:rPr>
        <w:t>人，年末实有在职人员</w:t>
      </w:r>
      <w:r>
        <w:rPr>
          <w:rFonts w:hint="eastAsia" w:ascii="仿宋" w:hAnsi="仿宋" w:eastAsia="仿宋" w:cs="宋体"/>
          <w:color w:val="000000"/>
          <w:kern w:val="0"/>
          <w:sz w:val="32"/>
          <w:szCs w:val="32"/>
          <w:shd w:val="clear" w:color="auto" w:fill="FFFFFF"/>
        </w:rPr>
        <w:t>7</w:t>
      </w:r>
      <w:r>
        <w:rPr>
          <w:rFonts w:hint="eastAsia" w:ascii="仿宋" w:hAnsi="仿宋" w:eastAsia="仿宋"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lang w:val="zh-CN"/>
        </w:rPr>
        <w:t>财政资金收入合计</w:t>
      </w:r>
      <w:r>
        <w:rPr>
          <w:rFonts w:hint="eastAsia" w:ascii="仿宋" w:hAnsi="仿宋" w:eastAsia="仿宋" w:cs="宋体"/>
          <w:color w:val="000000"/>
          <w:kern w:val="0"/>
          <w:sz w:val="32"/>
          <w:szCs w:val="32"/>
          <w:shd w:val="clear" w:color="auto" w:fill="FFFFFF"/>
        </w:rPr>
        <w:t>78.67</w:t>
      </w:r>
      <w:r>
        <w:rPr>
          <w:rFonts w:hint="eastAsia" w:ascii="仿宋" w:hAnsi="仿宋" w:eastAsia="仿宋" w:cs="宋体"/>
          <w:color w:val="000000"/>
          <w:kern w:val="0"/>
          <w:sz w:val="32"/>
          <w:szCs w:val="32"/>
          <w:shd w:val="clear" w:color="auto" w:fill="FFFFFF"/>
          <w:lang w:val="zh-CN"/>
        </w:rPr>
        <w:t>万元。</w:t>
      </w:r>
    </w:p>
    <w:p>
      <w:pPr>
        <w:widowControl/>
        <w:adjustRightInd w:val="0"/>
        <w:snapToGrid w:val="0"/>
        <w:spacing w:line="580"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p>
    <w:p>
      <w:pPr>
        <w:snapToGrid w:val="0"/>
        <w:spacing w:line="580" w:lineRule="exact"/>
        <w:ind w:left="105" w:leftChars="50" w:firstLine="315" w:firstLineChars="150"/>
        <w:rPr>
          <w:rFonts w:ascii="仿宋" w:hAnsi="仿宋" w:eastAsia="仿宋" w:cs="宋体"/>
          <w:color w:val="000000"/>
          <w:kern w:val="0"/>
          <w:sz w:val="32"/>
          <w:szCs w:val="32"/>
          <w:shd w:val="clear" w:color="auto" w:fill="FFFFFF"/>
          <w:lang w:val="zh-CN"/>
        </w:rPr>
      </w:pPr>
      <w:r>
        <w:rPr>
          <w:rFonts w:hint="eastAsia" w:ascii="仿宋" w:hAnsi="仿宋" w:eastAsia="仿宋" w:cs="楷体_GB2312"/>
          <w:color w:val="000000"/>
          <w:kern w:val="0"/>
          <w:szCs w:val="32"/>
          <w:shd w:val="clear" w:color="auto" w:fill="FFFFFF"/>
        </w:rPr>
        <w:t xml:space="preserve"> </w:t>
      </w:r>
      <w:r>
        <w:rPr>
          <w:rFonts w:hint="eastAsia" w:ascii="仿宋" w:hAnsi="仿宋" w:eastAsia="仿宋" w:cs="宋体"/>
          <w:color w:val="000000"/>
          <w:kern w:val="0"/>
          <w:sz w:val="32"/>
          <w:szCs w:val="32"/>
          <w:shd w:val="clear" w:color="auto" w:fill="FFFFFF"/>
          <w:lang w:val="zh-CN"/>
        </w:rPr>
        <w:t>财政资金支出合计</w:t>
      </w:r>
      <w:r>
        <w:rPr>
          <w:rFonts w:hint="eastAsia" w:ascii="仿宋" w:hAnsi="仿宋" w:eastAsia="仿宋" w:cs="宋体"/>
          <w:color w:val="000000"/>
          <w:kern w:val="0"/>
          <w:sz w:val="32"/>
          <w:szCs w:val="32"/>
          <w:shd w:val="clear" w:color="auto" w:fill="FFFFFF"/>
        </w:rPr>
        <w:t>73.56</w:t>
      </w:r>
      <w:r>
        <w:rPr>
          <w:rFonts w:hint="eastAsia" w:ascii="仿宋" w:hAnsi="仿宋" w:eastAsia="仿宋" w:cs="宋体"/>
          <w:color w:val="000000"/>
          <w:kern w:val="0"/>
          <w:sz w:val="32"/>
          <w:szCs w:val="32"/>
          <w:shd w:val="clear" w:color="auto" w:fill="FFFFFF"/>
          <w:lang w:val="zh-CN"/>
        </w:rPr>
        <w:t>万元，其中基本支出</w:t>
      </w:r>
      <w:r>
        <w:rPr>
          <w:rFonts w:hint="eastAsia" w:ascii="仿宋" w:hAnsi="仿宋" w:eastAsia="仿宋" w:cs="宋体"/>
          <w:color w:val="000000"/>
          <w:kern w:val="0"/>
          <w:sz w:val="32"/>
          <w:szCs w:val="32"/>
          <w:shd w:val="clear" w:color="auto" w:fill="FFFFFF"/>
        </w:rPr>
        <w:t>67.03</w:t>
      </w:r>
      <w:r>
        <w:rPr>
          <w:rFonts w:hint="eastAsia" w:ascii="仿宋" w:hAnsi="仿宋" w:eastAsia="仿宋" w:cs="宋体"/>
          <w:color w:val="000000"/>
          <w:kern w:val="0"/>
          <w:sz w:val="32"/>
          <w:szCs w:val="32"/>
          <w:shd w:val="clear" w:color="auto" w:fill="FFFFFF"/>
          <w:lang w:val="zh-CN"/>
        </w:rPr>
        <w:t>万元，项目支出</w:t>
      </w:r>
      <w:r>
        <w:rPr>
          <w:rFonts w:hint="eastAsia" w:ascii="仿宋" w:hAnsi="仿宋" w:eastAsia="仿宋" w:cs="宋体"/>
          <w:color w:val="000000"/>
          <w:kern w:val="0"/>
          <w:sz w:val="32"/>
          <w:szCs w:val="32"/>
          <w:shd w:val="clear" w:color="auto" w:fill="FFFFFF"/>
        </w:rPr>
        <w:t>6.53</w:t>
      </w:r>
      <w:r>
        <w:rPr>
          <w:rFonts w:hint="eastAsia" w:ascii="仿宋" w:hAnsi="仿宋" w:eastAsia="仿宋"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三、部门整体预算绩效管理情况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 xml:space="preserve"> </w:t>
      </w:r>
      <w:r>
        <w:rPr>
          <w:rFonts w:hint="eastAsia" w:ascii="仿宋" w:hAnsi="仿宋" w:eastAsia="仿宋" w:cs="宋体"/>
          <w:color w:val="000000"/>
          <w:kern w:val="0"/>
          <w:sz w:val="32"/>
          <w:szCs w:val="32"/>
          <w:shd w:val="clear" w:color="auto" w:fill="FFFFFF"/>
        </w:rPr>
        <w:t xml:space="preserve"> 1</w:t>
      </w:r>
      <w:r>
        <w:rPr>
          <w:rFonts w:hint="eastAsia" w:ascii="仿宋" w:hAnsi="仿宋" w:eastAsia="仿宋" w:cs="宋体"/>
          <w:color w:val="000000"/>
          <w:kern w:val="0"/>
          <w:sz w:val="32"/>
          <w:szCs w:val="32"/>
          <w:shd w:val="clear" w:color="auto" w:fill="FFFFFF"/>
          <w:lang w:val="zh-CN"/>
        </w:rPr>
        <w:t>、我中心的预算编制符合《中华人民共和国预算法》和国家其他法律、法规的要求，对每一收支项目的数字指标进行认真测算，力求各项收支数据真实准确。对单位的财政资金，统一管理，统筹安排，统一编制综合财政预算。</w:t>
      </w:r>
    </w:p>
    <w:p>
      <w:pPr>
        <w:widowControl/>
        <w:adjustRightInd w:val="0"/>
        <w:snapToGrid w:val="0"/>
        <w:spacing w:line="580" w:lineRule="exact"/>
        <w:ind w:left="210" w:leftChars="100" w:firstLine="800" w:firstLineChars="2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2</w:t>
      </w:r>
      <w:r>
        <w:rPr>
          <w:rFonts w:hint="eastAsia" w:ascii="仿宋" w:hAnsi="仿宋" w:eastAsia="仿宋" w:cs="宋体"/>
          <w:color w:val="000000"/>
          <w:kern w:val="0"/>
          <w:sz w:val="32"/>
          <w:szCs w:val="32"/>
          <w:shd w:val="clear" w:color="auto" w:fill="FFFFFF"/>
          <w:lang w:val="zh-CN"/>
        </w:rPr>
        <w:t>、进一步强化绩效理念，健全管理制度，提高绩效评价工作质量，细化部门预算编制。</w:t>
      </w:r>
    </w:p>
    <w:p>
      <w:pPr>
        <w:widowControl/>
        <w:adjustRightInd w:val="0"/>
        <w:snapToGrid w:val="0"/>
        <w:spacing w:line="580" w:lineRule="exact"/>
        <w:ind w:left="210" w:leftChars="100" w:firstLine="800" w:firstLineChars="2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3</w:t>
      </w:r>
      <w:r>
        <w:rPr>
          <w:rFonts w:hint="eastAsia" w:ascii="仿宋" w:hAnsi="仿宋" w:eastAsia="仿宋" w:cs="宋体"/>
          <w:color w:val="000000"/>
          <w:kern w:val="0"/>
          <w:sz w:val="32"/>
          <w:szCs w:val="32"/>
          <w:shd w:val="clear" w:color="auto" w:fill="FFFFFF"/>
          <w:lang w:val="zh-CN"/>
        </w:rPr>
        <w:t>、认真编报决算报表，无应编未编、虚假混编等现象。并按要求对重点支出项目、三公经费及结余结转情况进行公开。</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（二）执行管理情况。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本单位的资金使用严格遵循财经制度的规定，有严格的财政资金拨付程序，项目资金严格按照项目开展进度拨款支付。</w:t>
      </w:r>
    </w:p>
    <w:p>
      <w:pPr>
        <w:pStyle w:val="21"/>
        <w:numPr>
          <w:ilvl w:val="0"/>
          <w:numId w:val="0"/>
        </w:numPr>
        <w:ind w:left="630"/>
        <w:rPr>
          <w:rFonts w:ascii="仿宋" w:hAnsi="仿宋" w:eastAsia="仿宋"/>
          <w:shd w:val="clear" w:color="auto" w:fill="FFFFFF"/>
        </w:rPr>
      </w:pPr>
      <w:r>
        <w:rPr>
          <w:rFonts w:hint="eastAsia" w:ascii="仿宋" w:hAnsi="仿宋" w:eastAsia="仿宋" w:cs="宋体"/>
          <w:color w:val="000000"/>
          <w:kern w:val="0"/>
          <w:szCs w:val="32"/>
          <w:shd w:val="clear" w:color="auto" w:fill="FFFFFF"/>
        </w:rPr>
        <w:t>（三）综合管理情况。</w:t>
      </w:r>
    </w:p>
    <w:p>
      <w:pPr>
        <w:topLinePunct/>
        <w:spacing w:line="600"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lang w:val="zh-CN"/>
        </w:rPr>
        <w:t>按照相关要求加强预算收支的管理，建立健全内部管理制度，严格内部管理流程，部门整体支出管理得到了明显提升。预算管理方面，制订了切实有效的内部财务、资产内部管理制度，执行总体较为有效。在信息公开方面，及时按照财政部门的通知和要求公开本部门预算、决算，依法接受财政监督。</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四、评价结论及建议</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部门绩效目标编制合理、合规，支出合规合法。</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内控制度需进一步完善，随着资金管理改革的进一步推进，单位建立健全了财务管理制度、固定资产管理制度、费用报销规程等制度，但仍需进一步强化财务约束监督体制。</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加强学习，提高思想认识。认真学习《预算法》等相关法规、制度，提高单位领导对全面预算管理的重视程度，增强财务人员的预算意识。</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jc w:val="left"/>
        <w:rPr>
          <w:rStyle w:val="14"/>
          <w:rFonts w:ascii="仿宋" w:hAnsi="仿宋" w:eastAsia="仿宋"/>
          <w:b w:val="0"/>
        </w:rPr>
      </w:pPr>
    </w:p>
    <w:p>
      <w:pPr>
        <w:widowControl/>
        <w:jc w:val="left"/>
        <w:rPr>
          <w:rStyle w:val="14"/>
          <w:rFonts w:ascii="仿宋" w:hAnsi="仿宋" w:eastAsia="仿宋"/>
          <w:b w:val="0"/>
        </w:rPr>
      </w:pPr>
    </w:p>
    <w:p>
      <w:pPr>
        <w:widowControl/>
        <w:jc w:val="left"/>
        <w:rPr>
          <w:rStyle w:val="14"/>
          <w:rFonts w:ascii="仿宋" w:hAnsi="仿宋" w:eastAsia="仿宋"/>
          <w:b w:val="0"/>
        </w:rPr>
      </w:pPr>
    </w:p>
    <w:p>
      <w:pPr>
        <w:spacing w:line="600" w:lineRule="exact"/>
        <w:jc w:val="center"/>
        <w:outlineLvl w:val="0"/>
        <w:rPr>
          <w:rStyle w:val="14"/>
          <w:rFonts w:ascii="仿宋" w:hAnsi="仿宋" w:eastAsia="仿宋"/>
          <w:b w:val="0"/>
        </w:rPr>
      </w:pPr>
    </w:p>
    <w:p>
      <w:pPr>
        <w:spacing w:line="600" w:lineRule="exact"/>
        <w:jc w:val="center"/>
        <w:outlineLvl w:val="0"/>
        <w:rPr>
          <w:rStyle w:val="14"/>
          <w:rFonts w:ascii="仿宋" w:hAnsi="仿宋" w:eastAsia="仿宋"/>
          <w:b w:val="0"/>
        </w:rPr>
      </w:pPr>
    </w:p>
    <w:p>
      <w:pPr>
        <w:spacing w:line="600" w:lineRule="exact"/>
        <w:jc w:val="center"/>
        <w:outlineLvl w:val="0"/>
        <w:rPr>
          <w:rStyle w:val="14"/>
          <w:rFonts w:ascii="仿宋" w:hAnsi="仿宋" w:eastAsia="仿宋"/>
          <w:b w:val="0"/>
        </w:rPr>
      </w:pPr>
      <w:bookmarkStart w:id="57" w:name="_Toc15396618"/>
      <w:r>
        <w:rPr>
          <w:rFonts w:hint="eastAsia" w:ascii="仿宋" w:hAnsi="仿宋" w:eastAsia="仿宋"/>
          <w:color w:val="000000"/>
          <w:sz w:val="44"/>
          <w:szCs w:val="44"/>
        </w:rPr>
        <w:t>第五</w:t>
      </w:r>
      <w:r>
        <w:rPr>
          <w:rStyle w:val="14"/>
          <w:rFonts w:hint="eastAsia" w:ascii="仿宋" w:hAnsi="仿宋" w:eastAsia="仿宋"/>
          <w:b w:val="0"/>
        </w:rPr>
        <w:t>部分 附表</w:t>
      </w:r>
      <w:bookmarkEnd w:id="56"/>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1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61"/>
    </w:p>
    <w:p>
      <w:pPr>
        <w:pStyle w:val="3"/>
        <w:rPr>
          <w:rStyle w:val="15"/>
          <w:rFonts w:ascii="仿宋" w:hAnsi="仿宋" w:eastAsia="仿宋"/>
          <w:b w:val="0"/>
          <w:bCs w:val="0"/>
        </w:rPr>
      </w:pPr>
      <w:bookmarkStart w:id="62"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66"/>
    </w:p>
    <w:p>
      <w:pPr>
        <w:rPr>
          <w:rStyle w:val="15"/>
          <w:rFonts w:hint="eastAsia" w:ascii="仿宋" w:hAnsi="仿宋" w:eastAsia="仿宋"/>
          <w:b w:val="0"/>
          <w:bCs w:val="0"/>
        </w:rPr>
      </w:pPr>
      <w:bookmarkStart w:id="67" w:name="_Toc15396628"/>
      <w:r>
        <w:rPr>
          <w:rStyle w:val="15"/>
          <w:rFonts w:hint="eastAsia" w:ascii="仿宋" w:hAnsi="仿宋" w:eastAsia="仿宋"/>
          <w:b w:val="0"/>
          <w:bCs w:val="0"/>
        </w:rPr>
        <w:t>十、</w:t>
      </w:r>
      <w:r>
        <w:rPr>
          <w:rFonts w:hint="eastAsia" w:ascii="仿宋" w:hAnsi="仿宋" w:eastAsia="仿宋"/>
          <w:color w:val="000000"/>
        </w:rPr>
        <w:t>一</w:t>
      </w:r>
      <w:r>
        <w:rPr>
          <w:rStyle w:val="15"/>
          <w:rFonts w:hint="eastAsia" w:ascii="仿宋" w:hAnsi="仿宋" w:eastAsia="仿宋"/>
          <w:b w:val="0"/>
          <w:bCs w:val="0"/>
        </w:rPr>
        <w:t>般公共预算财政拨款“三公”经费支出决算表</w:t>
      </w:r>
      <w:bookmarkEnd w:id="67"/>
      <w:r>
        <w:rPr>
          <w:rStyle w:val="15"/>
          <w:rFonts w:hint="eastAsia" w:ascii="仿宋" w:hAnsi="仿宋" w:eastAsia="仿宋"/>
          <w:b w:val="0"/>
          <w:bCs w:val="0"/>
        </w:rPr>
        <w:t>(本表无数据)</w:t>
      </w:r>
    </w:p>
    <w:p>
      <w:pPr>
        <w:rPr>
          <w:rStyle w:val="15"/>
          <w:rFonts w:hint="eastAsia" w:ascii="仿宋" w:hAnsi="仿宋" w:eastAsia="仿宋"/>
          <w:b w:val="0"/>
          <w:bCs w:val="0"/>
        </w:rPr>
      </w:pPr>
      <w:bookmarkStart w:id="68" w:name="_Toc15396629"/>
      <w:r>
        <w:rPr>
          <w:rStyle w:val="15"/>
          <w:rFonts w:hint="eastAsia" w:ascii="仿宋" w:hAnsi="仿宋" w:eastAsia="仿宋"/>
          <w:b w:val="0"/>
          <w:bCs w:val="0"/>
        </w:rPr>
        <w:t>十一、政</w:t>
      </w:r>
      <w:r>
        <w:rPr>
          <w:rStyle w:val="15"/>
          <w:rFonts w:hint="eastAsia" w:ascii="仿宋" w:hAnsi="仿宋" w:eastAsia="仿宋"/>
          <w:b w:val="0"/>
          <w:bCs w:val="0"/>
        </w:rPr>
        <w:t>府性基金预算财政拨款收入支出决算表</w:t>
      </w:r>
      <w:bookmarkEnd w:id="68"/>
      <w:r>
        <w:rPr>
          <w:rStyle w:val="15"/>
          <w:rFonts w:hint="eastAsia" w:ascii="仿宋" w:hAnsi="仿宋" w:eastAsia="仿宋"/>
          <w:b w:val="0"/>
          <w:bCs w:val="0"/>
        </w:rPr>
        <w:t>(本表无数据)</w:t>
      </w:r>
    </w:p>
    <w:p>
      <w:pPr>
        <w:rPr>
          <w:rStyle w:val="15"/>
          <w:rFonts w:hint="eastAsia" w:ascii="仿宋" w:hAnsi="仿宋" w:eastAsia="仿宋"/>
          <w:b w:val="0"/>
          <w:bCs w:val="0"/>
        </w:rPr>
      </w:pPr>
      <w:bookmarkStart w:id="69" w:name="_Toc15396630"/>
      <w:r>
        <w:rPr>
          <w:rStyle w:val="15"/>
          <w:rFonts w:hint="eastAsia" w:ascii="仿宋" w:hAnsi="仿宋" w:eastAsia="仿宋"/>
          <w:b w:val="0"/>
          <w:bCs w:val="0"/>
        </w:rPr>
        <w:t>十二、政</w:t>
      </w:r>
      <w:r>
        <w:rPr>
          <w:rStyle w:val="15"/>
          <w:rFonts w:hint="eastAsia" w:ascii="仿宋" w:hAnsi="仿宋" w:eastAsia="仿宋"/>
          <w:b w:val="0"/>
          <w:bCs w:val="0"/>
        </w:rPr>
        <w:t>府性基金预算财政拨款“三公”经费支出决算表</w:t>
      </w:r>
      <w:bookmarkEnd w:id="69"/>
      <w:r>
        <w:rPr>
          <w:rStyle w:val="15"/>
          <w:rFonts w:hint="eastAsia" w:ascii="仿宋" w:hAnsi="仿宋" w:eastAsia="仿宋"/>
          <w:b w:val="0"/>
          <w:bCs w:val="0"/>
        </w:rPr>
        <w:t>(本表无数据)</w:t>
      </w:r>
    </w:p>
    <w:p>
      <w:pPr>
        <w:rPr>
          <w:rStyle w:val="15"/>
          <w:rFonts w:hint="eastAsia" w:ascii="仿宋" w:hAnsi="仿宋" w:eastAsia="仿宋"/>
          <w:b w:val="0"/>
          <w:bCs w:val="0"/>
        </w:rPr>
      </w:pPr>
      <w:r>
        <w:rPr>
          <w:rStyle w:val="15"/>
          <w:rFonts w:hint="eastAsia" w:ascii="仿宋" w:hAnsi="仿宋" w:eastAsia="仿宋"/>
          <w:b w:val="0"/>
          <w:bCs w:val="0"/>
        </w:rPr>
        <w:t>十三、</w:t>
      </w:r>
      <w:r>
        <w:rPr>
          <w:rStyle w:val="15"/>
          <w:rFonts w:hint="eastAsia" w:ascii="仿宋" w:hAnsi="仿宋" w:eastAsia="仿宋"/>
          <w:b w:val="0"/>
          <w:bCs w:val="0"/>
        </w:rPr>
        <w:t>国有资本经营预算财政拨款收入支出决算表(本表无数据)</w:t>
      </w:r>
    </w:p>
    <w:p>
      <w:pPr>
        <w:pStyle w:val="3"/>
        <w:rPr>
          <w:rFonts w:ascii="仿宋" w:hAnsi="仿宋" w:eastAsia="仿宋"/>
          <w:color w:val="000000"/>
        </w:rPr>
      </w:pPr>
      <w:r>
        <w:rPr>
          <w:rStyle w:val="22"/>
          <w:rFonts w:hint="eastAsia" w:ascii="仿宋" w:hAnsi="仿宋" w:eastAsia="仿宋"/>
          <w:b w:val="0"/>
          <w:bCs w:val="0"/>
        </w:rPr>
        <w:t>十四、国有资本经营预算财政拨款支出决算表(本表无</w:t>
      </w:r>
      <w:bookmarkStart w:id="70" w:name="_GoBack"/>
      <w:bookmarkEnd w:id="70"/>
      <w:r>
        <w:rPr>
          <w:rStyle w:val="22"/>
          <w:rFonts w:hint="eastAsia" w:ascii="仿宋" w:hAnsi="仿宋" w:eastAsia="仿宋"/>
          <w:b w:val="0"/>
          <w:bCs w:val="0"/>
        </w:rPr>
        <w:t>数据)</w:t>
      </w:r>
    </w:p>
    <w:p/>
    <w:p/>
    <w:p>
      <w:pPr>
        <w:rPr>
          <w:rFonts w:ascii="仿宋" w:hAnsi="仿宋" w:eastAsia="仿宋"/>
          <w:color w:val="000000"/>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C6A89"/>
    <w:multiLevelType w:val="singleLevel"/>
    <w:tmpl w:val="823C6A89"/>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EE55BF3"/>
    <w:multiLevelType w:val="multilevel"/>
    <w:tmpl w:val="7EE55BF3"/>
    <w:lvl w:ilvl="0" w:tentative="0">
      <w:start w:val="1"/>
      <w:numFmt w:val="chineseCountingThousand"/>
      <w:pStyle w:val="21"/>
      <w:suff w:val="nothing"/>
      <w:lvlText w:val="（%1）"/>
      <w:lvlJc w:val="left"/>
      <w:pPr>
        <w:ind w:left="-5"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4924F7"/>
    <w:rsid w:val="005E2840"/>
    <w:rsid w:val="00771C90"/>
    <w:rsid w:val="00FC0CC0"/>
    <w:rsid w:val="02DD270C"/>
    <w:rsid w:val="1B3C2176"/>
    <w:rsid w:val="1FDA2F5B"/>
    <w:rsid w:val="293E3BDF"/>
    <w:rsid w:val="30B81341"/>
    <w:rsid w:val="36A23993"/>
    <w:rsid w:val="395E31DB"/>
    <w:rsid w:val="474924F7"/>
    <w:rsid w:val="477B086F"/>
    <w:rsid w:val="48250A49"/>
    <w:rsid w:val="579E1F75"/>
    <w:rsid w:val="59602F7C"/>
    <w:rsid w:val="609731BA"/>
    <w:rsid w:val="62721DE7"/>
    <w:rsid w:val="6B3D3C5E"/>
    <w:rsid w:val="789F1F48"/>
    <w:rsid w:val="7EF8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alloon Text"/>
    <w:basedOn w:val="1"/>
    <w:link w:val="23"/>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NormalCharacter"/>
    <w:qFormat/>
    <w:uiPriority w:val="0"/>
    <w:rPr>
      <w:kern w:val="2"/>
      <w:sz w:val="21"/>
      <w:szCs w:val="22"/>
      <w:lang w:val="en-US" w:eastAsia="zh-CN" w:bidi="ar-SA"/>
    </w:rPr>
  </w:style>
  <w:style w:type="paragraph" w:customStyle="1" w:styleId="19">
    <w:name w:val="列出段落1"/>
    <w:basedOn w:val="1"/>
    <w:qFormat/>
    <w:uiPriority w:val="0"/>
    <w:pPr>
      <w:ind w:firstLine="420" w:firstLineChars="200"/>
    </w:pPr>
  </w:style>
  <w:style w:type="character" w:customStyle="1" w:styleId="20">
    <w:name w:val="标题 1 Char1"/>
    <w:link w:val="2"/>
    <w:qFormat/>
    <w:locked/>
    <w:uiPriority w:val="9"/>
    <w:rPr>
      <w:rFonts w:ascii="Times New Roman" w:hAnsi="Times New Roman" w:cs="Times New Roman"/>
      <w:b/>
      <w:bCs/>
      <w:kern w:val="44"/>
      <w:sz w:val="44"/>
      <w:szCs w:val="44"/>
    </w:rPr>
  </w:style>
  <w:style w:type="paragraph" w:customStyle="1" w:styleId="21">
    <w:name w:val="〖B02〗二级标题"/>
    <w:next w:val="1"/>
    <w:qFormat/>
    <w:uiPriority w:val="0"/>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 w:type="character" w:customStyle="1" w:styleId="22">
    <w:name w:val="标题 2 Char1"/>
    <w:qFormat/>
    <w:locked/>
    <w:uiPriority w:val="9"/>
    <w:rPr>
      <w:rFonts w:ascii="Cambria" w:hAnsi="Cambria" w:eastAsia="宋体" w:cs="Times New Roman"/>
      <w:b/>
      <w:bCs/>
      <w:sz w:val="32"/>
      <w:szCs w:val="32"/>
    </w:rPr>
  </w:style>
  <w:style w:type="character" w:customStyle="1" w:styleId="23">
    <w:name w:val="批注框文本 Char"/>
    <w:basedOn w:val="11"/>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a:t>
            </a:r>
            <a:endParaRPr altLang="en-US"/>
          </a:p>
        </c:rich>
      </c:tx>
      <c:layout/>
      <c:overlay val="0"/>
      <c:spPr>
        <a:noFill/>
        <a:ln>
          <a:noFill/>
        </a:ln>
        <a:effectLst/>
      </c:spPr>
    </c:title>
    <c:autoTitleDeleted val="0"/>
    <c:plotArea>
      <c:layout>
        <c:manualLayout>
          <c:layoutTarget val="inner"/>
          <c:xMode val="edge"/>
          <c:yMode val="edge"/>
          <c:x val="0.067325"/>
          <c:y val="0.1105"/>
          <c:w val="0.8153"/>
          <c:h val="0.7334"/>
        </c:manualLayout>
      </c:layout>
      <c:barChart>
        <c:barDir val="col"/>
        <c:grouping val="stacked"/>
        <c:varyColors val="0"/>
        <c:ser>
          <c:idx val="0"/>
          <c:order val="0"/>
          <c:tx>
            <c:strRef>
              <c:f>Sheet1!$B$1</c:f>
              <c:strCache>
                <c:ptCount val="1"/>
                <c:pt idx="0">
                  <c:v>单位：万元</c:v>
                </c:pt>
              </c:strCache>
            </c:strRef>
          </c:tx>
          <c:spPr>
            <a:solidFill>
              <a:schemeClr val="accent1">
                <a:alpha val="92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593.6</c:v>
                </c:pt>
                <c:pt idx="1">
                  <c:v>78.67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30"/>
        <c:overlap val="100"/>
        <c:axId val="59267712"/>
        <c:axId val="59287040"/>
      </c:barChart>
      <c:catAx>
        <c:axId val="592677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87040"/>
        <c:crosses val="autoZero"/>
        <c:auto val="1"/>
        <c:lblAlgn val="ctr"/>
        <c:lblOffset val="100"/>
        <c:noMultiLvlLbl val="0"/>
      </c:catAx>
      <c:valAx>
        <c:axId val="592870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67712"/>
        <c:crosses val="autoZero"/>
        <c:crossBetween val="between"/>
        <c:majorUnit val="150"/>
      </c:valAx>
      <c:spPr>
        <a:noFill/>
        <a:ln>
          <a:noFill/>
        </a:ln>
        <a:effectLst/>
      </c:spPr>
    </c:plotArea>
    <c:legend>
      <c:legendPos val="b"/>
      <c:legendEntry>
        <c:idx val="1"/>
        <c:delete val="1"/>
      </c:legendEntry>
      <c:legendEntry>
        <c:idx val="2"/>
        <c:delete val="1"/>
      </c:legendEntry>
      <c:layout>
        <c:manualLayout>
          <c:xMode val="edge"/>
          <c:yMode val="edge"/>
          <c:x val="0.8130625"/>
          <c:y val="0.04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zh-CN"/>
              <a:t>：收入决算结构图</a:t>
            </a:r>
            <a:endParaRPr altLang="zh-CN"/>
          </a:p>
        </c:rich>
      </c:tx>
      <c:layout/>
      <c:overlay val="0"/>
      <c:spPr>
        <a:noFill/>
        <a:ln>
          <a:noFill/>
        </a:ln>
        <a:effectLst/>
      </c:spPr>
    </c:title>
    <c:autoTitleDeleted val="0"/>
    <c:plotArea>
      <c:layout/>
      <c:pieChart>
        <c:varyColors val="1"/>
        <c:ser>
          <c:idx val="0"/>
          <c:order val="0"/>
          <c:tx>
            <c:strRef>
              <c:f>Sheet1!$B$1</c:f>
              <c:strCache>
                <c:ptCount val="1"/>
                <c:pt idx="0">
                  <c:v>本年收入决算金额（万元）</c:v>
                </c:pt>
              </c:strCache>
            </c:strRef>
          </c:tx>
          <c:spPr>
            <a:solidFill>
              <a:schemeClr val="accent1"/>
            </a:solidFill>
            <a:ln w="19050">
              <a:noFill/>
              <a:round/>
            </a:ln>
            <a:effectLst>
              <a:softEdge rad="25400"/>
            </a:effectLst>
          </c:spPr>
          <c:explosion val="19"/>
          <c:dPt>
            <c:idx val="0"/>
            <c:bubble3D val="0"/>
            <c:explosion val="2"/>
            <c:spPr>
              <a:solidFill>
                <a:schemeClr val="accent1"/>
              </a:solidFill>
              <a:ln w="19050">
                <a:noFill/>
                <a:round/>
              </a:ln>
              <a:effectLst>
                <a:softEdge rad="25400"/>
              </a:effectLst>
            </c:spPr>
          </c:dPt>
          <c:dLbls>
            <c:dLbl>
              <c:idx val="0"/>
              <c:layout>
                <c:manualLayout>
                  <c:x val="0.123343039858731"/>
                  <c:y val="-0.3157101748687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c:v>
                </c:pt>
              </c:strCache>
            </c:strRef>
          </c:cat>
          <c:val>
            <c:numRef>
              <c:f>Sheet1!$B$2</c:f>
              <c:numCache>
                <c:formatCode>General</c:formatCode>
                <c:ptCount val="1"/>
                <c:pt idx="0">
                  <c:v>73.64</c:v>
                </c:pt>
              </c:numCache>
            </c:numRef>
          </c:val>
        </c:ser>
        <c:dLbls>
          <c:showLegendKey val="0"/>
          <c:showVal val="1"/>
          <c:showCatName val="0"/>
          <c:showSerName val="0"/>
          <c:showPercent val="0"/>
          <c:showBubbleSize val="0"/>
          <c:showLeaderLines val="1"/>
        </c:dLbls>
        <c:firstSliceAng val="24"/>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a:t>
            </a:r>
          </a:p>
        </c:rich>
      </c:tx>
      <c:layout/>
      <c:overlay val="0"/>
      <c:spPr>
        <a:noFill/>
        <a:ln>
          <a:noFill/>
        </a:ln>
        <a:effectLst/>
      </c:spPr>
    </c:title>
    <c:autoTitleDeleted val="0"/>
    <c:view3D>
      <c:rotX val="30"/>
      <c:rotY val="52"/>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财政拨款支出决算（万元）</c:v>
                </c:pt>
              </c:strCache>
            </c:strRef>
          </c:tx>
          <c:spPr>
            <a:ln w="25400">
              <a:noFill/>
            </a:ln>
            <a:scene3d>
              <a:camera prst="orthographicFront"/>
              <a:lightRig rig="threePt" dir="t"/>
            </a:scene3d>
            <a:sp3d contourW="25400"/>
          </c:spPr>
          <c:explosion val="27"/>
          <c:dPt>
            <c:idx val="0"/>
            <c:bubble3D val="0"/>
            <c:spPr>
              <a:solidFill>
                <a:schemeClr val="accent1"/>
              </a:solidFill>
              <a:ln w="25400">
                <a:noFill/>
              </a:ln>
              <a:effectLst/>
              <a:scene3d>
                <a:camera prst="orthographicFront"/>
                <a:lightRig rig="threePt" dir="t"/>
              </a:scene3d>
              <a:sp3d contourW="25400"/>
            </c:spPr>
          </c:dPt>
          <c:dPt>
            <c:idx val="1"/>
            <c:bubble3D val="0"/>
            <c:spPr>
              <a:solidFill>
                <a:schemeClr val="accent2">
                  <a:lumMod val="75000"/>
                  <a:alpha val="72000"/>
                </a:schemeClr>
              </a:solidFill>
              <a:ln w="25400">
                <a:no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67.03</c:v>
                </c:pt>
                <c:pt idx="1">
                  <c:v>6.53</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a:t>
            </a:r>
            <a:endParaRPr altLang="en-US"/>
          </a:p>
        </c:rich>
      </c:tx>
      <c:layout>
        <c:manualLayout>
          <c:xMode val="edge"/>
          <c:yMode val="edge"/>
          <c:x val="0.209039943938332"/>
          <c:y val="0.0219983207388749"/>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593.6</c:v>
                </c:pt>
                <c:pt idx="1">
                  <c:v>78.67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25"/>
        <c:overlap val="100"/>
        <c:axId val="102590720"/>
        <c:axId val="102603008"/>
      </c:barChart>
      <c:catAx>
        <c:axId val="1025907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603008"/>
        <c:crosses val="autoZero"/>
        <c:auto val="1"/>
        <c:lblAlgn val="ctr"/>
        <c:lblOffset val="100"/>
        <c:noMultiLvlLbl val="0"/>
      </c:catAx>
      <c:valAx>
        <c:axId val="102603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90720"/>
        <c:crosses val="autoZero"/>
        <c:crossBetween val="between"/>
        <c:majorUnit val="1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一般公共预算拨款支出总体情况</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一般公共预算拨款支出（万元）</c:v>
                </c:pt>
              </c:strCache>
            </c:strRef>
          </c:tx>
          <c:spPr>
            <a:solidFill>
              <a:srgbClr val="5B9BD5"/>
            </a:solidFill>
            <a:ln w="19050">
              <a:noFill/>
            </a:ln>
            <a:effectLst/>
            <a:sp3d contourW="25400"/>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588.57</c:v>
                </c:pt>
                <c:pt idx="1">
                  <c:v>73.56</c:v>
                </c:pt>
              </c:numCache>
            </c:numRef>
          </c:val>
        </c:ser>
        <c:dLbls>
          <c:showLegendKey val="0"/>
          <c:showVal val="1"/>
          <c:showCatName val="0"/>
          <c:showSerName val="0"/>
          <c:showPercent val="0"/>
          <c:showBubbleSize val="0"/>
        </c:dLbls>
        <c:gapWidth val="130"/>
        <c:overlap val="100"/>
        <c:axId val="55153024"/>
        <c:axId val="55154560"/>
      </c:barChart>
      <c:catAx>
        <c:axId val="5515302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154560"/>
        <c:crosses val="autoZero"/>
        <c:auto val="1"/>
        <c:lblAlgn val="ctr"/>
        <c:lblOffset val="100"/>
        <c:noMultiLvlLbl val="0"/>
      </c:catAx>
      <c:valAx>
        <c:axId val="55154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153024"/>
        <c:crosses val="autoZero"/>
        <c:crossBetween val="between"/>
        <c:majorUnit val="1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一般公共预算拨款支出结构图</a:t>
            </a:r>
          </a:p>
        </c:rich>
      </c:tx>
      <c:layout/>
      <c:overlay val="0"/>
      <c:spPr>
        <a:noFill/>
        <a:ln>
          <a:noFill/>
        </a:ln>
        <a:effectLst/>
      </c:spPr>
    </c:title>
    <c:autoTitleDeleted val="0"/>
    <c:view3D>
      <c:rotX val="30"/>
      <c:rotY val="17"/>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一般公共预算拨款支出</c:v>
                </c:pt>
              </c:strCache>
            </c:strRef>
          </c:tx>
          <c:spPr>
            <a:ln w="25400">
              <a:noFill/>
            </a:ln>
            <a:scene3d>
              <a:camera prst="orthographicFront"/>
              <a:lightRig rig="threePt" dir="t"/>
            </a:scene3d>
            <a:sp3d contourW="25400"/>
          </c:spPr>
          <c:explosion val="19"/>
          <c:dPt>
            <c:idx val="0"/>
            <c:bubble3D val="0"/>
            <c:explosion val="34"/>
            <c:spPr>
              <a:solidFill>
                <a:schemeClr val="accent1"/>
              </a:solidFill>
              <a:ln w="25400">
                <a:noFill/>
              </a:ln>
              <a:effectLst/>
              <a:scene3d>
                <a:camera prst="orthographicFront"/>
                <a:lightRig rig="threePt" dir="t"/>
              </a:scene3d>
              <a:sp3d contourW="25400"/>
            </c:spPr>
          </c:dPt>
          <c:dPt>
            <c:idx val="1"/>
            <c:bubble3D val="0"/>
            <c:explosion val="29"/>
            <c:spPr>
              <a:solidFill>
                <a:schemeClr val="accent2"/>
              </a:solidFill>
              <a:ln w="25400">
                <a:noFill/>
              </a:ln>
              <a:effectLst/>
              <a:scene3d>
                <a:camera prst="orthographicFront"/>
                <a:lightRig rig="threePt" dir="t"/>
              </a:scene3d>
              <a:sp3d contourW="25400"/>
            </c:spPr>
          </c:dPt>
          <c:dPt>
            <c:idx val="2"/>
            <c:bubble3D val="0"/>
            <c:explosion val="9"/>
            <c:spPr>
              <a:solidFill>
                <a:schemeClr val="accent3"/>
              </a:solidFill>
              <a:ln w="25400">
                <a:noFill/>
              </a:ln>
              <a:effectLst/>
              <a:scene3d>
                <a:camera prst="orthographicFront"/>
                <a:lightRig rig="threePt" dir="t"/>
              </a:scene3d>
              <a:sp3d contourW="25400"/>
            </c:spPr>
          </c:dPt>
          <c:dPt>
            <c:idx val="3"/>
            <c:bubble3D val="0"/>
            <c:explosion val="38"/>
            <c:spPr>
              <a:solidFill>
                <a:schemeClr val="accent4"/>
              </a:solidFill>
              <a:ln w="25400">
                <a:noFill/>
              </a:ln>
              <a:effectLst/>
              <a:scene3d>
                <a:camera prst="orthographicFront"/>
                <a:lightRig rig="threePt" dir="t"/>
              </a:scene3d>
              <a:sp3d contourW="25400"/>
            </c:spPr>
          </c:dPt>
          <c:dPt>
            <c:idx val="4"/>
            <c:bubble3D val="0"/>
            <c:explosion val="33"/>
            <c:spPr>
              <a:solidFill>
                <a:schemeClr val="accent5"/>
              </a:solidFill>
              <a:ln w="25400">
                <a:noFill/>
              </a:ln>
              <a:effectLst/>
              <a:scene3d>
                <a:camera prst="orthographicFront"/>
                <a:lightRig rig="threePt" dir="t"/>
              </a:scene3d>
              <a:sp3d contourW="25400"/>
            </c:spPr>
          </c:dPt>
          <c:dLbls>
            <c:dLbl>
              <c:idx val="0"/>
              <c:layout>
                <c:manualLayout>
                  <c:x val="-0.023125"/>
                  <c:y val="-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146472068359799"/>
                  <c:y val="-0.026833333333333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1625"/>
                      <c:h val="0.141166666666667"/>
                    </c:manualLayout>
                  </c15:layout>
                </c:ext>
              </c:extLst>
            </c:dLbl>
            <c:dLbl>
              <c:idx val="3"/>
              <c:layout>
                <c:manualLayout>
                  <c:x val="-0.0448658833537207"/>
                  <c:y val="-0.00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75"/>
                      <c:h val="0.0981666666666667"/>
                    </c:manualLayout>
                  </c15:layout>
                </c:ext>
              </c:extLst>
            </c:dLbl>
            <c:dLbl>
              <c:idx val="4"/>
              <c:layout>
                <c:manualLayout>
                  <c:x val="0.027375"/>
                  <c:y val="-0.088333333333333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7375"/>
                      <c:h val="0.0951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12700" cap="flat" cmpd="sng" algn="ctr">
                      <a:solidFill>
                        <a:schemeClr val="tx1"/>
                      </a:solidFill>
                      <a:prstDash val="solid"/>
                      <a:round/>
                    </a:ln>
                    <a:effectLst/>
                  </c:spPr>
                </c15:leaderLines>
              </c:ext>
            </c:extLst>
          </c:dLbls>
          <c:cat>
            <c:strRef>
              <c:f>Sheet1!$A$2:$A$6</c:f>
              <c:strCache>
                <c:ptCount val="5"/>
                <c:pt idx="0">
                  <c:v>社会保障和就业</c:v>
                </c:pt>
                <c:pt idx="1">
                  <c:v>卫生健康支出</c:v>
                </c:pt>
                <c:pt idx="2">
                  <c:v>城乡社区支出</c:v>
                </c:pt>
                <c:pt idx="3">
                  <c:v>自然资源海洋气象支出</c:v>
                </c:pt>
                <c:pt idx="4">
                  <c:v>住房公积金</c:v>
                </c:pt>
              </c:strCache>
            </c:strRef>
          </c:cat>
          <c:val>
            <c:numRef>
              <c:f>Sheet1!$B$2:$B$6</c:f>
              <c:numCache>
                <c:formatCode>General</c:formatCode>
                <c:ptCount val="5"/>
                <c:pt idx="0">
                  <c:v>10.1</c:v>
                </c:pt>
                <c:pt idx="1">
                  <c:v>2.72</c:v>
                </c:pt>
                <c:pt idx="2">
                  <c:v>45.93</c:v>
                </c:pt>
                <c:pt idx="3">
                  <c:v>6.53</c:v>
                </c:pt>
                <c:pt idx="4">
                  <c:v>8.28</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bg2">
          <a:lumMod val="90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1034</Words>
  <Characters>5895</Characters>
  <Lines>49</Lines>
  <Paragraphs>13</Paragraphs>
  <TotalTime>21</TotalTime>
  <ScaleCrop>false</ScaleCrop>
  <LinksUpToDate>false</LinksUpToDate>
  <CharactersWithSpaces>6916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2020-11-02T03:14:00Z</dcterms:created>
  <dc:creator>Administrator</dc:creator>
  <cp:lastModifiedBy>峨眉山市土地储备中心</cp:lastModifiedBy>
  <cp:lastPrinted>2021-10-25T01:38:00Z</cp:lastPrinted>
  <dcterms:modified xsi:type="dcterms:W3CDTF">2021-10-26T06:28:57Z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