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仿宋" w:hAnsi="仿宋" w:eastAsia="仿宋"/>
          <w:color w:val="000000"/>
          <w:sz w:val="72"/>
          <w:szCs w:val="72"/>
        </w:rPr>
      </w:pPr>
      <w:bookmarkStart w:id="0" w:name="_Toc15306267"/>
    </w:p>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p>
      <w:pPr>
        <w:adjustRightInd w:val="0"/>
        <w:snapToGrid w:val="0"/>
        <w:spacing w:line="360" w:lineRule="auto"/>
        <w:jc w:val="center"/>
        <w:outlineLvl w:val="0"/>
        <w:rPr>
          <w:rFonts w:ascii="仿宋" w:hAnsi="仿宋" w:eastAsia="仿宋"/>
          <w:color w:val="000000"/>
          <w:sz w:val="72"/>
          <w:szCs w:val="72"/>
        </w:rPr>
      </w:pPr>
      <w:bookmarkStart w:id="1" w:name="_Toc15396597"/>
      <w:bookmarkStart w:id="2" w:name="_Toc15378441"/>
      <w:bookmarkStart w:id="3" w:name="_Toc15377425"/>
      <w:bookmarkStart w:id="4" w:name="_Toc15396475"/>
      <w:bookmarkStart w:id="5" w:name="_Toc15377193"/>
      <w:r>
        <w:rPr>
          <w:rFonts w:ascii="仿宋" w:hAnsi="仿宋" w:eastAsia="仿宋"/>
          <w:color w:val="000000"/>
          <w:sz w:val="72"/>
          <w:szCs w:val="72"/>
        </w:rPr>
        <w:t>20</w:t>
      </w:r>
      <w:r>
        <w:rPr>
          <w:rFonts w:hint="eastAsia" w:ascii="仿宋" w:hAnsi="仿宋" w:eastAsia="仿宋"/>
          <w:color w:val="000000"/>
          <w:sz w:val="72"/>
          <w:szCs w:val="72"/>
        </w:rPr>
        <w:t>20年度</w:t>
      </w:r>
      <w:bookmarkEnd w:id="1"/>
      <w:bookmarkEnd w:id="2"/>
      <w:bookmarkEnd w:id="3"/>
      <w:bookmarkEnd w:id="4"/>
      <w:bookmarkEnd w:id="5"/>
    </w:p>
    <w:p>
      <w:pPr>
        <w:adjustRightInd w:val="0"/>
        <w:snapToGrid w:val="0"/>
        <w:spacing w:line="360" w:lineRule="auto"/>
        <w:jc w:val="center"/>
        <w:outlineLvl w:val="0"/>
        <w:rPr>
          <w:rFonts w:ascii="仿宋" w:hAnsi="仿宋" w:eastAsia="仿宋"/>
          <w:color w:val="000000"/>
          <w:sz w:val="72"/>
          <w:szCs w:val="72"/>
        </w:rPr>
      </w:pPr>
      <w:bookmarkStart w:id="6" w:name="_Toc15396476"/>
      <w:bookmarkStart w:id="7" w:name="_Toc15378442"/>
      <w:bookmarkStart w:id="8" w:name="_Toc15377426"/>
      <w:bookmarkStart w:id="9" w:name="_Toc15396598"/>
      <w:bookmarkStart w:id="10" w:name="_Toc15377194"/>
      <w:r>
        <w:rPr>
          <w:rFonts w:hint="eastAsia" w:ascii="仿宋" w:hAnsi="仿宋" w:eastAsia="仿宋"/>
          <w:color w:val="000000"/>
          <w:sz w:val="72"/>
          <w:szCs w:val="72"/>
        </w:rPr>
        <w:t>四川省</w:t>
      </w:r>
      <w:bookmarkEnd w:id="0"/>
      <w:bookmarkStart w:id="11" w:name="_Toc15306268"/>
      <w:r>
        <w:rPr>
          <w:rFonts w:hint="eastAsia" w:ascii="仿宋" w:hAnsi="仿宋" w:eastAsia="仿宋"/>
          <w:color w:val="000000"/>
          <w:sz w:val="72"/>
          <w:szCs w:val="72"/>
        </w:rPr>
        <w:t>乐山市峨眉山市</w:t>
      </w:r>
    </w:p>
    <w:p>
      <w:pPr>
        <w:adjustRightInd w:val="0"/>
        <w:snapToGrid w:val="0"/>
        <w:spacing w:line="360" w:lineRule="auto"/>
        <w:jc w:val="center"/>
        <w:outlineLvl w:val="0"/>
        <w:rPr>
          <w:rFonts w:ascii="仿宋" w:hAnsi="仿宋" w:eastAsia="仿宋"/>
          <w:color w:val="000000"/>
          <w:sz w:val="72"/>
          <w:szCs w:val="72"/>
        </w:rPr>
      </w:pPr>
      <w:r>
        <w:rPr>
          <w:rFonts w:hint="eastAsia" w:ascii="仿宋" w:hAnsi="仿宋" w:eastAsia="仿宋"/>
          <w:color w:val="000000"/>
          <w:sz w:val="72"/>
          <w:szCs w:val="72"/>
        </w:rPr>
        <w:t>土地和房屋征收服务中心（本级）部门决算</w:t>
      </w:r>
      <w:bookmarkEnd w:id="6"/>
      <w:bookmarkEnd w:id="7"/>
      <w:bookmarkEnd w:id="8"/>
      <w:bookmarkEnd w:id="9"/>
      <w:bookmarkEnd w:id="10"/>
      <w:bookmarkEnd w:id="11"/>
      <w:r>
        <w:rPr>
          <w:rFonts w:hint="eastAsia" w:ascii="仿宋" w:hAnsi="仿宋" w:eastAsia="仿宋"/>
          <w:color w:val="000000"/>
          <w:sz w:val="72"/>
          <w:szCs w:val="72"/>
        </w:rPr>
        <w:t>编制说明</w:t>
      </w:r>
    </w:p>
    <w:p>
      <w:pPr>
        <w:widowControl/>
        <w:jc w:val="center"/>
        <w:rPr>
          <w:rFonts w:ascii="仿宋" w:hAnsi="仿宋" w:eastAsia="仿宋"/>
          <w:color w:val="000000"/>
          <w:sz w:val="48"/>
          <w:szCs w:val="48"/>
        </w:rPr>
      </w:pPr>
      <w:r>
        <w:rPr>
          <w:rFonts w:ascii="仿宋" w:hAnsi="仿宋" w:eastAsia="仿宋"/>
          <w:color w:val="000000"/>
          <w:sz w:val="36"/>
          <w:szCs w:val="36"/>
        </w:rPr>
        <w:br w:type="page"/>
      </w:r>
      <w:r>
        <w:rPr>
          <w:rFonts w:hint="eastAsia" w:ascii="仿宋" w:hAnsi="仿宋" w:eastAsia="仿宋"/>
          <w:color w:val="000000"/>
          <w:sz w:val="48"/>
          <w:szCs w:val="48"/>
        </w:rPr>
        <w:t>目录</w:t>
      </w:r>
    </w:p>
    <w:p>
      <w:pPr>
        <w:rPr>
          <w:rFonts w:ascii="仿宋" w:hAnsi="仿宋" w:eastAsia="仿宋"/>
        </w:rPr>
      </w:pPr>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ascii="仿宋" w:hAnsi="仿宋" w:eastAsia="仿宋"/>
          <w:sz w:val="24"/>
        </w:rPr>
        <w:t>“</w:t>
      </w:r>
      <w:r>
        <w:rPr>
          <w:rFonts w:hint="eastAsia" w:ascii="仿宋" w:hAnsi="仿宋" w:eastAsia="仿宋"/>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rFonts w:ascii="仿宋" w:hAnsi="仿宋" w:eastAsia="仿宋"/>
          <w:sz w:val="24"/>
        </w:rPr>
        <w:t xml:space="preserve"> 国</w:t>
      </w:r>
      <w:r>
        <w:rPr>
          <w:rFonts w:hint="eastAsia" w:ascii="仿宋" w:hAnsi="仿宋" w:eastAsia="仿宋"/>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ascii="仿宋" w:hAnsi="仿宋" w:eastAsia="仿宋"/>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附件</w:t>
      </w:r>
      <w:r>
        <w:rPr>
          <w:rFonts w:ascii="仿宋" w:hAnsi="仿宋" w:eastAsia="仿宋"/>
          <w:sz w:val="24"/>
        </w:rPr>
        <w:t>1</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附件</w:t>
      </w:r>
      <w:r>
        <w:rPr>
          <w:rFonts w:ascii="仿宋" w:hAnsi="仿宋" w:eastAsia="仿宋"/>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十三、国有资本经营预算财政拨款收入支出决算表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hint="eastAsia" w:ascii="仿宋" w:hAnsi="仿宋" w:eastAsia="仿宋"/>
          <w:b/>
          <w:sz w:val="24"/>
        </w:rPr>
        <w:t xml:space="preserve">   </w:t>
      </w:r>
      <w:r>
        <w:rPr>
          <w:rFonts w:hint="eastAsia" w:ascii="仿宋" w:hAnsi="仿宋" w:eastAsia="仿宋" w:cs="仿宋"/>
          <w:b/>
          <w:sz w:val="24"/>
        </w:rPr>
        <w:t xml:space="preserve"> </w:t>
      </w:r>
      <w:r>
        <w:rPr>
          <w:rFonts w:hint="eastAsia" w:ascii="仿宋" w:hAnsi="仿宋" w:eastAsia="仿宋" w:cs="仿宋"/>
          <w:sz w:val="24"/>
        </w:rPr>
        <w:t>十四、</w:t>
      </w:r>
      <w:r>
        <w:rPr>
          <w:rFonts w:hint="eastAsia" w:ascii="仿宋" w:hAnsi="仿宋" w:eastAsia="仿宋" w:cs="宋体"/>
          <w:sz w:val="24"/>
        </w:rPr>
        <w:t>国有资本经营预算财政拨款支出决算表</w:t>
      </w:r>
      <w:r>
        <w:rPr>
          <w:rFonts w:ascii="仿宋" w:hAnsi="仿宋" w:eastAsia="仿宋"/>
          <w:b/>
          <w:sz w:val="24"/>
        </w:rPr>
        <w:br w:type="page"/>
      </w:r>
    </w:p>
    <w:p>
      <w:pPr>
        <w:pStyle w:val="2"/>
        <w:jc w:val="center"/>
        <w:rPr>
          <w:rStyle w:val="24"/>
          <w:rFonts w:ascii="仿宋" w:hAnsi="仿宋" w:eastAsia="仿宋"/>
          <w:b/>
          <w:bCs w:val="0"/>
        </w:rPr>
      </w:pPr>
      <w:r>
        <w:rPr>
          <w:rFonts w:hint="eastAsia" w:ascii="仿宋" w:hAnsi="仿宋" w:eastAsia="仿宋"/>
          <w:b w:val="0"/>
        </w:rPr>
        <w:t xml:space="preserve">第一部分 </w:t>
      </w:r>
      <w:r>
        <w:rPr>
          <w:rStyle w:val="24"/>
          <w:rFonts w:hint="eastAsia" w:ascii="仿宋" w:hAnsi="仿宋" w:eastAsia="仿宋"/>
          <w:b w:val="0"/>
          <w:bCs w:val="0"/>
        </w:rPr>
        <w:t>部门概况</w:t>
      </w:r>
      <w:bookmarkEnd w:id="12"/>
      <w:bookmarkEnd w:id="13"/>
    </w:p>
    <w:p>
      <w:pPr>
        <w:widowControl/>
        <w:jc w:val="left"/>
        <w:rPr>
          <w:rFonts w:ascii="仿宋" w:hAnsi="仿宋" w:eastAsia="仿宋"/>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仿宋" w:hAnsi="仿宋" w:eastAsia="仿宋"/>
          <w:b w:val="0"/>
          <w:color w:val="000000"/>
        </w:rPr>
        <w:t>一、基</w:t>
      </w:r>
      <w:r>
        <w:rPr>
          <w:rStyle w:val="25"/>
          <w:rFonts w:hint="eastAsia" w:ascii="仿宋" w:hAnsi="仿宋" w:eastAsia="仿宋"/>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8446"/>
      <w:bookmarkStart w:id="19" w:name="_Toc15377199"/>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承担全市土地和房屋征收与补偿工作的具体实施。（1）承担集体土地征地补偿、拆迁补偿及安置等事务性工作；（2）承担国有土地上房屋征收与补偿等事务性工作；（3）完成上级交办的其他任务。</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18"/>
      <w:bookmarkEnd w:id="19"/>
    </w:p>
    <w:p>
      <w:pPr>
        <w:ind w:firstLine="640"/>
        <w:rPr>
          <w:rFonts w:ascii="仿宋" w:hAnsi="仿宋" w:eastAsia="仿宋" w:cs="仿宋"/>
          <w:sz w:val="32"/>
          <w:szCs w:val="32"/>
        </w:rPr>
      </w:pPr>
      <w:bookmarkStart w:id="20" w:name="_Toc15396601"/>
      <w:bookmarkStart w:id="21" w:name="_Toc15377200"/>
      <w:r>
        <w:rPr>
          <w:rFonts w:hint="eastAsia" w:ascii="仿宋" w:hAnsi="仿宋" w:eastAsia="仿宋" w:cs="仿宋"/>
          <w:sz w:val="32"/>
          <w:szCs w:val="32"/>
        </w:rPr>
        <w:t>1、全面谋划，推动工作开展</w:t>
      </w:r>
    </w:p>
    <w:p>
      <w:pPr>
        <w:ind w:firstLine="640"/>
        <w:rPr>
          <w:rFonts w:ascii="仿宋" w:hAnsi="仿宋" w:eastAsia="仿宋" w:cs="仿宋"/>
          <w:sz w:val="32"/>
          <w:szCs w:val="32"/>
        </w:rPr>
      </w:pPr>
      <w:r>
        <w:rPr>
          <w:rFonts w:hint="eastAsia" w:ascii="仿宋" w:hAnsi="仿宋" w:eastAsia="仿宋" w:cs="仿宋"/>
          <w:sz w:val="32"/>
          <w:szCs w:val="32"/>
        </w:rPr>
        <w:t>2020年，我中心成立10个工作组集中推进26个征拆项目，其中挂图作战项目20个。按市政府12号令规定累计完成新征收农村集体土地334.54亩，与423户被拆迁人签订房屋拆迁补偿安置协议，倒房338栋。</w:t>
      </w:r>
    </w:p>
    <w:p>
      <w:pPr>
        <w:ind w:firstLine="640"/>
        <w:rPr>
          <w:rFonts w:ascii="仿宋" w:hAnsi="仿宋" w:eastAsia="仿宋" w:cs="仿宋"/>
          <w:sz w:val="32"/>
          <w:szCs w:val="32"/>
        </w:rPr>
      </w:pPr>
      <w:r>
        <w:rPr>
          <w:rFonts w:hint="eastAsia" w:ascii="仿宋" w:hAnsi="仿宋" w:eastAsia="仿宋" w:cs="仿宋"/>
          <w:sz w:val="32"/>
          <w:szCs w:val="32"/>
        </w:rPr>
        <w:t>安置房安置结算交付住房135套，门市42间，安置98户308人。限价商品住房安置报名总计697户，2556人，使用限价商品住房安置577户，2092人，安置商品房1018套。</w:t>
      </w:r>
    </w:p>
    <w:p>
      <w:pPr>
        <w:ind w:firstLine="320" w:firstLineChars="100"/>
        <w:rPr>
          <w:rFonts w:ascii="仿宋" w:hAnsi="仿宋" w:eastAsia="仿宋" w:cs="仿宋"/>
          <w:sz w:val="32"/>
          <w:szCs w:val="32"/>
        </w:rPr>
      </w:pPr>
      <w:r>
        <w:rPr>
          <w:rFonts w:hint="eastAsia" w:ascii="仿宋" w:hAnsi="仿宋" w:eastAsia="仿宋" w:cs="仿宋"/>
          <w:sz w:val="32"/>
          <w:szCs w:val="32"/>
        </w:rPr>
        <w:t>2、突出重点，保障建设用地</w:t>
      </w:r>
    </w:p>
    <w:p>
      <w:pPr>
        <w:ind w:firstLine="640" w:firstLineChars="200"/>
        <w:rPr>
          <w:rFonts w:ascii="仿宋" w:hAnsi="仿宋" w:eastAsia="仿宋" w:cs="仿宋"/>
          <w:sz w:val="32"/>
          <w:szCs w:val="32"/>
        </w:rPr>
      </w:pPr>
      <w:r>
        <w:rPr>
          <w:rFonts w:hint="eastAsia" w:ascii="仿宋" w:hAnsi="仿宋" w:eastAsia="仿宋" w:cs="仿宋"/>
          <w:sz w:val="32"/>
          <w:szCs w:val="32"/>
        </w:rPr>
        <w:t>针对重难点拆迁户，我中心落实组长包</w:t>
      </w:r>
      <w:r>
        <w:rPr>
          <w:rFonts w:hint="eastAsia" w:ascii="仿宋" w:hAnsi="仿宋" w:eastAsia="仿宋" w:cs="仿宋"/>
          <w:sz w:val="32"/>
          <w:szCs w:val="32"/>
          <w:lang w:eastAsia="zh-CN"/>
        </w:rPr>
        <w:t>干</w:t>
      </w:r>
      <w:r>
        <w:rPr>
          <w:rFonts w:hint="eastAsia" w:ascii="仿宋" w:hAnsi="仿宋" w:eastAsia="仿宋" w:cs="仿宋"/>
          <w:sz w:val="32"/>
          <w:szCs w:val="32"/>
        </w:rPr>
        <w:t>制，下苦功夫，啃硬骨头，陆续取得工作进展，一年来已与43户重难点拆迁户签订拆迁协议，有力保障了重点项目建设用地。</w:t>
      </w:r>
    </w:p>
    <w:p>
      <w:pPr>
        <w:spacing w:line="560" w:lineRule="exact"/>
        <w:rPr>
          <w:rFonts w:ascii="仿宋" w:hAnsi="仿宋" w:eastAsia="仿宋" w:cs="仿宋"/>
          <w:sz w:val="32"/>
          <w:szCs w:val="32"/>
        </w:rPr>
      </w:pPr>
      <w:r>
        <w:rPr>
          <w:rFonts w:hint="eastAsia" w:ascii="仿宋" w:hAnsi="仿宋" w:eastAsia="仿宋" w:cs="仿宋"/>
          <w:sz w:val="32"/>
          <w:szCs w:val="32"/>
        </w:rPr>
        <w:t>3、把握政策，耐心化解矛盾</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耐心做好群众来信来访，积极化解信访积案，做好维稳工作。2020年，共接待</w:t>
      </w:r>
      <w:r>
        <w:rPr>
          <w:rFonts w:hint="eastAsia" w:ascii="仿宋" w:hAnsi="仿宋" w:eastAsia="仿宋" w:cs="仿宋"/>
          <w:color w:val="000000"/>
          <w:sz w:val="32"/>
          <w:szCs w:val="32"/>
        </w:rPr>
        <w:t>来访人员120批、350人次，办理心连心服务热线交办件45件，信访突出问题交办件10件，完成省信访平台信访件19件，完成本级排查信访积案5件，省委巡视组交办件23件，确保群众诉求事事有回音、件件有着落。</w:t>
      </w:r>
    </w:p>
    <w:p>
      <w:pPr>
        <w:pStyle w:val="3"/>
        <w:rPr>
          <w:rStyle w:val="25"/>
          <w:rFonts w:ascii="仿宋" w:hAnsi="仿宋" w:eastAsia="仿宋"/>
          <w:b w:val="0"/>
          <w:bCs w:val="0"/>
        </w:rPr>
      </w:pPr>
      <w:r>
        <w:rPr>
          <w:rFonts w:hint="eastAsia" w:ascii="仿宋" w:hAnsi="仿宋" w:eastAsia="仿宋"/>
          <w:b w:val="0"/>
          <w:color w:val="000000"/>
        </w:rPr>
        <w:t>二、机</w:t>
      </w:r>
      <w:r>
        <w:rPr>
          <w:rStyle w:val="25"/>
          <w:rFonts w:hint="eastAsia" w:ascii="仿宋" w:hAnsi="仿宋" w:eastAsia="仿宋"/>
          <w:b w:val="0"/>
          <w:bCs w:val="0"/>
        </w:rPr>
        <w:t>构设置</w:t>
      </w:r>
      <w:bookmarkEnd w:id="20"/>
      <w:bookmarkEnd w:id="21"/>
    </w:p>
    <w:p>
      <w:pPr>
        <w:spacing w:line="600" w:lineRule="exact"/>
        <w:ind w:firstLine="640" w:firstLineChars="200"/>
        <w:rPr>
          <w:rFonts w:ascii="仿宋" w:hAnsi="仿宋" w:eastAsia="仿宋"/>
          <w:sz w:val="32"/>
          <w:szCs w:val="32"/>
        </w:rPr>
      </w:pPr>
      <w:r>
        <w:rPr>
          <w:rFonts w:hint="eastAsia" w:ascii="仿宋" w:hAnsi="仿宋" w:eastAsia="仿宋"/>
          <w:sz w:val="32"/>
          <w:szCs w:val="32"/>
        </w:rPr>
        <w:t>峨眉山市土地和房屋征收服务中心属于市自然资源局管理的公益一类事业单位，</w:t>
      </w:r>
      <w:r>
        <w:rPr>
          <w:rFonts w:hint="eastAsia" w:ascii="仿宋" w:hAnsi="仿宋" w:eastAsia="仿宋"/>
          <w:color w:val="000000"/>
          <w:sz w:val="32"/>
          <w:szCs w:val="32"/>
        </w:rPr>
        <w:t>机构级别为股级</w:t>
      </w:r>
      <w:r>
        <w:rPr>
          <w:rFonts w:hint="eastAsia" w:ascii="仿宋" w:hAnsi="仿宋" w:eastAsia="仿宋"/>
          <w:sz w:val="32"/>
          <w:szCs w:val="32"/>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仿宋" w:hAnsi="仿宋" w:eastAsia="仿宋"/>
          <w:b w:val="0"/>
          <w:bCs w:val="0"/>
        </w:rPr>
      </w:pPr>
      <w:bookmarkStart w:id="22" w:name="_Toc15396602"/>
      <w:bookmarkStart w:id="23" w:name="_Toc15377204"/>
      <w:r>
        <w:rPr>
          <w:rFonts w:hint="eastAsia" w:ascii="仿宋" w:hAnsi="仿宋" w:eastAsia="仿宋"/>
          <w:b w:val="0"/>
          <w:color w:val="000000"/>
        </w:rPr>
        <w:t>第二部分</w:t>
      </w:r>
      <w:r>
        <w:rPr>
          <w:rFonts w:hint="eastAsia" w:ascii="仿宋" w:hAnsi="仿宋" w:eastAsia="仿宋"/>
          <w:color w:val="000000"/>
        </w:rPr>
        <w:t xml:space="preserve"> </w:t>
      </w:r>
      <w:r>
        <w:rPr>
          <w:rStyle w:val="24"/>
          <w:rFonts w:hint="eastAsia" w:ascii="仿宋" w:hAnsi="仿宋" w:eastAsia="仿宋"/>
          <w:b w:val="0"/>
          <w:bCs w:val="0"/>
        </w:rPr>
        <w:t>2020年度部门决算情况说明</w:t>
      </w:r>
      <w:bookmarkEnd w:id="22"/>
      <w:bookmarkEnd w:id="23"/>
    </w:p>
    <w:p>
      <w:pPr>
        <w:pStyle w:val="23"/>
        <w:numPr>
          <w:ilvl w:val="0"/>
          <w:numId w:val="1"/>
        </w:numPr>
        <w:spacing w:line="600" w:lineRule="exact"/>
        <w:ind w:firstLineChars="0"/>
        <w:outlineLvl w:val="1"/>
        <w:rPr>
          <w:rStyle w:val="25"/>
          <w:rFonts w:ascii="仿宋" w:hAnsi="仿宋" w:eastAsia="仿宋"/>
          <w:b w:val="0"/>
        </w:rPr>
      </w:pPr>
      <w:bookmarkStart w:id="24" w:name="_Toc15396603"/>
      <w:bookmarkStart w:id="25" w:name="_Toc15377205"/>
      <w:r>
        <w:rPr>
          <w:rFonts w:hint="eastAsia" w:ascii="仿宋" w:hAnsi="仿宋" w:eastAsia="仿宋"/>
          <w:color w:val="000000"/>
          <w:sz w:val="32"/>
          <w:szCs w:val="32"/>
        </w:rPr>
        <w:t>收</w:t>
      </w:r>
      <w:r>
        <w:rPr>
          <w:rStyle w:val="25"/>
          <w:rFonts w:hint="eastAsia" w:ascii="仿宋" w:hAnsi="仿宋" w:eastAsia="仿宋"/>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2020年度收、支总计29284.94万元。与2019年相比，收、支总计各增加17141.47万元，增加141.16</w:t>
      </w:r>
      <w:r>
        <w:rPr>
          <w:rFonts w:ascii="仿宋" w:hAnsi="仿宋" w:eastAsia="仿宋"/>
          <w:color w:val="000000"/>
          <w:sz w:val="32"/>
          <w:szCs w:val="32"/>
        </w:rPr>
        <w:t>%</w:t>
      </w:r>
      <w:r>
        <w:rPr>
          <w:rFonts w:hint="eastAsia" w:ascii="仿宋" w:hAnsi="仿宋" w:eastAsia="仿宋"/>
          <w:color w:val="000000"/>
          <w:sz w:val="32"/>
          <w:szCs w:val="32"/>
        </w:rPr>
        <w:t>。主要变动原因是增加了限价商品房房款等征拆安置项目经费支出。</w:t>
      </w:r>
    </w:p>
    <w:p>
      <w:pPr>
        <w:spacing w:line="600" w:lineRule="exact"/>
        <w:ind w:firstLine="640" w:firstLineChars="200"/>
        <w:rPr>
          <w:rFonts w:ascii="仿宋" w:hAnsi="仿宋" w:eastAsia="仿宋"/>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spacing w:line="600" w:lineRule="exact"/>
        <w:ind w:firstLine="420" w:firstLineChars="200"/>
        <w:rPr>
          <w:rFonts w:ascii="仿宋" w:hAnsi="仿宋" w:eastAsia="仿宋"/>
        </w:rPr>
      </w:pPr>
    </w:p>
    <w:p>
      <w:pPr>
        <w:spacing w:line="600" w:lineRule="exact"/>
        <w:ind w:firstLine="420" w:firstLineChars="200"/>
        <w:rPr>
          <w:rFonts w:ascii="仿宋" w:hAnsi="仿宋" w:eastAsia="仿宋"/>
        </w:rPr>
      </w:pPr>
    </w:p>
    <w:p>
      <w:pPr>
        <w:spacing w:line="600" w:lineRule="exact"/>
        <w:ind w:firstLine="420" w:firstLineChars="200"/>
        <w:rPr>
          <w:rFonts w:ascii="仿宋" w:hAnsi="仿宋" w:eastAsia="仿宋"/>
        </w:rPr>
      </w:pPr>
    </w:p>
    <w:p>
      <w:pPr>
        <w:spacing w:line="600" w:lineRule="exact"/>
        <w:ind w:firstLine="420" w:firstLineChars="200"/>
        <w:rPr>
          <w:rFonts w:ascii="仿宋" w:hAnsi="仿宋" w:eastAsia="仿宋"/>
        </w:rPr>
      </w:pPr>
    </w:p>
    <w:p>
      <w:pPr>
        <w:spacing w:line="600" w:lineRule="exact"/>
        <w:ind w:firstLine="420" w:firstLineChars="200"/>
        <w:rPr>
          <w:rFonts w:ascii="仿宋" w:hAnsi="仿宋" w:eastAsia="仿宋"/>
        </w:rPr>
      </w:pPr>
    </w:p>
    <w:p>
      <w:pPr>
        <w:spacing w:line="600" w:lineRule="exact"/>
        <w:ind w:firstLine="420" w:firstLineChars="200"/>
        <w:rPr>
          <w:rFonts w:ascii="仿宋" w:hAnsi="仿宋" w:eastAsia="仿宋"/>
        </w:rPr>
      </w:pPr>
    </w:p>
    <w:p>
      <w:pPr>
        <w:spacing w:line="600" w:lineRule="exact"/>
        <w:ind w:firstLine="420" w:firstLineChars="200"/>
        <w:rPr>
          <w:rFonts w:ascii="仿宋" w:hAnsi="仿宋" w:eastAsia="仿宋"/>
        </w:rPr>
      </w:pPr>
    </w:p>
    <w:p>
      <w:pPr>
        <w:spacing w:line="600" w:lineRule="exact"/>
        <w:ind w:firstLine="420" w:firstLineChars="200"/>
        <w:rPr>
          <w:rFonts w:ascii="仿宋" w:hAnsi="仿宋" w:eastAsia="仿宋"/>
          <w:color w:val="000000" w:themeColor="text1"/>
          <w:sz w:val="32"/>
          <w:szCs w:val="32"/>
        </w:rPr>
      </w:pPr>
      <w:r>
        <w:rPr>
          <w:rFonts w:ascii="仿宋" w:hAnsi="仿宋" w:eastAsia="仿宋"/>
        </w:rPr>
        <w:drawing>
          <wp:anchor distT="0" distB="0" distL="114300" distR="114300" simplePos="0" relativeHeight="251664384"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None/>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3"/>
        <w:numPr>
          <w:ilvl w:val="0"/>
          <w:numId w:val="1"/>
        </w:numPr>
        <w:spacing w:line="600" w:lineRule="exact"/>
        <w:ind w:firstLineChars="0"/>
        <w:outlineLvl w:val="1"/>
        <w:rPr>
          <w:rStyle w:val="25"/>
          <w:rFonts w:ascii="仿宋" w:hAnsi="仿宋" w:eastAsia="仿宋"/>
          <w:b w:val="0"/>
        </w:rPr>
      </w:pPr>
      <w:bookmarkStart w:id="26" w:name="_Toc15396604"/>
      <w:bookmarkStart w:id="27" w:name="_Toc15377206"/>
      <w:r>
        <w:rPr>
          <w:rFonts w:hint="eastAsia" w:ascii="仿宋" w:hAnsi="仿宋" w:eastAsia="仿宋"/>
          <w:color w:val="000000"/>
          <w:sz w:val="32"/>
          <w:szCs w:val="32"/>
        </w:rPr>
        <w:t>收</w:t>
      </w:r>
      <w:r>
        <w:rPr>
          <w:rStyle w:val="25"/>
          <w:rFonts w:hint="eastAsia" w:ascii="仿宋" w:hAnsi="仿宋" w:eastAsia="仿宋"/>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2020年本年收入合计29272.57万元，其中：一般公共预算财政拨款收入773.8万元，占2.64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；政府性基金预算财政拨款收入28498.77万元，占97.36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万元；事业收入0万元；经营收入0万元；附属单位上缴收入0万元；其他收入0万元。</w:t>
      </w: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420" w:firstLineChars="200"/>
        <w:rPr>
          <w:rStyle w:val="25"/>
          <w:rFonts w:ascii="仿宋" w:hAnsi="仿宋" w:eastAsia="仿宋"/>
          <w:b w:val="0"/>
        </w:rPr>
      </w:pPr>
      <w:r>
        <w:rPr>
          <w:rFonts w:ascii="仿宋" w:hAnsi="仿宋" w:eastAsia="仿宋"/>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None/>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Start w:id="28" w:name="_Toc15396605"/>
      <w:bookmarkStart w:id="29" w:name="_Toc15377207"/>
    </w:p>
    <w:p>
      <w:pPr>
        <w:pStyle w:val="23"/>
        <w:numPr>
          <w:ilvl w:val="0"/>
          <w:numId w:val="1"/>
        </w:numPr>
        <w:spacing w:line="600" w:lineRule="exact"/>
        <w:ind w:firstLineChars="0"/>
        <w:outlineLvl w:val="1"/>
        <w:rPr>
          <w:rStyle w:val="25"/>
          <w:rFonts w:ascii="仿宋" w:hAnsi="仿宋" w:eastAsia="仿宋"/>
          <w:b w:val="0"/>
        </w:rPr>
      </w:pPr>
      <w:r>
        <w:rPr>
          <w:rFonts w:hint="eastAsia" w:ascii="仿宋" w:hAnsi="仿宋" w:eastAsia="仿宋"/>
          <w:color w:val="000000"/>
          <w:sz w:val="32"/>
          <w:szCs w:val="32"/>
        </w:rPr>
        <w:t>支</w:t>
      </w:r>
      <w:r>
        <w:rPr>
          <w:rStyle w:val="25"/>
          <w:rFonts w:hint="eastAsia" w:ascii="仿宋" w:hAnsi="仿宋" w:eastAsia="仿宋"/>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2020年本年支出合计29284.94万元，其中：基本支出363.68万元，占1.24</w:t>
      </w:r>
      <w:r>
        <w:rPr>
          <w:rFonts w:ascii="仿宋" w:hAnsi="仿宋" w:eastAsia="仿宋"/>
          <w:color w:val="000000"/>
          <w:sz w:val="32"/>
          <w:szCs w:val="32"/>
        </w:rPr>
        <w:t>%</w:t>
      </w:r>
      <w:r>
        <w:rPr>
          <w:rFonts w:hint="eastAsia" w:ascii="仿宋" w:hAnsi="仿宋" w:eastAsia="仿宋"/>
          <w:color w:val="000000"/>
          <w:sz w:val="32"/>
          <w:szCs w:val="32"/>
        </w:rPr>
        <w:t>；项目支出28921.26万元，占98.76</w:t>
      </w:r>
      <w:r>
        <w:rPr>
          <w:rFonts w:ascii="仿宋" w:hAnsi="仿宋" w:eastAsia="仿宋"/>
          <w:color w:val="000000"/>
          <w:sz w:val="32"/>
          <w:szCs w:val="32"/>
        </w:rPr>
        <w:t>%</w:t>
      </w:r>
      <w:r>
        <w:rPr>
          <w:rFonts w:hint="eastAsia" w:ascii="仿宋" w:hAnsi="仿宋" w:eastAsia="仿宋"/>
          <w:color w:val="000000"/>
          <w:sz w:val="32"/>
          <w:szCs w:val="32"/>
        </w:rPr>
        <w:t>；上缴上级支出0万元；经营支出0万元；对附属单位补助支出0万元。</w:t>
      </w:r>
    </w:p>
    <w:p>
      <w:pPr>
        <w:spacing w:line="600" w:lineRule="exact"/>
        <w:ind w:firstLine="960" w:firstLineChars="300"/>
        <w:outlineLvl w:val="1"/>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spacing w:line="600" w:lineRule="exact"/>
        <w:outlineLvl w:val="1"/>
        <w:rPr>
          <w:rFonts w:ascii="仿宋" w:hAnsi="仿宋" w:eastAsia="仿宋"/>
          <w:color w:val="000000" w:themeColor="text1"/>
          <w:sz w:val="32"/>
          <w:szCs w:val="32"/>
        </w:rPr>
      </w:pPr>
      <w:r>
        <w:rPr>
          <w:rFonts w:ascii="仿宋" w:hAnsi="仿宋" w:eastAsia="仿宋"/>
        </w:rPr>
        <w:drawing>
          <wp:anchor distT="0" distB="0" distL="114300" distR="114300" simplePos="0" relativeHeight="251661312" behindDoc="0" locked="0" layoutInCell="1" allowOverlap="1">
            <wp:simplePos x="0" y="0"/>
            <wp:positionH relativeFrom="column">
              <wp:posOffset>71120</wp:posOffset>
            </wp:positionH>
            <wp:positionV relativeFrom="paragraph">
              <wp:posOffset>204470</wp:posOffset>
            </wp:positionV>
            <wp:extent cx="4572000" cy="2743200"/>
            <wp:effectExtent l="4445" t="4445" r="14605" b="14605"/>
            <wp:wrapNone/>
            <wp:docPr id="1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themeColor="text1"/>
          <w:sz w:val="32"/>
          <w:szCs w:val="32"/>
        </w:rPr>
      </w:pPr>
    </w:p>
    <w:p>
      <w:pPr>
        <w:spacing w:line="600" w:lineRule="exact"/>
        <w:ind w:firstLine="640" w:firstLineChars="200"/>
        <w:outlineLvl w:val="1"/>
        <w:rPr>
          <w:rFonts w:ascii="仿宋" w:hAnsi="仿宋" w:eastAsia="仿宋"/>
          <w:color w:val="000000"/>
          <w:sz w:val="32"/>
          <w:szCs w:val="32"/>
        </w:rPr>
      </w:pPr>
      <w:bookmarkStart w:id="30" w:name="_Toc15396606"/>
      <w:bookmarkStart w:id="31" w:name="_Toc15377208"/>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Style w:val="25"/>
          <w:rFonts w:ascii="仿宋" w:hAnsi="仿宋" w:eastAsia="仿宋"/>
          <w:b w:val="0"/>
        </w:rPr>
      </w:pPr>
      <w:r>
        <w:rPr>
          <w:rFonts w:hint="eastAsia" w:ascii="仿宋" w:hAnsi="仿宋" w:eastAsia="仿宋"/>
          <w:color w:val="000000"/>
          <w:sz w:val="32"/>
          <w:szCs w:val="32"/>
        </w:rPr>
        <w:t>四、财</w:t>
      </w:r>
      <w:r>
        <w:rPr>
          <w:rStyle w:val="25"/>
          <w:rFonts w:hint="eastAsia" w:ascii="仿宋" w:hAnsi="仿宋" w:eastAsia="仿宋"/>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20年财政拨款收、支总计29273.57万元。与</w:t>
      </w:r>
      <w:r>
        <w:rPr>
          <w:rFonts w:ascii="仿宋" w:hAnsi="仿宋" w:eastAsia="仿宋"/>
          <w:color w:val="000000"/>
          <w:sz w:val="32"/>
          <w:szCs w:val="32"/>
        </w:rPr>
        <w:t>201</w:t>
      </w:r>
      <w:r>
        <w:rPr>
          <w:rFonts w:hint="eastAsia" w:ascii="仿宋" w:hAnsi="仿宋" w:eastAsia="仿宋"/>
          <w:color w:val="000000"/>
          <w:sz w:val="32"/>
          <w:szCs w:val="32"/>
        </w:rPr>
        <w:t>9年相比，财政拨款收、支总计各增加17130.19万元，增加58.52%。主要变动原因是增加了限价商品房房款等项目经费支出。</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pPr>
        <w:spacing w:line="600" w:lineRule="exact"/>
        <w:ind w:firstLine="640"/>
        <w:rPr>
          <w:rFonts w:ascii="仿宋" w:hAnsi="仿宋" w:eastAsia="仿宋"/>
        </w:rPr>
      </w:pPr>
    </w:p>
    <w:p>
      <w:pPr>
        <w:spacing w:line="600" w:lineRule="exact"/>
        <w:rPr>
          <w:rFonts w:ascii="仿宋" w:hAnsi="仿宋" w:eastAsia="仿宋"/>
        </w:rPr>
      </w:pPr>
    </w:p>
    <w:p>
      <w:pPr>
        <w:spacing w:line="600" w:lineRule="exact"/>
        <w:ind w:firstLine="640"/>
        <w:rPr>
          <w:rFonts w:ascii="仿宋" w:hAnsi="仿宋" w:eastAsia="仿宋"/>
        </w:rPr>
      </w:pPr>
    </w:p>
    <w:p>
      <w:pPr>
        <w:spacing w:line="600" w:lineRule="exact"/>
        <w:ind w:firstLine="640"/>
        <w:rPr>
          <w:rFonts w:ascii="仿宋" w:hAnsi="仿宋" w:eastAsia="仿宋"/>
        </w:rPr>
      </w:pPr>
    </w:p>
    <w:p>
      <w:pPr>
        <w:spacing w:line="600" w:lineRule="exact"/>
        <w:ind w:firstLine="640"/>
        <w:rPr>
          <w:rFonts w:ascii="仿宋" w:hAnsi="仿宋" w:eastAsia="仿宋"/>
        </w:rPr>
      </w:pPr>
    </w:p>
    <w:p>
      <w:pPr>
        <w:spacing w:line="600" w:lineRule="exact"/>
        <w:ind w:firstLine="640"/>
        <w:rPr>
          <w:rFonts w:ascii="仿宋" w:hAnsi="仿宋" w:eastAsia="仿宋"/>
        </w:rPr>
      </w:pPr>
    </w:p>
    <w:p>
      <w:pPr>
        <w:spacing w:line="600" w:lineRule="exact"/>
        <w:ind w:firstLine="640"/>
        <w:rPr>
          <w:rFonts w:ascii="仿宋" w:hAnsi="仿宋" w:eastAsia="仿宋"/>
        </w:rPr>
      </w:pPr>
    </w:p>
    <w:p>
      <w:pPr>
        <w:spacing w:line="600" w:lineRule="exact"/>
        <w:ind w:firstLine="640"/>
        <w:rPr>
          <w:rFonts w:ascii="仿宋" w:hAnsi="仿宋" w:eastAsia="仿宋"/>
          <w:color w:val="000000" w:themeColor="text1"/>
          <w:sz w:val="32"/>
          <w:szCs w:val="32"/>
        </w:rPr>
      </w:pPr>
      <w:r>
        <w:rPr>
          <w:rFonts w:ascii="仿宋" w:hAnsi="仿宋" w:eastAsia="仿宋"/>
        </w:rPr>
        <w:drawing>
          <wp:anchor distT="0" distB="0" distL="114300" distR="114300" simplePos="0" relativeHeight="251665408" behindDoc="0" locked="0" layoutInCell="1" allowOverlap="1">
            <wp:simplePos x="0" y="0"/>
            <wp:positionH relativeFrom="column">
              <wp:posOffset>410845</wp:posOffset>
            </wp:positionH>
            <wp:positionV relativeFrom="paragraph">
              <wp:posOffset>-2453005</wp:posOffset>
            </wp:positionV>
            <wp:extent cx="4572000" cy="2743200"/>
            <wp:effectExtent l="4445" t="4445" r="14605" b="14605"/>
            <wp:wrapNone/>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outlineLvl w:val="1"/>
        <w:rPr>
          <w:rStyle w:val="25"/>
          <w:rFonts w:ascii="仿宋" w:hAnsi="仿宋" w:eastAsia="仿宋"/>
          <w:b w:val="0"/>
        </w:rPr>
      </w:pPr>
      <w:bookmarkStart w:id="32" w:name="_Toc15396607"/>
      <w:bookmarkStart w:id="33" w:name="_Toc15377209"/>
      <w:r>
        <w:rPr>
          <w:rFonts w:hint="eastAsia" w:ascii="仿宋" w:hAnsi="仿宋" w:eastAsia="仿宋"/>
          <w:color w:val="000000"/>
          <w:sz w:val="32"/>
          <w:szCs w:val="32"/>
        </w:rPr>
        <w:t>五、</w:t>
      </w:r>
      <w:r>
        <w:rPr>
          <w:rFonts w:hint="eastAsia" w:ascii="仿宋" w:hAnsi="仿宋" w:eastAsia="仿宋"/>
          <w:b/>
          <w:color w:val="000000"/>
          <w:sz w:val="32"/>
          <w:szCs w:val="32"/>
        </w:rPr>
        <w:t>一</w:t>
      </w:r>
      <w:r>
        <w:rPr>
          <w:rStyle w:val="25"/>
          <w:rFonts w:hint="eastAsia" w:ascii="仿宋" w:hAnsi="仿宋" w:eastAsia="仿宋"/>
          <w:b w:val="0"/>
        </w:rPr>
        <w:t>般公共预算财政拨款支出决算情况说明</w:t>
      </w:r>
      <w:bookmarkEnd w:id="32"/>
      <w:bookmarkEnd w:id="33"/>
    </w:p>
    <w:p>
      <w:pPr>
        <w:spacing w:line="600" w:lineRule="exact"/>
        <w:ind w:firstLine="321" w:firstLineChars="1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2020年一般公共预算财政拨款支出773.8万元，占本年支出合计的2.64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9年相比，一般公共预算财政拨款增加229.74万元，增长42.23</w:t>
      </w:r>
      <w:r>
        <w:rPr>
          <w:rFonts w:ascii="仿宋" w:hAnsi="仿宋" w:eastAsia="仿宋"/>
          <w:color w:val="000000"/>
          <w:sz w:val="32"/>
          <w:szCs w:val="32"/>
        </w:rPr>
        <w:t>%</w:t>
      </w:r>
      <w:r>
        <w:rPr>
          <w:rFonts w:hint="eastAsia" w:ascii="仿宋" w:hAnsi="仿宋" w:eastAsia="仿宋"/>
          <w:color w:val="000000"/>
          <w:sz w:val="32"/>
          <w:szCs w:val="32"/>
        </w:rPr>
        <w:t>。主要变动原因是增加了建南机械厂老旧宿舍棚户区改造项目支出。</w:t>
      </w:r>
    </w:p>
    <w:p>
      <w:pPr>
        <w:spacing w:line="600" w:lineRule="exact"/>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spacing w:line="600" w:lineRule="exact"/>
        <w:ind w:firstLine="640" w:firstLineChars="200"/>
        <w:rPr>
          <w:rFonts w:ascii="仿宋" w:hAnsi="仿宋" w:eastAsia="仿宋"/>
          <w:color w:val="000000" w:themeColor="text1"/>
          <w:sz w:val="32"/>
          <w:szCs w:val="32"/>
        </w:rPr>
      </w:pPr>
    </w:p>
    <w:p>
      <w:pPr>
        <w:spacing w:line="600" w:lineRule="exact"/>
        <w:ind w:firstLine="420" w:firstLineChars="200"/>
        <w:rPr>
          <w:rFonts w:ascii="仿宋" w:hAnsi="仿宋" w:eastAsia="仿宋"/>
        </w:rPr>
      </w:pPr>
    </w:p>
    <w:p>
      <w:pPr>
        <w:spacing w:line="600" w:lineRule="exact"/>
        <w:ind w:firstLine="420" w:firstLineChars="200"/>
        <w:rPr>
          <w:rFonts w:ascii="仿宋" w:hAnsi="仿宋" w:eastAsia="仿宋"/>
        </w:rPr>
      </w:pPr>
    </w:p>
    <w:p>
      <w:pPr>
        <w:spacing w:line="600" w:lineRule="exact"/>
        <w:ind w:firstLine="420" w:firstLineChars="200"/>
        <w:rPr>
          <w:rFonts w:ascii="仿宋" w:hAnsi="仿宋" w:eastAsia="仿宋"/>
        </w:rPr>
      </w:pPr>
    </w:p>
    <w:p>
      <w:pPr>
        <w:spacing w:line="600" w:lineRule="exact"/>
        <w:ind w:firstLine="420" w:firstLineChars="200"/>
        <w:rPr>
          <w:rFonts w:ascii="仿宋" w:hAnsi="仿宋" w:eastAsia="仿宋"/>
        </w:rPr>
      </w:pPr>
    </w:p>
    <w:p>
      <w:pPr>
        <w:spacing w:line="600" w:lineRule="exact"/>
        <w:ind w:firstLine="420" w:firstLineChars="200"/>
        <w:rPr>
          <w:rFonts w:ascii="仿宋" w:hAnsi="仿宋" w:eastAsia="仿宋"/>
        </w:rPr>
      </w:pPr>
    </w:p>
    <w:p>
      <w:pPr>
        <w:spacing w:line="600" w:lineRule="exact"/>
        <w:ind w:firstLine="420" w:firstLineChars="200"/>
        <w:rPr>
          <w:rFonts w:ascii="仿宋" w:hAnsi="仿宋" w:eastAsia="仿宋"/>
        </w:rPr>
      </w:pPr>
    </w:p>
    <w:p>
      <w:pPr>
        <w:spacing w:line="600" w:lineRule="exact"/>
        <w:ind w:firstLine="420" w:firstLineChars="200"/>
        <w:rPr>
          <w:rFonts w:ascii="仿宋" w:hAnsi="仿宋" w:eastAsia="仿宋"/>
          <w:color w:val="000000" w:themeColor="text1"/>
          <w:sz w:val="32"/>
          <w:szCs w:val="32"/>
        </w:rPr>
      </w:pPr>
      <w:r>
        <w:rPr>
          <w:rFonts w:ascii="仿宋" w:hAnsi="仿宋" w:eastAsia="仿宋"/>
        </w:rPr>
        <w:drawing>
          <wp:anchor distT="0" distB="0" distL="114300" distR="114300" simplePos="0" relativeHeight="251662336"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None/>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hint="eastAsia" w:ascii="仿宋" w:hAnsi="仿宋" w:eastAsia="仿宋"/>
          <w:color w:val="000000"/>
          <w:sz w:val="32"/>
          <w:szCs w:val="32"/>
        </w:rPr>
        <w:t>2020年一般公共预算财</w:t>
      </w:r>
      <w:r>
        <w:rPr>
          <w:rFonts w:hint="eastAsia" w:ascii="仿宋" w:hAnsi="仿宋" w:eastAsia="仿宋"/>
          <w:color w:val="000000" w:themeColor="text1"/>
          <w:sz w:val="32"/>
          <w:szCs w:val="32"/>
        </w:rPr>
        <w:t>政拨款支出773.8万元，主要用于以下方面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支出295.24万元，占38.15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支出32.87万元，占4.25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卫生健康支出（类）</w:t>
      </w:r>
      <w:r>
        <w:rPr>
          <w:rFonts w:hint="eastAsia" w:ascii="仿宋" w:hAnsi="仿宋" w:eastAsia="仿宋"/>
          <w:color w:val="000000" w:themeColor="text1"/>
          <w:sz w:val="32"/>
          <w:szCs w:val="32"/>
        </w:rPr>
        <w:t>8.1万元，占1.05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住房保障支出（类）</w:t>
      </w:r>
      <w:r>
        <w:rPr>
          <w:rFonts w:hint="eastAsia" w:ascii="仿宋" w:hAnsi="仿宋" w:eastAsia="仿宋"/>
          <w:color w:val="000000" w:themeColor="text1"/>
          <w:sz w:val="32"/>
          <w:szCs w:val="32"/>
        </w:rPr>
        <w:t>262.09万元，占33.87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自然资源海洋气象等支出（类）</w:t>
      </w:r>
      <w:r>
        <w:rPr>
          <w:rFonts w:hint="eastAsia" w:ascii="仿宋" w:hAnsi="仿宋" w:eastAsia="仿宋"/>
          <w:color w:val="000000" w:themeColor="text1"/>
          <w:sz w:val="32"/>
          <w:szCs w:val="32"/>
        </w:rPr>
        <w:t>175.5万元，占22.68%。</w:t>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ascii="仿宋" w:hAnsi="仿宋" w:eastAsia="仿宋"/>
        </w:rPr>
      </w:pPr>
      <w:r>
        <w:rPr>
          <w:rFonts w:hint="eastAsia" w:ascii="仿宋" w:hAnsi="仿宋" w:eastAsia="仿宋"/>
          <w:color w:val="000000"/>
          <w:sz w:val="32"/>
          <w:szCs w:val="32"/>
        </w:rPr>
        <w:t>图6：一般公共预算财政拨款支出决算结构</w:t>
      </w: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spacing w:line="600" w:lineRule="exact"/>
        <w:rPr>
          <w:rFonts w:ascii="仿宋" w:hAnsi="仿宋" w:eastAsia="仿宋"/>
        </w:rPr>
      </w:pPr>
    </w:p>
    <w:p>
      <w:pPr>
        <w:spacing w:line="600" w:lineRule="exact"/>
        <w:ind w:firstLine="640"/>
        <w:rPr>
          <w:rFonts w:ascii="仿宋" w:hAnsi="仿宋" w:eastAsia="仿宋"/>
        </w:rPr>
      </w:pPr>
    </w:p>
    <w:p>
      <w:pPr>
        <w:spacing w:line="600" w:lineRule="exact"/>
        <w:ind w:firstLine="640"/>
        <w:rPr>
          <w:rFonts w:ascii="仿宋" w:hAnsi="仿宋" w:eastAsia="仿宋"/>
        </w:rPr>
      </w:pPr>
    </w:p>
    <w:p>
      <w:pPr>
        <w:spacing w:line="600" w:lineRule="exact"/>
        <w:rPr>
          <w:rFonts w:ascii="仿宋" w:hAnsi="仿宋" w:eastAsia="仿宋"/>
          <w:color w:val="000000"/>
          <w:sz w:val="32"/>
          <w:szCs w:val="32"/>
        </w:rPr>
      </w:pPr>
      <w:r>
        <w:rPr>
          <w:rFonts w:ascii="仿宋" w:hAnsi="仿宋" w:eastAsia="仿宋"/>
        </w:rPr>
        <w:drawing>
          <wp:anchor distT="0" distB="0" distL="114300" distR="114300" simplePos="0" relativeHeight="251663360" behindDoc="0" locked="0" layoutInCell="1" allowOverlap="1">
            <wp:simplePos x="0" y="0"/>
            <wp:positionH relativeFrom="column">
              <wp:posOffset>4445</wp:posOffset>
            </wp:positionH>
            <wp:positionV relativeFrom="paragraph">
              <wp:posOffset>-2453005</wp:posOffset>
            </wp:positionV>
            <wp:extent cx="4572000" cy="2743200"/>
            <wp:effectExtent l="4445" t="4445" r="14605" b="1460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Style w:val="14"/>
          <w:rFonts w:ascii="仿宋" w:hAnsi="仿宋" w:eastAsia="仿宋"/>
          <w:bCs/>
          <w:color w:val="00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rPr>
        <w:t>2020年一般公共预算支出决算数为773.8万元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w:t>
      </w:r>
    </w:p>
    <w:p>
      <w:pPr>
        <w:spacing w:line="600" w:lineRule="exact"/>
        <w:outlineLvl w:val="2"/>
        <w:rPr>
          <w:rFonts w:ascii="仿宋" w:hAnsi="仿宋" w:eastAsia="仿宋"/>
          <w:color w:val="FF0000"/>
          <w:sz w:val="32"/>
          <w:szCs w:val="32"/>
        </w:rPr>
      </w:pPr>
      <w:r>
        <w:rPr>
          <w:rStyle w:val="14"/>
          <w:rFonts w:hint="eastAsia" w:ascii="仿宋" w:hAnsi="仿宋" w:eastAsia="仿宋"/>
          <w:bCs/>
          <w:color w:val="000000"/>
          <w:sz w:val="32"/>
          <w:szCs w:val="32"/>
        </w:rPr>
        <w:t>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0" w:firstLineChars="200"/>
        <w:rPr>
          <w:rFonts w:ascii="仿宋" w:hAnsi="仿宋" w:eastAsia="仿宋"/>
          <w:color w:val="000000"/>
          <w:sz w:val="32"/>
          <w:szCs w:val="32"/>
        </w:rPr>
      </w:pPr>
      <w:r>
        <w:rPr>
          <w:rStyle w:val="14"/>
          <w:rFonts w:hint="eastAsia" w:ascii="仿宋" w:hAnsi="仿宋" w:eastAsia="仿宋"/>
          <w:b w:val="0"/>
          <w:color w:val="000000"/>
          <w:sz w:val="32"/>
          <w:szCs w:val="32"/>
        </w:rPr>
        <w:t>1</w:t>
      </w:r>
      <w:r>
        <w:rPr>
          <w:rStyle w:val="14"/>
          <w:rFonts w:hint="eastAsia" w:ascii="仿宋" w:hAnsi="仿宋" w:eastAsia="仿宋"/>
          <w:bCs/>
          <w:color w:val="000000"/>
          <w:sz w:val="32"/>
          <w:szCs w:val="32"/>
        </w:rPr>
        <w:t xml:space="preserve">. 一般公共服务支出（类）政府办公厅（室）及相关机构事务（款）事业运行（项）: </w:t>
      </w:r>
      <w:r>
        <w:rPr>
          <w:rFonts w:hint="eastAsia" w:ascii="仿宋" w:hAnsi="仿宋" w:eastAsia="仿宋"/>
          <w:color w:val="000000"/>
          <w:sz w:val="32"/>
          <w:szCs w:val="32"/>
        </w:rPr>
        <w:t>2020年决算数为295.24万元，完成预算100%。</w:t>
      </w:r>
    </w:p>
    <w:p>
      <w:pPr>
        <w:spacing w:line="600" w:lineRule="exact"/>
        <w:ind w:firstLine="643" w:firstLineChars="200"/>
        <w:rPr>
          <w:rStyle w:val="14"/>
          <w:rFonts w:ascii="仿宋" w:hAnsi="仿宋" w:eastAsia="仿宋"/>
          <w:b w:val="0"/>
          <w:color w:val="000000"/>
          <w:sz w:val="32"/>
          <w:szCs w:val="32"/>
        </w:rPr>
      </w:pPr>
      <w:r>
        <w:rPr>
          <w:rStyle w:val="14"/>
          <w:rFonts w:hint="eastAsia" w:ascii="仿宋" w:hAnsi="仿宋" w:eastAsia="仿宋"/>
          <w:bCs/>
          <w:color w:val="000000"/>
          <w:sz w:val="32"/>
          <w:szCs w:val="32"/>
        </w:rPr>
        <w:t xml:space="preserve">2. 社会保障和就业支出（类）行政事业单位养老支出（款）机关事业单位养老保险缴费支出（项）: </w:t>
      </w:r>
      <w:r>
        <w:rPr>
          <w:rFonts w:hint="eastAsia" w:ascii="仿宋" w:hAnsi="仿宋" w:eastAsia="仿宋"/>
          <w:color w:val="000000"/>
          <w:sz w:val="32"/>
          <w:szCs w:val="32"/>
        </w:rPr>
        <w:t>2020年决算数为21.21万元，完成预算100%。</w:t>
      </w:r>
    </w:p>
    <w:p>
      <w:pPr>
        <w:spacing w:line="600" w:lineRule="exact"/>
        <w:ind w:firstLine="643" w:firstLineChars="200"/>
        <w:rPr>
          <w:rFonts w:ascii="仿宋" w:hAnsi="仿宋" w:eastAsia="仿宋"/>
          <w:color w:val="000000"/>
          <w:sz w:val="32"/>
          <w:szCs w:val="32"/>
        </w:rPr>
      </w:pPr>
      <w:r>
        <w:rPr>
          <w:rStyle w:val="14"/>
          <w:rFonts w:hint="eastAsia" w:ascii="仿宋" w:hAnsi="仿宋" w:eastAsia="仿宋"/>
          <w:bCs/>
          <w:color w:val="000000"/>
          <w:sz w:val="32"/>
          <w:szCs w:val="32"/>
        </w:rPr>
        <w:t>3. 社会保障和就业支出（类）行政事业单位养老支出（款）机关事业单位职业年金缴费支出（项）</w:t>
      </w:r>
      <w:r>
        <w:rPr>
          <w:rStyle w:val="14"/>
          <w:rFonts w:hint="eastAsia" w:ascii="仿宋" w:hAnsi="仿宋" w:eastAsia="仿宋"/>
          <w:b w:val="0"/>
          <w:color w:val="000000"/>
          <w:sz w:val="32"/>
          <w:szCs w:val="32"/>
        </w:rPr>
        <w:t>:</w:t>
      </w:r>
      <w:r>
        <w:rPr>
          <w:rFonts w:hint="eastAsia" w:ascii="仿宋" w:hAnsi="仿宋" w:eastAsia="仿宋"/>
          <w:color w:val="000000"/>
          <w:sz w:val="32"/>
          <w:szCs w:val="32"/>
        </w:rPr>
        <w:t xml:space="preserve"> 2020年决算数为10.6万元，完成预算100%。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w:t>
      </w:r>
      <w:r>
        <w:rPr>
          <w:rStyle w:val="14"/>
          <w:rFonts w:hint="eastAsia" w:ascii="仿宋" w:hAnsi="仿宋" w:eastAsia="仿宋"/>
          <w:bCs/>
          <w:color w:val="000000"/>
          <w:sz w:val="32"/>
          <w:szCs w:val="32"/>
        </w:rPr>
        <w:t>社会保障和就业支出（类）其他社会保障和就业支出（款）其他社会保障和就业支出（项）</w:t>
      </w:r>
      <w:r>
        <w:rPr>
          <w:rStyle w:val="14"/>
          <w:rFonts w:hint="eastAsia" w:ascii="仿宋" w:hAnsi="仿宋" w:eastAsia="仿宋"/>
          <w:b w:val="0"/>
          <w:color w:val="000000"/>
          <w:sz w:val="32"/>
          <w:szCs w:val="32"/>
        </w:rPr>
        <w:t>:</w:t>
      </w:r>
      <w:r>
        <w:rPr>
          <w:rFonts w:hint="eastAsia" w:ascii="仿宋" w:hAnsi="仿宋" w:eastAsia="仿宋"/>
          <w:color w:val="000000"/>
          <w:sz w:val="32"/>
          <w:szCs w:val="32"/>
        </w:rPr>
        <w:t xml:space="preserve"> 2020年决算数为1.06万元，完成预算100%。</w:t>
      </w:r>
    </w:p>
    <w:p>
      <w:pPr>
        <w:spacing w:line="600" w:lineRule="exact"/>
        <w:ind w:firstLine="643" w:firstLineChars="200"/>
        <w:rPr>
          <w:rFonts w:ascii="仿宋" w:hAnsi="仿宋" w:eastAsia="仿宋"/>
          <w:color w:val="000000"/>
          <w:sz w:val="32"/>
          <w:szCs w:val="32"/>
        </w:rPr>
      </w:pPr>
      <w:r>
        <w:rPr>
          <w:rStyle w:val="14"/>
          <w:rFonts w:hint="eastAsia" w:ascii="仿宋" w:hAnsi="仿宋" w:eastAsia="仿宋"/>
          <w:bCs/>
          <w:color w:val="000000"/>
          <w:sz w:val="32"/>
          <w:szCs w:val="32"/>
        </w:rPr>
        <w:t>5.卫生健康支出（类）行政事业单位医疗（款）事业单位医疗（项）:</w:t>
      </w:r>
      <w:r>
        <w:rPr>
          <w:rFonts w:hint="eastAsia" w:ascii="仿宋" w:hAnsi="仿宋" w:eastAsia="仿宋"/>
          <w:color w:val="000000"/>
          <w:sz w:val="32"/>
          <w:szCs w:val="32"/>
        </w:rPr>
        <w:t xml:space="preserve"> 2020年决算数为8.1万元，完成预算100%。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　　</w:t>
      </w:r>
      <w:r>
        <w:rPr>
          <w:rStyle w:val="14"/>
          <w:rFonts w:hint="eastAsia" w:ascii="仿宋" w:hAnsi="仿宋" w:eastAsia="仿宋"/>
          <w:bCs/>
          <w:color w:val="000000"/>
          <w:sz w:val="32"/>
          <w:szCs w:val="32"/>
        </w:rPr>
        <w:t>6. 住房保障支出（类）住房改革支出（款）住房公积金（项）：</w:t>
      </w:r>
      <w:r>
        <w:rPr>
          <w:rFonts w:hint="eastAsia" w:ascii="仿宋" w:hAnsi="仿宋" w:eastAsia="仿宋"/>
          <w:color w:val="000000"/>
          <w:sz w:val="32"/>
          <w:szCs w:val="32"/>
        </w:rPr>
        <w:t>2020年决算数为27.47万元，完成预算100%。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7.自然资源海洋气象等支出（类）自然资源事务（款）其他自然资源事务支出（项）：</w:t>
      </w:r>
      <w:r>
        <w:rPr>
          <w:rFonts w:hint="eastAsia" w:ascii="仿宋" w:hAnsi="仿宋" w:eastAsia="仿宋"/>
          <w:color w:val="000000"/>
          <w:sz w:val="32"/>
          <w:szCs w:val="32"/>
        </w:rPr>
        <w:t>2020年决算数为175.5万元，完成预算100%。</w:t>
      </w:r>
    </w:p>
    <w:p>
      <w:pPr>
        <w:spacing w:line="600" w:lineRule="exact"/>
        <w:ind w:firstLine="643" w:firstLineChars="200"/>
        <w:rPr>
          <w:rFonts w:ascii="仿宋" w:hAnsi="仿宋" w:eastAsia="仿宋"/>
          <w:color w:val="000000"/>
          <w:sz w:val="32"/>
          <w:szCs w:val="32"/>
        </w:rPr>
      </w:pPr>
      <w:r>
        <w:rPr>
          <w:rFonts w:hint="eastAsia" w:ascii="仿宋" w:hAnsi="仿宋" w:eastAsia="仿宋"/>
          <w:b/>
          <w:bCs/>
          <w:color w:val="000000"/>
          <w:sz w:val="32"/>
          <w:szCs w:val="32"/>
        </w:rPr>
        <w:t>8.住房保障支出（类）保障性安居工程支出（款）棚户区改造（项）：</w:t>
      </w:r>
      <w:r>
        <w:rPr>
          <w:rFonts w:hint="eastAsia" w:ascii="仿宋" w:hAnsi="仿宋" w:eastAsia="仿宋"/>
          <w:color w:val="000000"/>
          <w:sz w:val="32"/>
          <w:szCs w:val="32"/>
        </w:rPr>
        <w:t>2020年决算数为234.62万元，完成预算100%。</w:t>
      </w:r>
    </w:p>
    <w:p>
      <w:pPr>
        <w:tabs>
          <w:tab w:val="right" w:pos="8306"/>
        </w:tabs>
        <w:spacing w:line="600" w:lineRule="exact"/>
        <w:ind w:firstLine="640"/>
        <w:outlineLvl w:val="1"/>
        <w:rPr>
          <w:rStyle w:val="25"/>
          <w:rFonts w:ascii="仿宋" w:hAnsi="仿宋" w:eastAsia="仿宋"/>
        </w:rPr>
      </w:pPr>
      <w:bookmarkStart w:id="40" w:name="_Toc15396608"/>
      <w:bookmarkStart w:id="41" w:name="_Toc15377214"/>
      <w:r>
        <w:rPr>
          <w:rFonts w:hint="eastAsia" w:ascii="仿宋" w:hAnsi="仿宋" w:eastAsia="仿宋"/>
          <w:color w:val="000000"/>
          <w:sz w:val="32"/>
          <w:szCs w:val="32"/>
        </w:rPr>
        <w:t>六</w:t>
      </w:r>
      <w:r>
        <w:rPr>
          <w:rFonts w:hint="eastAsia" w:ascii="仿宋" w:hAnsi="仿宋" w:eastAsia="仿宋"/>
          <w:b/>
          <w:color w:val="000000"/>
          <w:sz w:val="32"/>
          <w:szCs w:val="32"/>
        </w:rPr>
        <w:t>、一</w:t>
      </w:r>
      <w:r>
        <w:rPr>
          <w:rStyle w:val="25"/>
          <w:rFonts w:hint="eastAsia" w:ascii="仿宋" w:hAnsi="仿宋" w:eastAsia="仿宋"/>
          <w:b w:val="0"/>
        </w:rPr>
        <w:t>般公共预算财政拨款基本支出决算情况说明</w:t>
      </w:r>
      <w:bookmarkEnd w:id="40"/>
      <w:bookmarkEnd w:id="41"/>
      <w:r>
        <w:rPr>
          <w:rStyle w:val="25"/>
          <w:rFonts w:ascii="仿宋" w:hAnsi="仿宋" w:eastAsia="仿宋"/>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20年一般公共预算财政拨款基本支出363.68万元，其中：</w:t>
      </w:r>
    </w:p>
    <w:p>
      <w:pPr>
        <w:spacing w:line="580" w:lineRule="exact"/>
        <w:ind w:firstLine="645"/>
        <w:rPr>
          <w:rFonts w:ascii="仿宋" w:hAnsi="仿宋" w:eastAsia="仿宋"/>
          <w:color w:val="000000"/>
          <w:sz w:val="32"/>
          <w:szCs w:val="32"/>
        </w:rPr>
      </w:pPr>
      <w:r>
        <w:rPr>
          <w:rFonts w:hint="eastAsia" w:ascii="仿宋" w:hAnsi="仿宋" w:eastAsia="仿宋"/>
          <w:color w:val="000000"/>
          <w:sz w:val="32"/>
          <w:szCs w:val="32"/>
        </w:rPr>
        <w:t>人员经费311.76万元，主要包括：基本工资、津贴补贴、奖金、伙食补助费、绩效工资、机关事业单位基本养老保险缴费、职业年金缴费、其他社会保障缴费、其他工资福利支出、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51.92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pPr>
        <w:spacing w:line="600" w:lineRule="exact"/>
        <w:ind w:firstLine="640"/>
        <w:outlineLvl w:val="1"/>
        <w:rPr>
          <w:rStyle w:val="25"/>
          <w:rFonts w:ascii="仿宋" w:hAnsi="仿宋" w:eastAsia="仿宋"/>
          <w:b w:val="0"/>
        </w:rPr>
      </w:pPr>
      <w:bookmarkStart w:id="42" w:name="_Toc15377215"/>
      <w:bookmarkStart w:id="43" w:name="_Toc15396609"/>
      <w:r>
        <w:rPr>
          <w:rFonts w:hint="eastAsia" w:ascii="仿宋" w:hAnsi="仿宋" w:eastAsia="仿宋"/>
          <w:color w:val="000000"/>
          <w:sz w:val="32"/>
          <w:szCs w:val="32"/>
        </w:rPr>
        <w:t>七、</w:t>
      </w:r>
      <w:r>
        <w:rPr>
          <w:rStyle w:val="25"/>
          <w:rFonts w:hint="eastAsia" w:ascii="仿宋" w:hAnsi="仿宋" w:eastAsia="仿宋"/>
        </w:rPr>
        <w:t>“</w:t>
      </w:r>
      <w:r>
        <w:rPr>
          <w:rStyle w:val="25"/>
          <w:rFonts w:hint="eastAsia" w:ascii="仿宋" w:hAnsi="仿宋" w:eastAsia="仿宋"/>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333333"/>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20年“三公”经费财政拨款支出决算为6.5万元，完成预算43.62</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333333"/>
          <w:sz w:val="32"/>
          <w:szCs w:val="32"/>
        </w:rPr>
        <w:t>认真贯彻落实厉行节约各项规定，加强了“三公”经费管理。</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20年“三公”经费财政拨款支出决算中，因公出国（境）费支出决算0万元；公务用车购置及运行维护费支出决算6.5万元，占100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；公务接待费支出决算0万元。具体情况如下：</w:t>
      </w:r>
    </w:p>
    <w:p>
      <w:pPr>
        <w:spacing w:line="600" w:lineRule="exact"/>
        <w:ind w:firstLine="1292" w:firstLineChars="404"/>
        <w:rPr>
          <w:rFonts w:ascii="仿宋" w:hAnsi="仿宋" w:eastAsia="仿宋"/>
          <w:color w:val="000000"/>
          <w:sz w:val="32"/>
          <w:szCs w:val="32"/>
        </w:rPr>
      </w:pPr>
      <w:r>
        <w:rPr>
          <w:rFonts w:hint="eastAsia" w:ascii="仿宋" w:hAnsi="仿宋" w:eastAsia="仿宋"/>
          <w:color w:val="000000"/>
          <w:sz w:val="32"/>
          <w:szCs w:val="32"/>
        </w:rPr>
        <w:t>“三公”经费财政拨款支出结构</w:t>
      </w:r>
    </w:p>
    <w:p>
      <w:pPr>
        <w:spacing w:line="600" w:lineRule="exact"/>
        <w:ind w:firstLine="640"/>
        <w:rPr>
          <w:rFonts w:ascii="仿宋" w:hAnsi="仿宋" w:eastAsia="仿宋"/>
          <w:color w:val="000000"/>
          <w:sz w:val="32"/>
          <w:szCs w:val="32"/>
        </w:rPr>
      </w:pPr>
      <w:r>
        <w:rPr>
          <w:rFonts w:ascii="仿宋" w:hAnsi="仿宋" w:eastAsia="仿宋"/>
        </w:rPr>
        <w:drawing>
          <wp:anchor distT="0" distB="0" distL="114300" distR="114300" simplePos="0" relativeHeight="251659264" behindDoc="0" locked="0" layoutInCell="1" allowOverlap="1">
            <wp:simplePos x="0" y="0"/>
            <wp:positionH relativeFrom="column">
              <wp:posOffset>781685</wp:posOffset>
            </wp:positionH>
            <wp:positionV relativeFrom="paragraph">
              <wp:posOffset>57150</wp:posOffset>
            </wp:positionV>
            <wp:extent cx="3200400" cy="2743200"/>
            <wp:effectExtent l="4445" t="4445" r="14605" b="14605"/>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b/>
          <w:color w:val="000000"/>
          <w:sz w:val="32"/>
          <w:szCs w:val="32"/>
        </w:rPr>
      </w:pPr>
    </w:p>
    <w:p>
      <w:pPr>
        <w:spacing w:line="600" w:lineRule="exact"/>
        <w:ind w:firstLine="640"/>
        <w:rPr>
          <w:rFonts w:ascii="仿宋" w:hAnsi="仿宋" w:eastAsia="仿宋"/>
          <w:b/>
          <w:color w:val="000000"/>
          <w:sz w:val="32"/>
          <w:szCs w:val="32"/>
        </w:rPr>
      </w:pPr>
    </w:p>
    <w:p>
      <w:pPr>
        <w:spacing w:line="600" w:lineRule="exact"/>
        <w:ind w:firstLine="640"/>
        <w:rPr>
          <w:rFonts w:ascii="仿宋" w:hAnsi="仿宋" w:eastAsia="仿宋"/>
          <w:b/>
          <w:color w:val="000000"/>
          <w:sz w:val="32"/>
          <w:szCs w:val="32"/>
        </w:rPr>
      </w:pPr>
    </w:p>
    <w:p>
      <w:pPr>
        <w:spacing w:line="600" w:lineRule="exact"/>
        <w:ind w:firstLine="640"/>
        <w:rPr>
          <w:rFonts w:ascii="仿宋" w:hAnsi="仿宋" w:eastAsia="仿宋"/>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 w:hAnsi="仿宋" w:eastAsia="仿宋"/>
          <w:color w:val="000000"/>
          <w:sz w:val="32"/>
          <w:szCs w:val="32"/>
        </w:rPr>
        <w:t>0万元。全年安排因公出国（境）团组0次，出国（境）0人。</w:t>
      </w:r>
    </w:p>
    <w:p>
      <w:pPr>
        <w:spacing w:line="600" w:lineRule="exact"/>
        <w:ind w:firstLine="640"/>
        <w:rPr>
          <w:rFonts w:ascii="仿宋" w:hAnsi="仿宋" w:eastAsia="仿宋"/>
          <w:b/>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 w:hAnsi="仿宋" w:eastAsia="仿宋"/>
          <w:color w:val="000000"/>
          <w:sz w:val="32"/>
          <w:szCs w:val="32"/>
        </w:rPr>
        <w:t>6.5万元,</w:t>
      </w:r>
      <w:r>
        <w:rPr>
          <w:rStyle w:val="14"/>
          <w:rFonts w:hint="eastAsia" w:ascii="仿宋" w:hAnsi="仿宋" w:eastAsia="仿宋"/>
          <w:b w:val="0"/>
          <w:bCs/>
          <w:color w:val="000000"/>
          <w:sz w:val="32"/>
          <w:szCs w:val="32"/>
        </w:rPr>
        <w:t>完成预算46.43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0万元。全年按规定更新购置公务用车0辆，金额0</w:t>
      </w:r>
      <w:r>
        <w:rPr>
          <w:rFonts w:ascii="仿宋" w:hAnsi="仿宋" w:eastAsia="仿宋"/>
          <w:color w:val="000000"/>
          <w:sz w:val="32"/>
          <w:szCs w:val="32"/>
        </w:rPr>
        <w:t>元。</w:t>
      </w:r>
      <w:r>
        <w:rPr>
          <w:rFonts w:hint="eastAsia" w:ascii="仿宋" w:hAnsi="仿宋" w:eastAsia="仿宋"/>
          <w:color w:val="000000"/>
          <w:sz w:val="32"/>
          <w:szCs w:val="32"/>
        </w:rPr>
        <w:t>截至</w:t>
      </w:r>
      <w:r>
        <w:rPr>
          <w:rFonts w:ascii="仿宋" w:hAnsi="仿宋" w:eastAsia="仿宋"/>
          <w:color w:val="000000"/>
          <w:sz w:val="32"/>
          <w:szCs w:val="32"/>
        </w:rPr>
        <w:t>20</w:t>
      </w:r>
      <w:r>
        <w:rPr>
          <w:rFonts w:hint="eastAsia" w:ascii="仿宋" w:hAnsi="仿宋" w:eastAsia="仿宋"/>
          <w:color w:val="000000"/>
          <w:sz w:val="32"/>
          <w:szCs w:val="32"/>
        </w:rPr>
        <w:t>20年</w:t>
      </w:r>
      <w:r>
        <w:rPr>
          <w:rFonts w:ascii="仿宋" w:hAnsi="仿宋" w:eastAsia="仿宋"/>
          <w:color w:val="000000"/>
          <w:sz w:val="32"/>
          <w:szCs w:val="32"/>
        </w:rPr>
        <w:t>12</w:t>
      </w:r>
      <w:r>
        <w:rPr>
          <w:rFonts w:hint="eastAsia" w:ascii="仿宋" w:hAnsi="仿宋" w:eastAsia="仿宋"/>
          <w:color w:val="000000"/>
          <w:sz w:val="32"/>
          <w:szCs w:val="32"/>
        </w:rPr>
        <w:t>月底，单位共有公务用车4辆，其中：轿车2辆、越野车1辆、载客汽车1辆。</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公务用车运行维护费支出</w:t>
      </w:r>
      <w:r>
        <w:rPr>
          <w:rFonts w:hint="eastAsia" w:ascii="仿宋" w:hAnsi="仿宋" w:eastAsia="仿宋"/>
          <w:color w:val="000000"/>
          <w:sz w:val="32"/>
          <w:szCs w:val="32"/>
        </w:rPr>
        <w:t>6.5万元。主要用于征地拆迁安置工作等所需的公务用车燃料费、维修费、过路过桥费、保险费等支出。</w:t>
      </w:r>
    </w:p>
    <w:p>
      <w:pPr>
        <w:spacing w:line="600" w:lineRule="exact"/>
        <w:ind w:firstLine="640"/>
        <w:rPr>
          <w:rFonts w:ascii="仿宋" w:hAnsi="仿宋" w:eastAsia="仿宋"/>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rPr>
        <w:t>0万元</w:t>
      </w:r>
      <w:r>
        <w:rPr>
          <w:rStyle w:val="14"/>
          <w:rFonts w:hint="eastAsia" w:ascii="仿宋" w:hAnsi="仿宋" w:eastAsia="仿宋"/>
          <w:b w:val="0"/>
          <w:bCs/>
          <w:color w:val="000000"/>
          <w:sz w:val="32"/>
          <w:szCs w:val="32"/>
        </w:rPr>
        <w:t>。</w:t>
      </w:r>
      <w:r>
        <w:rPr>
          <w:rFonts w:hint="eastAsia" w:ascii="仿宋" w:hAnsi="仿宋" w:eastAsia="仿宋"/>
          <w:color w:val="000000"/>
          <w:sz w:val="32"/>
          <w:szCs w:val="32"/>
        </w:rPr>
        <w:t>主要用于执行公务、开展业务活动开支的交通费、住宿费、用餐费等。国内公务接待0批次0人，共计支出0万元。</w:t>
      </w:r>
    </w:p>
    <w:p>
      <w:pPr>
        <w:spacing w:line="600" w:lineRule="exact"/>
        <w:ind w:firstLine="640"/>
        <w:outlineLvl w:val="1"/>
        <w:rPr>
          <w:rStyle w:val="25"/>
          <w:rFonts w:ascii="仿宋" w:hAnsi="仿宋" w:eastAsia="仿宋"/>
        </w:rPr>
      </w:pPr>
      <w:bookmarkStart w:id="46" w:name="_Toc15396610"/>
      <w:bookmarkStart w:id="47" w:name="_Toc15377218"/>
      <w:r>
        <w:rPr>
          <w:rFonts w:hint="eastAsia" w:ascii="仿宋" w:hAnsi="仿宋" w:eastAsia="仿宋"/>
          <w:color w:val="000000"/>
          <w:sz w:val="32"/>
          <w:szCs w:val="32"/>
        </w:rPr>
        <w:t>八、</w:t>
      </w:r>
      <w:r>
        <w:rPr>
          <w:rStyle w:val="25"/>
          <w:rFonts w:hint="eastAsia" w:ascii="仿宋" w:hAnsi="仿宋" w:eastAsia="仿宋"/>
          <w:b w:val="0"/>
        </w:rPr>
        <w:t>政府性基金预算支出决算情况说明</w:t>
      </w:r>
      <w:bookmarkEnd w:id="46"/>
      <w:bookmarkEnd w:id="4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20年政府性基金预算拨款支出28499.77万元。</w:t>
      </w:r>
    </w:p>
    <w:p>
      <w:pPr>
        <w:numPr>
          <w:ilvl w:val="0"/>
          <w:numId w:val="2"/>
        </w:numPr>
        <w:spacing w:line="600" w:lineRule="exact"/>
        <w:ind w:firstLine="640"/>
        <w:outlineLvl w:val="1"/>
        <w:rPr>
          <w:rStyle w:val="25"/>
          <w:rFonts w:ascii="仿宋" w:hAnsi="仿宋" w:eastAsia="仿宋"/>
          <w:b w:val="0"/>
        </w:rPr>
      </w:pPr>
      <w:bookmarkStart w:id="48" w:name="_Toc15377219"/>
      <w:bookmarkStart w:id="49" w:name="_Toc15396611"/>
      <w:r>
        <w:rPr>
          <w:rStyle w:val="25"/>
          <w:rFonts w:hint="eastAsia" w:ascii="仿宋" w:hAnsi="仿宋" w:eastAsia="仿宋"/>
          <w:b w:val="0"/>
        </w:rPr>
        <w:t>国有资本经营预算支出决算情况说明</w:t>
      </w:r>
      <w:bookmarkEnd w:id="48"/>
      <w:bookmarkEnd w:id="49"/>
    </w:p>
    <w:p>
      <w:pPr>
        <w:spacing w:line="600" w:lineRule="exact"/>
        <w:ind w:firstLine="640"/>
        <w:rPr>
          <w:rFonts w:ascii="仿宋" w:hAnsi="仿宋" w:eastAsia="仿宋" w:cs="方正小标宋简体"/>
          <w:sz w:val="44"/>
          <w:szCs w:val="44"/>
        </w:rPr>
      </w:pPr>
      <w:r>
        <w:rPr>
          <w:rFonts w:ascii="仿宋" w:hAnsi="仿宋" w:eastAsia="仿宋"/>
          <w:color w:val="000000"/>
          <w:sz w:val="32"/>
          <w:szCs w:val="32"/>
        </w:rPr>
        <w:t>20</w:t>
      </w:r>
      <w:r>
        <w:rPr>
          <w:rFonts w:hint="eastAsia" w:ascii="仿宋" w:hAnsi="仿宋" w:eastAsia="仿宋"/>
          <w:color w:val="000000"/>
          <w:sz w:val="32"/>
          <w:szCs w:val="32"/>
        </w:rPr>
        <w:t>20年国有资本经营预算拨款支出0万元。</w:t>
      </w:r>
    </w:p>
    <w:p>
      <w:pPr>
        <w:spacing w:line="600" w:lineRule="exact"/>
        <w:ind w:firstLine="640" w:firstLineChars="200"/>
        <w:outlineLvl w:val="1"/>
        <w:rPr>
          <w:rStyle w:val="25"/>
          <w:rFonts w:ascii="仿宋" w:hAnsi="仿宋" w:eastAsia="仿宋"/>
        </w:rPr>
      </w:pPr>
      <w:bookmarkStart w:id="50" w:name="_Toc15396612"/>
      <w:bookmarkStart w:id="51" w:name="_Toc15377221"/>
      <w:r>
        <w:rPr>
          <w:rFonts w:hint="eastAsia" w:ascii="仿宋" w:hAnsi="仿宋" w:eastAsia="仿宋"/>
          <w:color w:val="000000"/>
          <w:sz w:val="32"/>
          <w:szCs w:val="32"/>
        </w:rPr>
        <w:t>十</w:t>
      </w:r>
      <w:r>
        <w:rPr>
          <w:rStyle w:val="25"/>
          <w:rFonts w:hint="eastAsia" w:ascii="仿宋" w:hAnsi="仿宋" w:eastAsia="仿宋"/>
        </w:rPr>
        <w:t>、</w:t>
      </w:r>
      <w:r>
        <w:rPr>
          <w:rStyle w:val="25"/>
          <w:rFonts w:hint="eastAsia" w:ascii="仿宋" w:hAnsi="仿宋" w:eastAsia="仿宋"/>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580" w:lineRule="exact"/>
        <w:ind w:firstLine="640" w:firstLineChars="200"/>
        <w:rPr>
          <w:rFonts w:ascii="仿宋" w:hAnsi="仿宋" w:eastAsia="仿宋"/>
          <w:color w:val="000000"/>
          <w:sz w:val="32"/>
          <w:szCs w:val="32"/>
        </w:rPr>
      </w:pPr>
      <w:bookmarkStart w:id="53" w:name="_Toc15377223"/>
      <w:r>
        <w:rPr>
          <w:rFonts w:hint="eastAsia" w:ascii="仿宋" w:hAnsi="仿宋" w:eastAsia="仿宋"/>
          <w:color w:val="000000"/>
          <w:sz w:val="32"/>
          <w:szCs w:val="32"/>
        </w:rPr>
        <w:t>2020年度，峨眉山市土地和房屋征收服务中心机关运行经费支出0万元，与2019年决算数持平。</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3"/>
    </w:p>
    <w:p>
      <w:pPr>
        <w:spacing w:line="580" w:lineRule="exact"/>
        <w:ind w:firstLine="640" w:firstLineChars="200"/>
        <w:rPr>
          <w:rFonts w:ascii="仿宋" w:hAnsi="仿宋" w:eastAsia="仿宋"/>
          <w:b/>
          <w:color w:val="FF0000"/>
          <w:sz w:val="32"/>
          <w:szCs w:val="32"/>
        </w:rPr>
      </w:pPr>
      <w:r>
        <w:rPr>
          <w:rFonts w:hint="eastAsia" w:ascii="仿宋" w:hAnsi="仿宋" w:eastAsia="仿宋"/>
          <w:color w:val="000000"/>
          <w:sz w:val="32"/>
          <w:szCs w:val="32"/>
        </w:rPr>
        <w:t>2020年，峨眉山市土地和房屋征收服务中心政府采购支出总额136.36万元，其中：政府采购货物支出0万元、政府采购工程支出0万元、政府采购服务支出136.36万元。主要用于测绘评估采购服务等。</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w:t>
      </w:r>
      <w:r>
        <w:rPr>
          <w:rFonts w:hint="eastAsia" w:ascii="仿宋" w:hAnsi="仿宋" w:eastAsia="仿宋"/>
          <w:color w:val="000000"/>
          <w:sz w:val="32"/>
          <w:szCs w:val="32"/>
        </w:rPr>
        <w:t>20年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日，峨眉山市土地和房屋征收服务中心共有车辆4辆，其中：主要领导干部用车0辆、机要通信用车0辆、应急保障用车0辆、其他用车4辆，其他用车主要是用于征地拆迁安置工作。单价</w:t>
      </w:r>
      <w:r>
        <w:rPr>
          <w:rFonts w:ascii="仿宋" w:hAnsi="仿宋" w:eastAsia="仿宋"/>
          <w:color w:val="000000"/>
          <w:sz w:val="32"/>
          <w:szCs w:val="32"/>
        </w:rPr>
        <w:t>50</w:t>
      </w:r>
      <w:r>
        <w:rPr>
          <w:rFonts w:hint="eastAsia" w:ascii="仿宋" w:hAnsi="仿宋" w:eastAsia="仿宋"/>
          <w:color w:val="000000"/>
          <w:sz w:val="32"/>
          <w:szCs w:val="32"/>
        </w:rPr>
        <w:t>万元以上通用设备0台（套），单价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numPr>
          <w:ilvl w:val="0"/>
          <w:numId w:val="3"/>
        </w:num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预算绩效管理情况。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单位在年初预算编制阶段，组织对征地拆迁工作经费、征地拆迁测绘评估费2个项目开展了预算事前绩效评估，对征地拆迁工作经费、征地拆迁测绘评估费2个项目编制了绩效目标，预算执行过程中，选取该2个项目开展绩效监控，年终执行完毕后，对4个项目开展了绩效目标完成情况自评。</w:t>
      </w:r>
    </w:p>
    <w:p>
      <w:pPr>
        <w:spacing w:line="580" w:lineRule="exact"/>
        <w:ind w:firstLine="640" w:firstLineChars="200"/>
        <w:rPr>
          <w:rFonts w:ascii="仿宋" w:hAnsi="仿宋" w:eastAsia="仿宋"/>
          <w:sz w:val="32"/>
          <w:szCs w:val="32"/>
        </w:rPr>
      </w:pPr>
      <w:r>
        <w:rPr>
          <w:rFonts w:hint="eastAsia" w:ascii="仿宋" w:hAnsi="仿宋" w:eastAsia="仿宋" w:cs="仿宋_GB2312"/>
          <w:sz w:val="32"/>
          <w:szCs w:val="32"/>
        </w:rPr>
        <w:t>本部门按要求对</w:t>
      </w:r>
      <w:r>
        <w:rPr>
          <w:rFonts w:ascii="仿宋" w:hAnsi="仿宋" w:eastAsia="仿宋" w:cs="仿宋_GB2312"/>
          <w:sz w:val="32"/>
          <w:szCs w:val="32"/>
        </w:rPr>
        <w:t>2020</w:t>
      </w:r>
      <w:r>
        <w:rPr>
          <w:rFonts w:hint="eastAsia" w:ascii="仿宋" w:hAnsi="仿宋" w:eastAsia="仿宋" w:cs="仿宋_GB2312"/>
          <w:sz w:val="32"/>
          <w:szCs w:val="32"/>
        </w:rPr>
        <w:t>年部门整体支出开展绩效自评，从评价情况来看部门绩效目标编制合理、合规，支出合规合法。本部门还自行组织了4个项目支出绩效评价，涉及项目资金28921.26万元，覆盖率达到100%。</w:t>
      </w:r>
    </w:p>
    <w:p>
      <w:pPr>
        <w:numPr>
          <w:ilvl w:val="0"/>
          <w:numId w:val="4"/>
        </w:numPr>
        <w:spacing w:line="580" w:lineRule="exact"/>
        <w:ind w:firstLine="640" w:firstLineChars="200"/>
        <w:rPr>
          <w:rFonts w:ascii="仿宋" w:hAnsi="仿宋" w:eastAsia="仿宋" w:cs="仿宋_GB2312"/>
          <w:sz w:val="32"/>
          <w:szCs w:val="32"/>
        </w:rPr>
      </w:pPr>
      <w:r>
        <w:rPr>
          <w:rFonts w:hint="eastAsia" w:ascii="仿宋" w:hAnsi="仿宋" w:eastAsia="仿宋" w:cs="楷体_GB2312"/>
          <w:sz w:val="32"/>
          <w:szCs w:val="32"/>
        </w:rPr>
        <w:t>项目绩效目标完成情况。</w:t>
      </w:r>
      <w:r>
        <w:rPr>
          <w:rFonts w:hint="eastAsia" w:ascii="仿宋" w:hAnsi="仿宋" w:eastAsia="仿宋" w:cs="楷体_GB2312"/>
          <w:sz w:val="32"/>
          <w:szCs w:val="32"/>
        </w:rPr>
        <w:br w:type="textWrapping"/>
      </w:r>
      <w:r>
        <w:rPr>
          <w:rFonts w:hint="eastAsia" w:ascii="仿宋" w:hAnsi="仿宋" w:eastAsia="仿宋" w:cs="仿宋_GB2312"/>
          <w:sz w:val="32"/>
          <w:szCs w:val="32"/>
        </w:rPr>
        <w:t xml:space="preserve">    本部门在2020年度部门决算中反映“征拆工作经费</w:t>
      </w:r>
      <w:r>
        <w:rPr>
          <w:rFonts w:ascii="仿宋" w:hAnsi="仿宋" w:eastAsia="仿宋" w:cs="仿宋_GB2312"/>
          <w:sz w:val="32"/>
          <w:szCs w:val="32"/>
        </w:rPr>
        <w:t>”</w:t>
      </w:r>
      <w:r>
        <w:rPr>
          <w:rFonts w:hint="eastAsia" w:ascii="仿宋" w:hAnsi="仿宋" w:eastAsia="仿宋" w:cs="仿宋_GB2312"/>
          <w:sz w:val="32"/>
          <w:szCs w:val="32"/>
        </w:rPr>
        <w:t>“建南机械厂宿舍棚户区改造项目费”“拆迁补偿、安置补助、限价商品房费”“征地拆迁测绘评估费</w:t>
      </w:r>
      <w:r>
        <w:rPr>
          <w:rFonts w:ascii="仿宋" w:hAnsi="仿宋" w:eastAsia="仿宋" w:cs="仿宋_GB2312"/>
          <w:sz w:val="32"/>
          <w:szCs w:val="32"/>
        </w:rPr>
        <w:t>”</w:t>
      </w:r>
      <w:r>
        <w:rPr>
          <w:rFonts w:hint="eastAsia" w:ascii="仿宋" w:hAnsi="仿宋" w:eastAsia="仿宋" w:cs="仿宋_GB2312"/>
          <w:sz w:val="32"/>
          <w:szCs w:val="32"/>
        </w:rPr>
        <w:t>等4个项目绩效目标实际完成情况：</w:t>
      </w:r>
    </w:p>
    <w:p>
      <w:pPr>
        <w:numPr>
          <w:ilvl w:val="0"/>
          <w:numId w:val="5"/>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征拆工作经费项目绩效目标完成情况综述。项目全年预算数186.87万元，执行数为186.87万元，完成预算的100%。通过项目实施，按“精准征收、阳光拆迁、惠民安置”的要求，完成峨汉高速、华西康养、乐西高速等重点项目征地拆迁安置任务，完成市委市政府交办的各项征拆任务，促进了我市经济社会发展。</w:t>
      </w:r>
    </w:p>
    <w:p>
      <w:pPr>
        <w:numPr>
          <w:ilvl w:val="0"/>
          <w:numId w:val="5"/>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建南机械厂宿舍棚户区改造项目费完成情况综述。项目全年预算数234.62万元，执行数为234.62万元，完成预算的100%。通过项目实施，完成了建南机械厂老旧小区棚户区414户，总改造面积2.1万平方米的改造，对相应宿舍新建了卫生间和厨房、办公楼、活动室、公厕、室外附属工程等进行维修改造，对存在结构安全隐患部位进行维修加固，新建了菜市场一个。通过该项目的实施，让群众获得了幸福感和满足感，维护了社会稳定，促进了经济发展。</w:t>
      </w:r>
    </w:p>
    <w:p>
      <w:pPr>
        <w:numPr>
          <w:ilvl w:val="0"/>
          <w:numId w:val="5"/>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拆迁补偿、安置补助、限价商品房费”项目完成情况综述。该项目全年预算数28399.77万元，执行数为28399.77万元，完成预算的100%。通过项目实施，累计完成限价商品房“秀湖鑫城”安置739套、“嘉峨溪月湾”安置696套、“印象太泉”安置383套，共计限价商品房安置1018套，支付限价商品房房款25088.36万元；完成华西康养项目大南构建厂收储工作，支付1804.87万元；完成峨汉高速项目龙祥石膏粉厂、高桥云福国有土地上收储等工作，支付经费726.82万元；完成二中高中部扩建国有土地上房屋收储、志华茶厂等零星项目共计支付779.72万元。</w:t>
      </w:r>
    </w:p>
    <w:p>
      <w:pPr>
        <w:numPr>
          <w:ilvl w:val="0"/>
          <w:numId w:val="5"/>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征地拆迁测绘评估费项目完成情况综述。该项目全年预算数100万元，执行数100万元，完成预算的100%。通过项目实施，按“精准征收、阳光拆迁、惠民安置”的要求，完成了峨汉高速、华西康养、乐西高速等重点项目征地拆迁安置任务，完成市委市政府交办的各项征拆任务，促进了我市经济社会发展。</w:t>
      </w: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p>
      <w:pPr>
        <w:widowControl w:val="0"/>
        <w:numPr>
          <w:numId w:val="0"/>
        </w:numPr>
        <w:spacing w:line="580" w:lineRule="exact"/>
        <w:jc w:val="both"/>
        <w:rPr>
          <w:rFonts w:hint="eastAsia" w:ascii="仿宋" w:hAnsi="仿宋" w:eastAsia="仿宋"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80"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(2020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征地拆迁工作经费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峨眉山市土地和房屋征收服务中心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186.87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186.87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175.5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175.5</w:t>
            </w:r>
          </w:p>
        </w:tc>
      </w:tr>
      <w:tr>
        <w:tblPrEx>
          <w:tblCellMar>
            <w:top w:w="0" w:type="dxa"/>
            <w:left w:w="0" w:type="dxa"/>
            <w:bottom w:w="0" w:type="dxa"/>
            <w:right w:w="0" w:type="dxa"/>
          </w:tblCellMar>
        </w:tblPrEx>
        <w:trPr>
          <w:trHeight w:val="112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11.37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11.</w:t>
            </w:r>
            <w:bookmarkStart w:id="72" w:name="_GoBack"/>
            <w:bookmarkEnd w:id="72"/>
            <w:r>
              <w:rPr>
                <w:rFonts w:hint="eastAsia" w:ascii="仿宋" w:hAnsi="仿宋" w:eastAsia="仿宋" w:cs="宋体"/>
                <w:color w:val="000000"/>
                <w:sz w:val="24"/>
              </w:rPr>
              <w:t>37</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5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按“精准征收、阳光拆迁、惠民安置”的要求，完成峨汉高速、成乐高速扩容、高桥恒邦小镇等项目房屋拆迁补偿安置，完成市委市政府交办的中心任务。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sz w:val="24"/>
              </w:rPr>
              <w:t>完成峨汉高速、成乐高速扩容、华西康养、恒邦度假小镇等项目房屋征地拆迁补偿安置及市委市政府交办的其它中心工作任务。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260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保障峨汉高速、成乐高速扩容、华西康养、恒邦度假小镇等项目征拆安置工作安全有序顺利开展。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保障了峨汉高速、成乐高速扩容、乐西高速等项目顺利实施，征地累计完成334.54亩；签订华西康养、恒邦度假小镇等项目拆迁补偿安置协议423户，倒房338栋。</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sz w:val="24"/>
              </w:rPr>
              <w:t>保障完成全市征地拆迁任务，确保项目用地顺利交付使用。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完成了市委、市政府交办的峨汉高速、成乐高速扩容、恒邦度假小镇、华西康养等项目的征拆工作任务。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保障单位运行和征拆安置工作完成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92%以上。</w:t>
            </w:r>
          </w:p>
        </w:tc>
      </w:tr>
    </w:tbl>
    <w:tbl>
      <w:tblPr>
        <w:tblStyle w:val="12"/>
        <w:tblpPr w:leftFromText="180" w:rightFromText="180" w:vertAnchor="text" w:horzAnchor="page" w:tblpXSpec="center" w:tblpY="322"/>
        <w:tblOverlap w:val="never"/>
        <w:tblW w:w="9960" w:type="dxa"/>
        <w:jc w:val="center"/>
        <w:tblLayout w:type="fixed"/>
        <w:tblCellMar>
          <w:top w:w="0" w:type="dxa"/>
          <w:left w:w="0" w:type="dxa"/>
          <w:bottom w:w="0" w:type="dxa"/>
          <w:right w:w="0" w:type="dxa"/>
        </w:tblCellMar>
      </w:tblPr>
      <w:tblGrid>
        <w:gridCol w:w="390"/>
        <w:gridCol w:w="1367"/>
        <w:gridCol w:w="1025"/>
        <w:gridCol w:w="2918"/>
        <w:gridCol w:w="1868"/>
        <w:gridCol w:w="2392"/>
      </w:tblGrid>
      <w:tr>
        <w:tblPrEx>
          <w:tblCellMar>
            <w:top w:w="0" w:type="dxa"/>
            <w:left w:w="0" w:type="dxa"/>
            <w:bottom w:w="0" w:type="dxa"/>
            <w:right w:w="0" w:type="dxa"/>
          </w:tblCellMar>
        </w:tblPrEx>
        <w:trPr>
          <w:trHeight w:val="1726"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(2020 年度)</w:t>
            </w:r>
          </w:p>
        </w:tc>
      </w:tr>
      <w:tr>
        <w:tblPrEx>
          <w:tblCellMar>
            <w:top w:w="0" w:type="dxa"/>
            <w:left w:w="0" w:type="dxa"/>
            <w:bottom w:w="0" w:type="dxa"/>
            <w:right w:w="0" w:type="dxa"/>
          </w:tblCellMar>
        </w:tblPrEx>
        <w:trPr>
          <w:trHeight w:val="523"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峨眉山市建南机械厂宿舍棚户区改造项目经费</w:t>
            </w:r>
          </w:p>
        </w:tc>
      </w:tr>
      <w:tr>
        <w:tblPrEx>
          <w:tblCellMar>
            <w:top w:w="0" w:type="dxa"/>
            <w:left w:w="0" w:type="dxa"/>
            <w:bottom w:w="0" w:type="dxa"/>
            <w:right w:w="0" w:type="dxa"/>
          </w:tblCellMar>
        </w:tblPrEx>
        <w:trPr>
          <w:trHeight w:val="523"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峨眉山市土地和房屋征收服务中心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234.62</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234.62</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234.62</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234.62</w:t>
            </w:r>
          </w:p>
        </w:tc>
      </w:tr>
      <w:tr>
        <w:tblPrEx>
          <w:tblCellMar>
            <w:top w:w="0" w:type="dxa"/>
            <w:left w:w="0" w:type="dxa"/>
            <w:bottom w:w="0" w:type="dxa"/>
            <w:right w:w="0" w:type="dxa"/>
          </w:tblCellMar>
        </w:tblPrEx>
        <w:trPr>
          <w:trHeight w:val="119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53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56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53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改造建南机械厂宿舍棚户区老旧住宅414户，总改造面积2.1万平方米。</w:t>
            </w:r>
          </w:p>
        </w:tc>
        <w:tc>
          <w:tcPr>
            <w:tcW w:w="4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sz w:val="24"/>
              </w:rPr>
              <w:t>该项目于2016年9月开工，2017年8月通过竣工验收，完成建南机械厂宿舍棚户区老旧住宅414户，总改造面积2.1万平方米，对存在安全隐患额部位进行维修加固，改变和增加房屋使用功能、新建菜市场一个。</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总体目标</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总体目标</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 xml:space="preserve">完成建南机械厂机械厂老旧住宅414户棚户区改造。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完成建南机械厂宿舍棚户区老旧住宅414户，总改造面积2.1万平方米，对存在安全隐患额部位进行维修加固，改变和增加房屋使用功能、新建菜市场一个。</w:t>
            </w:r>
          </w:p>
        </w:tc>
      </w:tr>
      <w:tr>
        <w:tblPrEx>
          <w:tblCellMar>
            <w:top w:w="0" w:type="dxa"/>
            <w:left w:w="0" w:type="dxa"/>
            <w:bottom w:w="0" w:type="dxa"/>
            <w:right w:w="0" w:type="dxa"/>
          </w:tblCellMar>
        </w:tblPrEx>
        <w:trPr>
          <w:trHeight w:val="106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完成指标</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保质保量完成建南机械厂宿舍老旧小区棚户区改造工作。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完成建南机械厂老旧小区棚户区414户改造工作，通过峨财评报告【结】字【2020】第79号结算评审。</w:t>
            </w:r>
          </w:p>
        </w:tc>
      </w:tr>
      <w:tr>
        <w:tblPrEx>
          <w:tblCellMar>
            <w:top w:w="0" w:type="dxa"/>
            <w:left w:w="0" w:type="dxa"/>
            <w:bottom w:w="0" w:type="dxa"/>
            <w:right w:w="0" w:type="dxa"/>
          </w:tblCellMar>
        </w:tblPrEx>
        <w:trPr>
          <w:trHeight w:val="106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效益指标</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社会效益指标</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保质保量完成建南机械厂老旧小区棚户区414户改造任务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完成建南机械厂老旧小区414户棚户区改造任务，使群众获得幸福感、满足感，维护了社会稳定，提升财政资金使用效益。</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满意度指标</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群众满意度指标</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群众满意度达到90%以上。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通过改造建南机械厂老旧小区宿舍棚户区改造，群众满意度达到95%。</w:t>
            </w:r>
          </w:p>
        </w:tc>
      </w:tr>
    </w:tbl>
    <w:p>
      <w:pPr>
        <w:spacing w:line="580" w:lineRule="exact"/>
        <w:rPr>
          <w:rFonts w:ascii="仿宋" w:hAnsi="仿宋" w:eastAsia="仿宋" w:cs="楷体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ascii="仿宋" w:hAnsi="仿宋" w:eastAsia="仿宋" w:cs="宋体"/>
                <w:b/>
                <w:bCs/>
                <w:color w:val="000000"/>
                <w:kern w:val="0"/>
                <w:sz w:val="36"/>
                <w:szCs w:val="36"/>
              </w:rPr>
              <w:br w:type="textWrapping"/>
            </w:r>
            <w:r>
              <w:rPr>
                <w:rFonts w:ascii="仿宋" w:hAnsi="仿宋" w:eastAsia="仿宋" w:cs="宋体"/>
                <w:color w:val="000000"/>
                <w:kern w:val="0"/>
                <w:sz w:val="36"/>
                <w:szCs w:val="36"/>
              </w:rPr>
              <w:t>(2020</w:t>
            </w:r>
            <w:r>
              <w:rPr>
                <w:rFonts w:hint="eastAsia" w:ascii="仿宋" w:hAnsi="仿宋" w:eastAsia="仿宋" w:cs="宋体"/>
                <w:color w:val="000000"/>
                <w:kern w:val="0"/>
                <w:sz w:val="36"/>
                <w:szCs w:val="36"/>
              </w:rPr>
              <w:t>年度</w:t>
            </w:r>
            <w:r>
              <w:rPr>
                <w:rFonts w:ascii="仿宋" w:hAnsi="仿宋" w:eastAsia="仿宋"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拆迁补偿、安置补助、限价商品房经费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峨眉山市土地和房屋征收服务中心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w:t>
            </w:r>
            <w:r>
              <w:rPr>
                <w:rFonts w:ascii="仿宋" w:hAnsi="仿宋" w:eastAsia="仿宋" w:cs="宋体"/>
                <w:color w:val="000000"/>
                <w:kern w:val="0"/>
                <w:sz w:val="24"/>
              </w:rPr>
              <w:t>(</w:t>
            </w:r>
            <w:r>
              <w:rPr>
                <w:rFonts w:hint="eastAsia" w:ascii="仿宋" w:hAnsi="仿宋" w:eastAsia="仿宋" w:cs="宋体"/>
                <w:color w:val="000000"/>
                <w:kern w:val="0"/>
                <w:sz w:val="24"/>
              </w:rPr>
              <w:t>万元</w:t>
            </w:r>
            <w:r>
              <w:rPr>
                <w:rFonts w:ascii="仿宋" w:hAnsi="仿宋" w:eastAsia="仿宋"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2839</w:t>
            </w:r>
            <w:r>
              <w:rPr>
                <w:rFonts w:hint="eastAsia" w:ascii="仿宋" w:hAnsi="仿宋" w:eastAsia="仿宋" w:cs="宋体"/>
                <w:color w:val="000000"/>
                <w:sz w:val="24"/>
                <w:lang w:val="en-US" w:eastAsia="zh-CN"/>
              </w:rPr>
              <w:t>9</w:t>
            </w:r>
            <w:r>
              <w:rPr>
                <w:rFonts w:hint="eastAsia" w:ascii="仿宋" w:hAnsi="仿宋" w:eastAsia="仿宋" w:cs="宋体"/>
                <w:color w:val="000000"/>
                <w:sz w:val="24"/>
              </w:rPr>
              <w:t>.77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28399.77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2839</w:t>
            </w:r>
            <w:r>
              <w:rPr>
                <w:rFonts w:hint="eastAsia" w:ascii="仿宋" w:hAnsi="仿宋" w:eastAsia="仿宋" w:cs="宋体"/>
                <w:color w:val="000000"/>
                <w:sz w:val="24"/>
                <w:lang w:val="en-US" w:eastAsia="zh-CN"/>
              </w:rPr>
              <w:t>9</w:t>
            </w:r>
            <w:r>
              <w:rPr>
                <w:rFonts w:hint="eastAsia" w:ascii="仿宋" w:hAnsi="仿宋" w:eastAsia="仿宋" w:cs="宋体"/>
                <w:color w:val="000000"/>
                <w:sz w:val="24"/>
              </w:rPr>
              <w:t>.77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2839</w:t>
            </w:r>
            <w:r>
              <w:rPr>
                <w:rFonts w:hint="eastAsia" w:ascii="仿宋" w:hAnsi="仿宋" w:eastAsia="仿宋" w:cs="宋体"/>
                <w:color w:val="000000"/>
                <w:sz w:val="24"/>
                <w:lang w:val="en-US" w:eastAsia="zh-CN"/>
              </w:rPr>
              <w:t>8</w:t>
            </w:r>
            <w:r>
              <w:rPr>
                <w:rFonts w:hint="eastAsia" w:ascii="仿宋" w:hAnsi="仿宋" w:eastAsia="仿宋" w:cs="宋体"/>
                <w:color w:val="000000"/>
                <w:sz w:val="24"/>
              </w:rPr>
              <w:t>.77</w:t>
            </w:r>
          </w:p>
        </w:tc>
      </w:tr>
      <w:tr>
        <w:tblPrEx>
          <w:tblCellMar>
            <w:top w:w="0" w:type="dxa"/>
            <w:left w:w="0" w:type="dxa"/>
            <w:bottom w:w="0" w:type="dxa"/>
            <w:right w:w="0" w:type="dxa"/>
          </w:tblCellMar>
        </w:tblPrEx>
        <w:trPr>
          <w:trHeight w:val="109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宋体"/>
                <w:color w:val="000000"/>
                <w:sz w:val="24"/>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宋体"/>
                <w:color w:val="000000"/>
                <w:sz w:val="24"/>
                <w:lang w:val="en-US" w:eastAsia="zh-CN"/>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按“精准征收、阳光拆迁、惠民安置”的要求，完成完成市委市政府交办的征地拆迁安置任务。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完成峨汉高速、成乐高速扩容、华西康养、恒邦度假小镇等项目房屋征地拆迁补偿及限价商品房安置等工作任务。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r>
      <w:tr>
        <w:tblPrEx>
          <w:tblCellMar>
            <w:top w:w="0" w:type="dxa"/>
            <w:left w:w="0" w:type="dxa"/>
            <w:bottom w:w="0" w:type="dxa"/>
            <w:right w:w="0" w:type="dxa"/>
          </w:tblCellMar>
        </w:tblPrEx>
        <w:trPr>
          <w:trHeight w:val="18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完成市委市政府交办的征地拆迁安置工作任务。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累计完成限价商品房安置1018套，安置房安置135套，门市42间；完成华西康养、峨汉高速、二中高中部扩建等项目的征拆收储工作。</w:t>
            </w:r>
          </w:p>
        </w:tc>
      </w:tr>
      <w:tr>
        <w:tblPrEx>
          <w:tblCellMar>
            <w:top w:w="0" w:type="dxa"/>
            <w:left w:w="0" w:type="dxa"/>
            <w:bottom w:w="0" w:type="dxa"/>
            <w:right w:w="0" w:type="dxa"/>
          </w:tblCellMar>
        </w:tblPrEx>
        <w:trPr>
          <w:trHeight w:val="51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社会效益指标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完成峨汉高速、恒邦度假小镇等项目征地拆迁安置工作，及时交付土地，促进社会经济发展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完成峨汉高速、恒邦度假小镇、华西康养等项目征地拆迁安置工作，及时交付项目用地，促进我市经济发展。</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群众满意度达到90%以上。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群众满意度达到92%以上。</w:t>
            </w:r>
          </w:p>
        </w:tc>
      </w:tr>
    </w:tbl>
    <w:p>
      <w:pPr>
        <w:spacing w:line="580" w:lineRule="exact"/>
        <w:ind w:firstLine="320" w:firstLineChars="100"/>
        <w:rPr>
          <w:rFonts w:ascii="仿宋" w:hAnsi="仿宋" w:eastAsia="仿宋" w:cs="楷体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ascii="仿宋" w:hAnsi="仿宋" w:eastAsia="仿宋" w:cs="宋体"/>
                <w:b/>
                <w:bCs/>
                <w:color w:val="000000"/>
                <w:kern w:val="0"/>
                <w:sz w:val="36"/>
                <w:szCs w:val="36"/>
              </w:rPr>
              <w:br w:type="textWrapping"/>
            </w:r>
            <w:r>
              <w:rPr>
                <w:rFonts w:ascii="仿宋" w:hAnsi="仿宋" w:eastAsia="仿宋" w:cs="宋体"/>
                <w:color w:val="000000"/>
                <w:kern w:val="0"/>
                <w:sz w:val="36"/>
                <w:szCs w:val="36"/>
              </w:rPr>
              <w:t>(2020</w:t>
            </w:r>
            <w:r>
              <w:rPr>
                <w:rFonts w:hint="eastAsia" w:ascii="仿宋" w:hAnsi="仿宋" w:eastAsia="仿宋" w:cs="宋体"/>
                <w:color w:val="000000"/>
                <w:kern w:val="0"/>
                <w:sz w:val="36"/>
                <w:szCs w:val="36"/>
              </w:rPr>
              <w:t>年度</w:t>
            </w:r>
            <w:r>
              <w:rPr>
                <w:rFonts w:ascii="仿宋" w:hAnsi="仿宋" w:eastAsia="仿宋"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征地拆迁测绘评估经费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峨眉山市土地和房屋征收服务中心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w:t>
            </w:r>
            <w:r>
              <w:rPr>
                <w:rFonts w:ascii="仿宋" w:hAnsi="仿宋" w:eastAsia="仿宋" w:cs="宋体"/>
                <w:color w:val="000000"/>
                <w:kern w:val="0"/>
                <w:sz w:val="24"/>
              </w:rPr>
              <w:t>(</w:t>
            </w:r>
            <w:r>
              <w:rPr>
                <w:rFonts w:hint="eastAsia" w:ascii="仿宋" w:hAnsi="仿宋" w:eastAsia="仿宋" w:cs="宋体"/>
                <w:color w:val="000000"/>
                <w:kern w:val="0"/>
                <w:sz w:val="24"/>
              </w:rPr>
              <w:t>万元</w:t>
            </w:r>
            <w:r>
              <w:rPr>
                <w:rFonts w:ascii="仿宋" w:hAnsi="仿宋" w:eastAsia="仿宋"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100</w:t>
            </w:r>
          </w:p>
        </w:tc>
      </w:tr>
      <w:tr>
        <w:tblPrEx>
          <w:tblCellMar>
            <w:top w:w="0" w:type="dxa"/>
            <w:left w:w="0" w:type="dxa"/>
            <w:bottom w:w="0" w:type="dxa"/>
            <w:right w:w="0" w:type="dxa"/>
          </w:tblCellMar>
        </w:tblPrEx>
        <w:trPr>
          <w:trHeight w:val="109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按“精准征收、阳光拆迁、惠民安置”的要求，完成市委市政府交办的征地拆迁安置任务。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完成峨汉高速、成乐高速扩容、华西康养、恒邦度假小镇等项目房屋征地拆迁工作任务。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r>
      <w:tr>
        <w:tblPrEx>
          <w:tblCellMar>
            <w:top w:w="0" w:type="dxa"/>
            <w:left w:w="0" w:type="dxa"/>
            <w:bottom w:w="0" w:type="dxa"/>
            <w:right w:w="0" w:type="dxa"/>
          </w:tblCellMar>
        </w:tblPrEx>
        <w:trPr>
          <w:trHeight w:val="18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总体目标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完成市委市政府交办的征地拆迁工作任务。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完成峨汉高速、华西康养、恒邦度假小镇、乐西高速等项目的征地拆迁工作任务。</w:t>
            </w:r>
          </w:p>
        </w:tc>
      </w:tr>
      <w:tr>
        <w:tblPrEx>
          <w:tblCellMar>
            <w:top w:w="0" w:type="dxa"/>
            <w:left w:w="0" w:type="dxa"/>
            <w:bottom w:w="0" w:type="dxa"/>
            <w:right w:w="0" w:type="dxa"/>
          </w:tblCellMar>
        </w:tblPrEx>
        <w:trPr>
          <w:trHeight w:val="51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完成峨汉高速、恒邦度假小镇等项目征地拆迁安置工作，及时交付土地，促进社会经济发展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完成峨汉高速、恒邦度假小镇、华西康养等项目征地拆迁安置工作，及时交付项目用地，促进我市经济发展。</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绥山镇征拆项目涉及测绘征地287.75亩；拆迁房屋面积35298.25平方米；其他建构筑物14836.99平方米。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绥山镇征拆项目涉及测绘征地面积287.75亩；拆迁房屋面积35298.25平方米；其他建构筑物14836.99平方米。</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高桥镇征拆项目涉及测绘征地306.75亩；拆迁房屋面积102071.06平方米，其他建构筑物59831.53平方米。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高桥镇征拆项目涉及测绘征地306.75亩；拆迁房屋面积102071.06平方米，其他建构筑物59831.53平方米。</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桂花桥镇征拆项目涉及测绘征地1224.99亩；拆迁房屋面积26631.39平方米，其他建构筑物14924.02平方米。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桂花桥镇征拆项目涉及测绘征地1224.99亩；拆迁房屋面积26631.39平方米，其他建构筑物14924.02平方米。</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数量指标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完成峨汉高速、恒邦度假小镇、华西康养等项目涉及的评估。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完成峨汉高速、恒邦度假小镇、华西康养等项目涉及的评估。</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按时按实结算征拆项目测绘费、评估费。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按时按实结算征拆项目测绘费、评估费。</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群众满意度达到90%以上。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群众满意度达到92%以上。</w:t>
            </w:r>
          </w:p>
        </w:tc>
      </w:tr>
    </w:tbl>
    <w:p>
      <w:pPr>
        <w:spacing w:line="580" w:lineRule="exact"/>
        <w:rPr>
          <w:rFonts w:ascii="仿宋" w:hAnsi="仿宋" w:eastAsia="仿宋" w:cs="仿宋_GB2312"/>
          <w:sz w:val="32"/>
          <w:szCs w:val="32"/>
        </w:rPr>
      </w:pPr>
      <w:r>
        <w:rPr>
          <w:rFonts w:hint="eastAsia" w:ascii="仿宋" w:hAnsi="仿宋" w:eastAsia="仿宋" w:cs="楷体_GB2312"/>
          <w:sz w:val="32"/>
          <w:szCs w:val="32"/>
        </w:rPr>
        <w:t>2.部门绩效评价结果。</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本部门按要求对2020年部门整体支出绩效评价情况开展自评，《峨眉山市土地和房屋征收服务中心2020年部门整体支出绩效评价报告》见附件1。</w:t>
      </w:r>
    </w:p>
    <w:p>
      <w:pPr>
        <w:spacing w:line="580" w:lineRule="exact"/>
        <w:ind w:firstLine="640" w:firstLineChars="200"/>
        <w:rPr>
          <w:rFonts w:ascii="仿宋" w:hAnsi="仿宋" w:eastAsia="仿宋"/>
          <w:b/>
          <w:color w:val="000000"/>
          <w:sz w:val="32"/>
          <w:szCs w:val="32"/>
        </w:rPr>
      </w:pPr>
      <w:r>
        <w:rPr>
          <w:rFonts w:hint="eastAsia" w:ascii="仿宋" w:hAnsi="仿宋" w:eastAsia="仿宋" w:cs="仿宋_GB2312"/>
          <w:sz w:val="32"/>
          <w:szCs w:val="32"/>
        </w:rPr>
        <w:t>本部门自行组织对征地拆迁测绘评估费项目开展了绩效评价，《征地拆迁测绘评估费项目2020年绩效评价报告》见附件2。</w:t>
      </w:r>
    </w:p>
    <w:p>
      <w:pPr>
        <w:widowControl/>
        <w:jc w:val="left"/>
        <w:rPr>
          <w:rFonts w:ascii="仿宋" w:hAnsi="仿宋" w:eastAsia="仿宋"/>
          <w:b/>
          <w:color w:val="000000"/>
          <w:sz w:val="32"/>
          <w:szCs w:val="32"/>
        </w:rPr>
      </w:pPr>
    </w:p>
    <w:p>
      <w:pPr>
        <w:widowControl/>
        <w:jc w:val="left"/>
        <w:rPr>
          <w:rFonts w:ascii="仿宋" w:hAnsi="仿宋" w:eastAsia="仿宋"/>
          <w:b/>
          <w:color w:val="000000"/>
          <w:sz w:val="32"/>
          <w:szCs w:val="32"/>
        </w:rPr>
      </w:pPr>
      <w:r>
        <w:rPr>
          <w:rFonts w:ascii="仿宋" w:hAnsi="仿宋" w:eastAsia="仿宋"/>
          <w:b/>
          <w:color w:val="000000"/>
          <w:sz w:val="32"/>
          <w:szCs w:val="32"/>
        </w:rPr>
        <w:br w:type="page"/>
      </w:r>
    </w:p>
    <w:p>
      <w:pPr>
        <w:numPr>
          <w:ilvl w:val="0"/>
          <w:numId w:val="6"/>
        </w:numPr>
        <w:spacing w:line="600" w:lineRule="exact"/>
        <w:ind w:firstLine="660" w:firstLineChars="150"/>
        <w:jc w:val="center"/>
        <w:outlineLvl w:val="0"/>
        <w:rPr>
          <w:rStyle w:val="24"/>
          <w:rFonts w:ascii="仿宋" w:hAnsi="仿宋" w:eastAsia="仿宋"/>
          <w:b w:val="0"/>
        </w:rPr>
      </w:pPr>
      <w:bookmarkStart w:id="55" w:name="_Toc15396613"/>
      <w:bookmarkStart w:id="56" w:name="_Toc15377225"/>
      <w:r>
        <w:rPr>
          <w:rFonts w:hint="eastAsia" w:ascii="仿宋" w:hAnsi="仿宋" w:eastAsia="仿宋"/>
          <w:color w:val="000000"/>
          <w:sz w:val="44"/>
          <w:szCs w:val="44"/>
        </w:rPr>
        <w:t>名</w:t>
      </w:r>
      <w:r>
        <w:rPr>
          <w:rStyle w:val="24"/>
          <w:rFonts w:hint="eastAsia" w:ascii="仿宋" w:hAnsi="仿宋" w:eastAsia="仿宋"/>
          <w:b w:val="0"/>
        </w:rPr>
        <w:t>词解释</w:t>
      </w:r>
      <w:bookmarkEnd w:id="55"/>
      <w:bookmarkEnd w:id="56"/>
    </w:p>
    <w:p>
      <w:pPr>
        <w:spacing w:line="600" w:lineRule="exact"/>
        <w:jc w:val="left"/>
        <w:rPr>
          <w:rFonts w:ascii="仿宋" w:hAnsi="仿宋" w:eastAsia="仿宋"/>
          <w:b/>
          <w:color w:val="000000"/>
          <w:sz w:val="44"/>
          <w:szCs w:val="44"/>
        </w:rPr>
      </w:pPr>
    </w:p>
    <w:p>
      <w:pPr>
        <w:pStyle w:val="22"/>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pPr>
        <w:pStyle w:val="22"/>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w:t>
      </w:r>
    </w:p>
    <w:p>
      <w:pPr>
        <w:pStyle w:val="22"/>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w:t>
      </w:r>
    </w:p>
    <w:p>
      <w:pPr>
        <w:pStyle w:val="22"/>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w:t>
      </w:r>
    </w:p>
    <w:p>
      <w:pPr>
        <w:pStyle w:val="22"/>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Ansi="仿宋"/>
          <w:sz w:val="32"/>
          <w:szCs w:val="32"/>
        </w:rPr>
        <w:t xml:space="preserve"> </w:t>
      </w:r>
    </w:p>
    <w:p>
      <w:pPr>
        <w:pStyle w:val="22"/>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22"/>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9.一般公共服务（类）政府办公厅（室）及相关机构事务（款）事业运行（项）</w:t>
      </w:r>
      <w:r>
        <w:rPr>
          <w:rFonts w:hint="eastAsia" w:ascii="仿宋" w:hAnsi="仿宋" w:eastAsia="仿宋"/>
          <w:color w:val="000000"/>
          <w:sz w:val="32"/>
          <w:szCs w:val="32"/>
        </w:rPr>
        <w:t>：指</w:t>
      </w:r>
      <w:r>
        <w:rPr>
          <w:rFonts w:hint="eastAsia" w:ascii="仿宋" w:hAnsi="仿宋" w:eastAsia="仿宋"/>
          <w:sz w:val="32"/>
          <w:szCs w:val="32"/>
        </w:rPr>
        <w:t>正常运转的基本支出，包括基本工资、津贴补贴（或绩效工资）等人员经费以及办公费、印刷费、水电费等日常公用经费。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10.</w:t>
      </w:r>
      <w:r>
        <w:rPr>
          <w:rFonts w:hint="eastAsia" w:ascii="仿宋" w:hAnsi="仿宋" w:eastAsia="仿宋"/>
          <w:sz w:val="32"/>
          <w:szCs w:val="32"/>
        </w:rPr>
        <w:t xml:space="preserve"> 社会保障和就业（类）行政事业单位养老支出（款）机关事业单位基本养老保险缴费支出（项）</w:t>
      </w:r>
      <w:r>
        <w:rPr>
          <w:rFonts w:hint="eastAsia" w:ascii="仿宋" w:hAnsi="仿宋" w:eastAsia="仿宋"/>
          <w:color w:val="000000"/>
          <w:sz w:val="32"/>
          <w:szCs w:val="32"/>
        </w:rPr>
        <w:t>：指机关事业单位实施养老保险制度由单位缴纳的基本养老保险支出。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11.</w:t>
      </w:r>
      <w:r>
        <w:rPr>
          <w:rFonts w:hint="eastAsia" w:ascii="仿宋" w:hAnsi="仿宋" w:eastAsia="仿宋"/>
          <w:sz w:val="32"/>
          <w:szCs w:val="32"/>
        </w:rPr>
        <w:t xml:space="preserve"> 社会保障和就业（类）行政事业单位养老支出（款）机关事业单位职业年金缴费支出（项）</w:t>
      </w:r>
      <w:r>
        <w:rPr>
          <w:rFonts w:hint="eastAsia" w:ascii="仿宋" w:hAnsi="仿宋" w:eastAsia="仿宋"/>
          <w:color w:val="000000"/>
          <w:sz w:val="32"/>
          <w:szCs w:val="32"/>
        </w:rPr>
        <w:t>：指机关事业单位实施养老保险制度由单位实际缴纳的职业年金支出。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12.</w:t>
      </w:r>
      <w:r>
        <w:rPr>
          <w:rFonts w:hint="eastAsia" w:ascii="仿宋" w:hAnsi="仿宋" w:eastAsia="仿宋"/>
          <w:sz w:val="32"/>
          <w:szCs w:val="32"/>
        </w:rPr>
        <w:t>社会保障和就业（类）其他社会保障和就业支出（款）其他社会保障和就业支出（项）</w:t>
      </w:r>
      <w:r>
        <w:rPr>
          <w:rFonts w:hint="eastAsia" w:ascii="仿宋" w:hAnsi="仿宋" w:eastAsia="仿宋"/>
          <w:color w:val="000000"/>
          <w:sz w:val="32"/>
          <w:szCs w:val="32"/>
        </w:rPr>
        <w:t>：指</w:t>
      </w:r>
      <w:r>
        <w:rPr>
          <w:rFonts w:hint="eastAsia" w:ascii="仿宋" w:hAnsi="仿宋" w:eastAsia="仿宋"/>
          <w:sz w:val="32"/>
          <w:szCs w:val="32"/>
        </w:rPr>
        <w:t>其他用于社会保障和就业方面的支出</w:t>
      </w:r>
      <w:r>
        <w:rPr>
          <w:rFonts w:hint="eastAsia" w:ascii="仿宋" w:hAnsi="仿宋" w:eastAsia="仿宋"/>
          <w:color w:val="000000"/>
          <w:sz w:val="32"/>
          <w:szCs w:val="32"/>
        </w:rPr>
        <w:t>。</w:t>
      </w:r>
    </w:p>
    <w:p>
      <w:pPr>
        <w:spacing w:line="580" w:lineRule="exact"/>
        <w:ind w:firstLine="640" w:firstLineChars="200"/>
        <w:rPr>
          <w:rStyle w:val="14"/>
          <w:rFonts w:ascii="仿宋" w:hAnsi="仿宋" w:eastAsia="仿宋"/>
          <w:color w:val="000000"/>
          <w:sz w:val="32"/>
          <w:szCs w:val="32"/>
        </w:rPr>
      </w:pPr>
      <w:r>
        <w:rPr>
          <w:rFonts w:hint="eastAsia" w:ascii="仿宋" w:hAnsi="仿宋" w:eastAsia="仿宋"/>
          <w:color w:val="000000"/>
          <w:sz w:val="32"/>
          <w:szCs w:val="32"/>
        </w:rPr>
        <w:t>13.</w:t>
      </w:r>
      <w:r>
        <w:rPr>
          <w:rFonts w:hint="eastAsia" w:ascii="仿宋" w:hAnsi="仿宋" w:eastAsia="仿宋"/>
          <w:sz w:val="32"/>
          <w:szCs w:val="32"/>
        </w:rPr>
        <w:t xml:space="preserve"> 医疗卫生（类）行政事业单位医疗（款）事业单位医疗（项）</w:t>
      </w:r>
      <w:r>
        <w:rPr>
          <w:rFonts w:hint="eastAsia" w:ascii="仿宋" w:hAnsi="仿宋" w:eastAsia="仿宋"/>
          <w:color w:val="000000"/>
          <w:sz w:val="32"/>
          <w:szCs w:val="32"/>
        </w:rPr>
        <w:t>：指</w:t>
      </w:r>
      <w:r>
        <w:rPr>
          <w:rStyle w:val="14"/>
          <w:rFonts w:hint="eastAsia" w:ascii="仿宋" w:hAnsi="仿宋" w:eastAsia="仿宋"/>
          <w:b w:val="0"/>
          <w:color w:val="000000"/>
          <w:sz w:val="32"/>
          <w:szCs w:val="32"/>
        </w:rPr>
        <w:t>事业单位基本医疗保险缴费经费</w:t>
      </w:r>
      <w:r>
        <w:rPr>
          <w:rStyle w:val="14"/>
          <w:rFonts w:hint="eastAsia" w:ascii="仿宋" w:hAnsi="仿宋" w:eastAsia="仿宋"/>
          <w:color w:val="000000"/>
          <w:sz w:val="32"/>
          <w:szCs w:val="32"/>
        </w:rPr>
        <w:t>。</w:t>
      </w:r>
    </w:p>
    <w:p>
      <w:pPr>
        <w:spacing w:line="580" w:lineRule="exact"/>
        <w:ind w:firstLine="640" w:firstLineChars="200"/>
        <w:rPr>
          <w:rFonts w:ascii="仿宋" w:hAnsi="仿宋" w:eastAsia="仿宋"/>
          <w:sz w:val="32"/>
          <w:szCs w:val="32"/>
        </w:rPr>
      </w:pPr>
      <w:r>
        <w:rPr>
          <w:rFonts w:hint="eastAsia" w:ascii="仿宋" w:hAnsi="仿宋" w:eastAsia="仿宋"/>
          <w:color w:val="000000"/>
          <w:sz w:val="32"/>
          <w:szCs w:val="32"/>
        </w:rPr>
        <w:t>14.</w:t>
      </w:r>
      <w:r>
        <w:rPr>
          <w:rFonts w:hint="eastAsia" w:ascii="仿宋" w:hAnsi="仿宋" w:eastAsia="仿宋"/>
          <w:sz w:val="32"/>
          <w:szCs w:val="32"/>
        </w:rPr>
        <w:t>自然资源海洋气象等支出（类）自然资源事务（款）其他自然资源事务支出（项）：指其他用于自然资源事务的支出。</w:t>
      </w:r>
    </w:p>
    <w:p>
      <w:pPr>
        <w:spacing w:line="580" w:lineRule="exact"/>
        <w:ind w:firstLine="640" w:firstLineChars="200"/>
        <w:rPr>
          <w:rFonts w:ascii="仿宋" w:hAnsi="仿宋" w:eastAsia="仿宋"/>
          <w:sz w:val="32"/>
          <w:szCs w:val="32"/>
        </w:rPr>
      </w:pPr>
      <w:r>
        <w:rPr>
          <w:rFonts w:hint="eastAsia" w:ascii="仿宋" w:hAnsi="仿宋" w:eastAsia="仿宋"/>
          <w:color w:val="000000"/>
          <w:sz w:val="32"/>
          <w:szCs w:val="32"/>
        </w:rPr>
        <w:t>15.</w:t>
      </w:r>
      <w:r>
        <w:rPr>
          <w:rFonts w:hint="eastAsia" w:ascii="仿宋" w:hAnsi="仿宋" w:eastAsia="仿宋"/>
          <w:sz w:val="32"/>
          <w:szCs w:val="32"/>
        </w:rPr>
        <w:t xml:space="preserve"> 住房保障支出（类）保障性安居工程支出（款）棚户区改造（项）</w:t>
      </w:r>
      <w:r>
        <w:rPr>
          <w:rFonts w:hint="eastAsia" w:ascii="仿宋" w:hAnsi="仿宋" w:eastAsia="仿宋"/>
          <w:color w:val="000000"/>
          <w:sz w:val="32"/>
          <w:szCs w:val="32"/>
        </w:rPr>
        <w:t>：指</w:t>
      </w:r>
      <w:r>
        <w:rPr>
          <w:rFonts w:hint="eastAsia" w:ascii="仿宋" w:hAnsi="仿宋" w:eastAsia="仿宋"/>
          <w:sz w:val="32"/>
          <w:szCs w:val="32"/>
        </w:rPr>
        <w:t>用于棚户区改造方面的支出。</w:t>
      </w:r>
    </w:p>
    <w:p>
      <w:pPr>
        <w:spacing w:line="580" w:lineRule="exact"/>
        <w:ind w:firstLine="640" w:firstLineChars="200"/>
        <w:rPr>
          <w:rFonts w:ascii="仿宋" w:hAnsi="仿宋" w:eastAsia="仿宋"/>
          <w:sz w:val="32"/>
          <w:szCs w:val="32"/>
        </w:rPr>
      </w:pPr>
      <w:r>
        <w:rPr>
          <w:rFonts w:hint="eastAsia" w:ascii="仿宋" w:hAnsi="仿宋" w:eastAsia="仿宋"/>
          <w:color w:val="000000"/>
          <w:sz w:val="32"/>
          <w:szCs w:val="32"/>
        </w:rPr>
        <w:t>16.</w:t>
      </w:r>
      <w:r>
        <w:rPr>
          <w:rFonts w:hint="eastAsia" w:ascii="仿宋" w:hAnsi="仿宋" w:eastAsia="仿宋"/>
          <w:sz w:val="32"/>
          <w:szCs w:val="32"/>
        </w:rPr>
        <w:t xml:space="preserve"> 住房保障支出（类）住房改革支出（款）住房公积金（项）</w:t>
      </w:r>
      <w:r>
        <w:rPr>
          <w:rFonts w:hint="eastAsia" w:ascii="仿宋" w:hAnsi="仿宋" w:eastAsia="仿宋"/>
          <w:color w:val="000000"/>
          <w:sz w:val="32"/>
          <w:szCs w:val="32"/>
        </w:rPr>
        <w:t>：指</w:t>
      </w:r>
      <w:r>
        <w:rPr>
          <w:rFonts w:hint="eastAsia" w:ascii="仿宋" w:hAnsi="仿宋" w:eastAsia="仿宋"/>
          <w:sz w:val="32"/>
          <w:szCs w:val="32"/>
        </w:rPr>
        <w:t>部门按人力资源和社会保障部、财政部规定的基本工资和津贴补贴以及规定比例为职工缴纳的住房公积金支出。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17</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18</w:t>
      </w:r>
      <w:r>
        <w:rPr>
          <w:rFonts w:ascii="仿宋" w:hAnsi="仿宋" w:eastAsia="仿宋"/>
          <w:color w:val="000000"/>
          <w:sz w:val="32"/>
          <w:szCs w:val="32"/>
        </w:rPr>
        <w:t>.</w:t>
      </w:r>
      <w:r>
        <w:rPr>
          <w:rFonts w:hint="eastAsia" w:ascii="仿宋" w:hAnsi="仿宋" w:eastAsia="仿宋"/>
          <w:color w:val="000000"/>
          <w:sz w:val="32"/>
          <w:szCs w:val="32"/>
        </w:rPr>
        <w:t>项目支出：指在基本支出之外为完成特定行政任务和事业发展目标所发生的支出。</w:t>
      </w:r>
      <w:r>
        <w:rPr>
          <w:rFonts w:ascii="仿宋" w:hAnsi="仿宋" w:eastAsia="仿宋"/>
          <w:color w:val="000000"/>
          <w:sz w:val="32"/>
          <w:szCs w:val="32"/>
        </w:rPr>
        <w:t xml:space="preserve"> </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19</w:t>
      </w:r>
      <w:r>
        <w:rPr>
          <w:rFonts w:ascii="仿宋" w:hAnsi="仿宋" w:eastAsia="仿宋"/>
          <w:color w:val="000000"/>
          <w:sz w:val="32"/>
          <w:szCs w:val="32"/>
        </w:rPr>
        <w:t>.</w:t>
      </w:r>
      <w:r>
        <w:rPr>
          <w:rFonts w:hint="eastAsia" w:ascii="仿宋" w:hAnsi="仿宋" w:eastAsia="仿宋"/>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hAnsi="仿宋"/>
          <w:sz w:val="32"/>
          <w:szCs w:val="32"/>
        </w:rPr>
      </w:pPr>
      <w:r>
        <w:rPr>
          <w:rFonts w:hint="eastAsia" w:hAnsi="仿宋"/>
          <w:sz w:val="32"/>
          <w:szCs w:val="32"/>
        </w:rPr>
        <w:t>20</w:t>
      </w:r>
      <w:r>
        <w:rPr>
          <w:rFonts w:hAnsi="仿宋"/>
          <w:sz w:val="32"/>
          <w:szCs w:val="32"/>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Ansi="仿宋"/>
          <w:sz w:val="32"/>
          <w:szCs w:val="32"/>
        </w:rPr>
      </w:pPr>
      <w:r>
        <w:rPr>
          <w:rFonts w:hint="eastAsia" w:hAnsi="仿宋"/>
          <w:sz w:val="32"/>
          <w:szCs w:val="32"/>
        </w:rPr>
        <w:t>21</w:t>
      </w:r>
      <w:r>
        <w:rPr>
          <w:rFonts w:hAnsi="仿宋"/>
          <w:sz w:val="32"/>
          <w:szCs w:val="32"/>
        </w:rPr>
        <w:t>.</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仿宋" w:hAnsi="仿宋" w:eastAsia="仿宋"/>
          <w:color w:val="000000"/>
          <w:sz w:val="44"/>
          <w:szCs w:val="44"/>
        </w:rPr>
      </w:pPr>
      <w:bookmarkStart w:id="57" w:name="_Toc15396614"/>
      <w:bookmarkStart w:id="58" w:name="_Toc15377226"/>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both"/>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both"/>
        <w:outlineLvl w:val="0"/>
        <w:rPr>
          <w:rFonts w:ascii="仿宋" w:hAnsi="仿宋" w:eastAsia="仿宋"/>
          <w:color w:val="000000"/>
          <w:sz w:val="44"/>
          <w:szCs w:val="44"/>
        </w:rPr>
      </w:pPr>
    </w:p>
    <w:p>
      <w:pPr>
        <w:spacing w:line="600" w:lineRule="exact"/>
        <w:jc w:val="center"/>
        <w:outlineLvl w:val="0"/>
        <w:rPr>
          <w:rStyle w:val="24"/>
          <w:rFonts w:ascii="仿宋" w:hAnsi="仿宋" w:eastAsia="仿宋"/>
          <w:b w:val="0"/>
        </w:rPr>
      </w:pPr>
      <w:r>
        <w:rPr>
          <w:rFonts w:hint="eastAsia" w:ascii="仿宋" w:hAnsi="仿宋" w:eastAsia="仿宋"/>
          <w:color w:val="000000"/>
          <w:sz w:val="44"/>
          <w:szCs w:val="44"/>
        </w:rPr>
        <w:t>第</w:t>
      </w:r>
      <w:r>
        <w:rPr>
          <w:rStyle w:val="24"/>
          <w:rFonts w:hint="eastAsia" w:ascii="仿宋" w:hAnsi="仿宋" w:eastAsia="仿宋"/>
          <w:b w:val="0"/>
        </w:rPr>
        <w:t>四部分 附件</w:t>
      </w:r>
      <w:bookmarkEnd w:id="57"/>
    </w:p>
    <w:p>
      <w:pPr>
        <w:spacing w:line="600" w:lineRule="exact"/>
        <w:jc w:val="left"/>
        <w:outlineLvl w:val="0"/>
        <w:rPr>
          <w:rFonts w:ascii="仿宋" w:hAnsi="仿宋" w:eastAsia="仿宋" w:cs="方正小标宋简体"/>
          <w:sz w:val="32"/>
          <w:szCs w:val="32"/>
        </w:rPr>
      </w:pPr>
      <w:r>
        <w:rPr>
          <w:rFonts w:hint="eastAsia" w:ascii="仿宋" w:hAnsi="仿宋" w:eastAsia="仿宋" w:cs="黑体"/>
          <w:sz w:val="32"/>
          <w:szCs w:val="32"/>
        </w:rPr>
        <w:t>附件1</w:t>
      </w:r>
    </w:p>
    <w:p>
      <w:pPr>
        <w:spacing w:line="580" w:lineRule="exact"/>
        <w:jc w:val="center"/>
        <w:rPr>
          <w:rFonts w:ascii="仿宋" w:hAnsi="仿宋" w:eastAsia="仿宋" w:cs="方正小标宋简体"/>
          <w:sz w:val="44"/>
          <w:szCs w:val="44"/>
        </w:rPr>
      </w:pPr>
    </w:p>
    <w:p>
      <w:pPr>
        <w:spacing w:line="600" w:lineRule="exact"/>
        <w:jc w:val="center"/>
        <w:rPr>
          <w:rFonts w:ascii="仿宋" w:hAnsi="仿宋" w:eastAsia="仿宋"/>
          <w:color w:val="000000"/>
          <w:kern w:val="0"/>
          <w:sz w:val="40"/>
          <w:szCs w:val="44"/>
        </w:rPr>
      </w:pPr>
      <w:r>
        <w:rPr>
          <w:rFonts w:hint="eastAsia" w:ascii="仿宋" w:hAnsi="仿宋" w:eastAsia="仿宋"/>
          <w:color w:val="000000"/>
          <w:kern w:val="0"/>
          <w:sz w:val="40"/>
          <w:szCs w:val="44"/>
        </w:rPr>
        <w:t>峨眉山市土地和房屋征收服务中心2020</w:t>
      </w:r>
      <w:r>
        <w:rPr>
          <w:rFonts w:ascii="仿宋" w:hAnsi="仿宋" w:eastAsia="仿宋"/>
          <w:color w:val="000000"/>
          <w:kern w:val="0"/>
          <w:sz w:val="40"/>
          <w:szCs w:val="44"/>
        </w:rPr>
        <w:t>年</w:t>
      </w:r>
    </w:p>
    <w:p>
      <w:pPr>
        <w:spacing w:line="600" w:lineRule="exact"/>
        <w:jc w:val="center"/>
        <w:rPr>
          <w:rFonts w:ascii="仿宋" w:hAnsi="仿宋" w:eastAsia="仿宋"/>
          <w:color w:val="000000"/>
          <w:kern w:val="0"/>
          <w:sz w:val="40"/>
          <w:szCs w:val="44"/>
          <w:lang w:val="zh-CN"/>
        </w:rPr>
      </w:pPr>
      <w:r>
        <w:rPr>
          <w:rFonts w:ascii="仿宋" w:hAnsi="仿宋" w:eastAsia="仿宋"/>
          <w:color w:val="000000"/>
          <w:kern w:val="0"/>
          <w:sz w:val="40"/>
          <w:szCs w:val="44"/>
        </w:rPr>
        <w:t>部门</w:t>
      </w:r>
      <w:r>
        <w:rPr>
          <w:rFonts w:hint="eastAsia" w:ascii="仿宋" w:hAnsi="仿宋" w:eastAsia="仿宋"/>
          <w:color w:val="000000"/>
          <w:kern w:val="0"/>
          <w:sz w:val="40"/>
          <w:szCs w:val="44"/>
          <w:lang w:val="zh-CN"/>
        </w:rPr>
        <w:t>整体支出绩效报告</w:t>
      </w:r>
    </w:p>
    <w:p>
      <w:pPr>
        <w:spacing w:line="600" w:lineRule="exact"/>
        <w:jc w:val="center"/>
        <w:rPr>
          <w:rFonts w:ascii="仿宋" w:hAnsi="仿宋" w:eastAsia="仿宋"/>
          <w:color w:val="000000"/>
          <w:kern w:val="0"/>
          <w:sz w:val="40"/>
          <w:szCs w:val="44"/>
          <w:lang w:val="zh-CN"/>
        </w:rPr>
      </w:pP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rPr>
        <w:t>一、</w:t>
      </w:r>
      <w:r>
        <w:rPr>
          <w:rFonts w:hint="eastAsia" w:ascii="仿宋" w:hAnsi="仿宋" w:eastAsia="仿宋" w:cs="宋体"/>
          <w:color w:val="000000"/>
          <w:kern w:val="0"/>
          <w:sz w:val="32"/>
          <w:szCs w:val="32"/>
          <w:shd w:val="clear" w:color="auto" w:fill="FFFFFF"/>
          <w:lang w:val="zh-CN"/>
        </w:rPr>
        <w:t>部门（单位）概况</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（一）机构组成：峨眉山市土地和房屋征收服务中心为市自然资源局管理的公益一类事业单位，机构级别为股级。</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（二）机构职能：承担全市土地和房屋征收与补偿工作的具体实施实施。</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（1）承担集体土地征地补偿、拆迁补偿及安置等事务性工作。</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（2）承担国有土地上房屋征收与补偿等事务性工作</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（3）完成上级交办的其他任务。</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（三）人员概况：编制数</w:t>
      </w:r>
      <w:r>
        <w:rPr>
          <w:rFonts w:hint="eastAsia" w:ascii="仿宋" w:hAnsi="仿宋" w:eastAsia="仿宋" w:cs="宋体"/>
          <w:color w:val="000000"/>
          <w:kern w:val="0"/>
          <w:sz w:val="32"/>
          <w:szCs w:val="32"/>
          <w:shd w:val="clear" w:color="auto" w:fill="FFFFFF"/>
        </w:rPr>
        <w:t>3</w:t>
      </w:r>
      <w:r>
        <w:rPr>
          <w:rFonts w:hint="eastAsia" w:ascii="仿宋" w:hAnsi="仿宋" w:eastAsia="仿宋" w:cs="宋体"/>
          <w:color w:val="000000"/>
          <w:kern w:val="0"/>
          <w:sz w:val="32"/>
          <w:szCs w:val="32"/>
          <w:shd w:val="clear" w:color="auto" w:fill="FFFFFF"/>
          <w:lang w:val="zh-CN"/>
        </w:rPr>
        <w:t>0人，年末实有在职人员2</w:t>
      </w:r>
      <w:r>
        <w:rPr>
          <w:rFonts w:hint="eastAsia" w:ascii="仿宋" w:hAnsi="仿宋" w:eastAsia="仿宋" w:cs="宋体"/>
          <w:color w:val="000000"/>
          <w:kern w:val="0"/>
          <w:sz w:val="32"/>
          <w:szCs w:val="32"/>
          <w:shd w:val="clear" w:color="auto" w:fill="FFFFFF"/>
        </w:rPr>
        <w:t>9</w:t>
      </w:r>
      <w:r>
        <w:rPr>
          <w:rFonts w:hint="eastAsia" w:ascii="仿宋" w:hAnsi="仿宋" w:eastAsia="仿宋" w:cs="宋体"/>
          <w:color w:val="000000"/>
          <w:kern w:val="0"/>
          <w:sz w:val="32"/>
          <w:szCs w:val="32"/>
          <w:shd w:val="clear" w:color="auto" w:fill="FFFFFF"/>
          <w:lang w:val="zh-CN"/>
        </w:rPr>
        <w:t>人（含转业士官会议纪要人员1人），到自然资源局机关工作</w:t>
      </w:r>
      <w:r>
        <w:rPr>
          <w:rFonts w:hint="eastAsia" w:ascii="仿宋" w:hAnsi="仿宋" w:eastAsia="仿宋" w:cs="宋体"/>
          <w:color w:val="000000"/>
          <w:kern w:val="0"/>
          <w:sz w:val="32"/>
          <w:szCs w:val="32"/>
          <w:shd w:val="clear" w:color="auto" w:fill="FFFFFF"/>
        </w:rPr>
        <w:t>4人，不动产登记中心工作10人。</w:t>
      </w:r>
      <w:r>
        <w:rPr>
          <w:rFonts w:hint="eastAsia" w:ascii="仿宋" w:hAnsi="仿宋" w:eastAsia="仿宋" w:cs="宋体"/>
          <w:color w:val="000000"/>
          <w:kern w:val="0"/>
          <w:sz w:val="32"/>
          <w:szCs w:val="32"/>
          <w:shd w:val="clear" w:color="auto" w:fill="FFFFFF"/>
          <w:lang w:val="zh-CN"/>
        </w:rPr>
        <w:t>另向各单位抽调征拆工作人员2</w:t>
      </w:r>
      <w:r>
        <w:rPr>
          <w:rFonts w:hint="eastAsia" w:ascii="仿宋" w:hAnsi="仿宋" w:eastAsia="仿宋" w:cs="宋体"/>
          <w:color w:val="000000"/>
          <w:kern w:val="0"/>
          <w:sz w:val="32"/>
          <w:szCs w:val="32"/>
          <w:shd w:val="clear" w:color="auto" w:fill="FFFFFF"/>
        </w:rPr>
        <w:t>3</w:t>
      </w:r>
      <w:r>
        <w:rPr>
          <w:rFonts w:hint="eastAsia" w:ascii="仿宋" w:hAnsi="仿宋" w:eastAsia="仿宋" w:cs="宋体"/>
          <w:color w:val="000000"/>
          <w:kern w:val="0"/>
          <w:sz w:val="32"/>
          <w:szCs w:val="32"/>
          <w:shd w:val="clear" w:color="auto" w:fill="FFFFFF"/>
          <w:lang w:val="zh-CN"/>
        </w:rPr>
        <w:t>人，劳务派遣人员</w:t>
      </w:r>
      <w:r>
        <w:rPr>
          <w:rFonts w:hint="eastAsia" w:ascii="仿宋" w:hAnsi="仿宋" w:eastAsia="仿宋" w:cs="宋体"/>
          <w:color w:val="000000"/>
          <w:kern w:val="0"/>
          <w:sz w:val="32"/>
          <w:szCs w:val="32"/>
          <w:shd w:val="clear" w:color="auto" w:fill="FFFFFF"/>
        </w:rPr>
        <w:t>5</w:t>
      </w:r>
      <w:r>
        <w:rPr>
          <w:rFonts w:hint="eastAsia" w:ascii="仿宋" w:hAnsi="仿宋" w:eastAsia="仿宋" w:cs="宋体"/>
          <w:color w:val="000000"/>
          <w:kern w:val="0"/>
          <w:sz w:val="32"/>
          <w:szCs w:val="32"/>
          <w:shd w:val="clear" w:color="auto" w:fill="FFFFFF"/>
          <w:lang w:val="zh-CN"/>
        </w:rPr>
        <w:t>人。</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rPr>
      </w:pPr>
      <w:r>
        <w:rPr>
          <w:rFonts w:hint="eastAsia" w:ascii="仿宋" w:hAnsi="仿宋" w:eastAsia="仿宋" w:cs="宋体"/>
          <w:color w:val="000000"/>
          <w:kern w:val="0"/>
          <w:sz w:val="32"/>
          <w:szCs w:val="32"/>
          <w:shd w:val="clear" w:color="auto" w:fill="FFFFFF"/>
        </w:rPr>
        <w:t>二、部门财政资金收支情况</w:t>
      </w:r>
    </w:p>
    <w:p>
      <w:pPr>
        <w:widowControl/>
        <w:adjustRightInd w:val="0"/>
        <w:snapToGrid w:val="0"/>
        <w:spacing w:line="580" w:lineRule="exact"/>
        <w:ind w:left="210" w:leftChars="100" w:firstLine="315"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szCs w:val="32"/>
        </w:rPr>
        <w:t>（</w:t>
      </w:r>
      <w:r>
        <w:rPr>
          <w:rFonts w:hint="eastAsia" w:ascii="仿宋" w:hAnsi="仿宋" w:eastAsia="仿宋" w:cs="宋体"/>
          <w:color w:val="000000"/>
          <w:kern w:val="0"/>
          <w:sz w:val="32"/>
          <w:szCs w:val="32"/>
          <w:shd w:val="clear" w:color="auto" w:fill="FFFFFF"/>
          <w:lang w:val="zh-CN"/>
        </w:rPr>
        <w:t>一）部门财政资金收入情况</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财政资金收入合计</w:t>
      </w:r>
      <w:r>
        <w:rPr>
          <w:rFonts w:hint="eastAsia" w:ascii="仿宋" w:hAnsi="仿宋" w:eastAsia="仿宋" w:cs="宋体"/>
          <w:color w:val="000000"/>
          <w:kern w:val="0"/>
          <w:sz w:val="32"/>
          <w:szCs w:val="32"/>
          <w:shd w:val="clear" w:color="auto" w:fill="FFFFFF"/>
        </w:rPr>
        <w:t>29273.5748</w:t>
      </w:r>
      <w:r>
        <w:rPr>
          <w:rFonts w:hint="eastAsia" w:ascii="仿宋" w:hAnsi="仿宋" w:eastAsia="仿宋" w:cs="宋体"/>
          <w:color w:val="000000"/>
          <w:kern w:val="0"/>
          <w:sz w:val="32"/>
          <w:szCs w:val="32"/>
          <w:shd w:val="clear" w:color="auto" w:fill="FFFFFF"/>
          <w:lang w:val="zh-CN"/>
        </w:rPr>
        <w:t>万元，其中一般公共预算资金</w:t>
      </w:r>
      <w:r>
        <w:rPr>
          <w:rFonts w:hint="eastAsia" w:ascii="仿宋" w:hAnsi="仿宋" w:eastAsia="仿宋" w:cs="宋体"/>
          <w:color w:val="000000"/>
          <w:kern w:val="0"/>
          <w:sz w:val="32"/>
          <w:szCs w:val="32"/>
          <w:shd w:val="clear" w:color="auto" w:fill="FFFFFF"/>
        </w:rPr>
        <w:t>773.8</w:t>
      </w:r>
      <w:r>
        <w:rPr>
          <w:rFonts w:hint="eastAsia" w:ascii="仿宋" w:hAnsi="仿宋" w:eastAsia="仿宋" w:cs="宋体"/>
          <w:color w:val="000000"/>
          <w:kern w:val="0"/>
          <w:sz w:val="32"/>
          <w:szCs w:val="32"/>
          <w:shd w:val="clear" w:color="auto" w:fill="FFFFFF"/>
          <w:lang w:val="zh-CN"/>
        </w:rPr>
        <w:t>万元，政府性基金财政拨款收入</w:t>
      </w:r>
      <w:r>
        <w:rPr>
          <w:rFonts w:hint="eastAsia" w:ascii="仿宋" w:hAnsi="仿宋" w:eastAsia="仿宋" w:cs="宋体"/>
          <w:color w:val="000000"/>
          <w:kern w:val="0"/>
          <w:sz w:val="32"/>
          <w:szCs w:val="32"/>
          <w:shd w:val="clear" w:color="auto" w:fill="FFFFFF"/>
        </w:rPr>
        <w:t>28498.7748</w:t>
      </w:r>
      <w:r>
        <w:rPr>
          <w:rFonts w:hint="eastAsia" w:ascii="仿宋" w:hAnsi="仿宋" w:eastAsia="仿宋" w:cs="宋体"/>
          <w:color w:val="000000"/>
          <w:kern w:val="0"/>
          <w:sz w:val="32"/>
          <w:szCs w:val="32"/>
          <w:shd w:val="clear" w:color="auto" w:fill="FFFFFF"/>
          <w:lang w:val="zh-CN"/>
        </w:rPr>
        <w:t>万元，上年结转</w:t>
      </w:r>
      <w:r>
        <w:rPr>
          <w:rFonts w:hint="eastAsia" w:ascii="仿宋" w:hAnsi="仿宋" w:eastAsia="仿宋" w:cs="宋体"/>
          <w:color w:val="000000"/>
          <w:kern w:val="0"/>
          <w:sz w:val="32"/>
          <w:szCs w:val="32"/>
          <w:shd w:val="clear" w:color="auto" w:fill="FFFFFF"/>
        </w:rPr>
        <w:t>1</w:t>
      </w:r>
      <w:r>
        <w:rPr>
          <w:rFonts w:hint="eastAsia" w:ascii="仿宋" w:hAnsi="仿宋" w:eastAsia="仿宋" w:cs="宋体"/>
          <w:color w:val="000000"/>
          <w:kern w:val="0"/>
          <w:sz w:val="32"/>
          <w:szCs w:val="32"/>
          <w:shd w:val="clear" w:color="auto" w:fill="FFFFFF"/>
          <w:lang w:val="zh-CN"/>
        </w:rPr>
        <w:t>万元。</w:t>
      </w:r>
    </w:p>
    <w:p>
      <w:pPr>
        <w:widowControl/>
        <w:adjustRightInd w:val="0"/>
        <w:snapToGrid w:val="0"/>
        <w:spacing w:line="580" w:lineRule="exact"/>
        <w:ind w:firstLine="640" w:firstLineChars="20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（二）部门财政资金支出情况</w:t>
      </w:r>
    </w:p>
    <w:p>
      <w:pPr>
        <w:snapToGrid w:val="0"/>
        <w:spacing w:line="580" w:lineRule="exact"/>
        <w:ind w:left="105" w:leftChars="50" w:firstLine="315" w:firstLineChars="150"/>
        <w:rPr>
          <w:rFonts w:ascii="仿宋" w:hAnsi="仿宋" w:eastAsia="仿宋" w:cs="宋体"/>
          <w:color w:val="000000"/>
          <w:kern w:val="0"/>
          <w:sz w:val="32"/>
          <w:szCs w:val="32"/>
          <w:shd w:val="clear" w:color="auto" w:fill="FFFFFF"/>
          <w:lang w:val="zh-CN"/>
        </w:rPr>
      </w:pPr>
      <w:r>
        <w:rPr>
          <w:rFonts w:hint="eastAsia" w:ascii="仿宋" w:hAnsi="仿宋" w:eastAsia="仿宋" w:cs="楷体_GB2312"/>
          <w:color w:val="000000"/>
          <w:kern w:val="0"/>
          <w:szCs w:val="32"/>
          <w:shd w:val="clear" w:color="auto" w:fill="FFFFFF"/>
        </w:rPr>
        <w:t xml:space="preserve"> </w:t>
      </w:r>
      <w:r>
        <w:rPr>
          <w:rFonts w:hint="eastAsia" w:ascii="仿宋" w:hAnsi="仿宋" w:eastAsia="仿宋" w:cs="宋体"/>
          <w:color w:val="000000"/>
          <w:kern w:val="0"/>
          <w:sz w:val="32"/>
          <w:szCs w:val="32"/>
          <w:shd w:val="clear" w:color="auto" w:fill="FFFFFF"/>
          <w:lang w:val="zh-CN"/>
        </w:rPr>
        <w:t>财政资金支出合计</w:t>
      </w:r>
      <w:r>
        <w:rPr>
          <w:rFonts w:hint="eastAsia" w:ascii="仿宋" w:hAnsi="仿宋" w:eastAsia="仿宋" w:cs="宋体"/>
          <w:color w:val="000000"/>
          <w:kern w:val="0"/>
          <w:sz w:val="32"/>
          <w:szCs w:val="32"/>
          <w:shd w:val="clear" w:color="auto" w:fill="FFFFFF"/>
        </w:rPr>
        <w:t>29273.5748</w:t>
      </w:r>
      <w:r>
        <w:rPr>
          <w:rFonts w:hint="eastAsia" w:ascii="仿宋" w:hAnsi="仿宋" w:eastAsia="仿宋" w:cs="宋体"/>
          <w:color w:val="000000"/>
          <w:kern w:val="0"/>
          <w:sz w:val="32"/>
          <w:szCs w:val="32"/>
          <w:shd w:val="clear" w:color="auto" w:fill="FFFFFF"/>
          <w:lang w:val="zh-CN"/>
        </w:rPr>
        <w:t>万元，其中基本支出</w:t>
      </w:r>
      <w:r>
        <w:rPr>
          <w:rFonts w:hint="eastAsia" w:ascii="仿宋" w:hAnsi="仿宋" w:eastAsia="仿宋" w:cs="宋体"/>
          <w:color w:val="000000"/>
          <w:kern w:val="0"/>
          <w:sz w:val="32"/>
          <w:szCs w:val="32"/>
          <w:shd w:val="clear" w:color="auto" w:fill="FFFFFF"/>
        </w:rPr>
        <w:t>773.8</w:t>
      </w:r>
      <w:r>
        <w:rPr>
          <w:rFonts w:hint="eastAsia" w:ascii="仿宋" w:hAnsi="仿宋" w:eastAsia="仿宋" w:cs="宋体"/>
          <w:color w:val="000000"/>
          <w:kern w:val="0"/>
          <w:sz w:val="32"/>
          <w:szCs w:val="32"/>
          <w:shd w:val="clear" w:color="auto" w:fill="FFFFFF"/>
          <w:lang w:val="zh-CN"/>
        </w:rPr>
        <w:t>万元，项目支出</w:t>
      </w:r>
      <w:r>
        <w:rPr>
          <w:rFonts w:hint="eastAsia" w:ascii="仿宋" w:hAnsi="仿宋" w:eastAsia="仿宋" w:cs="宋体"/>
          <w:color w:val="000000"/>
          <w:kern w:val="0"/>
          <w:sz w:val="32"/>
          <w:szCs w:val="32"/>
          <w:shd w:val="clear" w:color="auto" w:fill="FFFFFF"/>
        </w:rPr>
        <w:t>28499.7748</w:t>
      </w:r>
      <w:r>
        <w:rPr>
          <w:rFonts w:hint="eastAsia" w:ascii="仿宋" w:hAnsi="仿宋" w:eastAsia="仿宋" w:cs="宋体"/>
          <w:color w:val="000000"/>
          <w:kern w:val="0"/>
          <w:sz w:val="32"/>
          <w:szCs w:val="32"/>
          <w:shd w:val="clear" w:color="auto" w:fill="FFFFFF"/>
          <w:lang w:val="zh-CN"/>
        </w:rPr>
        <w:t>万元。</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三、部门整体预算绩效管理情况</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bookmarkStart w:id="59" w:name="_Toc15396618"/>
      <w:r>
        <w:rPr>
          <w:rFonts w:hint="eastAsia" w:ascii="仿宋" w:hAnsi="仿宋" w:eastAsia="仿宋" w:cs="宋体"/>
          <w:color w:val="000000"/>
          <w:kern w:val="0"/>
          <w:sz w:val="32"/>
          <w:szCs w:val="32"/>
          <w:shd w:val="clear" w:color="auto" w:fill="FFFFFF"/>
          <w:lang w:val="zh-CN"/>
        </w:rPr>
        <w:t>（一）部门预算管理</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 xml:space="preserve"> </w:t>
      </w:r>
      <w:r>
        <w:rPr>
          <w:rFonts w:hint="eastAsia" w:ascii="仿宋" w:hAnsi="仿宋" w:eastAsia="仿宋" w:cs="宋体"/>
          <w:color w:val="000000"/>
          <w:kern w:val="0"/>
          <w:sz w:val="32"/>
          <w:szCs w:val="32"/>
          <w:shd w:val="clear" w:color="auto" w:fill="FFFFFF"/>
        </w:rPr>
        <w:t xml:space="preserve">  </w:t>
      </w:r>
      <w:r>
        <w:rPr>
          <w:rFonts w:hint="eastAsia" w:ascii="仿宋" w:hAnsi="仿宋" w:eastAsia="仿宋" w:cs="宋体"/>
          <w:color w:val="000000"/>
          <w:kern w:val="0"/>
          <w:sz w:val="32"/>
          <w:szCs w:val="32"/>
          <w:shd w:val="clear" w:color="auto" w:fill="FFFFFF"/>
          <w:lang w:val="zh-CN"/>
        </w:rPr>
        <w:t xml:space="preserve"> </w:t>
      </w:r>
      <w:r>
        <w:rPr>
          <w:rFonts w:hint="eastAsia" w:ascii="仿宋" w:hAnsi="仿宋" w:eastAsia="仿宋" w:cs="宋体"/>
          <w:color w:val="000000"/>
          <w:kern w:val="0"/>
          <w:sz w:val="32"/>
          <w:szCs w:val="32"/>
          <w:shd w:val="clear" w:color="auto" w:fill="FFFFFF"/>
        </w:rPr>
        <w:t>1</w:t>
      </w:r>
      <w:r>
        <w:rPr>
          <w:rFonts w:hint="eastAsia" w:ascii="仿宋" w:hAnsi="仿宋" w:eastAsia="仿宋" w:cs="宋体"/>
          <w:color w:val="000000"/>
          <w:kern w:val="0"/>
          <w:sz w:val="32"/>
          <w:szCs w:val="32"/>
          <w:shd w:val="clear" w:color="auto" w:fill="FFFFFF"/>
          <w:lang w:val="zh-CN"/>
        </w:rPr>
        <w:t>、我中心的预算编制符合《中华人民共和国预算法》和国家其他法律、法规的要求，对每一收支项目的数字指标进行认真测算，力求各项收支数据真实准确。对单位的各项财政资金和其他收入，统一管理，统筹安排，统一编制综合财政预算。</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rPr>
        <w:t>2</w:t>
      </w:r>
      <w:r>
        <w:rPr>
          <w:rFonts w:hint="eastAsia" w:ascii="仿宋" w:hAnsi="仿宋" w:eastAsia="仿宋" w:cs="宋体"/>
          <w:color w:val="000000"/>
          <w:kern w:val="0"/>
          <w:sz w:val="32"/>
          <w:szCs w:val="32"/>
          <w:shd w:val="clear" w:color="auto" w:fill="FFFFFF"/>
          <w:lang w:val="zh-CN"/>
        </w:rPr>
        <w:t>、进一步强化绩效理念，健全管理制度，提高绩效评价工作质量，细化部门预算编制。</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rPr>
        <w:t>3</w:t>
      </w:r>
      <w:r>
        <w:rPr>
          <w:rFonts w:hint="eastAsia" w:ascii="仿宋" w:hAnsi="仿宋" w:eastAsia="仿宋" w:cs="宋体"/>
          <w:color w:val="000000"/>
          <w:kern w:val="0"/>
          <w:sz w:val="32"/>
          <w:szCs w:val="32"/>
          <w:shd w:val="clear" w:color="auto" w:fill="FFFFFF"/>
          <w:lang w:val="zh-CN"/>
        </w:rPr>
        <w:t>、在财政部门批复后二十日内中心向社会公开本部门预算，包括财政资金安排的“三公经费”、机关运行经费的安排、使用情况等。</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rPr>
        <w:t>4</w:t>
      </w:r>
      <w:r>
        <w:rPr>
          <w:rFonts w:hint="eastAsia" w:ascii="仿宋" w:hAnsi="仿宋" w:eastAsia="仿宋" w:cs="宋体"/>
          <w:color w:val="000000"/>
          <w:kern w:val="0"/>
          <w:sz w:val="32"/>
          <w:szCs w:val="32"/>
          <w:shd w:val="clear" w:color="auto" w:fill="FFFFFF"/>
          <w:lang w:val="zh-CN"/>
        </w:rPr>
        <w:t>、认真编报决算报表，无应编未编、虚假混编等现象。并按要求对重点支出项目、三公经费及结余结转情况进行公开。</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（二）执行管理情况。</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本单位的资金使用严格遵循财经制度的规定，有严格的财政资金拨付程序，项目资金严格按照项目开展进度拨款支付。</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（三）支出绩效情况。</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1．部门支出绩效。</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（1）行政运转保障。</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严格报账制度，严格控制一般性支出，保障了部门正常运转、全面履行土地和房屋征收补偿的职能职责，保障了市委、市政府交办任务的顺利及时完成。</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（2）机关厉行节约。</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机关建立健全了厉行节约反对浪费长效机制，严格派车制度，加强车辆管理。20</w:t>
      </w:r>
      <w:r>
        <w:rPr>
          <w:rFonts w:hint="eastAsia" w:ascii="仿宋" w:hAnsi="仿宋" w:eastAsia="仿宋" w:cs="宋体"/>
          <w:color w:val="000000"/>
          <w:kern w:val="0"/>
          <w:sz w:val="32"/>
          <w:szCs w:val="32"/>
          <w:shd w:val="clear" w:color="auto" w:fill="FFFFFF"/>
        </w:rPr>
        <w:t>20</w:t>
      </w:r>
      <w:r>
        <w:rPr>
          <w:rFonts w:hint="eastAsia" w:ascii="仿宋" w:hAnsi="仿宋" w:eastAsia="仿宋" w:cs="宋体"/>
          <w:color w:val="000000"/>
          <w:kern w:val="0"/>
          <w:sz w:val="32"/>
          <w:szCs w:val="32"/>
          <w:shd w:val="clear" w:color="auto" w:fill="FFFFFF"/>
          <w:lang w:val="zh-CN"/>
        </w:rPr>
        <w:t>年公务用车不安排购置费预算，无出国（境）计划，公务车辆运行费支出</w:t>
      </w:r>
      <w:r>
        <w:rPr>
          <w:rFonts w:hint="eastAsia" w:ascii="仿宋" w:hAnsi="仿宋" w:eastAsia="仿宋" w:cs="宋体"/>
          <w:color w:val="000000"/>
          <w:kern w:val="0"/>
          <w:sz w:val="32"/>
          <w:szCs w:val="32"/>
          <w:shd w:val="clear" w:color="auto" w:fill="FFFFFF"/>
        </w:rPr>
        <w:t>6.5</w:t>
      </w:r>
      <w:r>
        <w:rPr>
          <w:rFonts w:hint="eastAsia" w:ascii="仿宋" w:hAnsi="仿宋" w:eastAsia="仿宋" w:cs="宋体"/>
          <w:color w:val="000000"/>
          <w:kern w:val="0"/>
          <w:sz w:val="32"/>
          <w:szCs w:val="32"/>
          <w:shd w:val="clear" w:color="auto" w:fill="FFFFFF"/>
          <w:lang w:val="zh-CN"/>
        </w:rPr>
        <w:t>万元，公务接待费0万元，会议费0万元。</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（3）机关节能降耗。</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机关水、电、气、燃油节能降耗情况等。</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机关节约用水用电用气，加强车辆管理，严禁公车私用，节能减排。</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四、评价结论及建议</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（一）评价结论</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部门绩效目标编制合理、合规，支出合规合法。</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（二）存在问题</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内控制度需进一步完善，随着资金管理改革的进一步推进，单位建立健全了财务管理制度、固定资产管理制度、费用报销规程等制度，但仍需进一步强化财务约束监督体制。</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（三）改进建议</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加强学习，提高思想认识。认真学习《预算法》等相关法规、制度，提高单位领导对全面预算管理的重视程度，增强财务人员的预算意识。</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规范财务运行，加强预算支出管理。严格遵循“先有预算、后有支出”的原则，在资金支付管理方面，严格按照规定程序向财政部门申请用款，在财政部门批复的支出预算资金范围内申请使用一般预算支出经费。建立健全并认真执行各项资金使用管理制度，建立内部控制机制，资金使用严格履行审批程序，确保资金支出合法、真实。严格落实会计核算、报销审批制度，加强对资金使用环节的监督。</w:t>
      </w: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p>
    <w:p>
      <w:pPr>
        <w:widowControl/>
        <w:adjustRightInd w:val="0"/>
        <w:snapToGrid w:val="0"/>
        <w:spacing w:line="580" w:lineRule="exact"/>
        <w:ind w:left="210" w:leftChars="100" w:firstLine="480" w:firstLineChars="150"/>
        <w:jc w:val="left"/>
        <w:rPr>
          <w:rFonts w:ascii="仿宋" w:hAnsi="仿宋" w:eastAsia="仿宋" w:cs="宋体"/>
          <w:color w:val="000000"/>
          <w:kern w:val="0"/>
          <w:sz w:val="32"/>
          <w:szCs w:val="32"/>
          <w:shd w:val="clear" w:color="auto" w:fill="FFFFFF"/>
          <w:lang w:val="zh-CN"/>
        </w:rPr>
      </w:pPr>
    </w:p>
    <w:p>
      <w:pPr>
        <w:spacing w:line="580" w:lineRule="exact"/>
        <w:rPr>
          <w:rFonts w:ascii="仿宋" w:hAnsi="仿宋" w:eastAsia="仿宋" w:cs="仿宋_GB2312"/>
          <w:sz w:val="32"/>
          <w:szCs w:val="32"/>
        </w:rPr>
      </w:pPr>
      <w:r>
        <w:rPr>
          <w:rFonts w:hint="eastAsia" w:ascii="仿宋" w:hAnsi="仿宋" w:eastAsia="仿宋" w:cs="黑体"/>
          <w:sz w:val="32"/>
          <w:szCs w:val="32"/>
        </w:rPr>
        <w:t>附件</w:t>
      </w:r>
      <w:r>
        <w:rPr>
          <w:rFonts w:ascii="仿宋" w:hAnsi="仿宋" w:eastAsia="仿宋" w:cs="黑体"/>
          <w:sz w:val="32"/>
          <w:szCs w:val="32"/>
        </w:rPr>
        <w:t>2</w:t>
      </w:r>
    </w:p>
    <w:p>
      <w:pPr>
        <w:spacing w:line="580" w:lineRule="exact"/>
        <w:ind w:firstLine="640" w:firstLineChars="200"/>
        <w:rPr>
          <w:rFonts w:ascii="仿宋" w:hAnsi="仿宋" w:eastAsia="仿宋" w:cs="仿宋_GB2312"/>
          <w:sz w:val="32"/>
          <w:szCs w:val="32"/>
        </w:rPr>
      </w:pPr>
    </w:p>
    <w:p>
      <w:pPr>
        <w:spacing w:line="600" w:lineRule="exact"/>
        <w:jc w:val="center"/>
        <w:rPr>
          <w:rFonts w:ascii="仿宋" w:hAnsi="仿宋" w:eastAsia="仿宋"/>
          <w:color w:val="000000"/>
          <w:kern w:val="0"/>
          <w:sz w:val="44"/>
          <w:szCs w:val="44"/>
          <w:lang w:val="zh-CN"/>
        </w:rPr>
      </w:pPr>
      <w:r>
        <w:rPr>
          <w:rFonts w:hint="eastAsia" w:ascii="仿宋" w:hAnsi="仿宋" w:eastAsia="仿宋"/>
          <w:color w:val="000000"/>
          <w:kern w:val="0"/>
          <w:sz w:val="44"/>
          <w:szCs w:val="44"/>
        </w:rPr>
        <w:t>峨眉山市土地和房屋征收服务中心征地拆迁测绘评估经费</w:t>
      </w:r>
      <w:r>
        <w:rPr>
          <w:rFonts w:hint="eastAsia" w:ascii="仿宋" w:hAnsi="仿宋" w:eastAsia="仿宋"/>
          <w:color w:val="000000"/>
          <w:kern w:val="0"/>
          <w:sz w:val="44"/>
          <w:szCs w:val="44"/>
          <w:lang w:val="zh-CN"/>
        </w:rPr>
        <w:t>项目</w:t>
      </w:r>
      <w:r>
        <w:rPr>
          <w:rFonts w:ascii="仿宋" w:hAnsi="仿宋" w:eastAsia="仿宋"/>
          <w:color w:val="000000"/>
          <w:kern w:val="0"/>
          <w:sz w:val="44"/>
          <w:szCs w:val="44"/>
        </w:rPr>
        <w:t>2020</w:t>
      </w:r>
      <w:r>
        <w:rPr>
          <w:rFonts w:hint="eastAsia" w:ascii="仿宋" w:hAnsi="仿宋" w:eastAsia="仿宋"/>
          <w:color w:val="000000"/>
          <w:kern w:val="0"/>
          <w:sz w:val="44"/>
          <w:szCs w:val="44"/>
        </w:rPr>
        <w:t>年</w:t>
      </w:r>
      <w:r>
        <w:rPr>
          <w:rFonts w:hint="eastAsia" w:ascii="仿宋" w:hAnsi="仿宋" w:eastAsia="仿宋"/>
          <w:color w:val="000000"/>
          <w:kern w:val="0"/>
          <w:sz w:val="44"/>
          <w:szCs w:val="44"/>
          <w:lang w:val="zh-CN"/>
        </w:rPr>
        <w:t>绩效评价</w:t>
      </w:r>
    </w:p>
    <w:p>
      <w:pPr>
        <w:spacing w:line="600" w:lineRule="exact"/>
        <w:jc w:val="center"/>
        <w:rPr>
          <w:rFonts w:ascii="仿宋" w:hAnsi="仿宋" w:eastAsia="仿宋"/>
          <w:color w:val="000000"/>
          <w:kern w:val="0"/>
          <w:sz w:val="44"/>
          <w:szCs w:val="44"/>
          <w:lang w:val="zh-CN"/>
        </w:rPr>
      </w:pPr>
      <w:r>
        <w:rPr>
          <w:rFonts w:hint="eastAsia" w:ascii="仿宋" w:hAnsi="仿宋" w:eastAsia="仿宋"/>
          <w:color w:val="000000"/>
          <w:kern w:val="0"/>
          <w:sz w:val="44"/>
          <w:szCs w:val="44"/>
          <w:lang w:val="zh-CN"/>
        </w:rPr>
        <w:t>报</w:t>
      </w:r>
      <w:r>
        <w:rPr>
          <w:rFonts w:hint="eastAsia" w:ascii="仿宋" w:hAnsi="仿宋" w:eastAsia="仿宋"/>
          <w:color w:val="000000"/>
          <w:kern w:val="0"/>
          <w:sz w:val="44"/>
          <w:szCs w:val="44"/>
        </w:rPr>
        <w:t xml:space="preserve">  </w:t>
      </w:r>
      <w:r>
        <w:rPr>
          <w:rFonts w:hint="eastAsia" w:ascii="仿宋" w:hAnsi="仿宋" w:eastAsia="仿宋"/>
          <w:color w:val="000000"/>
          <w:kern w:val="0"/>
          <w:sz w:val="44"/>
          <w:szCs w:val="44"/>
          <w:lang w:val="zh-CN"/>
        </w:rPr>
        <w:t>告</w:t>
      </w:r>
    </w:p>
    <w:p>
      <w:pPr>
        <w:spacing w:line="600" w:lineRule="exact"/>
        <w:rPr>
          <w:rFonts w:ascii="仿宋" w:hAnsi="仿宋" w:eastAsia="仿宋"/>
          <w:sz w:val="32"/>
          <w:szCs w:val="32"/>
          <w:lang w:val="zh-CN"/>
        </w:rPr>
      </w:pP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rPr>
        <w:t>一、</w:t>
      </w:r>
      <w:r>
        <w:rPr>
          <w:rFonts w:hint="eastAsia" w:ascii="仿宋" w:hAnsi="仿宋" w:eastAsia="仿宋"/>
          <w:sz w:val="32"/>
          <w:szCs w:val="32"/>
          <w:lang w:val="zh-CN"/>
        </w:rPr>
        <w:t>项目概况</w:t>
      </w:r>
    </w:p>
    <w:p>
      <w:pPr>
        <w:numPr>
          <w:ilvl w:val="0"/>
          <w:numId w:val="7"/>
        </w:numPr>
        <w:adjustRightInd w:val="0"/>
        <w:snapToGrid w:val="0"/>
        <w:spacing w:line="600" w:lineRule="exact"/>
        <w:ind w:firstLine="720"/>
        <w:rPr>
          <w:rFonts w:ascii="仿宋" w:hAnsi="仿宋" w:eastAsia="仿宋"/>
          <w:bCs/>
          <w:sz w:val="32"/>
          <w:szCs w:val="32"/>
          <w:lang w:val="zh-CN"/>
        </w:rPr>
      </w:pPr>
      <w:r>
        <w:rPr>
          <w:rFonts w:hint="eastAsia" w:ascii="仿宋" w:hAnsi="仿宋" w:eastAsia="仿宋"/>
          <w:bCs/>
          <w:sz w:val="32"/>
          <w:szCs w:val="32"/>
          <w:lang w:val="zh-CN"/>
        </w:rPr>
        <w:t>项目基本情况。项目名称：峨眉山市土地和房屋征收服务中心征地拆迁测绘评估费，项目主管单位：峨眉山市自然资源局，项目实施单位：峨眉山市土地和房屋征收服务中心。征地拆迁测绘评估费是为完成我市交通、旅游、民生等征地拆迁项目中对征地面积、房屋建构筑物测绘和相关资产评估产生的费用。</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bCs/>
          <w:sz w:val="32"/>
          <w:szCs w:val="32"/>
          <w:lang w:val="zh-CN"/>
        </w:rPr>
        <w:t>（二）项目绩效目标。</w:t>
      </w:r>
      <w:r>
        <w:rPr>
          <w:rFonts w:hint="eastAsia" w:ascii="仿宋" w:hAnsi="仿宋" w:eastAsia="仿宋"/>
          <w:sz w:val="32"/>
          <w:szCs w:val="32"/>
          <w:lang w:val="zh-CN"/>
        </w:rPr>
        <w:t>按照“精准征收、阳光拆迁、惠民安置”的总体工作要求，根据峨眉山市征地拆迁测绘管理办法，对我市涉及的征地拆迁安置项目及时进行测绘，按时交付测绘成果，确保项目顺利实施，促进我市经济稳步增长。</w:t>
      </w:r>
    </w:p>
    <w:p>
      <w:pPr>
        <w:adjustRightInd w:val="0"/>
        <w:snapToGrid w:val="0"/>
        <w:spacing w:line="600" w:lineRule="exact"/>
        <w:ind w:firstLine="640" w:firstLineChars="200"/>
        <w:rPr>
          <w:rFonts w:ascii="仿宋" w:hAnsi="仿宋" w:eastAsia="仿宋" w:cs="仿宋"/>
          <w:sz w:val="32"/>
          <w:szCs w:val="32"/>
        </w:rPr>
      </w:pPr>
      <w:r>
        <w:rPr>
          <w:rFonts w:hint="eastAsia" w:ascii="仿宋" w:hAnsi="仿宋" w:eastAsia="仿宋"/>
          <w:bCs/>
          <w:sz w:val="32"/>
          <w:szCs w:val="32"/>
          <w:lang w:val="zh-CN"/>
        </w:rPr>
        <w:t>（三）</w:t>
      </w:r>
      <w:r>
        <w:rPr>
          <w:rFonts w:hint="eastAsia" w:ascii="仿宋" w:hAnsi="仿宋" w:eastAsia="仿宋" w:cs="仿宋"/>
          <w:sz w:val="32"/>
          <w:szCs w:val="32"/>
        </w:rPr>
        <w:t>项目自评步骤及方法</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bCs/>
          <w:sz w:val="32"/>
          <w:szCs w:val="32"/>
          <w:lang w:val="zh-CN"/>
        </w:rPr>
        <w:t>该</w:t>
      </w:r>
      <w:r>
        <w:rPr>
          <w:rFonts w:hint="eastAsia" w:ascii="仿宋" w:hAnsi="仿宋" w:eastAsia="仿宋"/>
          <w:sz w:val="32"/>
          <w:szCs w:val="32"/>
          <w:lang w:val="zh-CN"/>
        </w:rPr>
        <w:t>项目申报内容与具体实施内容相符、申报目标一致，根据项目成果验收确定的采购金额拨付经费。</w:t>
      </w:r>
    </w:p>
    <w:p>
      <w:pPr>
        <w:numPr>
          <w:ilvl w:val="0"/>
          <w:numId w:val="8"/>
        </w:num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项目资金申报及使用情况</w:t>
      </w:r>
    </w:p>
    <w:p>
      <w:pPr>
        <w:adjustRightInd w:val="0"/>
        <w:snapToGrid w:val="0"/>
        <w:spacing w:line="600" w:lineRule="exact"/>
        <w:ind w:firstLine="640" w:firstLineChars="200"/>
        <w:rPr>
          <w:rFonts w:ascii="仿宋" w:hAnsi="仿宋" w:eastAsia="仿宋"/>
          <w:sz w:val="32"/>
          <w:szCs w:val="32"/>
          <w:lang w:val="zh-CN"/>
        </w:rPr>
      </w:pPr>
      <w:r>
        <w:rPr>
          <w:rFonts w:hint="eastAsia" w:ascii="仿宋" w:hAnsi="仿宋" w:eastAsia="仿宋"/>
          <w:sz w:val="32"/>
          <w:szCs w:val="32"/>
          <w:lang w:val="zh-CN"/>
        </w:rPr>
        <w:t>（一）资金计划、到位及使用情况</w:t>
      </w:r>
    </w:p>
    <w:p>
      <w:pPr>
        <w:adjustRightInd w:val="0"/>
        <w:snapToGrid w:val="0"/>
        <w:spacing w:line="600" w:lineRule="exact"/>
        <w:ind w:firstLine="720"/>
        <w:rPr>
          <w:rFonts w:ascii="仿宋" w:hAnsi="仿宋" w:eastAsia="仿宋" w:cs="仿宋_GB2312"/>
          <w:sz w:val="32"/>
          <w:szCs w:val="32"/>
        </w:rPr>
      </w:pPr>
      <w:r>
        <w:rPr>
          <w:rFonts w:hint="eastAsia" w:ascii="仿宋" w:hAnsi="仿宋" w:eastAsia="仿宋" w:cs="仿宋_GB2312"/>
          <w:sz w:val="32"/>
          <w:szCs w:val="32"/>
          <w:lang w:val="zh-CN"/>
        </w:rPr>
        <w:t>1．资金计划及到位。该项目年初预算</w:t>
      </w:r>
      <w:r>
        <w:rPr>
          <w:rFonts w:hint="eastAsia" w:ascii="仿宋" w:hAnsi="仿宋" w:eastAsia="仿宋" w:cs="仿宋_GB2312"/>
          <w:sz w:val="32"/>
          <w:szCs w:val="32"/>
        </w:rPr>
        <w:t>100万元，2020年4月财政下达采购资金计划100万元。</w:t>
      </w:r>
    </w:p>
    <w:p>
      <w:pPr>
        <w:adjustRightInd w:val="0"/>
        <w:snapToGrid w:val="0"/>
        <w:spacing w:line="600" w:lineRule="exact"/>
        <w:ind w:firstLine="720"/>
        <w:rPr>
          <w:rFonts w:ascii="仿宋" w:hAnsi="仿宋" w:eastAsia="仿宋" w:cs="仿宋_GB2312"/>
          <w:sz w:val="32"/>
          <w:szCs w:val="32"/>
          <w:lang w:val="zh-CN"/>
        </w:rPr>
      </w:pPr>
      <w:r>
        <w:rPr>
          <w:rFonts w:hint="eastAsia" w:ascii="仿宋" w:hAnsi="仿宋" w:eastAsia="仿宋" w:cs="仿宋_GB2312"/>
          <w:sz w:val="32"/>
          <w:szCs w:val="32"/>
          <w:lang w:val="zh-CN"/>
        </w:rPr>
        <w:t>2．资金使用。按照征地拆迁项目测绘评估工作完成情况，</w:t>
      </w:r>
      <w:r>
        <w:rPr>
          <w:rFonts w:hint="eastAsia" w:ascii="仿宋" w:hAnsi="仿宋" w:eastAsia="仿宋" w:cs="仿宋_GB2312"/>
          <w:sz w:val="32"/>
          <w:szCs w:val="32"/>
        </w:rPr>
        <w:t>2020年4月直接支付相关测绘评估公司峨汉高速、只有峨眉山、成乐高速扩容、安置工作等项目涉及的测绘评估费100万元</w:t>
      </w:r>
      <w:r>
        <w:rPr>
          <w:rFonts w:hint="eastAsia" w:ascii="仿宋" w:hAnsi="仿宋" w:eastAsia="仿宋" w:cs="仿宋_GB2312"/>
          <w:sz w:val="32"/>
          <w:szCs w:val="32"/>
          <w:lang w:val="zh-CN"/>
        </w:rPr>
        <w:t>。</w:t>
      </w:r>
    </w:p>
    <w:p>
      <w:pPr>
        <w:adjustRightInd w:val="0"/>
        <w:snapToGrid w:val="0"/>
        <w:spacing w:line="600" w:lineRule="exact"/>
        <w:ind w:firstLine="720"/>
        <w:rPr>
          <w:rFonts w:ascii="仿宋" w:hAnsi="仿宋" w:eastAsia="仿宋"/>
          <w:bCs/>
          <w:sz w:val="32"/>
          <w:szCs w:val="32"/>
          <w:lang w:val="zh-CN"/>
        </w:rPr>
      </w:pPr>
      <w:r>
        <w:rPr>
          <w:rFonts w:hint="eastAsia" w:ascii="仿宋" w:hAnsi="仿宋" w:eastAsia="仿宋"/>
          <w:bCs/>
          <w:sz w:val="32"/>
          <w:szCs w:val="32"/>
          <w:lang w:val="zh-CN"/>
        </w:rPr>
        <w:t>（二）项目财务管理情况</w:t>
      </w:r>
    </w:p>
    <w:p>
      <w:pPr>
        <w:adjustRightInd w:val="0"/>
        <w:snapToGrid w:val="0"/>
        <w:spacing w:line="580" w:lineRule="exact"/>
        <w:ind w:firstLine="720"/>
        <w:rPr>
          <w:rFonts w:ascii="仿宋" w:hAnsi="仿宋" w:eastAsia="仿宋"/>
          <w:sz w:val="32"/>
          <w:szCs w:val="32"/>
          <w:lang w:val="zh-CN"/>
        </w:rPr>
      </w:pPr>
      <w:r>
        <w:rPr>
          <w:rFonts w:hint="eastAsia" w:ascii="仿宋" w:hAnsi="仿宋" w:eastAsia="仿宋"/>
          <w:sz w:val="32"/>
          <w:szCs w:val="32"/>
          <w:lang w:val="zh-CN"/>
        </w:rPr>
        <w:t>该项目严格执行财务管理制度、相关的账务处理严格按照财务制度进行资金的申请、审核、支付和核算，所有支出均以转账方式进行，账务处理凭证均附有相关发票、支付凭证、审核文件、合同等附件资料，手续完善，账务处理及时，会计核算符合规范。</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三、项目实施及管理情况</w:t>
      </w:r>
    </w:p>
    <w:p>
      <w:pPr>
        <w:adjustRightInd w:val="0"/>
        <w:snapToGrid w:val="0"/>
        <w:spacing w:line="600" w:lineRule="exact"/>
        <w:ind w:firstLine="720"/>
        <w:rPr>
          <w:rFonts w:ascii="仿宋" w:hAnsi="仿宋" w:eastAsia="仿宋"/>
          <w:bCs/>
          <w:sz w:val="32"/>
          <w:szCs w:val="32"/>
          <w:lang w:val="zh-CN"/>
        </w:rPr>
      </w:pPr>
      <w:r>
        <w:rPr>
          <w:rFonts w:hint="eastAsia" w:ascii="仿宋" w:hAnsi="仿宋" w:eastAsia="仿宋"/>
          <w:bCs/>
          <w:sz w:val="32"/>
          <w:szCs w:val="32"/>
          <w:lang w:val="zh-CN"/>
        </w:rPr>
        <w:t>（一）项目管理情况</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按照峨眉山市征地拆迁测绘管理办法，落实市委、市政府“精准征收、阳光拆迁、惠民安置”要求，保障被征收集体、农户的合法权益，对测绘机构、测绘技术标准、测绘价格、测绘内容及监督管理等方面都做了相关要求。确保了我市重大交通、旅游、民生等方面项目的顺利实施，促进了社会发展。</w:t>
      </w:r>
    </w:p>
    <w:p>
      <w:pPr>
        <w:numPr>
          <w:ilvl w:val="0"/>
          <w:numId w:val="7"/>
        </w:num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项目监管情况</w:t>
      </w:r>
    </w:p>
    <w:p>
      <w:pPr>
        <w:adjustRightInd w:val="0"/>
        <w:snapToGrid w:val="0"/>
        <w:spacing w:line="600" w:lineRule="exact"/>
        <w:ind w:firstLine="640" w:firstLineChars="200"/>
        <w:rPr>
          <w:rFonts w:ascii="仿宋" w:hAnsi="仿宋" w:eastAsia="仿宋"/>
          <w:sz w:val="32"/>
          <w:szCs w:val="32"/>
          <w:lang w:val="zh-CN"/>
        </w:rPr>
      </w:pPr>
      <w:r>
        <w:rPr>
          <w:rFonts w:hint="eastAsia" w:ascii="仿宋" w:hAnsi="仿宋" w:eastAsia="仿宋"/>
          <w:sz w:val="32"/>
          <w:szCs w:val="32"/>
          <w:lang w:val="zh-CN"/>
        </w:rPr>
        <w:t>征地拆迁测绘评估费项目收入支出严格按照《会计法》、《行政事业单位会计制度》、《行政事业单位财务管理制度》等相关制度执行。项目经费严格按照财务管理制度进行管理，预算资金专款专用，不存在挤占、挪用等情况。</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rPr>
        <w:t>四、项目绩效情况</w:t>
      </w:r>
      <w:r>
        <w:rPr>
          <w:rFonts w:hint="eastAsia" w:ascii="仿宋" w:hAnsi="仿宋" w:eastAsia="仿宋"/>
          <w:sz w:val="32"/>
          <w:szCs w:val="32"/>
          <w:lang w:val="zh-CN"/>
        </w:rPr>
        <w:tab/>
      </w:r>
    </w:p>
    <w:p>
      <w:pPr>
        <w:adjustRightInd w:val="0"/>
        <w:snapToGrid w:val="0"/>
        <w:spacing w:line="600" w:lineRule="exact"/>
        <w:ind w:firstLine="720"/>
        <w:rPr>
          <w:rFonts w:ascii="仿宋" w:hAnsi="仿宋" w:eastAsia="仿宋"/>
          <w:bCs/>
          <w:sz w:val="32"/>
          <w:szCs w:val="32"/>
          <w:lang w:val="zh-CN"/>
        </w:rPr>
      </w:pPr>
      <w:r>
        <w:rPr>
          <w:rFonts w:hint="eastAsia" w:ascii="仿宋" w:hAnsi="仿宋" w:eastAsia="仿宋"/>
          <w:bCs/>
          <w:sz w:val="32"/>
          <w:szCs w:val="32"/>
          <w:lang w:val="zh-CN"/>
        </w:rPr>
        <w:t>（一）项目完成情况</w:t>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sz w:val="32"/>
          <w:szCs w:val="32"/>
          <w:lang w:val="zh-CN"/>
        </w:rPr>
        <w:t>该项目完成了峨汉高速、成乐高速扩容、只有峨眉山、绥山镇和胜利街道办城市基础设施建设等项目征地拆迁涉及的测绘内容。</w:t>
      </w:r>
    </w:p>
    <w:p>
      <w:pPr>
        <w:numPr>
          <w:ilvl w:val="0"/>
          <w:numId w:val="9"/>
        </w:numPr>
        <w:adjustRightInd w:val="0"/>
        <w:snapToGrid w:val="0"/>
        <w:spacing w:line="600" w:lineRule="exact"/>
        <w:ind w:firstLine="720"/>
        <w:rPr>
          <w:rFonts w:ascii="仿宋" w:hAnsi="仿宋" w:eastAsia="仿宋"/>
          <w:bCs/>
          <w:sz w:val="32"/>
          <w:szCs w:val="32"/>
          <w:lang w:val="zh-CN"/>
        </w:rPr>
      </w:pPr>
      <w:r>
        <w:rPr>
          <w:rFonts w:hint="eastAsia" w:ascii="仿宋" w:hAnsi="仿宋" w:eastAsia="仿宋"/>
          <w:bCs/>
          <w:sz w:val="32"/>
          <w:szCs w:val="32"/>
          <w:lang w:val="zh-CN"/>
        </w:rPr>
        <w:t>项目效益情况</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lang w:val="zh-CN"/>
        </w:rPr>
        <w:t>按时完成市委、市政府交办的征地拆迁任务，确保了项目的顺利实施，促进了社会经济发展。</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五、评价结论及建议</w:t>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600" w:lineRule="exact"/>
        <w:ind w:firstLine="640" w:firstLineChars="200"/>
        <w:rPr>
          <w:rFonts w:ascii="仿宋" w:hAnsi="仿宋" w:eastAsia="仿宋"/>
          <w:sz w:val="32"/>
          <w:szCs w:val="32"/>
          <w:bdr w:val="single" w:color="auto" w:sz="4" w:space="0"/>
          <w:lang w:val="zh-CN"/>
        </w:rPr>
      </w:pPr>
      <w:r>
        <w:rPr>
          <w:rFonts w:hint="eastAsia" w:ascii="仿宋" w:hAnsi="仿宋" w:eastAsia="仿宋"/>
          <w:sz w:val="32"/>
          <w:szCs w:val="32"/>
          <w:lang w:val="zh-CN"/>
        </w:rPr>
        <w:t>从总体上来看，该项目决策依据充分，项目的设立经过严格的评估论证，与部门职责相适应；该项目绩效目标较明确，与峨眉山市资源充分利用、节约资源、优化资源、促进峨眉山市资源的持续性发展目标相适应；项目管理和资金使用较规范并取得了良好的社会效益。</w:t>
      </w: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rPr>
        <w:t>1.</w:t>
      </w:r>
      <w:r>
        <w:rPr>
          <w:rFonts w:hint="eastAsia" w:ascii="仿宋" w:hAnsi="仿宋" w:eastAsia="仿宋"/>
          <w:sz w:val="32"/>
          <w:szCs w:val="32"/>
          <w:lang w:val="zh-CN"/>
        </w:rPr>
        <w:t>预算绩效项目管理目标尚欠细化，在绩效目标申报时设置了基础建设目标，但未将建设目标形成全面、清晰的绩效目标，未制定与项目相关的具体绩效指标，缺少成本指标，时效指标。</w:t>
      </w:r>
    </w:p>
    <w:p>
      <w:pPr>
        <w:adjustRightInd w:val="0"/>
        <w:snapToGrid w:val="0"/>
        <w:spacing w:line="600" w:lineRule="exact"/>
        <w:ind w:firstLine="720"/>
        <w:rPr>
          <w:rFonts w:ascii="仿宋" w:hAnsi="仿宋" w:eastAsia="仿宋"/>
          <w:sz w:val="32"/>
          <w:szCs w:val="32"/>
          <w:lang w:val="zh-CN"/>
        </w:rPr>
      </w:pPr>
      <w:r>
        <w:rPr>
          <w:rFonts w:hint="eastAsia" w:ascii="仿宋" w:hAnsi="仿宋" w:eastAsia="仿宋"/>
          <w:sz w:val="32"/>
          <w:szCs w:val="32"/>
        </w:rPr>
        <w:t>2.</w:t>
      </w:r>
      <w:r>
        <w:rPr>
          <w:rFonts w:hint="eastAsia" w:ascii="仿宋" w:hAnsi="仿宋" w:eastAsia="仿宋"/>
          <w:sz w:val="32"/>
          <w:szCs w:val="32"/>
          <w:lang w:val="zh-CN"/>
        </w:rPr>
        <w:t>测绘经费拨付不足，许多已经完成交付测绘成果项目不能做到及时拨付测绘费。</w:t>
      </w:r>
    </w:p>
    <w:p>
      <w:pPr>
        <w:adjustRightInd w:val="0"/>
        <w:snapToGrid w:val="0"/>
        <w:spacing w:line="600" w:lineRule="exact"/>
        <w:ind w:firstLine="643" w:firstLineChars="200"/>
        <w:rPr>
          <w:rFonts w:ascii="仿宋" w:hAnsi="仿宋" w:eastAsia="仿宋"/>
          <w:b/>
          <w:sz w:val="32"/>
          <w:szCs w:val="32"/>
          <w:lang w:val="zh-CN"/>
        </w:rPr>
      </w:pPr>
      <w:r>
        <w:rPr>
          <w:rFonts w:hint="eastAsia" w:ascii="仿宋" w:hAnsi="仿宋" w:eastAsia="仿宋"/>
          <w:b/>
          <w:sz w:val="32"/>
          <w:szCs w:val="32"/>
          <w:lang w:val="zh-CN"/>
        </w:rPr>
        <w:t>（三）相关建议。</w:t>
      </w:r>
    </w:p>
    <w:p>
      <w:pPr>
        <w:spacing w:line="600" w:lineRule="exact"/>
        <w:jc w:val="left"/>
        <w:outlineLvl w:val="0"/>
        <w:rPr>
          <w:rFonts w:ascii="仿宋" w:hAnsi="仿宋" w:eastAsia="仿宋"/>
          <w:color w:val="000000"/>
          <w:sz w:val="44"/>
          <w:szCs w:val="44"/>
        </w:rPr>
      </w:pPr>
      <w:r>
        <w:rPr>
          <w:rFonts w:hint="eastAsia" w:ascii="仿宋" w:hAnsi="仿宋" w:eastAsia="仿宋"/>
          <w:sz w:val="32"/>
          <w:szCs w:val="32"/>
        </w:rPr>
        <w:t xml:space="preserve">    </w:t>
      </w:r>
      <w:r>
        <w:rPr>
          <w:rFonts w:hint="eastAsia" w:ascii="仿宋" w:hAnsi="仿宋" w:eastAsia="仿宋"/>
          <w:sz w:val="32"/>
          <w:szCs w:val="32"/>
          <w:lang w:val="zh-CN"/>
        </w:rPr>
        <w:t>建议财政局加强相关业务知识培训，提升绩效管理从业人员的专业素质和思想水平，以便更好的做好项目绩效评价工作。</w:t>
      </w: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Fonts w:ascii="仿宋" w:hAnsi="仿宋" w:eastAsia="仿宋"/>
          <w:color w:val="000000"/>
          <w:sz w:val="44"/>
          <w:szCs w:val="44"/>
        </w:rPr>
      </w:pPr>
    </w:p>
    <w:p>
      <w:pPr>
        <w:spacing w:line="600" w:lineRule="exact"/>
        <w:jc w:val="center"/>
        <w:outlineLvl w:val="0"/>
        <w:rPr>
          <w:rStyle w:val="24"/>
          <w:rFonts w:ascii="仿宋" w:hAnsi="仿宋" w:eastAsia="仿宋"/>
          <w:b w:val="0"/>
        </w:rPr>
      </w:pPr>
      <w:r>
        <w:rPr>
          <w:rFonts w:hint="eastAsia" w:ascii="仿宋" w:hAnsi="仿宋" w:eastAsia="仿宋"/>
          <w:color w:val="000000"/>
          <w:sz w:val="44"/>
          <w:szCs w:val="44"/>
        </w:rPr>
        <w:t>第</w:t>
      </w:r>
      <w:r>
        <w:rPr>
          <w:rStyle w:val="24"/>
          <w:rFonts w:hint="eastAsia" w:ascii="仿宋" w:hAnsi="仿宋" w:eastAsia="仿宋"/>
          <w:b w:val="0"/>
        </w:rPr>
        <w:t>五部分 附表</w:t>
      </w:r>
      <w:bookmarkEnd w:id="58"/>
      <w:bookmarkEnd w:id="59"/>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rPr>
          <w:rFonts w:ascii="仿宋" w:hAnsi="仿宋" w:eastAsia="仿宋"/>
          <w:sz w:val="32"/>
          <w:szCs w:val="32"/>
        </w:rPr>
      </w:pPr>
      <w:r>
        <w:rPr>
          <w:rFonts w:hint="eastAsia" w:ascii="仿宋" w:hAnsi="仿宋" w:eastAsia="仿宋"/>
          <w:sz w:val="32"/>
          <w:szCs w:val="32"/>
        </w:rPr>
        <w:t>十三、</w:t>
      </w:r>
      <w:r>
        <w:rPr>
          <w:rFonts w:hint="eastAsia" w:ascii="仿宋" w:hAnsi="仿宋" w:eastAsia="仿宋"/>
          <w:color w:val="000000"/>
          <w:sz w:val="32"/>
          <w:szCs w:val="32"/>
        </w:rPr>
        <w:t>国</w:t>
      </w:r>
      <w:r>
        <w:rPr>
          <w:rStyle w:val="30"/>
          <w:rFonts w:hint="eastAsia" w:ascii="仿宋" w:hAnsi="仿宋" w:eastAsia="仿宋"/>
          <w:b w:val="0"/>
        </w:rPr>
        <w:t>有资本经营预算财政拨款收入支出决算表(本表无数据)</w:t>
      </w:r>
    </w:p>
    <w:p>
      <w:pPr>
        <w:pStyle w:val="3"/>
        <w:rPr>
          <w:rFonts w:ascii="仿宋" w:hAnsi="仿宋" w:eastAsia="仿宋"/>
          <w:b w:val="0"/>
          <w:color w:val="000000"/>
        </w:rPr>
      </w:pPr>
      <w:r>
        <w:rPr>
          <w:rFonts w:hint="eastAsia" w:ascii="仿宋" w:hAnsi="仿宋" w:eastAsia="仿宋"/>
          <w:b w:val="0"/>
        </w:rPr>
        <w:t>十四、</w:t>
      </w:r>
      <w:r>
        <w:rPr>
          <w:rFonts w:hint="eastAsia" w:ascii="仿宋" w:hAnsi="仿宋" w:eastAsia="仿宋"/>
          <w:b w:val="0"/>
          <w:color w:val="000000"/>
        </w:rPr>
        <w:t>国</w:t>
      </w:r>
      <w:r>
        <w:rPr>
          <w:rStyle w:val="30"/>
          <w:rFonts w:hint="eastAsia" w:ascii="仿宋" w:hAnsi="仿宋" w:eastAsia="仿宋"/>
          <w:b w:val="0"/>
          <w:bCs w:val="0"/>
        </w:rPr>
        <w:t>有资本经营预算财政拨款支出决算表(本表无数据)</w:t>
      </w:r>
    </w:p>
    <w:p>
      <w:pPr>
        <w:pStyle w:val="3"/>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17</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2E4B4"/>
    <w:multiLevelType w:val="singleLevel"/>
    <w:tmpl w:val="AB52E4B4"/>
    <w:lvl w:ilvl="0" w:tentative="0">
      <w:start w:val="4"/>
      <w:numFmt w:val="chineseCounting"/>
      <w:suff w:val="nothing"/>
      <w:lvlText w:val="（%1）"/>
      <w:lvlJc w:val="left"/>
      <w:rPr>
        <w:rFonts w:hint="eastAsia"/>
      </w:rPr>
    </w:lvl>
  </w:abstractNum>
  <w:abstractNum w:abstractNumId="1">
    <w:nsid w:val="CADA1B46"/>
    <w:multiLevelType w:val="singleLevel"/>
    <w:tmpl w:val="CADA1B46"/>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301584F"/>
    <w:multiLevelType w:val="singleLevel"/>
    <w:tmpl w:val="F301584F"/>
    <w:lvl w:ilvl="0" w:tentative="0">
      <w:start w:val="2"/>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3F13DC4"/>
    <w:multiLevelType w:val="singleLevel"/>
    <w:tmpl w:val="63F13DC4"/>
    <w:lvl w:ilvl="0" w:tentative="0">
      <w:start w:val="1"/>
      <w:numFmt w:val="chineseCounting"/>
      <w:suff w:val="nothing"/>
      <w:lvlText w:val="（%1）"/>
      <w:lvlJc w:val="left"/>
      <w:rPr>
        <w:rFonts w:hint="eastAsia"/>
      </w:rPr>
    </w:lvl>
  </w:abstractNum>
  <w:abstractNum w:abstractNumId="7">
    <w:nsid w:val="72387337"/>
    <w:multiLevelType w:val="singleLevel"/>
    <w:tmpl w:val="72387337"/>
    <w:lvl w:ilvl="0" w:tentative="0">
      <w:start w:val="1"/>
      <w:numFmt w:val="decimal"/>
      <w:suff w:val="nothing"/>
      <w:lvlText w:val="（%1）"/>
      <w:lvlJc w:val="left"/>
    </w:lvl>
  </w:abstractNum>
  <w:abstractNum w:abstractNumId="8">
    <w:nsid w:val="78E6FD24"/>
    <w:multiLevelType w:val="singleLevel"/>
    <w:tmpl w:val="78E6FD24"/>
    <w:lvl w:ilvl="0" w:tentative="0">
      <w:start w:val="2"/>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7"/>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1509"/>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3669"/>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2842"/>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3A58"/>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44AA3"/>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349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33C7"/>
    <w:rsid w:val="00D34E7C"/>
    <w:rsid w:val="00D35489"/>
    <w:rsid w:val="00D36AFE"/>
    <w:rsid w:val="00D51276"/>
    <w:rsid w:val="00D67FFE"/>
    <w:rsid w:val="00D7035F"/>
    <w:rsid w:val="00DA634F"/>
    <w:rsid w:val="00DA65AC"/>
    <w:rsid w:val="00DB1913"/>
    <w:rsid w:val="00DC410D"/>
    <w:rsid w:val="00DC5A81"/>
    <w:rsid w:val="00DC68CA"/>
    <w:rsid w:val="00DC7CBA"/>
    <w:rsid w:val="00DD73B7"/>
    <w:rsid w:val="00DF28BC"/>
    <w:rsid w:val="00DF34B9"/>
    <w:rsid w:val="00DF786B"/>
    <w:rsid w:val="00E01053"/>
    <w:rsid w:val="00E07ACF"/>
    <w:rsid w:val="00E331A1"/>
    <w:rsid w:val="00E33202"/>
    <w:rsid w:val="00E336A9"/>
    <w:rsid w:val="00E472B1"/>
    <w:rsid w:val="00E50624"/>
    <w:rsid w:val="00E56122"/>
    <w:rsid w:val="00E568DF"/>
    <w:rsid w:val="00E64269"/>
    <w:rsid w:val="00E66797"/>
    <w:rsid w:val="00E82267"/>
    <w:rsid w:val="00E853CE"/>
    <w:rsid w:val="00E867B6"/>
    <w:rsid w:val="00E87F08"/>
    <w:rsid w:val="00EA010F"/>
    <w:rsid w:val="00EB6941"/>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00177"/>
    <w:rsid w:val="04073AC3"/>
    <w:rsid w:val="04411EF0"/>
    <w:rsid w:val="057E1007"/>
    <w:rsid w:val="07025960"/>
    <w:rsid w:val="08AD3C77"/>
    <w:rsid w:val="09105131"/>
    <w:rsid w:val="09740AC4"/>
    <w:rsid w:val="0D1B06AE"/>
    <w:rsid w:val="10550BBD"/>
    <w:rsid w:val="10C055FF"/>
    <w:rsid w:val="11733C42"/>
    <w:rsid w:val="15242ED4"/>
    <w:rsid w:val="16AD4E8A"/>
    <w:rsid w:val="16BB723D"/>
    <w:rsid w:val="1C8F3650"/>
    <w:rsid w:val="23FA5BAF"/>
    <w:rsid w:val="240371BF"/>
    <w:rsid w:val="272575B4"/>
    <w:rsid w:val="277A03C2"/>
    <w:rsid w:val="29FD04D3"/>
    <w:rsid w:val="2A78017E"/>
    <w:rsid w:val="2A7D4B6E"/>
    <w:rsid w:val="2C04575D"/>
    <w:rsid w:val="2D4C74E8"/>
    <w:rsid w:val="2D4F6EFD"/>
    <w:rsid w:val="2DBD24A7"/>
    <w:rsid w:val="2DCB71D0"/>
    <w:rsid w:val="2E7F3BB6"/>
    <w:rsid w:val="304F07CB"/>
    <w:rsid w:val="31697881"/>
    <w:rsid w:val="319F7F4E"/>
    <w:rsid w:val="339B4C51"/>
    <w:rsid w:val="35CC5A9B"/>
    <w:rsid w:val="36724026"/>
    <w:rsid w:val="389C73D0"/>
    <w:rsid w:val="396E14E4"/>
    <w:rsid w:val="3B605F22"/>
    <w:rsid w:val="3C3413D7"/>
    <w:rsid w:val="40F558C9"/>
    <w:rsid w:val="411D08A9"/>
    <w:rsid w:val="42040E04"/>
    <w:rsid w:val="431866BB"/>
    <w:rsid w:val="46B57352"/>
    <w:rsid w:val="47611B7B"/>
    <w:rsid w:val="47F67ABA"/>
    <w:rsid w:val="4AA73F2F"/>
    <w:rsid w:val="4CC06E48"/>
    <w:rsid w:val="4DEA1F9C"/>
    <w:rsid w:val="4ECE2238"/>
    <w:rsid w:val="4EF67D7E"/>
    <w:rsid w:val="4FC62233"/>
    <w:rsid w:val="50DD72F5"/>
    <w:rsid w:val="511F1EAA"/>
    <w:rsid w:val="55632B7F"/>
    <w:rsid w:val="55A0579B"/>
    <w:rsid w:val="5660204A"/>
    <w:rsid w:val="56DF7120"/>
    <w:rsid w:val="5A4B73A0"/>
    <w:rsid w:val="5AA85388"/>
    <w:rsid w:val="5BCB06D2"/>
    <w:rsid w:val="5C2E02C9"/>
    <w:rsid w:val="5DDD41E3"/>
    <w:rsid w:val="5EFE61B5"/>
    <w:rsid w:val="61390204"/>
    <w:rsid w:val="62E9053F"/>
    <w:rsid w:val="63915F3E"/>
    <w:rsid w:val="661C5AB5"/>
    <w:rsid w:val="66506120"/>
    <w:rsid w:val="68C136F3"/>
    <w:rsid w:val="68DE3584"/>
    <w:rsid w:val="68F9765D"/>
    <w:rsid w:val="6B1B3A1E"/>
    <w:rsid w:val="6DBE0E15"/>
    <w:rsid w:val="7103038F"/>
    <w:rsid w:val="71E313DC"/>
    <w:rsid w:val="72734D90"/>
    <w:rsid w:val="73CE1D81"/>
    <w:rsid w:val="7403505A"/>
    <w:rsid w:val="74A6176B"/>
    <w:rsid w:val="7548481D"/>
    <w:rsid w:val="757F4CED"/>
    <w:rsid w:val="7588796E"/>
    <w:rsid w:val="77E41818"/>
    <w:rsid w:val="787D4D27"/>
    <w:rsid w:val="7C895AE6"/>
    <w:rsid w:val="7D005A81"/>
    <w:rsid w:val="7FE30B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标题 2 Char1"/>
    <w:qFormat/>
    <w:locked/>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s\WeChat%20Files\wxid_g5l3g0a1bnjn22\FileStorage\File\2021-10\&#24449;&#25910;&#20013;&#24515;&#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36130;&#21153;\2020&#24180;&#20915;&#31639;&#20844;&#24320;\&#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36130;&#21153;\2020&#24180;&#20915;&#31639;&#20844;&#24320;\&#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uments\WeChat%20Files\wxid_g5l3g0a1bnjn22\FileStorage\File\2021-10\&#24449;&#25910;&#20013;&#24515;&#2227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36130;&#21153;\2020&#24180;&#20915;&#31639;&#20844;&#24320;\&#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36130;&#21153;\2020&#24180;&#20915;&#31639;&#20844;&#24320;\&#22270;&#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19&#24180;&#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[征收中心图.xlsx]收、支决算总计变动情况图!$A$2</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[征收中心图.xlsx]收、支决算总计变动情况图!$B$1:$C$1</c:f>
              <c:strCache>
                <c:ptCount val="2"/>
                <c:pt idx="0">
                  <c:v>2019年</c:v>
                </c:pt>
                <c:pt idx="1">
                  <c:v>2020年</c:v>
                </c:pt>
              </c:strCache>
            </c:strRef>
          </c:cat>
          <c:val>
            <c:numRef>
              <c:f>[征收中心图.xlsx]收、支决算总计变动情况图!$B$2:$C$2</c:f>
              <c:numCache>
                <c:formatCode>General</c:formatCode>
                <c:ptCount val="2"/>
                <c:pt idx="0">
                  <c:v>12143.47</c:v>
                </c:pt>
                <c:pt idx="1">
                  <c:v>29284.94</c:v>
                </c:pt>
              </c:numCache>
            </c:numRef>
          </c:val>
        </c:ser>
        <c:ser>
          <c:idx val="1"/>
          <c:order val="1"/>
          <c:tx>
            <c:strRef>
              <c:f>[征收中心图.xlsx]收、支决算总计变动情况图!$A$3</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[征收中心图.xlsx]收、支决算总计变动情况图!$B$1:$C$1</c:f>
              <c:strCache>
                <c:ptCount val="2"/>
                <c:pt idx="0">
                  <c:v>2019年</c:v>
                </c:pt>
                <c:pt idx="1">
                  <c:v>2020年</c:v>
                </c:pt>
              </c:strCache>
            </c:strRef>
          </c:cat>
          <c:val>
            <c:numRef>
              <c:f>[征收中心图.xlsx]收、支决算总计变动情况图!$B$3:$C$3</c:f>
              <c:numCache>
                <c:formatCode>General</c:formatCode>
                <c:ptCount val="2"/>
                <c:pt idx="0">
                  <c:v>12143.47</c:v>
                </c:pt>
                <c:pt idx="1">
                  <c:v>29284.94</c:v>
                </c:pt>
              </c:numCache>
            </c:numRef>
          </c:val>
        </c:ser>
        <c:dLbls>
          <c:showLegendKey val="0"/>
          <c:showVal val="1"/>
          <c:showCatName val="0"/>
          <c:showSerName val="0"/>
          <c:showPercent val="0"/>
          <c:showBubbleSize val="0"/>
        </c:dLbls>
        <c:gapWidth val="219"/>
        <c:overlap val="-27"/>
        <c:axId val="111238528"/>
        <c:axId val="111319680"/>
      </c:barChart>
      <c:catAx>
        <c:axId val="11123852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年度</a:t>
                </a:r>
              </a:p>
            </c:rich>
          </c:tx>
          <c:layout>
            <c:manualLayout>
              <c:xMode val="edge"/>
              <c:yMode val="edge"/>
              <c:x val="0.484347222222222"/>
              <c:y val="0.786111111111111"/>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1319680"/>
        <c:crosses val="autoZero"/>
        <c:auto val="1"/>
        <c:lblAlgn val="ctr"/>
        <c:lblOffset val="100"/>
        <c:noMultiLvlLbl val="0"/>
      </c:catAx>
      <c:valAx>
        <c:axId val="11131968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12385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[图表.xlsx]Sheet4!$A$1:$B$1</c:f>
              <c:strCache>
                <c:ptCount val="2"/>
                <c:pt idx="0">
                  <c:v>一般公共预算财政拨款收入</c:v>
                </c:pt>
                <c:pt idx="1">
                  <c:v>政府性基金预算拨款收入</c:v>
                </c:pt>
              </c:strCache>
            </c:strRef>
          </c:cat>
          <c:val>
            <c:numRef>
              <c:f>[图表.xlsx]Sheet4!$A$2:$B$2</c:f>
              <c:numCache>
                <c:formatCode>0.00%</c:formatCode>
                <c:ptCount val="2"/>
                <c:pt idx="0">
                  <c:v>0.0264</c:v>
                </c:pt>
                <c:pt idx="1">
                  <c:v>0.973600000000001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manualLayout>
          <c:xMode val="edge"/>
          <c:yMode val="edge"/>
          <c:x val="0.358194444444444"/>
          <c:y val="0.00694444444444445"/>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[图表.xlsx]Sheet4!$A$1:$B$1</c:f>
              <c:strCache>
                <c:ptCount val="2"/>
                <c:pt idx="0">
                  <c:v>基本支出</c:v>
                </c:pt>
                <c:pt idx="1">
                  <c:v>项目支出</c:v>
                </c:pt>
              </c:strCache>
            </c:strRef>
          </c:cat>
          <c:val>
            <c:numRef>
              <c:f>[图表.xlsx]Sheet4!$A$2:$B$2</c:f>
              <c:numCache>
                <c:formatCode>0.00%</c:formatCode>
                <c:ptCount val="2"/>
                <c:pt idx="0">
                  <c:v>0.0124</c:v>
                </c:pt>
                <c:pt idx="1">
                  <c:v>0.9876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[征收中心图.xlsx]财政拨款收、支决算总计变动情况!$A$2</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[征收中心图.xlsx]财政拨款收、支决算总计变动情况!$B$1:$C$1</c:f>
              <c:strCache>
                <c:ptCount val="2"/>
                <c:pt idx="0">
                  <c:v>2019年</c:v>
                </c:pt>
                <c:pt idx="1">
                  <c:v>2020年</c:v>
                </c:pt>
              </c:strCache>
            </c:strRef>
          </c:cat>
          <c:val>
            <c:numRef>
              <c:f>[征收中心图.xlsx]财政拨款收、支决算总计变动情况!$B$2:$C$2</c:f>
              <c:numCache>
                <c:formatCode>General</c:formatCode>
                <c:ptCount val="2"/>
                <c:pt idx="0">
                  <c:v>12143.38</c:v>
                </c:pt>
                <c:pt idx="1">
                  <c:v>29273.57</c:v>
                </c:pt>
              </c:numCache>
            </c:numRef>
          </c:val>
        </c:ser>
        <c:ser>
          <c:idx val="1"/>
          <c:order val="1"/>
          <c:tx>
            <c:strRef>
              <c:f>[征收中心图.xlsx]财政拨款收、支决算总计变动情况!$A$3</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[征收中心图.xlsx]财政拨款收、支决算总计变动情况!$B$1:$C$1</c:f>
              <c:strCache>
                <c:ptCount val="2"/>
                <c:pt idx="0">
                  <c:v>2019年</c:v>
                </c:pt>
                <c:pt idx="1">
                  <c:v>2020年</c:v>
                </c:pt>
              </c:strCache>
            </c:strRef>
          </c:cat>
          <c:val>
            <c:numRef>
              <c:f>[征收中心图.xlsx]财政拨款收、支决算总计变动情况!$B$3:$C$3</c:f>
              <c:numCache>
                <c:formatCode>General</c:formatCode>
                <c:ptCount val="2"/>
                <c:pt idx="0">
                  <c:v>12143.38</c:v>
                </c:pt>
                <c:pt idx="1">
                  <c:v>29273.57</c:v>
                </c:pt>
              </c:numCache>
            </c:numRef>
          </c:val>
        </c:ser>
        <c:dLbls>
          <c:showLegendKey val="0"/>
          <c:showVal val="1"/>
          <c:showCatName val="0"/>
          <c:showSerName val="0"/>
          <c:showPercent val="0"/>
          <c:showBubbleSize val="0"/>
        </c:dLbls>
        <c:gapWidth val="219"/>
        <c:overlap val="-27"/>
        <c:axId val="55853440"/>
        <c:axId val="55855360"/>
      </c:barChart>
      <c:catAx>
        <c:axId val="5585344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年度</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55360"/>
        <c:crosses val="autoZero"/>
        <c:auto val="1"/>
        <c:lblAlgn val="ctr"/>
        <c:lblOffset val="100"/>
        <c:noMultiLvlLbl val="0"/>
      </c:catAx>
      <c:valAx>
        <c:axId val="5585536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534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一般公共预算财政拨款支出决算变动情况</a:t>
            </a:r>
            <a:endParaRPr altLang="en-US"/>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[图表.xlsx]Sheet3!$A$1:$B$1</c:f>
              <c:strCache>
                <c:ptCount val="2"/>
                <c:pt idx="0">
                  <c:v>2019年度</c:v>
                </c:pt>
                <c:pt idx="1">
                  <c:v>2020年度</c:v>
                </c:pt>
              </c:strCache>
            </c:strRef>
          </c:cat>
          <c:val>
            <c:numRef>
              <c:f>[图表.xlsx]Sheet3!$A$2:$B$2</c:f>
              <c:numCache>
                <c:formatCode>General</c:formatCode>
                <c:ptCount val="2"/>
                <c:pt idx="0">
                  <c:v>544.059999999999</c:v>
                </c:pt>
                <c:pt idx="1">
                  <c:v>773.8</c:v>
                </c:pt>
              </c:numCache>
            </c:numRef>
          </c:val>
        </c:ser>
        <c:dLbls>
          <c:showLegendKey val="0"/>
          <c:showVal val="1"/>
          <c:showCatName val="0"/>
          <c:showSerName val="0"/>
          <c:showPercent val="0"/>
          <c:showBubbleSize val="0"/>
        </c:dLbls>
        <c:gapWidth val="150"/>
        <c:overlap val="100"/>
        <c:axId val="55888512"/>
        <c:axId val="56517376"/>
      </c:barChart>
      <c:catAx>
        <c:axId val="55888512"/>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17376"/>
        <c:crosses val="autoZero"/>
        <c:auto val="1"/>
        <c:lblAlgn val="ctr"/>
        <c:lblOffset val="100"/>
        <c:noMultiLvlLbl val="0"/>
      </c:catAx>
      <c:valAx>
        <c:axId val="5651737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8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[图表.xlsx]Sheet4!$A$1:$E$1</c:f>
              <c:strCache>
                <c:ptCount val="5"/>
                <c:pt idx="0">
                  <c:v>一般公共服务支出</c:v>
                </c:pt>
                <c:pt idx="1">
                  <c:v>社会保障和就业支出</c:v>
                </c:pt>
                <c:pt idx="2">
                  <c:v>卫生健康支出</c:v>
                </c:pt>
                <c:pt idx="3">
                  <c:v>住房保障支出</c:v>
                </c:pt>
                <c:pt idx="4">
                  <c:v>自然资源海洋气象等支出</c:v>
                </c:pt>
              </c:strCache>
            </c:strRef>
          </c:cat>
          <c:val>
            <c:numRef>
              <c:f>[图表.xlsx]Sheet4!$A$2:$E$2</c:f>
              <c:numCache>
                <c:formatCode>0.00%</c:formatCode>
                <c:ptCount val="5"/>
                <c:pt idx="0">
                  <c:v>0.3815</c:v>
                </c:pt>
                <c:pt idx="1">
                  <c:v>0.0425</c:v>
                </c:pt>
                <c:pt idx="2">
                  <c:v>0.0105</c:v>
                </c:pt>
                <c:pt idx="3">
                  <c:v>0.3387</c:v>
                </c:pt>
                <c:pt idx="4">
                  <c:v>0.2268</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[图表.xlsx]Sheet1!$A$1:$C$1</c:f>
              <c:strCache>
                <c:ptCount val="3"/>
                <c:pt idx="0">
                  <c:v>公务用车购置及运行维护费</c:v>
                </c:pt>
                <c:pt idx="1">
                  <c:v>因公出国（境）经费</c:v>
                </c:pt>
                <c:pt idx="2">
                  <c:v>公务接待费</c:v>
                </c:pt>
              </c:strCache>
            </c:strRef>
          </c:cat>
          <c:val>
            <c:numRef>
              <c:f>[图表.xlsx]Sheet1!$A$2:$C$2</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E0F97A-209E-4D64-A865-0F8B3E5FBA28}">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1931</Words>
  <Characters>11010</Characters>
  <Lines>91</Lines>
  <Paragraphs>25</Paragraphs>
  <TotalTime>38</TotalTime>
  <ScaleCrop>false</ScaleCrop>
  <LinksUpToDate>false</LinksUpToDate>
  <CharactersWithSpaces>12916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2021-10-18T03:00:00Z</cp:lastPrinted>
  <dcterms:modified xsi:type="dcterms:W3CDTF">2021-10-20T06:39:59Z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