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仿宋" w:hAnsi="仿宋" w:eastAsia="仿宋"/>
          <w:color w:val="000000"/>
          <w:sz w:val="72"/>
          <w:szCs w:val="72"/>
        </w:rPr>
      </w:pPr>
      <w:bookmarkStart w:id="0" w:name="_Toc15306267"/>
    </w:p>
    <w:p>
      <w:pPr>
        <w:spacing w:line="600" w:lineRule="exact"/>
        <w:jc w:val="center"/>
        <w:outlineLvl w:val="0"/>
        <w:rPr>
          <w:rFonts w:ascii="仿宋" w:hAnsi="仿宋" w:eastAsia="仿宋"/>
          <w:color w:val="000000"/>
          <w:sz w:val="72"/>
          <w:szCs w:val="72"/>
        </w:rPr>
      </w:pPr>
    </w:p>
    <w:p>
      <w:pPr>
        <w:spacing w:line="600" w:lineRule="exact"/>
        <w:jc w:val="center"/>
        <w:outlineLvl w:val="0"/>
        <w:rPr>
          <w:rFonts w:ascii="仿宋" w:hAnsi="仿宋" w:eastAsia="仿宋"/>
          <w:color w:val="000000"/>
          <w:sz w:val="72"/>
          <w:szCs w:val="72"/>
        </w:rPr>
      </w:pPr>
    </w:p>
    <w:p>
      <w:pPr>
        <w:spacing w:line="600" w:lineRule="exact"/>
        <w:jc w:val="center"/>
        <w:outlineLvl w:val="0"/>
        <w:rPr>
          <w:rFonts w:ascii="仿宋" w:hAnsi="仿宋" w:eastAsia="仿宋"/>
          <w:color w:val="000000"/>
          <w:sz w:val="72"/>
          <w:szCs w:val="7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_GBK" w:hAnsi="方正小标宋_GBK" w:eastAsia="方正小标宋_GBK" w:cs="方正小标宋_GBK"/>
          <w:color w:val="000000"/>
          <w:sz w:val="72"/>
          <w:szCs w:val="72"/>
        </w:rPr>
      </w:pPr>
      <w:bookmarkStart w:id="1" w:name="_Toc15378441"/>
      <w:bookmarkStart w:id="2" w:name="_Toc15377193"/>
      <w:bookmarkStart w:id="3" w:name="_Toc15377425"/>
      <w:bookmarkStart w:id="4" w:name="_Toc15396597"/>
      <w:bookmarkStart w:id="5" w:name="_Toc15396475"/>
      <w:r>
        <w:rPr>
          <w:rFonts w:hint="eastAsia" w:ascii="方正小标宋_GBK" w:hAnsi="方正小标宋_GBK" w:eastAsia="方正小标宋_GBK" w:cs="方正小标宋_GBK"/>
          <w:color w:val="000000"/>
          <w:sz w:val="72"/>
          <w:szCs w:val="72"/>
        </w:rPr>
        <w:t>关于编制2020年度</w:t>
      </w:r>
      <w:bookmarkEnd w:id="1"/>
      <w:bookmarkEnd w:id="2"/>
      <w:bookmarkEnd w:id="3"/>
      <w:bookmarkEnd w:id="4"/>
      <w:bookmarkEnd w:id="5"/>
    </w:p>
    <w:bookmarkEnd w:id="0"/>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_GBK" w:hAnsi="方正小标宋_GBK" w:eastAsia="方正小标宋_GBK" w:cs="方正小标宋_GBK"/>
          <w:color w:val="000000"/>
          <w:sz w:val="72"/>
          <w:szCs w:val="72"/>
        </w:rPr>
      </w:pPr>
      <w:bookmarkStart w:id="6" w:name="_Toc15396476"/>
      <w:bookmarkStart w:id="7" w:name="_Toc15396598"/>
      <w:bookmarkStart w:id="8" w:name="_Toc15377194"/>
      <w:bookmarkStart w:id="9" w:name="_Toc15377426"/>
      <w:bookmarkStart w:id="10" w:name="_Toc15378442"/>
      <w:bookmarkStart w:id="11" w:name="_Toc15306268"/>
      <w:r>
        <w:rPr>
          <w:rFonts w:hint="eastAsia" w:ascii="方正小标宋_GBK" w:hAnsi="方正小标宋_GBK" w:eastAsia="方正小标宋_GBK" w:cs="方正小标宋_GBK"/>
          <w:color w:val="000000"/>
          <w:sz w:val="72"/>
          <w:szCs w:val="72"/>
        </w:rPr>
        <w:t>四川省乐山市峨眉山市</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_GBK" w:hAnsi="方正小标宋_GBK" w:eastAsia="方正小标宋_GBK" w:cs="方正小标宋_GBK"/>
          <w:color w:val="000000"/>
          <w:sz w:val="72"/>
          <w:szCs w:val="72"/>
        </w:rPr>
        <w:sectPr>
          <w:headerReference r:id="rId3" w:type="default"/>
          <w:pgSz w:w="11906" w:h="16838"/>
          <w:pgMar w:top="1440" w:right="1800" w:bottom="1440" w:left="1800" w:header="851" w:footer="992" w:gutter="0"/>
          <w:pgNumType w:start="0"/>
          <w:cols w:space="425" w:num="1"/>
          <w:docGrid w:type="lines" w:linePitch="312" w:charSpace="0"/>
        </w:sectPr>
      </w:pPr>
      <w:r>
        <w:rPr>
          <w:rFonts w:hint="eastAsia" w:ascii="方正小标宋_GBK" w:hAnsi="方正小标宋_GBK" w:eastAsia="方正小标宋_GBK" w:cs="方正小标宋_GBK"/>
          <w:color w:val="000000"/>
          <w:sz w:val="72"/>
          <w:szCs w:val="72"/>
        </w:rPr>
        <w:t>自然资源系统（汇总）部门决算</w:t>
      </w:r>
      <w:bookmarkEnd w:id="6"/>
      <w:bookmarkEnd w:id="7"/>
      <w:bookmarkEnd w:id="8"/>
      <w:bookmarkEnd w:id="9"/>
      <w:bookmarkEnd w:id="10"/>
      <w:bookmarkEnd w:id="11"/>
      <w:r>
        <w:rPr>
          <w:rFonts w:hint="eastAsia" w:ascii="方正小标宋_GBK" w:hAnsi="方正小标宋_GBK" w:eastAsia="方正小标宋_GBK" w:cs="方正小标宋_GBK"/>
          <w:color w:val="000000"/>
          <w:sz w:val="72"/>
          <w:szCs w:val="72"/>
        </w:rPr>
        <w:t>的说明</w:t>
      </w:r>
    </w:p>
    <w:p>
      <w:pPr>
        <w:widowControl/>
        <w:jc w:val="center"/>
        <w:rPr>
          <w:rFonts w:hint="eastAsia" w:ascii="方正小标宋_GBK" w:hAnsi="方正小标宋_GBK" w:eastAsia="方正小标宋_GBK" w:cs="方正小标宋_GBK"/>
          <w:color w:val="000000"/>
          <w:sz w:val="48"/>
          <w:szCs w:val="48"/>
        </w:rPr>
      </w:pPr>
      <w:r>
        <w:rPr>
          <w:rFonts w:hint="eastAsia" w:ascii="方正小标宋_GBK" w:hAnsi="方正小标宋_GBK" w:eastAsia="方正小标宋_GBK" w:cs="方正小标宋_GBK"/>
          <w:color w:val="000000"/>
          <w:sz w:val="48"/>
          <w:szCs w:val="48"/>
        </w:rPr>
        <w:t>目录</w:t>
      </w:r>
    </w:p>
    <w:p>
      <w:pPr>
        <w:widowControl/>
        <w:jc w:val="center"/>
        <w:rPr>
          <w:rFonts w:ascii="仿宋" w:hAnsi="仿宋" w:eastAsia="仿宋" w:cstheme="minorBidi"/>
          <w:sz w:val="28"/>
          <w:szCs w:val="28"/>
        </w:rPr>
      </w:pPr>
    </w:p>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公开时间：2021年10月2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sz w:val="32"/>
          <w:szCs w:val="32"/>
        </w:rPr>
      </w:pPr>
    </w:p>
    <w:p>
      <w:pPr>
        <w:pStyle w:val="10"/>
        <w:keepNext w:val="0"/>
        <w:keepLines w:val="0"/>
        <w:pageBreakBefore w:val="0"/>
        <w:kinsoku/>
        <w:wordWrap/>
        <w:overflowPunct/>
        <w:topLinePunct w:val="0"/>
        <w:autoSpaceDE/>
        <w:autoSpaceDN/>
        <w:bidi w:val="0"/>
        <w:adjustRightInd w:val="0"/>
        <w:snapToGrid w:val="0"/>
        <w:spacing w:before="0" w:line="58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第一部分 部门概况</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0"/>
        <w:keepNext w:val="0"/>
        <w:keepLines w:val="0"/>
        <w:pageBreakBefore w:val="0"/>
        <w:kinsoku/>
        <w:wordWrap/>
        <w:overflowPunct/>
        <w:topLinePunct w:val="0"/>
        <w:autoSpaceDE/>
        <w:autoSpaceDN/>
        <w:bidi w:val="0"/>
        <w:adjustRightInd w:val="0"/>
        <w:snapToGrid w:val="0"/>
        <w:spacing w:before="0" w:line="58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第二部分度部门决算情况说明</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1"/>
        <w:keepNext w:val="0"/>
        <w:keepLines w:val="0"/>
        <w:pageBreakBefore w:val="0"/>
        <w:kinsoku/>
        <w:wordWrap/>
        <w:overflowPunct/>
        <w:topLinePunct w:val="0"/>
        <w:autoSpaceDE/>
        <w:autoSpaceDN/>
        <w:bidi w:val="0"/>
        <w:adjustRightInd w:val="0"/>
        <w:snapToGrid w:val="0"/>
        <w:spacing w:line="580" w:lineRule="exact"/>
        <w:ind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 国有资本经营预算支出决算情况说明</w:t>
      </w: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color w:val="000000" w:themeColor="text1"/>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pPr>
        <w:pStyle w:val="10"/>
        <w:keepNext w:val="0"/>
        <w:keepLines w:val="0"/>
        <w:pageBreakBefore w:val="0"/>
        <w:kinsoku/>
        <w:wordWrap/>
        <w:overflowPunct/>
        <w:topLinePunct w:val="0"/>
        <w:autoSpaceDE/>
        <w:autoSpaceDN/>
        <w:bidi w:val="0"/>
        <w:adjustRightInd w:val="0"/>
        <w:snapToGrid w:val="0"/>
        <w:spacing w:before="0" w:line="58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第三部分 名词解释</w:t>
      </w:r>
    </w:p>
    <w:p>
      <w:pPr>
        <w:pStyle w:val="10"/>
        <w:keepNext w:val="0"/>
        <w:keepLines w:val="0"/>
        <w:pageBreakBefore w:val="0"/>
        <w:kinsoku/>
        <w:wordWrap/>
        <w:overflowPunct/>
        <w:topLinePunct w:val="0"/>
        <w:autoSpaceDE/>
        <w:autoSpaceDN/>
        <w:bidi w:val="0"/>
        <w:adjustRightInd w:val="0"/>
        <w:snapToGrid w:val="0"/>
        <w:spacing w:before="0" w:line="58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附件</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附件2</w:t>
      </w:r>
    </w:p>
    <w:p>
      <w:pPr>
        <w:pStyle w:val="10"/>
        <w:keepNext w:val="0"/>
        <w:keepLines w:val="0"/>
        <w:pageBreakBefore w:val="0"/>
        <w:kinsoku/>
        <w:wordWrap/>
        <w:overflowPunct/>
        <w:topLinePunct w:val="0"/>
        <w:autoSpaceDE/>
        <w:autoSpaceDN/>
        <w:bidi w:val="0"/>
        <w:adjustRightInd w:val="0"/>
        <w:snapToGrid w:val="0"/>
        <w:spacing w:before="0" w:line="58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第五部分 附表</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sz w:val="32"/>
          <w:szCs w:val="32"/>
        </w:rPr>
      </w:pPr>
      <w:bookmarkStart w:id="12" w:name="_Toc15377196"/>
      <w:bookmarkStart w:id="13" w:name="_Toc15396599"/>
      <w:r>
        <w:rPr>
          <w:rFonts w:hint="eastAsia" w:ascii="仿宋_GB2312" w:hAnsi="仿宋_GB2312" w:eastAsia="仿宋_GB2312" w:cs="仿宋_GB2312"/>
          <w:sz w:val="32"/>
          <w:szCs w:val="32"/>
        </w:rPr>
        <w:t>十三、国有资本经营预算财政拨款收入支出决算表(本表无数据)</w:t>
      </w:r>
    </w:p>
    <w:p>
      <w:pPr>
        <w:pStyle w:val="11"/>
        <w:keepNext w:val="0"/>
        <w:keepLines w:val="0"/>
        <w:pageBreakBefore w:val="0"/>
        <w:kinsoku/>
        <w:wordWrap/>
        <w:overflowPunct/>
        <w:topLinePunct w:val="0"/>
        <w:autoSpaceDE/>
        <w:autoSpaceDN/>
        <w:bidi w:val="0"/>
        <w:adjustRightInd w:val="0"/>
        <w:snapToGrid w:val="0"/>
        <w:spacing w:line="58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十四、国有资本</w:t>
      </w:r>
      <w:r>
        <w:rPr>
          <w:rStyle w:val="25"/>
          <w:rFonts w:hint="eastAsia" w:ascii="仿宋_GB2312" w:hAnsi="仿宋_GB2312" w:eastAsia="仿宋_GB2312" w:cs="仿宋_GB2312"/>
          <w:b w:val="0"/>
          <w:bCs w:val="0"/>
          <w:sz w:val="32"/>
          <w:szCs w:val="32"/>
        </w:rPr>
        <w:t>经营预算财政拨款支出决算表(本表无数据)</w:t>
      </w:r>
    </w:p>
    <w:p>
      <w:pPr>
        <w:keepNext w:val="0"/>
        <w:keepLines w:val="0"/>
        <w:pageBreakBefore w:val="0"/>
        <w:widowControl/>
        <w:kinsoku/>
        <w:wordWrap/>
        <w:overflowPunct/>
        <w:topLinePunct w:val="0"/>
        <w:autoSpaceDE/>
        <w:autoSpaceDN/>
        <w:bidi w:val="0"/>
        <w:spacing w:line="580" w:lineRule="exact"/>
        <w:jc w:val="left"/>
        <w:textAlignment w:val="auto"/>
        <w:rPr>
          <w:rFonts w:hint="eastAsia" w:ascii="仿宋_GB2312" w:hAnsi="仿宋_GB2312" w:eastAsia="仿宋_GB2312" w:cs="仿宋_GB2312"/>
          <w:bCs/>
          <w:kern w:val="44"/>
          <w:sz w:val="32"/>
          <w:szCs w:val="32"/>
        </w:rPr>
      </w:pPr>
      <w:r>
        <w:rPr>
          <w:rFonts w:hint="eastAsia" w:ascii="仿宋_GB2312" w:hAnsi="仿宋_GB2312" w:eastAsia="仿宋_GB2312" w:cs="仿宋_GB2312"/>
          <w:b/>
          <w:sz w:val="32"/>
          <w:szCs w:val="32"/>
        </w:rPr>
        <w:br w:type="page"/>
      </w:r>
    </w:p>
    <w:p>
      <w:pPr>
        <w:pStyle w:val="3"/>
        <w:jc w:val="center"/>
        <w:rPr>
          <w:rStyle w:val="16"/>
          <w:rFonts w:hint="eastAsia" w:ascii="方正小标宋_GBK" w:hAnsi="方正小标宋_GBK" w:eastAsia="方正小标宋_GBK" w:cs="方正小标宋_GBK"/>
          <w:b/>
          <w:bCs w:val="0"/>
        </w:rPr>
      </w:pPr>
      <w:r>
        <w:rPr>
          <w:rFonts w:hint="eastAsia" w:ascii="方正小标宋_GBK" w:hAnsi="方正小标宋_GBK" w:eastAsia="方正小标宋_GBK" w:cs="方正小标宋_GBK"/>
          <w:b w:val="0"/>
        </w:rPr>
        <w:t xml:space="preserve">第一部分 </w:t>
      </w:r>
      <w:r>
        <w:rPr>
          <w:rStyle w:val="16"/>
          <w:rFonts w:hint="eastAsia" w:ascii="方正小标宋_GBK" w:hAnsi="方正小标宋_GBK" w:eastAsia="方正小标宋_GBK" w:cs="方正小标宋_GBK"/>
          <w:b w:val="0"/>
          <w:bCs w:val="0"/>
        </w:rPr>
        <w:t>部门概况</w:t>
      </w:r>
      <w:bookmarkEnd w:id="12"/>
      <w:bookmarkEnd w:id="13"/>
    </w:p>
    <w:p>
      <w:pPr>
        <w:pStyle w:val="4"/>
        <w:pageBreakBefore w:val="0"/>
        <w:kinsoku/>
        <w:wordWrap/>
        <w:overflowPunct/>
        <w:topLinePunct w:val="0"/>
        <w:autoSpaceDE/>
        <w:autoSpaceDN/>
        <w:bidi w:val="0"/>
        <w:spacing w:line="580" w:lineRule="exact"/>
        <w:ind w:firstLine="643" w:firstLineChars="200"/>
        <w:textAlignment w:val="auto"/>
        <w:rPr>
          <w:rStyle w:val="17"/>
          <w:rFonts w:hint="eastAsia" w:ascii="黑体" w:hAnsi="黑体" w:eastAsia="黑体" w:cs="黑体"/>
          <w:b/>
          <w:bCs w:val="0"/>
        </w:rPr>
      </w:pPr>
      <w:bookmarkStart w:id="14" w:name="_Toc15396600"/>
      <w:bookmarkStart w:id="15" w:name="_Toc15377197"/>
      <w:r>
        <w:rPr>
          <w:rFonts w:hint="eastAsia" w:ascii="黑体" w:hAnsi="黑体" w:eastAsia="黑体" w:cs="黑体"/>
          <w:b/>
          <w:bCs w:val="0"/>
          <w:color w:val="000000"/>
        </w:rPr>
        <w:t>一、基</w:t>
      </w:r>
      <w:r>
        <w:rPr>
          <w:rStyle w:val="17"/>
          <w:rFonts w:hint="eastAsia" w:ascii="黑体" w:hAnsi="黑体" w:eastAsia="黑体" w:cs="黑体"/>
          <w:b/>
          <w:bCs w:val="0"/>
        </w:rPr>
        <w:t>本职能及主要工作</w:t>
      </w:r>
      <w:bookmarkEnd w:id="14"/>
      <w:bookmarkEnd w:id="15"/>
    </w:p>
    <w:p>
      <w:pPr>
        <w:pStyle w:val="6"/>
        <w:pageBreakBefore w:val="0"/>
        <w:kinsoku/>
        <w:wordWrap/>
        <w:overflowPunct/>
        <w:topLinePunct w:val="0"/>
        <w:autoSpaceDE/>
        <w:autoSpaceDN/>
        <w:bidi w:val="0"/>
        <w:adjustRightInd w:val="0"/>
        <w:snapToGrid w:val="0"/>
        <w:spacing w:before="93" w:line="580" w:lineRule="exact"/>
        <w:ind w:firstLine="672" w:firstLineChars="210"/>
        <w:textAlignment w:val="auto"/>
        <w:outlineLvl w:val="2"/>
        <w:rPr>
          <w:rFonts w:hint="eastAsia" w:ascii="楷体_GB2312" w:hAnsi="楷体_GB2312" w:eastAsia="楷体_GB2312" w:cs="楷体_GB2312"/>
          <w:bCs/>
          <w:color w:val="000000"/>
          <w:sz w:val="32"/>
          <w:szCs w:val="32"/>
        </w:rPr>
      </w:pPr>
      <w:bookmarkStart w:id="16" w:name="_Toc15378445"/>
      <w:bookmarkStart w:id="17" w:name="_Toc15377198"/>
      <w:r>
        <w:rPr>
          <w:rFonts w:hint="eastAsia" w:ascii="楷体_GB2312" w:hAnsi="楷体_GB2312" w:eastAsia="楷体_GB2312" w:cs="楷体_GB2312"/>
          <w:bCs/>
          <w:color w:val="000000"/>
          <w:sz w:val="32"/>
          <w:szCs w:val="32"/>
        </w:rPr>
        <w:t>（一）主要职能</w:t>
      </w:r>
      <w:bookmarkEnd w:id="16"/>
      <w:bookmarkEnd w:id="17"/>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1.按照规定权限，履行全民所有土地、矿产、森林、湿地、水等自然资源资产所有者职责和所有国土空间用途管制职责。拟订全市自然资源和国土空间规划的规范性文件，制定有关政策措施并监督检查执行情况。</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2.负责全市自然资源调查监测评价。依照自然资源调查监测评价的指标体系和统计标准，贯彻落实自然资源调查监测评价制度。实施自然资源基础调查、专项调查和监测。负责自然资源调查监测评价成果的监督管理和信息发布。组织开展全市森林湿地、荒漠和陆生野生动植物资源动态监测与评价，推进全市林业数字化建设。</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3.负责全市自然资源统一确权登记工作。组织实施各类自然资源和不动产统一确权登记、权籍调查、不动产测绘、争议调处、成果应用的制度、标准、规范。建立健全自然资源和不动产登记信息管理基础平台。负责自然资源和不动产登记资料收集整理、共享、汇交管理等。</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4.负责全市自然资源资产有偿使用工作。建立全民所有自然资源资产统计制度，负责全民所有自然资源资产核算。编制全民所有自然资源资产负债表，依照有关标准组织考核。按照规定权限，制定全民所有自然资源资产划拨、出让、租赁、作价出资和土地储备政策，合理配置全民所有自然资源资产。负责自然资源资产价值评估管理，依法收缴相关资产收益。</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5.负责自然资源的合理开发利用。贯彻执行自然资源发展规划和战略，组织实施自然资源开发利用地方标准，建立政府公示自然资源价格体系，组织开展自然资源分等定级价格评估，开展自然资源利用评价考核，指导实施节约集约利用。负责自然资源市场监管。组织研究自然资源管理涉及宏观调控、区域协调和城乡统筹的政策措施。</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6.负责建立全市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承担主体功能区规划、土地利用规划、城乡规划等空间规划“多规合一”工作指导全市村庄规划编制。组织拟订并实施土地等自然资源年度利用计划。负责土地等国土空间用途转用工作。</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7.负责统筹国土空间生态修复。牵头组织编制国土空间生态修复规划并组织实施有关生态修复工程。负责开展国土空间综合整治、土地整理复垦、矿山地质环境恢复治理、林业重点生态保护修复工程等工作。牵头建立和实施生态保护补偿制度，制定合理利用社会资金进行生态修复的政策措施。负责造林绿化工作，指导公益林和商品林的培育，指导、监督全民义务植树、乡村绿化工作。指导林业有害生物防治、检疫工作。承担林业应对气候变化的相关工作。</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8.负责组织实施最严格的耕地保护制度。牵头实施全市耕地保护政策，负责耕地数量、质量、生态保护。组织实施耕地保护责任目标考核和永久基本农田特殊保护。落实耕地占补平衡制度，监督占用耕地补偿制度执行情况。负责土地征收征用管理。</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9.负责全市地质勘查管理和地质工作。拟订全市地质勘查规划并监督检査执行情况。管理本级地质勘查项目。组织实施重大地质矿产勘查专项。负责地质灾害预防和治理，监督管理地下水过量开采及引发的地面沉降等地质问题。负责古生物化石的监督管理。</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10.负责落实综合防灾减灾规划相关要求，组织编制全市地质灾害防治规划、森林火灾防治规划并指导实施。组织、指导协调和监督地质灾害调查评价及隐患的普查、详查、排查。组织指导开展群测群防、专业监测和预报预警等工作，组织、指导开展地质灾害工程治理工作。承担地质灾害应急救援的技术保障工作。指导开展防火巡护、火源管理、防火设施建设等工作。负责森林火情监测预警、火灾预防工作，发送森林火险信息。组织指导国有林场林区开展宣传教育、监测预警、督促检查等防火工作。</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11.负责全市矿产资源管理工作。负责矿产资源储量管理、矿业权管理。协调指导压覆矿产资源报批。会同有关部门承担保护性开采的特定矿种、优势矿产的调控及相关管理工作。监督指导矿产资源合理利用和保护。</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12.负责测绘地理信息管理工作。负责基础测绘和测行业管理。负责测绘资质资格、质量、信用管理，监督管理地理信息安全和市场秩序。负责地图管理、地理信息公共服务工作。负责测量标志保护。承担全市地理空间数据汇集、共享工作。负责全市航空航天遥感影像数据的统一获取、处理、提供。</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13.推动全市自然资源领域科技发展和对外合作。制定并实施全市自然资源领域科技创新发展和人才培养规划、计划组织实施重大科技专项及创新能力建设，推进自然资源信息化和信息资料的公共服务。组织开展全市自然资源系统对外交流合作。承担湿地、防治荒漠化、濒危野生动植物等国际公约履约有关工作。</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14.配合国家、省、乐山市对全市落实党中央、国务院和省委省政府、乐山市委市政府关于自然资源和国土空间规划的重大方针政策、决策部署及法律法规执行情况进行督察。协调查处全市自然资源开发利用、国土空间规划等领域重大违法案件。</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15.负责全市森林、湿地资源的监督管理。组织编制并监督执行全市森林采伐限额。负责林地管理，拟订林地保护利用规划并组织实施，组织实施公益林划定和管理工作，管理国有森林资源，承担林地征用、占用的申报和国有森林资源资产产权变动的审核报批工作。负责湿地生态保护修复工作，拟订全市湿地保护规划，监督管理湿地的开发利用。</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16.负责监督管理全市荒漠化防治工作。组织开展荒漠调查，组织拟订防沙治沙、石漠化防治及沙化土地封禁保护区建设规划并监督实施，监督管理沙化土地的开发利用，组织沙尘灾害预测预报和应急处置。</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17.负责全市陆生野生动植物资源监督管理。组织开展陆生野生动植物资源调查，指导陆生野生动植物的救护繁育、栖息地恢复发展、疫源疫病监测，监督管理陆生野生动植物猎捕或</w:t>
      </w:r>
      <w:r>
        <w:rPr>
          <w:rFonts w:hint="eastAsia" w:ascii="仿宋" w:hAnsi="仿宋" w:eastAsia="仿宋"/>
          <w:sz w:val="32"/>
          <w:szCs w:val="32"/>
          <w:lang w:eastAsia="zh-CN"/>
        </w:rPr>
        <w:t>采</w:t>
      </w:r>
      <w:r>
        <w:rPr>
          <w:rFonts w:hint="eastAsia" w:ascii="仿宋" w:hAnsi="仿宋" w:eastAsia="仿宋"/>
          <w:sz w:val="32"/>
          <w:szCs w:val="32"/>
        </w:rPr>
        <w:t>集、驯养繁殖或培植、经营利用，按分工监督管理野生动植物进出口。</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18.负责监督管理全市各类自然保护地。拟订各类自然保护地规划。负责国家公园申报设立、规划、建设和特许经营等工作，负责本级政府直接行使和代理行使全民所有权的国家公园等自然保护地的自然资源资产管理和国土空间用途管制。提出新建、调整各类自然保护地的审核建议并按程序报批。负责组织自然遗产的申报和监督管理。负责生物多样性保护相关工作。</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19.负责推进全市林业改革相关工作。拟订集体林权制国有林区、国有林场等重大改革意见并监督实施。拟订农村林业发展、维护林业经营者合法权益的政策措施。组织指导林地、林权管理，指导农村林地承包经营工作，监督林杈纠纷调处和林地承包合同纠纷仲裁。开展退耕还林，负责天然林保护工作。</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20.拟订全市林业资源优化配置及木材利用政策，组织指导林产品质量监督，指导山区林业综合开发和生态扶贫相关工作，推进全市林竹产业带和产业基地建设。指导林业现代园区建设、花卉、特色经济林、林下经济、森林康养和生态旅游产业发展。推进林业绿色产业发展。</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21.监督管理全市国有林场基本建设和发展，组织林木种质资源普查，组织建立种质资源库，负责良种选育推广，管理林木种苗经营行为，监管林木种苗质量。监督管理林业生物种质资源、转基因生物安全、植物新品种保护。</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22.监督管理全市林业项目资金和国有资产，提出林业各类预算内投资、市级以上财政性资金安排建议，按本级政府规定权限，核报、核准规划内和年度计划内投资项目。参与拟订全市林业经济调节政策，组织实施林业生态补偿工作。</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23.负责职责范围内的安全生产和职业健康、生态环境保护、审批服务便民化等工作。</w:t>
      </w:r>
    </w:p>
    <w:p>
      <w:pPr>
        <w:pageBreakBefore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24.完成市委、市政府交办的其他工作。</w:t>
      </w:r>
    </w:p>
    <w:p>
      <w:pPr>
        <w:pStyle w:val="6"/>
        <w:pageBreakBefore w:val="0"/>
        <w:kinsoku/>
        <w:wordWrap/>
        <w:overflowPunct/>
        <w:topLinePunct w:val="0"/>
        <w:autoSpaceDE/>
        <w:autoSpaceDN/>
        <w:bidi w:val="0"/>
        <w:adjustRightInd w:val="0"/>
        <w:snapToGrid w:val="0"/>
        <w:spacing w:before="93" w:line="580" w:lineRule="exact"/>
        <w:ind w:firstLine="672" w:firstLineChars="210"/>
        <w:textAlignment w:val="auto"/>
        <w:outlineLvl w:val="2"/>
        <w:rPr>
          <w:rFonts w:hint="eastAsia" w:ascii="楷体_GB2312" w:hAnsi="楷体_GB2312" w:eastAsia="楷体_GB2312" w:cs="楷体_GB2312"/>
          <w:sz w:val="32"/>
          <w:szCs w:val="32"/>
        </w:rPr>
      </w:pPr>
      <w:bookmarkStart w:id="18" w:name="_Toc15377199"/>
      <w:bookmarkStart w:id="19" w:name="_Toc15378446"/>
      <w:r>
        <w:rPr>
          <w:rFonts w:hint="eastAsia" w:ascii="楷体_GB2312" w:hAnsi="楷体_GB2312" w:eastAsia="楷体_GB2312" w:cs="楷体_GB2312"/>
          <w:bCs/>
          <w:color w:val="000000"/>
          <w:sz w:val="32"/>
          <w:szCs w:val="32"/>
        </w:rPr>
        <w:t>（二）2020年重点工作完成情况</w:t>
      </w:r>
      <w:bookmarkEnd w:id="18"/>
      <w:bookmarkEnd w:id="19"/>
      <w:bookmarkStart w:id="20" w:name="_Toc15396601"/>
      <w:bookmarkStart w:id="21" w:name="_Toc15377200"/>
    </w:p>
    <w:p>
      <w:pPr>
        <w:pageBreakBefore w:val="0"/>
        <w:kinsoku/>
        <w:wordWrap/>
        <w:overflowPunct/>
        <w:topLinePunct w:val="0"/>
        <w:autoSpaceDE/>
        <w:autoSpaceDN/>
        <w:bidi w:val="0"/>
        <w:spacing w:line="580" w:lineRule="exact"/>
        <w:ind w:firstLine="633" w:firstLineChars="198"/>
        <w:textAlignment w:val="auto"/>
        <w:rPr>
          <w:rFonts w:ascii="仿宋" w:hAnsi="仿宋" w:eastAsia="仿宋" w:cs="仿宋_GB2312"/>
          <w:b/>
          <w:bCs/>
          <w:sz w:val="32"/>
          <w:szCs w:val="32"/>
        </w:rPr>
      </w:pPr>
      <w:r>
        <w:rPr>
          <w:rFonts w:hint="eastAsia" w:ascii="仿宋" w:hAnsi="仿宋" w:eastAsia="仿宋" w:cs="仿宋"/>
          <w:sz w:val="32"/>
          <w:szCs w:val="32"/>
        </w:rPr>
        <w:t>按照自然资规〔2019〕1号文件要求，划定700公顷永久基本农田储备区，为基本农田纠错补划提供划定区域。开展补充耕地核查工作，新增耕地面积为727.1291公顷。大力开展生态环境建设，开展废弃露天矿山修复治理工作，实施“绿秀峨眉”行动 。依法实施土地征收和安置工作，开展征拆项目26个，完成新征收农村集体土地</w:t>
      </w:r>
      <w:r>
        <w:rPr>
          <w:rFonts w:hint="eastAsia" w:ascii="仿宋" w:hAnsi="仿宋" w:eastAsia="仿宋" w:cs="仿宋"/>
          <w:color w:val="000000" w:themeColor="text1"/>
          <w:sz w:val="32"/>
          <w:szCs w:val="32"/>
        </w:rPr>
        <w:t>315.9亩，签订房屋拆迁补偿安置协议430户，倒房344栋安置结算门市20间，安置25户82人；完成</w:t>
      </w:r>
      <w:r>
        <w:rPr>
          <w:rFonts w:hint="eastAsia" w:ascii="仿宋" w:hAnsi="仿宋" w:eastAsia="仿宋" w:cs="仿宋_GB2312"/>
          <w:sz w:val="32"/>
          <w:szCs w:val="32"/>
        </w:rPr>
        <w:t>自愿选择限价商品住房安置选房687户。</w:t>
      </w:r>
      <w:r>
        <w:rPr>
          <w:rFonts w:hint="eastAsia" w:ascii="仿宋" w:hAnsi="仿宋" w:eastAsia="仿宋" w:cs="仿宋"/>
          <w:color w:val="000000" w:themeColor="text1"/>
          <w:sz w:val="32"/>
          <w:szCs w:val="32"/>
        </w:rPr>
        <w:t>切实加强灾害防治</w:t>
      </w:r>
      <w:r>
        <w:rPr>
          <w:rFonts w:hint="eastAsia" w:ascii="仿宋" w:hAnsi="仿宋" w:eastAsia="仿宋" w:cs="仿宋"/>
          <w:sz w:val="32"/>
          <w:szCs w:val="32"/>
        </w:rPr>
        <w:t>开展完成全市（含景区）隐患排查，推动完成森林防灭火基础设施建设1期项目和全市取水点、停机坪标志标牌设立，全年</w:t>
      </w:r>
      <w:r>
        <w:rPr>
          <w:rFonts w:hint="eastAsia" w:ascii="仿宋" w:hAnsi="仿宋" w:eastAsia="仿宋"/>
          <w:color w:val="000000"/>
          <w:sz w:val="32"/>
          <w:szCs w:val="32"/>
        </w:rPr>
        <w:t>森林火灾控制率在0.1‰以内</w:t>
      </w:r>
      <w:r>
        <w:rPr>
          <w:rFonts w:hint="eastAsia" w:ascii="仿宋" w:hAnsi="仿宋" w:eastAsia="仿宋" w:cs="仿宋"/>
          <w:color w:val="000000" w:themeColor="text1"/>
          <w:sz w:val="32"/>
          <w:szCs w:val="32"/>
        </w:rPr>
        <w:t>完成地质灾害避险搬迁73户，核查销号隐患33处，指导实施应急处置4处，圆满实现安全度汛“零伤亡”目标。</w:t>
      </w:r>
    </w:p>
    <w:p>
      <w:pPr>
        <w:pStyle w:val="4"/>
        <w:pageBreakBefore w:val="0"/>
        <w:kinsoku/>
        <w:wordWrap/>
        <w:overflowPunct/>
        <w:topLinePunct w:val="0"/>
        <w:autoSpaceDE/>
        <w:autoSpaceDN/>
        <w:bidi w:val="0"/>
        <w:spacing w:line="580" w:lineRule="exact"/>
        <w:ind w:firstLine="640" w:firstLineChars="200"/>
        <w:textAlignment w:val="auto"/>
        <w:rPr>
          <w:rStyle w:val="17"/>
          <w:rFonts w:hint="eastAsia" w:ascii="黑体" w:hAnsi="黑体" w:eastAsia="黑体" w:cs="黑体"/>
          <w:b w:val="0"/>
          <w:bCs w:val="0"/>
        </w:rPr>
      </w:pPr>
      <w:r>
        <w:rPr>
          <w:rFonts w:hint="eastAsia" w:ascii="黑体" w:hAnsi="黑体" w:eastAsia="黑体" w:cs="黑体"/>
          <w:b w:val="0"/>
          <w:color w:val="000000"/>
        </w:rPr>
        <w:t>二、机</w:t>
      </w:r>
      <w:r>
        <w:rPr>
          <w:rStyle w:val="17"/>
          <w:rFonts w:hint="eastAsia" w:ascii="黑体" w:hAnsi="黑体" w:eastAsia="黑体" w:cs="黑体"/>
          <w:b w:val="0"/>
          <w:bCs w:val="0"/>
        </w:rPr>
        <w:t>构设置</w:t>
      </w:r>
      <w:bookmarkEnd w:id="20"/>
      <w:bookmarkEnd w:id="21"/>
    </w:p>
    <w:p>
      <w:pPr>
        <w:pageBreakBefore w:val="0"/>
        <w:kinsoku/>
        <w:wordWrap/>
        <w:overflowPunct/>
        <w:topLinePunct w:val="0"/>
        <w:autoSpaceDE/>
        <w:autoSpaceDN/>
        <w:bidi w:val="0"/>
        <w:spacing w:line="580" w:lineRule="exact"/>
        <w:ind w:firstLine="800" w:firstLineChars="250"/>
        <w:textAlignment w:val="auto"/>
        <w:rPr>
          <w:rFonts w:ascii="仿宋" w:hAnsi="仿宋" w:eastAsia="仿宋"/>
          <w:sz w:val="32"/>
          <w:szCs w:val="32"/>
        </w:rPr>
      </w:pPr>
      <w:r>
        <w:rPr>
          <w:rFonts w:hint="eastAsia" w:ascii="仿宋" w:hAnsi="仿宋" w:eastAsia="仿宋"/>
          <w:sz w:val="32"/>
          <w:szCs w:val="32"/>
        </w:rPr>
        <w:t>峨眉山市自然资源部门下属二级单位19个，其中行政单位0个，参照公务员法管理的事业单位</w:t>
      </w:r>
      <w:r>
        <w:rPr>
          <w:rFonts w:hint="eastAsia" w:ascii="仿宋" w:hAnsi="仿宋" w:eastAsia="仿宋"/>
          <w:bCs/>
          <w:sz w:val="32"/>
          <w:szCs w:val="32"/>
        </w:rPr>
        <w:t>1</w:t>
      </w:r>
      <w:r>
        <w:rPr>
          <w:rFonts w:hint="eastAsia" w:ascii="仿宋" w:hAnsi="仿宋" w:eastAsia="仿宋"/>
          <w:sz w:val="32"/>
          <w:szCs w:val="32"/>
        </w:rPr>
        <w:t>个，其他事业单位18个。</w:t>
      </w:r>
    </w:p>
    <w:p>
      <w:pPr>
        <w:pStyle w:val="6"/>
        <w:pageBreakBefore w:val="0"/>
        <w:kinsoku/>
        <w:wordWrap/>
        <w:overflowPunct/>
        <w:topLinePunct w:val="0"/>
        <w:autoSpaceDE/>
        <w:autoSpaceDN/>
        <w:bidi w:val="0"/>
        <w:adjustRightInd w:val="0"/>
        <w:snapToGrid w:val="0"/>
        <w:spacing w:before="93" w:line="580" w:lineRule="exact"/>
        <w:ind w:firstLine="672" w:firstLineChars="210"/>
        <w:textAlignment w:val="auto"/>
        <w:rPr>
          <w:rFonts w:ascii="仿宋" w:hAnsi="仿宋" w:eastAsia="仿宋"/>
          <w:color w:val="000000"/>
          <w:sz w:val="32"/>
          <w:szCs w:val="32"/>
        </w:rPr>
      </w:pPr>
      <w:r>
        <w:rPr>
          <w:rFonts w:hint="eastAsia" w:ascii="仿宋" w:hAnsi="仿宋" w:eastAsia="仿宋"/>
          <w:color w:val="000000"/>
          <w:sz w:val="32"/>
          <w:szCs w:val="32"/>
        </w:rPr>
        <w:t>纳入自然资源系统2020年度部门决算编制范围的二级预算单位包括：</w:t>
      </w:r>
    </w:p>
    <w:p>
      <w:pPr>
        <w:pStyle w:val="6"/>
        <w:pageBreakBefore w:val="0"/>
        <w:kinsoku/>
        <w:wordWrap/>
        <w:overflowPunct/>
        <w:topLinePunct w:val="0"/>
        <w:autoSpaceDE/>
        <w:autoSpaceDN/>
        <w:bidi w:val="0"/>
        <w:adjustRightInd w:val="0"/>
        <w:snapToGrid w:val="0"/>
        <w:spacing w:before="93" w:line="580" w:lineRule="exact"/>
        <w:ind w:left="672"/>
        <w:textAlignment w:val="auto"/>
        <w:outlineLvl w:val="2"/>
        <w:rPr>
          <w:rFonts w:ascii="仿宋" w:hAnsi="仿宋" w:eastAsia="仿宋"/>
          <w:color w:val="000000"/>
          <w:sz w:val="32"/>
          <w:szCs w:val="32"/>
        </w:rPr>
      </w:pPr>
      <w:bookmarkStart w:id="22" w:name="_Toc15306276"/>
      <w:bookmarkStart w:id="23" w:name="_Toc15378449"/>
      <w:bookmarkStart w:id="24" w:name="_Toc15377433"/>
      <w:bookmarkStart w:id="25" w:name="_Toc15377202"/>
      <w:r>
        <w:rPr>
          <w:rFonts w:hint="eastAsia" w:ascii="仿宋" w:hAnsi="仿宋" w:eastAsia="仿宋"/>
          <w:color w:val="000000"/>
          <w:sz w:val="32"/>
          <w:szCs w:val="32"/>
        </w:rPr>
        <w:t>1</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w:t>
      </w:r>
      <w:r>
        <w:rPr>
          <w:rFonts w:hint="eastAsia" w:ascii="仿宋" w:hAnsi="仿宋" w:eastAsia="仿宋"/>
          <w:sz w:val="32"/>
          <w:szCs w:val="32"/>
        </w:rPr>
        <w:t>国土资源执法监察大队</w:t>
      </w:r>
      <w:bookmarkEnd w:id="22"/>
      <w:bookmarkEnd w:id="23"/>
      <w:bookmarkEnd w:id="24"/>
      <w:bookmarkEnd w:id="25"/>
    </w:p>
    <w:p>
      <w:pPr>
        <w:pStyle w:val="6"/>
        <w:pageBreakBefore w:val="0"/>
        <w:kinsoku/>
        <w:wordWrap/>
        <w:overflowPunct/>
        <w:topLinePunct w:val="0"/>
        <w:autoSpaceDE/>
        <w:autoSpaceDN/>
        <w:bidi w:val="0"/>
        <w:adjustRightInd w:val="0"/>
        <w:snapToGrid w:val="0"/>
        <w:spacing w:before="93" w:line="58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w:t>
      </w:r>
      <w:r>
        <w:rPr>
          <w:rFonts w:hint="eastAsia" w:ascii="仿宋" w:hAnsi="仿宋" w:eastAsia="仿宋"/>
          <w:sz w:val="32"/>
          <w:szCs w:val="32"/>
        </w:rPr>
        <w:t>符溪国土资源所</w:t>
      </w:r>
    </w:p>
    <w:p>
      <w:pPr>
        <w:pStyle w:val="6"/>
        <w:pageBreakBefore w:val="0"/>
        <w:kinsoku/>
        <w:wordWrap/>
        <w:overflowPunct/>
        <w:topLinePunct w:val="0"/>
        <w:autoSpaceDE/>
        <w:autoSpaceDN/>
        <w:bidi w:val="0"/>
        <w:adjustRightInd w:val="0"/>
        <w:snapToGrid w:val="0"/>
        <w:spacing w:before="93" w:line="58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3</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w:t>
      </w:r>
      <w:r>
        <w:rPr>
          <w:rFonts w:hint="eastAsia" w:ascii="仿宋" w:hAnsi="仿宋" w:eastAsia="仿宋"/>
          <w:sz w:val="32"/>
          <w:szCs w:val="32"/>
        </w:rPr>
        <w:t>峨山国土资源所</w:t>
      </w:r>
    </w:p>
    <w:p>
      <w:pPr>
        <w:pStyle w:val="6"/>
        <w:pageBreakBefore w:val="0"/>
        <w:kinsoku/>
        <w:wordWrap/>
        <w:overflowPunct/>
        <w:topLinePunct w:val="0"/>
        <w:autoSpaceDE/>
        <w:autoSpaceDN/>
        <w:bidi w:val="0"/>
        <w:adjustRightInd w:val="0"/>
        <w:snapToGrid w:val="0"/>
        <w:spacing w:before="93" w:line="58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4</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w:t>
      </w:r>
      <w:r>
        <w:rPr>
          <w:rFonts w:hint="eastAsia" w:ascii="仿宋" w:hAnsi="仿宋" w:eastAsia="仿宋"/>
          <w:sz w:val="32"/>
          <w:szCs w:val="32"/>
        </w:rPr>
        <w:t>九里国土资源所</w:t>
      </w:r>
    </w:p>
    <w:p>
      <w:pPr>
        <w:pStyle w:val="6"/>
        <w:pageBreakBefore w:val="0"/>
        <w:kinsoku/>
        <w:wordWrap/>
        <w:overflowPunct/>
        <w:topLinePunct w:val="0"/>
        <w:autoSpaceDE/>
        <w:autoSpaceDN/>
        <w:bidi w:val="0"/>
        <w:adjustRightInd w:val="0"/>
        <w:snapToGrid w:val="0"/>
        <w:spacing w:before="93" w:line="58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5</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w:t>
      </w:r>
      <w:r>
        <w:rPr>
          <w:rFonts w:hint="eastAsia" w:ascii="仿宋" w:hAnsi="仿宋" w:eastAsia="仿宋"/>
          <w:sz w:val="32"/>
          <w:szCs w:val="32"/>
        </w:rPr>
        <w:t>双福国土资源所</w:t>
      </w:r>
    </w:p>
    <w:p>
      <w:pPr>
        <w:pStyle w:val="6"/>
        <w:pageBreakBefore w:val="0"/>
        <w:kinsoku/>
        <w:wordWrap/>
        <w:overflowPunct/>
        <w:topLinePunct w:val="0"/>
        <w:autoSpaceDE/>
        <w:autoSpaceDN/>
        <w:bidi w:val="0"/>
        <w:adjustRightInd w:val="0"/>
        <w:snapToGrid w:val="0"/>
        <w:spacing w:before="93" w:line="58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6</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w:t>
      </w:r>
      <w:r>
        <w:rPr>
          <w:rFonts w:hint="eastAsia" w:ascii="仿宋" w:hAnsi="仿宋" w:eastAsia="仿宋"/>
          <w:sz w:val="32"/>
          <w:szCs w:val="32"/>
        </w:rPr>
        <w:t>龙池国土资源所</w:t>
      </w:r>
    </w:p>
    <w:p>
      <w:pPr>
        <w:pStyle w:val="6"/>
        <w:pageBreakBefore w:val="0"/>
        <w:kinsoku/>
        <w:wordWrap/>
        <w:overflowPunct/>
        <w:topLinePunct w:val="0"/>
        <w:autoSpaceDE/>
        <w:autoSpaceDN/>
        <w:bidi w:val="0"/>
        <w:adjustRightInd w:val="0"/>
        <w:snapToGrid w:val="0"/>
        <w:spacing w:before="93" w:line="58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7</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w:t>
      </w:r>
      <w:r>
        <w:rPr>
          <w:rFonts w:hint="eastAsia" w:ascii="仿宋" w:hAnsi="仿宋" w:eastAsia="仿宋"/>
          <w:sz w:val="32"/>
          <w:szCs w:val="32"/>
        </w:rPr>
        <w:t>黄湾国土资源所</w:t>
      </w:r>
    </w:p>
    <w:p>
      <w:pPr>
        <w:pStyle w:val="6"/>
        <w:pageBreakBefore w:val="0"/>
        <w:kinsoku/>
        <w:wordWrap/>
        <w:overflowPunct/>
        <w:topLinePunct w:val="0"/>
        <w:autoSpaceDE/>
        <w:autoSpaceDN/>
        <w:bidi w:val="0"/>
        <w:adjustRightInd w:val="0"/>
        <w:snapToGrid w:val="0"/>
        <w:spacing w:before="93" w:line="58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8</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w:t>
      </w:r>
      <w:r>
        <w:rPr>
          <w:rFonts w:hint="eastAsia" w:ascii="仿宋" w:hAnsi="仿宋" w:eastAsia="仿宋"/>
          <w:sz w:val="32"/>
          <w:szCs w:val="32"/>
        </w:rPr>
        <w:t>地质环境监测站</w:t>
      </w:r>
    </w:p>
    <w:p>
      <w:pPr>
        <w:pStyle w:val="6"/>
        <w:pageBreakBefore w:val="0"/>
        <w:kinsoku/>
        <w:wordWrap/>
        <w:overflowPunct/>
        <w:topLinePunct w:val="0"/>
        <w:autoSpaceDE/>
        <w:autoSpaceDN/>
        <w:bidi w:val="0"/>
        <w:adjustRightInd w:val="0"/>
        <w:snapToGrid w:val="0"/>
        <w:spacing w:before="93" w:line="58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9</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w:t>
      </w:r>
      <w:r>
        <w:rPr>
          <w:rFonts w:hint="eastAsia" w:ascii="仿宋" w:hAnsi="仿宋" w:eastAsia="仿宋"/>
          <w:sz w:val="32"/>
          <w:szCs w:val="32"/>
        </w:rPr>
        <w:t>林业科技服务站</w:t>
      </w:r>
    </w:p>
    <w:p>
      <w:pPr>
        <w:pStyle w:val="6"/>
        <w:pageBreakBefore w:val="0"/>
        <w:kinsoku/>
        <w:wordWrap/>
        <w:overflowPunct/>
        <w:topLinePunct w:val="0"/>
        <w:autoSpaceDE/>
        <w:autoSpaceDN/>
        <w:bidi w:val="0"/>
        <w:adjustRightInd w:val="0"/>
        <w:snapToGrid w:val="0"/>
        <w:spacing w:before="93" w:line="58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10</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w:t>
      </w:r>
      <w:r>
        <w:rPr>
          <w:rFonts w:hint="eastAsia" w:ascii="仿宋" w:hAnsi="仿宋" w:eastAsia="仿宋"/>
          <w:sz w:val="32"/>
          <w:szCs w:val="32"/>
        </w:rPr>
        <w:t>护林防火监测站</w:t>
      </w:r>
    </w:p>
    <w:p>
      <w:pPr>
        <w:pStyle w:val="6"/>
        <w:pageBreakBefore w:val="0"/>
        <w:kinsoku/>
        <w:wordWrap/>
        <w:overflowPunct/>
        <w:topLinePunct w:val="0"/>
        <w:autoSpaceDE/>
        <w:autoSpaceDN/>
        <w:bidi w:val="0"/>
        <w:adjustRightInd w:val="0"/>
        <w:snapToGrid w:val="0"/>
        <w:spacing w:before="93" w:line="58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rPr>
        <w:t>11</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w:t>
      </w:r>
      <w:r>
        <w:rPr>
          <w:rFonts w:hint="eastAsia" w:ascii="仿宋" w:hAnsi="仿宋" w:eastAsia="仿宋"/>
          <w:sz w:val="32"/>
          <w:szCs w:val="32"/>
        </w:rPr>
        <w:t>木材检查站</w:t>
      </w:r>
    </w:p>
    <w:p>
      <w:pPr>
        <w:pStyle w:val="6"/>
        <w:pageBreakBefore w:val="0"/>
        <w:kinsoku/>
        <w:wordWrap/>
        <w:overflowPunct/>
        <w:topLinePunct w:val="0"/>
        <w:autoSpaceDE/>
        <w:autoSpaceDN/>
        <w:bidi w:val="0"/>
        <w:adjustRightInd w:val="0"/>
        <w:snapToGrid w:val="0"/>
        <w:spacing w:before="93" w:line="580" w:lineRule="exact"/>
        <w:ind w:firstLine="640"/>
        <w:textAlignment w:val="auto"/>
        <w:rPr>
          <w:rFonts w:ascii="仿宋" w:hAnsi="仿宋" w:eastAsia="仿宋"/>
          <w:sz w:val="32"/>
          <w:szCs w:val="32"/>
        </w:rPr>
      </w:pPr>
      <w:r>
        <w:rPr>
          <w:rFonts w:hint="eastAsia" w:ascii="仿宋" w:hAnsi="仿宋" w:eastAsia="仿宋"/>
          <w:color w:val="000000"/>
          <w:sz w:val="32"/>
          <w:szCs w:val="32"/>
        </w:rPr>
        <w:t>12</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w:t>
      </w:r>
      <w:r>
        <w:rPr>
          <w:rFonts w:hint="eastAsia" w:ascii="仿宋" w:hAnsi="仿宋" w:eastAsia="仿宋"/>
          <w:sz w:val="32"/>
          <w:szCs w:val="32"/>
        </w:rPr>
        <w:t>森林资源服务站</w:t>
      </w:r>
    </w:p>
    <w:p>
      <w:pPr>
        <w:pStyle w:val="6"/>
        <w:pageBreakBefore w:val="0"/>
        <w:kinsoku/>
        <w:wordWrap/>
        <w:overflowPunct/>
        <w:topLinePunct w:val="0"/>
        <w:autoSpaceDE/>
        <w:autoSpaceDN/>
        <w:bidi w:val="0"/>
        <w:adjustRightInd w:val="0"/>
        <w:snapToGrid w:val="0"/>
        <w:spacing w:before="93" w:line="580" w:lineRule="exact"/>
        <w:ind w:firstLine="640"/>
        <w:textAlignment w:val="auto"/>
        <w:rPr>
          <w:rFonts w:ascii="仿宋" w:hAnsi="仿宋" w:eastAsia="仿宋"/>
          <w:sz w:val="32"/>
          <w:szCs w:val="32"/>
        </w:rPr>
      </w:pPr>
      <w:r>
        <w:rPr>
          <w:rFonts w:hint="eastAsia" w:ascii="仿宋" w:hAnsi="仿宋" w:eastAsia="仿宋"/>
          <w:sz w:val="32"/>
          <w:szCs w:val="32"/>
        </w:rPr>
        <w:t>13</w:t>
      </w:r>
      <w:r>
        <w:rPr>
          <w:rFonts w:hint="eastAsia" w:ascii="仿宋" w:hAnsi="仿宋" w:eastAsia="仿宋"/>
          <w:sz w:val="32"/>
          <w:szCs w:val="32"/>
          <w:lang w:val="en-US" w:eastAsia="zh-CN"/>
        </w:rPr>
        <w:t>.</w:t>
      </w:r>
      <w:r>
        <w:rPr>
          <w:rFonts w:hint="eastAsia" w:ascii="仿宋" w:hAnsi="仿宋" w:eastAsia="仿宋"/>
          <w:sz w:val="32"/>
          <w:szCs w:val="32"/>
        </w:rPr>
        <w:t>峨眉山市林业管理所</w:t>
      </w:r>
    </w:p>
    <w:p>
      <w:pPr>
        <w:pageBreakBefore w:val="0"/>
        <w:widowControl/>
        <w:kinsoku/>
        <w:wordWrap/>
        <w:overflowPunct/>
        <w:topLinePunct w:val="0"/>
        <w:autoSpaceDE/>
        <w:autoSpaceDN/>
        <w:bidi w:val="0"/>
        <w:spacing w:line="580" w:lineRule="exact"/>
        <w:ind w:firstLine="640"/>
        <w:jc w:val="left"/>
        <w:textAlignment w:val="auto"/>
        <w:rPr>
          <w:rFonts w:ascii="仿宋" w:hAnsi="仿宋" w:eastAsia="仿宋"/>
          <w:color w:val="000000"/>
          <w:sz w:val="32"/>
          <w:szCs w:val="32"/>
        </w:rPr>
      </w:pPr>
      <w:r>
        <w:rPr>
          <w:rFonts w:hint="eastAsia" w:ascii="仿宋" w:hAnsi="仿宋" w:eastAsia="仿宋"/>
          <w:color w:val="000000"/>
          <w:sz w:val="32"/>
          <w:szCs w:val="32"/>
        </w:rPr>
        <w:t>14</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峨眉山市国有林场</w:t>
      </w:r>
    </w:p>
    <w:p>
      <w:pPr>
        <w:pageBreakBefore w:val="0"/>
        <w:widowControl/>
        <w:kinsoku/>
        <w:wordWrap/>
        <w:overflowPunct/>
        <w:topLinePunct w:val="0"/>
        <w:autoSpaceDE/>
        <w:autoSpaceDN/>
        <w:bidi w:val="0"/>
        <w:spacing w:line="580" w:lineRule="exact"/>
        <w:ind w:firstLine="640"/>
        <w:jc w:val="left"/>
        <w:textAlignment w:val="auto"/>
        <w:rPr>
          <w:rFonts w:ascii="仿宋" w:hAnsi="仿宋" w:eastAsia="仿宋"/>
          <w:color w:val="000000"/>
          <w:sz w:val="32"/>
          <w:szCs w:val="32"/>
        </w:rPr>
      </w:pPr>
      <w:r>
        <w:rPr>
          <w:rFonts w:hint="eastAsia" w:ascii="仿宋" w:hAnsi="仿宋" w:eastAsia="仿宋"/>
          <w:color w:val="000000"/>
          <w:sz w:val="32"/>
          <w:szCs w:val="32"/>
        </w:rPr>
        <w:t>15</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峨眉山市不动产登记服务中心</w:t>
      </w:r>
    </w:p>
    <w:p>
      <w:pPr>
        <w:pageBreakBefore w:val="0"/>
        <w:widowControl/>
        <w:kinsoku/>
        <w:wordWrap/>
        <w:overflowPunct/>
        <w:topLinePunct w:val="0"/>
        <w:autoSpaceDE/>
        <w:autoSpaceDN/>
        <w:bidi w:val="0"/>
        <w:spacing w:line="580" w:lineRule="exact"/>
        <w:ind w:firstLine="640"/>
        <w:jc w:val="left"/>
        <w:textAlignment w:val="auto"/>
        <w:rPr>
          <w:rFonts w:ascii="仿宋" w:hAnsi="仿宋" w:eastAsia="仿宋"/>
          <w:color w:val="000000"/>
          <w:sz w:val="32"/>
          <w:szCs w:val="32"/>
        </w:rPr>
      </w:pPr>
      <w:r>
        <w:rPr>
          <w:rFonts w:hint="eastAsia" w:ascii="仿宋" w:hAnsi="仿宋" w:eastAsia="仿宋"/>
          <w:color w:val="000000"/>
          <w:sz w:val="32"/>
          <w:szCs w:val="32"/>
        </w:rPr>
        <w:t>16</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峨眉山市土地和房屋征收服务中心</w:t>
      </w:r>
    </w:p>
    <w:p>
      <w:pPr>
        <w:pageBreakBefore w:val="0"/>
        <w:widowControl/>
        <w:kinsoku/>
        <w:wordWrap/>
        <w:overflowPunct/>
        <w:topLinePunct w:val="0"/>
        <w:autoSpaceDE/>
        <w:autoSpaceDN/>
        <w:bidi w:val="0"/>
        <w:spacing w:line="580" w:lineRule="exact"/>
        <w:ind w:firstLine="640"/>
        <w:jc w:val="left"/>
        <w:textAlignment w:val="auto"/>
        <w:rPr>
          <w:rFonts w:ascii="仿宋" w:hAnsi="仿宋" w:eastAsia="仿宋"/>
          <w:color w:val="000000"/>
          <w:sz w:val="32"/>
          <w:szCs w:val="32"/>
        </w:rPr>
      </w:pPr>
      <w:r>
        <w:rPr>
          <w:rFonts w:hint="eastAsia" w:ascii="仿宋" w:hAnsi="仿宋" w:eastAsia="仿宋"/>
          <w:color w:val="000000"/>
          <w:sz w:val="32"/>
          <w:szCs w:val="32"/>
        </w:rPr>
        <w:t>17</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峨眉山市规划服务中心</w:t>
      </w:r>
    </w:p>
    <w:p>
      <w:pPr>
        <w:pageBreakBefore w:val="0"/>
        <w:widowControl/>
        <w:kinsoku/>
        <w:wordWrap/>
        <w:overflowPunct/>
        <w:topLinePunct w:val="0"/>
        <w:autoSpaceDE/>
        <w:autoSpaceDN/>
        <w:bidi w:val="0"/>
        <w:spacing w:line="580" w:lineRule="exact"/>
        <w:ind w:firstLine="640"/>
        <w:jc w:val="left"/>
        <w:textAlignment w:val="auto"/>
        <w:rPr>
          <w:rFonts w:ascii="仿宋" w:hAnsi="仿宋" w:eastAsia="仿宋"/>
          <w:color w:val="000000"/>
          <w:sz w:val="32"/>
          <w:szCs w:val="32"/>
        </w:rPr>
      </w:pPr>
      <w:r>
        <w:rPr>
          <w:rFonts w:hint="eastAsia" w:ascii="仿宋" w:hAnsi="仿宋" w:eastAsia="仿宋"/>
          <w:color w:val="000000"/>
          <w:sz w:val="32"/>
          <w:szCs w:val="32"/>
        </w:rPr>
        <w:t>18</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峨眉山市土地储备整理中心</w:t>
      </w:r>
    </w:p>
    <w:p>
      <w:pPr>
        <w:pageBreakBefore w:val="0"/>
        <w:widowControl/>
        <w:kinsoku/>
        <w:wordWrap/>
        <w:overflowPunct/>
        <w:topLinePunct w:val="0"/>
        <w:autoSpaceDE/>
        <w:autoSpaceDN/>
        <w:bidi w:val="0"/>
        <w:spacing w:line="580" w:lineRule="exact"/>
        <w:ind w:firstLine="640"/>
        <w:jc w:val="left"/>
        <w:textAlignment w:val="auto"/>
        <w:rPr>
          <w:rFonts w:ascii="仿宋" w:hAnsi="仿宋" w:eastAsia="仿宋"/>
          <w:color w:val="000000"/>
          <w:kern w:val="0"/>
          <w:sz w:val="32"/>
          <w:szCs w:val="32"/>
        </w:rPr>
      </w:pPr>
      <w:r>
        <w:rPr>
          <w:rFonts w:hint="eastAsia" w:ascii="仿宋" w:hAnsi="仿宋" w:eastAsia="仿宋"/>
          <w:color w:val="000000"/>
          <w:sz w:val="32"/>
          <w:szCs w:val="32"/>
        </w:rPr>
        <w:t>19</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峨眉山市国土事务所</w:t>
      </w:r>
      <w:r>
        <w:rPr>
          <w:rFonts w:ascii="仿宋" w:hAnsi="仿宋" w:eastAsia="仿宋"/>
          <w:color w:val="000000"/>
          <w:sz w:val="32"/>
          <w:szCs w:val="32"/>
        </w:rPr>
        <w:br w:type="page"/>
      </w:r>
    </w:p>
    <w:p>
      <w:pPr>
        <w:pStyle w:val="3"/>
        <w:ind w:right="440"/>
        <w:jc w:val="right"/>
        <w:rPr>
          <w:rStyle w:val="16"/>
          <w:rFonts w:hint="eastAsia" w:ascii="黑体" w:hAnsi="黑体" w:eastAsia="黑体" w:cs="黑体"/>
          <w:b w:val="0"/>
          <w:bCs w:val="0"/>
        </w:rPr>
      </w:pPr>
      <w:bookmarkStart w:id="26" w:name="_Toc15377204"/>
      <w:bookmarkStart w:id="27" w:name="_Toc15396602"/>
      <w:r>
        <w:rPr>
          <w:rFonts w:hint="eastAsia" w:ascii="方正小标宋_GBK" w:hAnsi="方正小标宋_GBK" w:eastAsia="方正小标宋_GBK" w:cs="方正小标宋_GBK"/>
          <w:b w:val="0"/>
          <w:color w:val="000000"/>
        </w:rPr>
        <w:t>第二部分</w:t>
      </w:r>
      <w:r>
        <w:rPr>
          <w:rFonts w:hint="eastAsia" w:ascii="方正小标宋_GBK" w:hAnsi="方正小标宋_GBK" w:eastAsia="方正小标宋_GBK" w:cs="方正小标宋_GBK"/>
          <w:color w:val="000000"/>
        </w:rPr>
        <w:t xml:space="preserve"> </w:t>
      </w:r>
      <w:r>
        <w:rPr>
          <w:rStyle w:val="16"/>
          <w:rFonts w:hint="eastAsia" w:ascii="方正小标宋_GBK" w:hAnsi="方正小标宋_GBK" w:eastAsia="方正小标宋_GBK" w:cs="方正小标宋_GBK"/>
          <w:b w:val="0"/>
          <w:bCs w:val="0"/>
        </w:rPr>
        <w:t>2020年度部门决算情况说明</w:t>
      </w:r>
      <w:bookmarkEnd w:id="26"/>
      <w:bookmarkEnd w:id="27"/>
    </w:p>
    <w:p>
      <w:pPr>
        <w:rPr>
          <w:rFonts w:ascii="仿宋" w:hAnsi="仿宋" w:eastAsia="仿宋"/>
        </w:rPr>
      </w:pPr>
    </w:p>
    <w:p>
      <w:pPr>
        <w:pStyle w:val="18"/>
        <w:numPr>
          <w:ilvl w:val="0"/>
          <w:numId w:val="3"/>
        </w:numPr>
        <w:spacing w:line="600" w:lineRule="exact"/>
        <w:ind w:firstLineChars="0"/>
        <w:outlineLvl w:val="1"/>
        <w:rPr>
          <w:rStyle w:val="17"/>
          <w:rFonts w:hint="eastAsia" w:ascii="黑体" w:hAnsi="黑体" w:eastAsia="黑体" w:cs="黑体"/>
          <w:b w:val="0"/>
        </w:rPr>
      </w:pPr>
      <w:bookmarkStart w:id="28" w:name="_Toc15396603"/>
      <w:bookmarkStart w:id="29" w:name="_Toc15377205"/>
      <w:r>
        <w:rPr>
          <w:rFonts w:hint="eastAsia" w:ascii="黑体" w:hAnsi="黑体" w:eastAsia="黑体" w:cs="黑体"/>
          <w:color w:val="000000"/>
          <w:sz w:val="32"/>
          <w:szCs w:val="32"/>
        </w:rPr>
        <w:t>收</w:t>
      </w:r>
      <w:r>
        <w:rPr>
          <w:rStyle w:val="17"/>
          <w:rFonts w:hint="eastAsia" w:ascii="黑体" w:hAnsi="黑体" w:eastAsia="黑体" w:cs="黑体"/>
          <w:b w:val="0"/>
        </w:rPr>
        <w:t>入支出决算总体情况说明</w:t>
      </w:r>
      <w:bookmarkEnd w:id="28"/>
      <w:bookmarkEnd w:id="29"/>
    </w:p>
    <w:p>
      <w:pPr>
        <w:spacing w:line="600" w:lineRule="exact"/>
        <w:ind w:firstLine="640" w:firstLineChars="200"/>
        <w:rPr>
          <w:rFonts w:ascii="仿宋" w:hAnsi="仿宋" w:eastAsia="仿宋"/>
          <w:color w:val="000000"/>
          <w:sz w:val="32"/>
          <w:szCs w:val="32"/>
          <w:highlight w:val="yellow"/>
        </w:rPr>
      </w:pPr>
      <w:r>
        <w:rPr>
          <w:rFonts w:hint="eastAsia" w:ascii="仿宋" w:hAnsi="仿宋" w:eastAsia="仿宋"/>
          <w:color w:val="000000"/>
          <w:sz w:val="32"/>
          <w:szCs w:val="32"/>
        </w:rPr>
        <w:t>2020年度收、支总计172669.87万元。与2019年相比，收、支总计各增加52428.15万元，增加30.36</w:t>
      </w:r>
      <w:r>
        <w:rPr>
          <w:rFonts w:ascii="仿宋" w:hAnsi="仿宋" w:eastAsia="仿宋"/>
          <w:color w:val="000000"/>
          <w:sz w:val="32"/>
          <w:szCs w:val="32"/>
        </w:rPr>
        <w:t>%</w:t>
      </w:r>
      <w:r>
        <w:rPr>
          <w:rFonts w:hint="eastAsia" w:ascii="仿宋" w:hAnsi="仿宋" w:eastAsia="仿宋"/>
          <w:color w:val="000000"/>
          <w:sz w:val="32"/>
          <w:szCs w:val="32"/>
        </w:rPr>
        <w:t>。主要变动原因一是土地和房屋征收服务中心新增限价商品房安置补偿，二是土地储备整理中土地收储增加。</w:t>
      </w:r>
    </w:p>
    <w:p>
      <w:pPr>
        <w:rPr>
          <w:rFonts w:ascii="仿宋" w:hAnsi="仿宋" w:eastAsia="仿宋"/>
        </w:rPr>
      </w:pPr>
      <w:r>
        <w:rPr>
          <w:rFonts w:hint="eastAsia" w:ascii="仿宋" w:hAnsi="仿宋" w:eastAsia="仿宋"/>
        </w:rPr>
        <w:t xml:space="preserve">       </w:t>
      </w:r>
      <w:r>
        <w:rPr>
          <w:rFonts w:hint="eastAsia" w:ascii="仿宋" w:hAnsi="仿宋" w:eastAsia="仿宋"/>
        </w:rPr>
        <w:drawing>
          <wp:inline distT="0" distB="0" distL="114300" distR="114300">
            <wp:extent cx="4559935" cy="3875405"/>
            <wp:effectExtent l="4445" t="5080" r="7620" b="57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8"/>
        <w:numPr>
          <w:ilvl w:val="0"/>
          <w:numId w:val="3"/>
        </w:numPr>
        <w:spacing w:line="600" w:lineRule="exact"/>
        <w:ind w:firstLineChars="0"/>
        <w:outlineLvl w:val="1"/>
        <w:rPr>
          <w:rStyle w:val="17"/>
          <w:rFonts w:hint="eastAsia" w:ascii="黑体" w:hAnsi="黑体" w:eastAsia="黑体" w:cs="黑体"/>
          <w:b w:val="0"/>
        </w:rPr>
      </w:pPr>
      <w:bookmarkStart w:id="30" w:name="_Toc15377206"/>
      <w:bookmarkStart w:id="31" w:name="_Toc15396604"/>
      <w:r>
        <w:rPr>
          <w:rFonts w:hint="eastAsia" w:ascii="黑体" w:hAnsi="黑体" w:eastAsia="黑体" w:cs="黑体"/>
          <w:color w:val="000000"/>
          <w:sz w:val="32"/>
          <w:szCs w:val="32"/>
        </w:rPr>
        <w:t>收</w:t>
      </w:r>
      <w:r>
        <w:rPr>
          <w:rStyle w:val="17"/>
          <w:rFonts w:hint="eastAsia" w:ascii="黑体" w:hAnsi="黑体" w:eastAsia="黑体" w:cs="黑体"/>
          <w:b w:val="0"/>
        </w:rPr>
        <w:t>入决算情况说明</w:t>
      </w:r>
      <w:bookmarkEnd w:id="30"/>
      <w:bookmarkEnd w:id="31"/>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20年本年收入合计166997.86万元，其中：一般公共预算财政拨款收入</w:t>
      </w:r>
      <w:r>
        <w:rPr>
          <w:rFonts w:hint="eastAsia" w:ascii="仿宋" w:hAnsi="仿宋" w:eastAsia="仿宋"/>
          <w:sz w:val="32"/>
        </w:rPr>
        <w:t>6,332.24</w:t>
      </w:r>
      <w:r>
        <w:rPr>
          <w:rFonts w:hint="eastAsia" w:ascii="仿宋" w:hAnsi="仿宋" w:eastAsia="仿宋"/>
          <w:color w:val="000000"/>
          <w:sz w:val="32"/>
          <w:szCs w:val="32"/>
        </w:rPr>
        <w:t>万元，占3.79</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sz w:val="32"/>
        </w:rPr>
        <w:t>160,665.5</w:t>
      </w:r>
      <w:r>
        <w:rPr>
          <w:rFonts w:hint="eastAsia" w:ascii="仿宋" w:hAnsi="仿宋" w:eastAsia="仿宋"/>
          <w:color w:val="000000"/>
          <w:sz w:val="32"/>
          <w:szCs w:val="32"/>
        </w:rPr>
        <w:t>万元，占96.209</w:t>
      </w:r>
      <w:r>
        <w:rPr>
          <w:rFonts w:ascii="仿宋" w:hAnsi="仿宋" w:eastAsia="仿宋"/>
          <w:color w:val="000000"/>
          <w:sz w:val="32"/>
          <w:szCs w:val="32"/>
        </w:rPr>
        <w:t>%</w:t>
      </w:r>
      <w:r>
        <w:rPr>
          <w:rFonts w:hint="eastAsia" w:ascii="仿宋" w:hAnsi="仿宋" w:eastAsia="仿宋"/>
          <w:color w:val="000000"/>
          <w:sz w:val="32"/>
          <w:szCs w:val="32"/>
        </w:rPr>
        <w:t>，其他收入0.12万元，占0.001%。</w:t>
      </w:r>
    </w:p>
    <w:p>
      <w:pPr>
        <w:rPr>
          <w:rFonts w:ascii="仿宋" w:hAnsi="仿宋" w:eastAsia="仿宋"/>
        </w:rPr>
      </w:pPr>
      <w:r>
        <w:rPr>
          <w:rFonts w:hint="eastAsia" w:ascii="仿宋" w:hAnsi="仿宋" w:eastAsia="仿宋"/>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18"/>
        <w:numPr>
          <w:ilvl w:val="0"/>
          <w:numId w:val="3"/>
        </w:numPr>
        <w:spacing w:line="600" w:lineRule="exact"/>
        <w:ind w:firstLineChars="0"/>
        <w:outlineLvl w:val="1"/>
        <w:rPr>
          <w:rStyle w:val="17"/>
          <w:rFonts w:hint="eastAsia" w:ascii="黑体" w:hAnsi="黑体" w:eastAsia="黑体" w:cs="黑体"/>
          <w:b w:val="0"/>
        </w:rPr>
      </w:pPr>
      <w:bookmarkStart w:id="32" w:name="_Toc15377207"/>
      <w:bookmarkStart w:id="33" w:name="_Toc15396605"/>
      <w:r>
        <w:rPr>
          <w:rFonts w:hint="eastAsia" w:ascii="黑体" w:hAnsi="黑体" w:eastAsia="黑体" w:cs="黑体"/>
          <w:color w:val="000000"/>
          <w:sz w:val="32"/>
          <w:szCs w:val="32"/>
        </w:rPr>
        <w:t>支</w:t>
      </w:r>
      <w:r>
        <w:rPr>
          <w:rStyle w:val="17"/>
          <w:rFonts w:hint="eastAsia" w:ascii="黑体" w:hAnsi="黑体" w:eastAsia="黑体" w:cs="黑体"/>
          <w:b w:val="0"/>
        </w:rPr>
        <w:t>出决算情况说明</w:t>
      </w:r>
      <w:bookmarkEnd w:id="32"/>
      <w:bookmarkEnd w:id="33"/>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20年本年支出合计168859.13万元，其中：基本支出2325.98万元，占1.38</w:t>
      </w:r>
      <w:r>
        <w:rPr>
          <w:rFonts w:ascii="仿宋" w:hAnsi="仿宋" w:eastAsia="仿宋"/>
          <w:color w:val="000000"/>
          <w:sz w:val="32"/>
          <w:szCs w:val="32"/>
        </w:rPr>
        <w:t>%</w:t>
      </w:r>
      <w:r>
        <w:rPr>
          <w:rFonts w:hint="eastAsia" w:ascii="仿宋" w:hAnsi="仿宋" w:eastAsia="仿宋"/>
          <w:color w:val="000000"/>
          <w:sz w:val="32"/>
          <w:szCs w:val="32"/>
        </w:rPr>
        <w:t>；项目支出166533.15万元，占98.62</w:t>
      </w:r>
      <w:r>
        <w:rPr>
          <w:rFonts w:ascii="仿宋" w:hAnsi="仿宋" w:eastAsia="仿宋"/>
          <w:color w:val="000000"/>
          <w:sz w:val="32"/>
          <w:szCs w:val="32"/>
        </w:rPr>
        <w:t>%</w:t>
      </w:r>
      <w:r>
        <w:rPr>
          <w:rFonts w:hint="eastAsia" w:ascii="仿宋" w:hAnsi="仿宋" w:eastAsia="仿宋"/>
          <w:color w:val="000000"/>
          <w:sz w:val="32"/>
          <w:szCs w:val="32"/>
        </w:rPr>
        <w:t>。</w:t>
      </w:r>
    </w:p>
    <w:p>
      <w:pPr>
        <w:rPr>
          <w:rFonts w:ascii="仿宋" w:hAnsi="仿宋" w:eastAsia="仿宋"/>
        </w:rPr>
      </w:pPr>
      <w:r>
        <w:rPr>
          <w:rFonts w:hint="eastAsia" w:ascii="仿宋" w:hAnsi="仿宋" w:eastAsia="仿宋"/>
        </w:rPr>
        <w:drawing>
          <wp:inline distT="0" distB="0" distL="114300" distR="114300">
            <wp:extent cx="5080000" cy="3810000"/>
            <wp:effectExtent l="4445" t="4445" r="5715"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17"/>
          <w:rFonts w:hint="eastAsia" w:ascii="黑体" w:hAnsi="黑体" w:eastAsia="黑体" w:cs="黑体"/>
          <w:b w:val="0"/>
        </w:rPr>
      </w:pPr>
      <w:bookmarkStart w:id="34" w:name="_Toc15377208"/>
      <w:bookmarkStart w:id="35" w:name="_Toc15396606"/>
      <w:r>
        <w:rPr>
          <w:rFonts w:hint="eastAsia" w:ascii="黑体" w:hAnsi="黑体" w:eastAsia="黑体" w:cs="黑体"/>
          <w:color w:val="000000"/>
          <w:sz w:val="32"/>
          <w:szCs w:val="32"/>
        </w:rPr>
        <w:t>四、财</w:t>
      </w:r>
      <w:r>
        <w:rPr>
          <w:rStyle w:val="17"/>
          <w:rFonts w:hint="eastAsia" w:ascii="黑体" w:hAnsi="黑体" w:eastAsia="黑体" w:cs="黑体"/>
          <w:b w:val="0"/>
        </w:rPr>
        <w:t>政拨款收入支出决算总体情况说明</w:t>
      </w:r>
      <w:bookmarkEnd w:id="34"/>
      <w:bookmarkEnd w:id="35"/>
    </w:p>
    <w:p>
      <w:pPr>
        <w:spacing w:line="600" w:lineRule="exact"/>
        <w:ind w:firstLine="640" w:firstLineChars="200"/>
        <w:rPr>
          <w:rFonts w:ascii="仿宋" w:hAnsi="仿宋" w:eastAsia="仿宋"/>
          <w:color w:val="000000"/>
          <w:sz w:val="32"/>
          <w:szCs w:val="32"/>
          <w:highlight w:val="yellow"/>
        </w:rPr>
      </w:pPr>
      <w:r>
        <w:rPr>
          <w:rFonts w:hint="eastAsia" w:ascii="仿宋" w:hAnsi="仿宋" w:eastAsia="仿宋"/>
          <w:color w:val="000000"/>
          <w:sz w:val="32"/>
          <w:szCs w:val="32"/>
        </w:rPr>
        <w:t>2020年度收、支总计172669.86万元。与2019年相比，收、支总计各增加52428.14万元，增加43.6</w:t>
      </w:r>
      <w:r>
        <w:rPr>
          <w:rFonts w:ascii="仿宋" w:hAnsi="仿宋" w:eastAsia="仿宋"/>
          <w:color w:val="000000"/>
          <w:sz w:val="32"/>
          <w:szCs w:val="32"/>
        </w:rPr>
        <w:t>%</w:t>
      </w:r>
      <w:r>
        <w:rPr>
          <w:rFonts w:hint="eastAsia" w:ascii="仿宋" w:hAnsi="仿宋" w:eastAsia="仿宋"/>
          <w:color w:val="000000"/>
          <w:sz w:val="32"/>
          <w:szCs w:val="32"/>
        </w:rPr>
        <w:t>。主要变动原因一是土地和房屋征收服务中心新增限价商品房安置补偿，二是土地储备整理中收土地收储增加。</w:t>
      </w:r>
    </w:p>
    <w:p>
      <w:pPr>
        <w:spacing w:line="600" w:lineRule="exact"/>
        <w:ind w:firstLine="640" w:firstLineChars="200"/>
        <w:rPr>
          <w:rFonts w:ascii="仿宋" w:hAnsi="仿宋" w:eastAsia="仿宋"/>
          <w:color w:val="000000"/>
          <w:sz w:val="32"/>
          <w:szCs w:val="32"/>
          <w:highlight w:val="yellow"/>
        </w:rPr>
      </w:pPr>
    </w:p>
    <w:p>
      <w:pPr>
        <w:rPr>
          <w:rFonts w:ascii="仿宋" w:hAnsi="仿宋" w:eastAsia="仿宋"/>
        </w:rPr>
      </w:pPr>
      <w:r>
        <w:rPr>
          <w:rFonts w:hint="eastAsia" w:ascii="仿宋" w:hAnsi="仿宋" w:eastAsia="仿宋"/>
        </w:rPr>
        <w:t xml:space="preserve">       </w:t>
      </w:r>
      <w:r>
        <w:rPr>
          <w:rFonts w:hint="eastAsia" w:ascii="仿宋" w:hAnsi="仿宋" w:eastAsia="仿宋"/>
        </w:rPr>
        <w:drawing>
          <wp:inline distT="0" distB="0" distL="114300" distR="114300">
            <wp:extent cx="4227195" cy="3810000"/>
            <wp:effectExtent l="4445" t="4445" r="5080" b="107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17"/>
          <w:rFonts w:hint="eastAsia" w:ascii="黑体" w:hAnsi="黑体" w:eastAsia="黑体" w:cs="黑体"/>
          <w:b w:val="0"/>
        </w:rPr>
      </w:pPr>
      <w:bookmarkStart w:id="36" w:name="_Toc15396607"/>
      <w:bookmarkStart w:id="37" w:name="_Toc15377209"/>
      <w:r>
        <w:rPr>
          <w:rFonts w:hint="eastAsia" w:ascii="黑体" w:hAnsi="黑体" w:eastAsia="黑体" w:cs="黑体"/>
          <w:color w:val="000000"/>
          <w:sz w:val="32"/>
          <w:szCs w:val="32"/>
        </w:rPr>
        <w:t>五、</w:t>
      </w:r>
      <w:r>
        <w:rPr>
          <w:rFonts w:hint="eastAsia" w:ascii="黑体" w:hAnsi="黑体" w:eastAsia="黑体" w:cs="黑体"/>
          <w:b/>
          <w:color w:val="000000"/>
          <w:sz w:val="32"/>
          <w:szCs w:val="32"/>
        </w:rPr>
        <w:t>一</w:t>
      </w:r>
      <w:r>
        <w:rPr>
          <w:rStyle w:val="17"/>
          <w:rFonts w:hint="eastAsia" w:ascii="黑体" w:hAnsi="黑体" w:eastAsia="黑体" w:cs="黑体"/>
          <w:b w:val="0"/>
        </w:rPr>
        <w:t>般公共预算财政拨款支出决算情况说明</w:t>
      </w:r>
      <w:bookmarkEnd w:id="36"/>
      <w:bookmarkEnd w:id="37"/>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38" w:name="_Toc15377210"/>
      <w:r>
        <w:rPr>
          <w:rFonts w:hint="eastAsia" w:ascii="楷体_GB2312" w:hAnsi="楷体_GB2312" w:eastAsia="楷体_GB2312" w:cs="楷体_GB2312"/>
          <w:b w:val="0"/>
          <w:bCs/>
          <w:color w:val="000000"/>
          <w:sz w:val="32"/>
          <w:szCs w:val="32"/>
        </w:rPr>
        <w:t>（一）一般公共预算财政拨款支出决算总体情况</w:t>
      </w:r>
      <w:bookmarkEnd w:id="3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20年一般公共预算财政拨款支出5400.10万元，占本年支出合计的3.2</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9年相比，一般公共预算财政拨款减少680.31万元，减少11.19</w:t>
      </w:r>
      <w:r>
        <w:rPr>
          <w:rFonts w:ascii="仿宋" w:hAnsi="仿宋" w:eastAsia="仿宋"/>
          <w:color w:val="000000"/>
          <w:sz w:val="32"/>
          <w:szCs w:val="32"/>
        </w:rPr>
        <w:t>%</w:t>
      </w:r>
      <w:r>
        <w:rPr>
          <w:rFonts w:hint="eastAsia" w:ascii="仿宋" w:hAnsi="仿宋" w:eastAsia="仿宋"/>
          <w:color w:val="000000"/>
          <w:sz w:val="32"/>
          <w:szCs w:val="32"/>
        </w:rPr>
        <w:t>。主要变动原因一是下属单位机构重组，人员减少；二是退耕还林上级补助资金减少。</w:t>
      </w:r>
    </w:p>
    <w:p>
      <w:pPr>
        <w:rPr>
          <w:rFonts w:ascii="仿宋" w:hAnsi="仿宋" w:eastAsia="仿宋"/>
        </w:rPr>
      </w:pPr>
      <w:r>
        <w:rPr>
          <w:rFonts w:hint="eastAsia" w:ascii="仿宋" w:hAnsi="仿宋" w:eastAsia="仿宋"/>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39" w:name="_Toc15377211"/>
      <w:r>
        <w:rPr>
          <w:rFonts w:hint="eastAsia" w:ascii="楷体_GB2312" w:hAnsi="楷体_GB2312" w:eastAsia="楷体_GB2312" w:cs="楷体_GB2312"/>
          <w:b w:val="0"/>
          <w:bCs/>
          <w:color w:val="000000"/>
          <w:sz w:val="32"/>
          <w:szCs w:val="32"/>
        </w:rPr>
        <w:t>（二）一般公共预算财政拨款支出决算结构情况</w:t>
      </w:r>
      <w:bookmarkEnd w:id="39"/>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rPr>
        <w:t>5400.10</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color w:val="000000" w:themeColor="text1"/>
          <w:sz w:val="32"/>
          <w:szCs w:val="32"/>
        </w:rPr>
        <w:t>一般公共服务支出（类）295.23万元，占5.47%；社会保障和就业（类）支出188.83万元，占3.49</w:t>
      </w:r>
      <w:r>
        <w:rPr>
          <w:rFonts w:ascii="仿宋" w:hAnsi="仿宋" w:eastAsia="仿宋"/>
          <w:color w:val="000000" w:themeColor="text1"/>
          <w:sz w:val="32"/>
          <w:szCs w:val="32"/>
        </w:rPr>
        <w:t>%</w:t>
      </w:r>
      <w:r>
        <w:rPr>
          <w:rFonts w:hint="eastAsia" w:ascii="仿宋" w:hAnsi="仿宋" w:eastAsia="仿宋"/>
          <w:color w:val="000000" w:themeColor="text1"/>
          <w:sz w:val="32"/>
          <w:szCs w:val="32"/>
        </w:rPr>
        <w:t>；卫生健康支出（类）支出42.77万元，占0.79%；节能环保支出432.89万元，占8.02%；城乡社区支出45.93万元，占0.85%；农林水支出769万元，占14.24%；自然资源海洋气象等支出2476.27万元，占45.86%；住房保障支出416.53万元，占7.71</w:t>
      </w:r>
      <w:r>
        <w:rPr>
          <w:rFonts w:ascii="仿宋" w:hAnsi="仿宋" w:eastAsia="仿宋"/>
          <w:color w:val="000000" w:themeColor="text1"/>
          <w:sz w:val="32"/>
          <w:szCs w:val="32"/>
        </w:rPr>
        <w:t>%</w:t>
      </w:r>
      <w:r>
        <w:rPr>
          <w:rFonts w:hint="eastAsia" w:ascii="仿宋" w:hAnsi="仿宋" w:eastAsia="仿宋"/>
          <w:color w:val="000000" w:themeColor="text1"/>
          <w:sz w:val="32"/>
          <w:szCs w:val="32"/>
        </w:rPr>
        <w:t>；灾害防治及应急管理支出732.65万元，占13.57 %。</w:t>
      </w:r>
    </w:p>
    <w:p>
      <w:pPr>
        <w:rPr>
          <w:rFonts w:ascii="仿宋" w:hAnsi="仿宋" w:eastAsia="仿宋"/>
        </w:rPr>
      </w:pPr>
      <w:r>
        <w:rPr>
          <w:rFonts w:hint="eastAsia" w:ascii="仿宋" w:hAnsi="仿宋" w:eastAsia="仿宋"/>
        </w:rPr>
        <w:drawing>
          <wp:inline distT="0" distB="0" distL="114300" distR="114300">
            <wp:extent cx="5080000" cy="43434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40" w:name="_Toc15377212"/>
      <w:r>
        <w:rPr>
          <w:rFonts w:hint="eastAsia" w:ascii="楷体_GB2312" w:hAnsi="楷体_GB2312" w:eastAsia="楷体_GB2312" w:cs="楷体_GB2312"/>
          <w:b w:val="0"/>
          <w:bCs/>
          <w:color w:val="000000"/>
          <w:sz w:val="32"/>
          <w:szCs w:val="32"/>
        </w:rPr>
        <w:t>（三）一般公共预算财政拨款支出决算具体情况</w:t>
      </w:r>
      <w:bookmarkEnd w:id="40"/>
    </w:p>
    <w:p>
      <w:pPr>
        <w:spacing w:line="600" w:lineRule="exact"/>
        <w:ind w:firstLine="643" w:firstLineChars="200"/>
        <w:outlineLvl w:val="2"/>
        <w:rPr>
          <w:rStyle w:val="14"/>
          <w:rFonts w:ascii="仿宋" w:hAnsi="仿宋" w:eastAsia="仿宋"/>
          <w:bCs/>
          <w:color w:val="000000"/>
          <w:sz w:val="32"/>
          <w:szCs w:val="32"/>
        </w:rPr>
      </w:pPr>
      <w:bookmarkStart w:id="41" w:name="_Toc15378460"/>
      <w:bookmarkStart w:id="42" w:name="_Toc15377213"/>
      <w:bookmarkStart w:id="43" w:name="_Toc15377444"/>
      <w:r>
        <w:rPr>
          <w:rFonts w:hint="eastAsia" w:ascii="仿宋" w:hAnsi="仿宋" w:eastAsia="仿宋"/>
          <w:b/>
          <w:color w:val="000000" w:themeColor="text1"/>
          <w:sz w:val="32"/>
          <w:szCs w:val="32"/>
        </w:rPr>
        <w:t>2020年一般公共预算支出决算数为5400.1</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预算85.28</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41"/>
      <w:bookmarkEnd w:id="42"/>
      <w:bookmarkEnd w:id="43"/>
    </w:p>
    <w:p>
      <w:pPr>
        <w:pStyle w:val="6"/>
        <w:spacing w:before="93"/>
        <w:rPr>
          <w:rStyle w:val="14"/>
          <w:rFonts w:ascii="仿宋" w:hAnsi="仿宋" w:eastAsia="仿宋" w:cstheme="minorBidi"/>
          <w:b w:val="0"/>
          <w:bCs/>
          <w:color w:val="000000"/>
          <w:kern w:val="2"/>
          <w:sz w:val="32"/>
          <w:szCs w:val="32"/>
        </w:rPr>
      </w:pPr>
      <w:r>
        <w:rPr>
          <w:rStyle w:val="14"/>
          <w:rFonts w:hint="eastAsia" w:ascii="仿宋" w:hAnsi="仿宋" w:eastAsia="仿宋"/>
          <w:bCs/>
          <w:color w:val="000000"/>
          <w:sz w:val="32"/>
          <w:szCs w:val="32"/>
        </w:rPr>
        <w:t xml:space="preserve">    </w:t>
      </w:r>
      <w:r>
        <w:rPr>
          <w:rStyle w:val="14"/>
          <w:rFonts w:ascii="仿宋" w:hAnsi="仿宋" w:eastAsia="仿宋"/>
          <w:b w:val="0"/>
          <w:color w:val="000000"/>
          <w:sz w:val="32"/>
          <w:szCs w:val="32"/>
        </w:rPr>
        <w:t>1.</w:t>
      </w:r>
      <w:r>
        <w:rPr>
          <w:rStyle w:val="14"/>
          <w:rFonts w:hint="eastAsia" w:ascii="仿宋" w:hAnsi="仿宋" w:eastAsia="仿宋"/>
          <w:bCs/>
          <w:color w:val="000000"/>
          <w:sz w:val="32"/>
          <w:szCs w:val="32"/>
        </w:rPr>
        <w:t>一般公共服务（类）政府办公厅（室）及相关机构事务（款）事业运行（项）</w:t>
      </w:r>
      <w:r>
        <w:rPr>
          <w:rStyle w:val="14"/>
          <w:rFonts w:ascii="仿宋" w:hAnsi="仿宋" w:eastAsia="仿宋"/>
          <w:bCs/>
          <w:color w:val="000000"/>
          <w:sz w:val="32"/>
          <w:szCs w:val="32"/>
        </w:rPr>
        <w:t>:</w:t>
      </w:r>
      <w:r>
        <w:rPr>
          <w:rStyle w:val="14"/>
          <w:rFonts w:hint="eastAsia" w:ascii="仿宋" w:hAnsi="仿宋" w:eastAsia="仿宋" w:cstheme="minorBidi"/>
          <w:b w:val="0"/>
          <w:bCs/>
          <w:color w:val="000000"/>
          <w:kern w:val="2"/>
          <w:sz w:val="32"/>
          <w:szCs w:val="32"/>
        </w:rPr>
        <w:t>支出决算为295.23万元，完成预算100%。</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color w:val="000000"/>
          <w:sz w:val="32"/>
          <w:szCs w:val="32"/>
        </w:rPr>
        <w:t>2</w:t>
      </w:r>
      <w:r>
        <w:rPr>
          <w:rStyle w:val="14"/>
          <w:rFonts w:ascii="仿宋" w:hAnsi="仿宋" w:eastAsia="仿宋"/>
          <w:b w:val="0"/>
          <w:color w:val="000000"/>
          <w:sz w:val="32"/>
          <w:szCs w:val="32"/>
        </w:rPr>
        <w:t>.</w:t>
      </w:r>
      <w:r>
        <w:rPr>
          <w:rStyle w:val="14"/>
          <w:rFonts w:hint="eastAsia" w:ascii="仿宋" w:hAnsi="仿宋" w:eastAsia="仿宋"/>
          <w:bCs/>
          <w:color w:val="000000"/>
          <w:sz w:val="30"/>
          <w:szCs w:val="30"/>
        </w:rPr>
        <w:t>社会保障和就业（类）行政事业单位离退休（款）机关事业单位基本养老保险缴费支出（项）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支出决算为112万元，完成预算100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3.</w:t>
      </w:r>
      <w:r>
        <w:rPr>
          <w:rStyle w:val="14"/>
          <w:rFonts w:hint="eastAsia" w:ascii="仿宋" w:hAnsi="仿宋" w:eastAsia="仿宋"/>
          <w:bCs/>
          <w:color w:val="000000"/>
          <w:sz w:val="30"/>
          <w:szCs w:val="30"/>
        </w:rPr>
        <w:t>社会保障和就业（类）行政事业单位离退休（款）机关事业单位职业年金缴费支出（项）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支出决算为68.96万元，完成预算100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color w:val="000000"/>
          <w:sz w:val="32"/>
          <w:szCs w:val="32"/>
        </w:rPr>
        <w:t>4.</w:t>
      </w:r>
      <w:r>
        <w:rPr>
          <w:rStyle w:val="14"/>
          <w:rFonts w:hint="eastAsia" w:ascii="仿宋" w:hAnsi="仿宋" w:eastAsia="仿宋"/>
          <w:bCs/>
          <w:color w:val="000000"/>
          <w:sz w:val="30"/>
          <w:szCs w:val="30"/>
        </w:rPr>
        <w:t>社会保障和就业（类）抚恤（款）其他优抚支出（项）</w:t>
      </w:r>
      <w:r>
        <w:rPr>
          <w:rStyle w:val="14"/>
          <w:rFonts w:ascii="仿宋" w:hAnsi="仿宋" w:eastAsia="仿宋"/>
          <w:bCs/>
          <w:color w:val="000000"/>
          <w:sz w:val="30"/>
          <w:szCs w:val="30"/>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支出决算为2.38万元，完成预算100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rPr>
      </w:pPr>
      <w:r>
        <w:rPr>
          <w:rStyle w:val="14"/>
          <w:rFonts w:hint="eastAsia" w:ascii="仿宋" w:hAnsi="仿宋" w:eastAsia="仿宋"/>
          <w:b w:val="0"/>
          <w:bCs/>
          <w:color w:val="000000"/>
          <w:sz w:val="32"/>
          <w:szCs w:val="32"/>
        </w:rPr>
        <w:t>5</w:t>
      </w:r>
      <w:r>
        <w:rPr>
          <w:rStyle w:val="14"/>
          <w:rFonts w:hint="eastAsia" w:ascii="仿宋" w:hAnsi="仿宋" w:eastAsia="仿宋"/>
          <w:bCs/>
          <w:color w:val="000000"/>
          <w:sz w:val="32"/>
          <w:szCs w:val="32"/>
        </w:rPr>
        <w:t>.</w:t>
      </w:r>
      <w:r>
        <w:rPr>
          <w:rStyle w:val="14"/>
          <w:rFonts w:hint="eastAsia" w:ascii="仿宋" w:hAnsi="仿宋" w:eastAsia="仿宋"/>
          <w:bCs/>
          <w:color w:val="000000"/>
          <w:sz w:val="30"/>
          <w:szCs w:val="30"/>
        </w:rPr>
        <w:t>社会保障和就业（类）其他社会保障和就业支出（款）其他社会保障和就业支出（项）</w:t>
      </w:r>
      <w:r>
        <w:rPr>
          <w:rStyle w:val="14"/>
          <w:rFonts w:ascii="仿宋" w:hAnsi="仿宋" w:eastAsia="仿宋"/>
          <w:bCs/>
          <w:color w:val="000000"/>
          <w:sz w:val="30"/>
          <w:szCs w:val="30"/>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支出决算为5.49万元，完成预算100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6.</w:t>
      </w:r>
      <w:r>
        <w:rPr>
          <w:rStyle w:val="14"/>
          <w:rFonts w:hint="eastAsia" w:ascii="仿宋" w:hAnsi="仿宋" w:eastAsia="仿宋"/>
          <w:bCs/>
          <w:color w:val="000000"/>
          <w:sz w:val="32"/>
          <w:szCs w:val="32"/>
        </w:rPr>
        <w:t>卫生健康支出（类）行政事业单位医疗（款）行政单位医疗（项）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支出决算为29.22万元，完成预算100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pStyle w:val="6"/>
        <w:spacing w:before="93"/>
        <w:ind w:firstLine="640" w:firstLineChars="200"/>
        <w:rPr>
          <w:rFonts w:ascii="仿宋" w:hAnsi="仿宋" w:eastAsia="仿宋"/>
        </w:rPr>
      </w:pPr>
      <w:r>
        <w:rPr>
          <w:rStyle w:val="14"/>
          <w:rFonts w:hint="eastAsia" w:ascii="仿宋" w:hAnsi="仿宋" w:eastAsia="仿宋"/>
          <w:b w:val="0"/>
          <w:bCs/>
          <w:color w:val="000000"/>
          <w:sz w:val="32"/>
          <w:szCs w:val="32"/>
        </w:rPr>
        <w:t>7.</w:t>
      </w:r>
      <w:r>
        <w:rPr>
          <w:rStyle w:val="14"/>
          <w:rFonts w:hint="eastAsia" w:ascii="仿宋" w:hAnsi="仿宋" w:eastAsia="仿宋"/>
          <w:bCs/>
          <w:color w:val="000000"/>
          <w:sz w:val="32"/>
          <w:szCs w:val="32"/>
        </w:rPr>
        <w:t>卫生健康支出（类）行政事业单位医疗（款）事业单位医疗（项）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支出决算为13.55万元，完成预算100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color w:val="000000"/>
          <w:sz w:val="32"/>
          <w:szCs w:val="32"/>
        </w:rPr>
        <w:t>8</w:t>
      </w:r>
      <w:r>
        <w:rPr>
          <w:rStyle w:val="14"/>
          <w:rFonts w:ascii="仿宋" w:hAnsi="仿宋" w:eastAsia="仿宋"/>
          <w:b w:val="0"/>
          <w:color w:val="000000"/>
          <w:sz w:val="32"/>
          <w:szCs w:val="32"/>
        </w:rPr>
        <w:t>.</w:t>
      </w:r>
      <w:r>
        <w:rPr>
          <w:rFonts w:hint="eastAsia" w:ascii="仿宋" w:hAnsi="仿宋" w:eastAsia="仿宋"/>
          <w:b/>
          <w:bCs/>
          <w:color w:val="000000" w:themeColor="text1"/>
          <w:sz w:val="32"/>
          <w:szCs w:val="32"/>
        </w:rPr>
        <w:t>自然资源海洋气象等支出</w:t>
      </w:r>
      <w:r>
        <w:rPr>
          <w:rStyle w:val="14"/>
          <w:rFonts w:hint="eastAsia" w:ascii="仿宋" w:hAnsi="仿宋" w:eastAsia="仿宋"/>
          <w:bCs/>
          <w:color w:val="000000"/>
          <w:sz w:val="32"/>
          <w:szCs w:val="32"/>
        </w:rPr>
        <w:t>（类）自然资源事务（款）行政运行（项）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支出决算为844.53万元，完成预算100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pStyle w:val="6"/>
        <w:spacing w:before="93"/>
        <w:ind w:firstLine="640" w:firstLineChars="200"/>
        <w:rPr>
          <w:rStyle w:val="14"/>
          <w:rFonts w:ascii="仿宋" w:hAnsi="仿宋" w:eastAsia="仿宋" w:cstheme="minorBidi"/>
          <w:b w:val="0"/>
          <w:bCs/>
          <w:color w:val="000000"/>
          <w:kern w:val="2"/>
          <w:sz w:val="32"/>
          <w:szCs w:val="32"/>
        </w:rPr>
      </w:pPr>
      <w:r>
        <w:rPr>
          <w:rStyle w:val="14"/>
          <w:rFonts w:hint="eastAsia" w:ascii="仿宋" w:hAnsi="仿宋" w:eastAsia="仿宋"/>
          <w:b w:val="0"/>
          <w:bCs/>
          <w:color w:val="000000"/>
          <w:sz w:val="32"/>
          <w:szCs w:val="32"/>
        </w:rPr>
        <w:t>9.</w:t>
      </w:r>
      <w:r>
        <w:rPr>
          <w:rFonts w:hint="eastAsia" w:ascii="仿宋" w:hAnsi="仿宋" w:eastAsia="仿宋"/>
          <w:b/>
          <w:bCs/>
          <w:color w:val="000000" w:themeColor="text1"/>
          <w:sz w:val="32"/>
          <w:szCs w:val="32"/>
        </w:rPr>
        <w:t>自然资源海洋气象等支出</w:t>
      </w:r>
      <w:r>
        <w:rPr>
          <w:rStyle w:val="14"/>
          <w:rFonts w:hint="eastAsia" w:ascii="仿宋" w:hAnsi="仿宋" w:eastAsia="仿宋"/>
          <w:bCs/>
          <w:color w:val="000000"/>
          <w:sz w:val="32"/>
          <w:szCs w:val="32"/>
        </w:rPr>
        <w:t>（类）自然资源事务（款）一般行政管理事务（项）：</w:t>
      </w:r>
      <w:r>
        <w:rPr>
          <w:rStyle w:val="14"/>
          <w:rFonts w:hint="eastAsia" w:ascii="仿宋" w:hAnsi="仿宋" w:eastAsia="仿宋" w:cstheme="minorBidi"/>
          <w:b w:val="0"/>
          <w:bCs/>
          <w:color w:val="000000"/>
          <w:kern w:val="2"/>
          <w:sz w:val="32"/>
          <w:szCs w:val="32"/>
        </w:rPr>
        <w:t>支出决算为108.45万元，完成预算100%。</w:t>
      </w:r>
    </w:p>
    <w:p>
      <w:pPr>
        <w:pStyle w:val="6"/>
        <w:spacing w:before="93"/>
        <w:ind w:firstLine="640" w:firstLineChars="200"/>
        <w:rPr>
          <w:rStyle w:val="14"/>
          <w:rFonts w:ascii="仿宋" w:hAnsi="仿宋" w:eastAsia="仿宋" w:cstheme="minorBidi"/>
          <w:b w:val="0"/>
          <w:bCs/>
          <w:color w:val="000000"/>
          <w:kern w:val="2"/>
          <w:sz w:val="32"/>
          <w:szCs w:val="32"/>
        </w:rPr>
      </w:pPr>
      <w:r>
        <w:rPr>
          <w:rStyle w:val="14"/>
          <w:rFonts w:hint="eastAsia" w:ascii="仿宋" w:hAnsi="仿宋" w:eastAsia="仿宋"/>
          <w:b w:val="0"/>
          <w:bCs/>
          <w:color w:val="000000"/>
          <w:sz w:val="32"/>
          <w:szCs w:val="32"/>
        </w:rPr>
        <w:t>10.</w:t>
      </w:r>
      <w:r>
        <w:rPr>
          <w:rFonts w:hint="eastAsia" w:ascii="仿宋" w:hAnsi="仿宋" w:eastAsia="仿宋"/>
          <w:b/>
          <w:bCs/>
          <w:color w:val="000000" w:themeColor="text1"/>
          <w:sz w:val="32"/>
          <w:szCs w:val="32"/>
        </w:rPr>
        <w:t>自然资源海洋气象等支出</w:t>
      </w:r>
      <w:r>
        <w:rPr>
          <w:rStyle w:val="14"/>
          <w:rFonts w:hint="eastAsia" w:ascii="仿宋" w:hAnsi="仿宋" w:eastAsia="仿宋"/>
          <w:bCs/>
          <w:color w:val="000000"/>
          <w:sz w:val="32"/>
          <w:szCs w:val="32"/>
        </w:rPr>
        <w:t>（类）自然资源事务（款）自然资源规划及管理（项）：</w:t>
      </w:r>
      <w:r>
        <w:rPr>
          <w:rStyle w:val="14"/>
          <w:rFonts w:hint="eastAsia" w:ascii="仿宋" w:hAnsi="仿宋" w:eastAsia="仿宋" w:cstheme="minorBidi"/>
          <w:b w:val="0"/>
          <w:bCs/>
          <w:color w:val="000000"/>
          <w:kern w:val="2"/>
          <w:sz w:val="32"/>
          <w:szCs w:val="32"/>
        </w:rPr>
        <w:t>支出决算为6.53万元，完成预算98.79%。决算数小于预算数主要原因是项目尾款尚未支付。</w:t>
      </w:r>
    </w:p>
    <w:p>
      <w:pPr>
        <w:pStyle w:val="6"/>
        <w:spacing w:before="93"/>
        <w:ind w:firstLine="640" w:firstLineChars="200"/>
        <w:rPr>
          <w:rStyle w:val="14"/>
          <w:rFonts w:ascii="仿宋" w:hAnsi="仿宋" w:eastAsia="仿宋" w:cstheme="minorBidi"/>
          <w:b w:val="0"/>
          <w:bCs/>
          <w:color w:val="000000"/>
          <w:kern w:val="2"/>
          <w:sz w:val="32"/>
          <w:szCs w:val="32"/>
        </w:rPr>
      </w:pPr>
      <w:r>
        <w:rPr>
          <w:rStyle w:val="14"/>
          <w:rFonts w:hint="eastAsia" w:ascii="仿宋" w:hAnsi="仿宋" w:eastAsia="仿宋"/>
          <w:b w:val="0"/>
          <w:bCs/>
          <w:color w:val="000000"/>
          <w:sz w:val="32"/>
          <w:szCs w:val="32"/>
        </w:rPr>
        <w:t>11.</w:t>
      </w:r>
      <w:r>
        <w:rPr>
          <w:rFonts w:hint="eastAsia" w:ascii="仿宋" w:hAnsi="仿宋" w:eastAsia="仿宋"/>
          <w:b/>
          <w:bCs/>
          <w:color w:val="000000" w:themeColor="text1"/>
          <w:sz w:val="32"/>
          <w:szCs w:val="32"/>
        </w:rPr>
        <w:t>自然资源海洋气象等支出</w:t>
      </w:r>
      <w:r>
        <w:rPr>
          <w:rStyle w:val="14"/>
          <w:rFonts w:hint="eastAsia" w:ascii="仿宋" w:hAnsi="仿宋" w:eastAsia="仿宋"/>
          <w:bCs/>
          <w:color w:val="000000"/>
          <w:sz w:val="32"/>
          <w:szCs w:val="32"/>
        </w:rPr>
        <w:t>（类）自然资源事务（款）自然资源利用与保护（项）：</w:t>
      </w:r>
      <w:r>
        <w:rPr>
          <w:rStyle w:val="14"/>
          <w:rFonts w:hint="eastAsia" w:ascii="仿宋" w:hAnsi="仿宋" w:eastAsia="仿宋" w:cstheme="minorBidi"/>
          <w:b w:val="0"/>
          <w:bCs/>
          <w:color w:val="000000"/>
          <w:kern w:val="2"/>
          <w:sz w:val="32"/>
          <w:szCs w:val="32"/>
        </w:rPr>
        <w:t>支出决算为9.2万元，完成预算100%。</w:t>
      </w:r>
    </w:p>
    <w:p>
      <w:pPr>
        <w:pStyle w:val="6"/>
        <w:spacing w:before="93"/>
        <w:ind w:firstLine="640" w:firstLineChars="200"/>
        <w:rPr>
          <w:rStyle w:val="14"/>
          <w:rFonts w:ascii="仿宋" w:hAnsi="仿宋" w:eastAsia="仿宋" w:cstheme="minorBidi"/>
          <w:b w:val="0"/>
          <w:bCs/>
          <w:color w:val="000000"/>
          <w:kern w:val="2"/>
          <w:sz w:val="32"/>
          <w:szCs w:val="32"/>
        </w:rPr>
      </w:pPr>
      <w:r>
        <w:rPr>
          <w:rStyle w:val="14"/>
          <w:rFonts w:hint="eastAsia" w:ascii="仿宋" w:hAnsi="仿宋" w:eastAsia="仿宋"/>
          <w:b w:val="0"/>
          <w:bCs/>
          <w:color w:val="000000"/>
          <w:sz w:val="32"/>
          <w:szCs w:val="32"/>
        </w:rPr>
        <w:t>12.</w:t>
      </w:r>
      <w:r>
        <w:rPr>
          <w:rFonts w:hint="eastAsia" w:ascii="仿宋" w:hAnsi="仿宋" w:eastAsia="仿宋"/>
          <w:b/>
          <w:bCs/>
          <w:color w:val="000000" w:themeColor="text1"/>
          <w:sz w:val="32"/>
          <w:szCs w:val="32"/>
        </w:rPr>
        <w:t>自然资源海洋气象等支出</w:t>
      </w:r>
      <w:r>
        <w:rPr>
          <w:rStyle w:val="14"/>
          <w:rFonts w:hint="eastAsia" w:ascii="仿宋" w:hAnsi="仿宋" w:eastAsia="仿宋"/>
          <w:bCs/>
          <w:color w:val="000000"/>
          <w:sz w:val="32"/>
          <w:szCs w:val="32"/>
        </w:rPr>
        <w:t>（类）自然资源事务（款）自然资源调查与确权登记（项）：</w:t>
      </w:r>
      <w:r>
        <w:rPr>
          <w:rStyle w:val="14"/>
          <w:rFonts w:hint="eastAsia" w:ascii="仿宋" w:hAnsi="仿宋" w:eastAsia="仿宋" w:cstheme="minorBidi"/>
          <w:b w:val="0"/>
          <w:bCs/>
          <w:color w:val="000000"/>
          <w:kern w:val="2"/>
          <w:sz w:val="32"/>
          <w:szCs w:val="32"/>
        </w:rPr>
        <w:t>支出决算为4.5万元，完成预算100%。</w:t>
      </w:r>
    </w:p>
    <w:p>
      <w:pPr>
        <w:pStyle w:val="6"/>
        <w:spacing w:before="93"/>
        <w:ind w:firstLine="640" w:firstLineChars="200"/>
        <w:rPr>
          <w:rStyle w:val="14"/>
          <w:rFonts w:ascii="仿宋" w:hAnsi="仿宋" w:eastAsia="仿宋" w:cstheme="minorBidi"/>
          <w:b w:val="0"/>
          <w:bCs/>
          <w:color w:val="000000"/>
          <w:kern w:val="2"/>
          <w:sz w:val="32"/>
          <w:szCs w:val="32"/>
        </w:rPr>
      </w:pPr>
      <w:r>
        <w:rPr>
          <w:rStyle w:val="14"/>
          <w:rFonts w:hint="eastAsia" w:ascii="仿宋" w:hAnsi="仿宋" w:eastAsia="仿宋"/>
          <w:b w:val="0"/>
          <w:bCs/>
          <w:color w:val="000000"/>
          <w:sz w:val="32"/>
          <w:szCs w:val="32"/>
        </w:rPr>
        <w:t>13.</w:t>
      </w:r>
      <w:r>
        <w:rPr>
          <w:rFonts w:hint="eastAsia" w:ascii="仿宋" w:hAnsi="仿宋" w:eastAsia="仿宋"/>
          <w:b/>
          <w:bCs/>
          <w:color w:val="000000" w:themeColor="text1"/>
          <w:sz w:val="32"/>
          <w:szCs w:val="32"/>
        </w:rPr>
        <w:t>自然资源海洋气象等支出</w:t>
      </w:r>
      <w:r>
        <w:rPr>
          <w:rStyle w:val="14"/>
          <w:rFonts w:hint="eastAsia" w:ascii="仿宋" w:hAnsi="仿宋" w:eastAsia="仿宋"/>
          <w:bCs/>
          <w:color w:val="000000"/>
          <w:sz w:val="32"/>
          <w:szCs w:val="32"/>
        </w:rPr>
        <w:t>（类）自然资源事务（款）事业运行（项）：</w:t>
      </w:r>
      <w:r>
        <w:rPr>
          <w:rStyle w:val="14"/>
          <w:rFonts w:hint="eastAsia" w:ascii="仿宋" w:hAnsi="仿宋" w:eastAsia="仿宋" w:cstheme="minorBidi"/>
          <w:b w:val="0"/>
          <w:bCs/>
          <w:color w:val="000000"/>
          <w:kern w:val="2"/>
          <w:sz w:val="32"/>
          <w:szCs w:val="32"/>
        </w:rPr>
        <w:t>支出决算为725.9万元，完成预算100%。</w:t>
      </w:r>
    </w:p>
    <w:p>
      <w:pPr>
        <w:pStyle w:val="6"/>
        <w:spacing w:before="93"/>
        <w:ind w:firstLine="640" w:firstLineChars="200"/>
        <w:rPr>
          <w:rStyle w:val="14"/>
          <w:rFonts w:ascii="仿宋" w:hAnsi="仿宋" w:eastAsia="仿宋" w:cstheme="minorBidi"/>
          <w:b w:val="0"/>
          <w:bCs/>
          <w:color w:val="000000"/>
          <w:kern w:val="2"/>
          <w:sz w:val="32"/>
          <w:szCs w:val="32"/>
        </w:rPr>
      </w:pPr>
      <w:r>
        <w:rPr>
          <w:rStyle w:val="14"/>
          <w:rFonts w:hint="eastAsia" w:ascii="仿宋" w:hAnsi="仿宋" w:eastAsia="仿宋"/>
          <w:b w:val="0"/>
          <w:bCs/>
          <w:color w:val="000000"/>
          <w:sz w:val="32"/>
          <w:szCs w:val="32"/>
        </w:rPr>
        <w:t>14.</w:t>
      </w:r>
      <w:r>
        <w:rPr>
          <w:rFonts w:hint="eastAsia" w:ascii="仿宋" w:hAnsi="仿宋" w:eastAsia="仿宋"/>
          <w:b/>
          <w:bCs/>
          <w:color w:val="000000" w:themeColor="text1"/>
          <w:sz w:val="32"/>
          <w:szCs w:val="32"/>
        </w:rPr>
        <w:t>自然资源海洋气象等支出</w:t>
      </w:r>
      <w:r>
        <w:rPr>
          <w:rStyle w:val="14"/>
          <w:rFonts w:hint="eastAsia" w:ascii="仿宋" w:hAnsi="仿宋" w:eastAsia="仿宋"/>
          <w:bCs/>
          <w:color w:val="000000"/>
          <w:sz w:val="32"/>
          <w:szCs w:val="32"/>
        </w:rPr>
        <w:t>（类）自然资源事务（款）其他自然资源事务支出（项）：</w:t>
      </w:r>
      <w:r>
        <w:rPr>
          <w:rStyle w:val="14"/>
          <w:rFonts w:hint="eastAsia" w:ascii="仿宋" w:hAnsi="仿宋" w:eastAsia="仿宋" w:cstheme="minorBidi"/>
          <w:b w:val="0"/>
          <w:bCs/>
          <w:color w:val="000000"/>
          <w:kern w:val="2"/>
          <w:sz w:val="32"/>
          <w:szCs w:val="32"/>
        </w:rPr>
        <w:t>支出决算为777.16万元，完成预算100%。</w:t>
      </w:r>
    </w:p>
    <w:p>
      <w:pPr>
        <w:pStyle w:val="6"/>
        <w:spacing w:before="93"/>
        <w:ind w:firstLine="640" w:firstLineChars="200"/>
        <w:rPr>
          <w:rStyle w:val="14"/>
          <w:rFonts w:ascii="仿宋" w:hAnsi="仿宋" w:eastAsia="仿宋" w:cstheme="minorBidi"/>
          <w:b w:val="0"/>
          <w:bCs/>
          <w:color w:val="000000"/>
          <w:kern w:val="2"/>
          <w:sz w:val="32"/>
          <w:szCs w:val="32"/>
        </w:rPr>
      </w:pPr>
      <w:r>
        <w:rPr>
          <w:rStyle w:val="14"/>
          <w:rFonts w:hint="eastAsia" w:ascii="仿宋" w:hAnsi="仿宋" w:eastAsia="仿宋"/>
          <w:b w:val="0"/>
          <w:bCs/>
          <w:color w:val="000000"/>
          <w:sz w:val="32"/>
          <w:szCs w:val="32"/>
        </w:rPr>
        <w:t>15.</w:t>
      </w:r>
      <w:r>
        <w:rPr>
          <w:rStyle w:val="14"/>
          <w:rFonts w:hint="eastAsia" w:ascii="仿宋" w:hAnsi="仿宋" w:eastAsia="仿宋"/>
          <w:bCs/>
          <w:color w:val="000000"/>
          <w:sz w:val="32"/>
          <w:szCs w:val="32"/>
        </w:rPr>
        <w:t>节能环保支出（类）天然林保护（款） 社会保险补助（项）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支出决算为73.69万元，完成预算79.85</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，决算数小于预算数的主要原因是项目尚未完成。</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16.</w:t>
      </w:r>
      <w:r>
        <w:rPr>
          <w:rStyle w:val="14"/>
          <w:rFonts w:hint="eastAsia" w:ascii="仿宋" w:hAnsi="仿宋" w:eastAsia="仿宋"/>
          <w:bCs/>
          <w:color w:val="000000"/>
          <w:sz w:val="32"/>
          <w:szCs w:val="32"/>
        </w:rPr>
        <w:t>节能环保支出（类）退耕还林还草（款） 退耕现金（项）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支出决算为359.2万元，完成预算100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color w:val="000000"/>
          <w:sz w:val="32"/>
          <w:szCs w:val="32"/>
        </w:rPr>
        <w:t>17.</w:t>
      </w:r>
      <w:r>
        <w:rPr>
          <w:rStyle w:val="14"/>
          <w:rFonts w:hint="eastAsia" w:ascii="仿宋" w:hAnsi="仿宋" w:eastAsia="仿宋"/>
          <w:bCs/>
          <w:color w:val="000000"/>
          <w:sz w:val="32"/>
          <w:szCs w:val="32"/>
        </w:rPr>
        <w:t>城乡社区支出（类）城乡社区管理事务（款） 其他社区管理事务支出（项）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支出决算为45.93万元，完成预算100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color w:val="000000"/>
          <w:sz w:val="32"/>
          <w:szCs w:val="32"/>
        </w:rPr>
        <w:t>18.</w:t>
      </w:r>
      <w:r>
        <w:rPr>
          <w:rStyle w:val="14"/>
          <w:rFonts w:hint="eastAsia" w:ascii="仿宋" w:hAnsi="仿宋" w:eastAsia="仿宋"/>
          <w:bCs/>
          <w:color w:val="000000"/>
          <w:sz w:val="32"/>
          <w:szCs w:val="32"/>
        </w:rPr>
        <w:t>农林水支出（类）林业和草原（款）事业机构（项）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color w:val="000000"/>
          <w:sz w:val="32"/>
          <w:szCs w:val="32"/>
        </w:rPr>
        <w:t>19.</w:t>
      </w:r>
      <w:r>
        <w:rPr>
          <w:rStyle w:val="14"/>
          <w:rFonts w:hint="eastAsia" w:ascii="仿宋" w:hAnsi="仿宋" w:eastAsia="仿宋"/>
          <w:bCs/>
          <w:color w:val="000000"/>
          <w:sz w:val="32"/>
          <w:szCs w:val="32"/>
        </w:rPr>
        <w:t>农林水支出（类）林业和草原（款）森林资源培育（项）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支出决算为63.37万元，完成预算7.69</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。决算数小于预算数的主要原因一是退耕还林森林抚育补助正在验收中尚未兑现补助，二是中央造林项目安排资金较少不能落地实施。</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color w:val="000000"/>
          <w:sz w:val="32"/>
          <w:szCs w:val="32"/>
        </w:rPr>
        <w:t>20.</w:t>
      </w:r>
      <w:r>
        <w:rPr>
          <w:rStyle w:val="14"/>
          <w:rFonts w:hint="eastAsia" w:ascii="仿宋" w:hAnsi="仿宋" w:eastAsia="仿宋"/>
          <w:bCs/>
          <w:color w:val="000000"/>
          <w:sz w:val="32"/>
          <w:szCs w:val="32"/>
        </w:rPr>
        <w:t>农林水支出（类）林业和草原（款） 森林资源管理（项）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支出决算为142.48万元，完成预算64.68</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，决算数小于预算数的主要原因是部份项目尚未完成。</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color w:val="000000"/>
          <w:sz w:val="32"/>
          <w:szCs w:val="32"/>
        </w:rPr>
        <w:t>21.</w:t>
      </w:r>
      <w:r>
        <w:rPr>
          <w:rStyle w:val="14"/>
          <w:rFonts w:hint="eastAsia" w:ascii="仿宋" w:hAnsi="仿宋" w:eastAsia="仿宋"/>
          <w:bCs/>
          <w:color w:val="000000"/>
          <w:sz w:val="32"/>
          <w:szCs w:val="32"/>
        </w:rPr>
        <w:t>农林水支出（类）林业和草原（款） 森林生态效益补偿（项）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支出决算为194.55万元，完成预算90.83</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，决算数小于预算数的主要原因是公共管护累计结转。</w:t>
      </w:r>
    </w:p>
    <w:p>
      <w:pPr>
        <w:pStyle w:val="6"/>
        <w:spacing w:before="93"/>
        <w:ind w:firstLine="640" w:firstLineChars="200"/>
        <w:rPr>
          <w:rFonts w:ascii="仿宋" w:hAnsi="仿宋" w:eastAsia="仿宋"/>
        </w:rPr>
      </w:pPr>
      <w:r>
        <w:rPr>
          <w:rStyle w:val="14"/>
          <w:rFonts w:hint="eastAsia" w:ascii="仿宋" w:hAnsi="仿宋" w:eastAsia="仿宋"/>
          <w:b w:val="0"/>
          <w:color w:val="000000"/>
          <w:sz w:val="32"/>
          <w:szCs w:val="32"/>
        </w:rPr>
        <w:t>22.</w:t>
      </w:r>
      <w:r>
        <w:rPr>
          <w:rStyle w:val="14"/>
          <w:rFonts w:hint="eastAsia" w:ascii="仿宋" w:hAnsi="仿宋" w:eastAsia="仿宋"/>
          <w:bCs/>
          <w:color w:val="000000"/>
          <w:sz w:val="32"/>
          <w:szCs w:val="32"/>
        </w:rPr>
        <w:t>农林水支出（类）林业和草原（款）动植物保护（项）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支出决算为196.54万元，完成预算100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color w:val="000000"/>
          <w:sz w:val="32"/>
          <w:szCs w:val="32"/>
        </w:rPr>
        <w:t>23.</w:t>
      </w:r>
      <w:r>
        <w:rPr>
          <w:rStyle w:val="14"/>
          <w:rFonts w:hint="eastAsia" w:ascii="仿宋" w:hAnsi="仿宋" w:eastAsia="仿宋"/>
          <w:bCs/>
          <w:color w:val="000000"/>
          <w:sz w:val="32"/>
          <w:szCs w:val="32"/>
        </w:rPr>
        <w:t>农林水支出（类）林业和草原（款）林业草原防灾减灾（项）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支出决算为35.38万元，完成预算76.47</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，决算数小于预算数的主要原因是项目尚未完成。</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color w:val="000000"/>
          <w:sz w:val="32"/>
          <w:szCs w:val="32"/>
        </w:rPr>
        <w:t>24.</w:t>
      </w:r>
      <w:r>
        <w:rPr>
          <w:rStyle w:val="14"/>
          <w:rFonts w:hint="eastAsia" w:ascii="仿宋" w:hAnsi="仿宋" w:eastAsia="仿宋"/>
          <w:bCs/>
          <w:color w:val="000000"/>
          <w:sz w:val="32"/>
          <w:szCs w:val="32"/>
        </w:rPr>
        <w:t>农林水支出（类）林业和草原（款）其他林业和草原支出（项）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支出决算为79.92万元，完成预算31.13</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，决算数小于预算数的主要原因是森林精准提升项目正在验收中尚未兑现补助。</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color w:val="000000"/>
          <w:sz w:val="32"/>
          <w:szCs w:val="32"/>
        </w:rPr>
        <w:t>25.</w:t>
      </w:r>
      <w:r>
        <w:rPr>
          <w:rStyle w:val="14"/>
          <w:rFonts w:hint="eastAsia" w:ascii="仿宋" w:hAnsi="仿宋" w:eastAsia="仿宋"/>
          <w:bCs/>
          <w:color w:val="000000"/>
          <w:sz w:val="32"/>
          <w:szCs w:val="32"/>
        </w:rPr>
        <w:t>农林水支出（类）扶贫（款） 其他扶贫支出（项）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支出决算为19.55万元，完成预算51.95</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。决算数小于预算数的主要原因是项目尚未完成。</w:t>
      </w:r>
    </w:p>
    <w:p>
      <w:pPr>
        <w:spacing w:line="600" w:lineRule="exact"/>
        <w:ind w:firstLine="640" w:firstLineChars="200"/>
        <w:rPr>
          <w:rStyle w:val="14"/>
          <w:rFonts w:ascii="仿宋" w:hAnsi="仿宋" w:eastAsia="仿宋"/>
          <w:b w:val="0"/>
          <w:bCs/>
          <w:color w:val="000000"/>
          <w:sz w:val="32"/>
          <w:szCs w:val="32"/>
          <w:highlight w:val="yellow"/>
        </w:rPr>
      </w:pPr>
      <w:r>
        <w:rPr>
          <w:rStyle w:val="14"/>
          <w:rFonts w:hint="eastAsia" w:ascii="仿宋" w:hAnsi="仿宋" w:eastAsia="仿宋"/>
          <w:b w:val="0"/>
          <w:color w:val="000000"/>
          <w:sz w:val="32"/>
          <w:szCs w:val="32"/>
        </w:rPr>
        <w:t>26.</w:t>
      </w:r>
      <w:r>
        <w:rPr>
          <w:rStyle w:val="14"/>
          <w:rFonts w:hint="eastAsia" w:ascii="仿宋" w:hAnsi="仿宋" w:eastAsia="仿宋"/>
          <w:bCs/>
          <w:color w:val="000000"/>
          <w:sz w:val="32"/>
          <w:szCs w:val="32"/>
        </w:rPr>
        <w:t>农林水支出（类）其他农林水支出（款） 其他农林水支出（项）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支出决算为36.41万元，完成预算19.47</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。决算数小于预算数的主要原因是长江防护林工程已验收完成，根据工作安排进行资金拨付。</w:t>
      </w:r>
    </w:p>
    <w:p>
      <w:pPr>
        <w:pStyle w:val="6"/>
        <w:spacing w:before="93"/>
        <w:ind w:firstLine="640" w:firstLineChars="200"/>
        <w:rPr>
          <w:rStyle w:val="14"/>
          <w:rFonts w:ascii="仿宋" w:hAnsi="仿宋" w:eastAsia="仿宋"/>
          <w:b w:val="0"/>
          <w:bCs/>
          <w:color w:val="000000"/>
          <w:sz w:val="32"/>
          <w:szCs w:val="32"/>
        </w:rPr>
      </w:pPr>
      <w:r>
        <w:rPr>
          <w:rStyle w:val="14"/>
          <w:rFonts w:hint="eastAsia" w:ascii="仿宋" w:hAnsi="仿宋" w:eastAsia="仿宋"/>
          <w:b w:val="0"/>
          <w:color w:val="000000"/>
          <w:sz w:val="32"/>
          <w:szCs w:val="32"/>
        </w:rPr>
        <w:t>27.</w:t>
      </w:r>
      <w:r>
        <w:rPr>
          <w:rStyle w:val="14"/>
          <w:rFonts w:hint="eastAsia" w:ascii="仿宋" w:hAnsi="仿宋" w:eastAsia="仿宋"/>
          <w:bCs/>
          <w:color w:val="000000"/>
          <w:sz w:val="32"/>
          <w:szCs w:val="32"/>
        </w:rPr>
        <w:t>住房保障支出（类）保障性安居工程支出（款）棚户区改造（项）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支出决算为234.62万元，完成预算100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color w:val="000000"/>
          <w:sz w:val="32"/>
          <w:szCs w:val="32"/>
        </w:rPr>
        <w:t>28.</w:t>
      </w:r>
      <w:r>
        <w:rPr>
          <w:rStyle w:val="14"/>
          <w:rFonts w:hint="eastAsia" w:ascii="仿宋" w:hAnsi="仿宋" w:eastAsia="仿宋"/>
          <w:bCs/>
          <w:color w:val="000000"/>
          <w:sz w:val="32"/>
          <w:szCs w:val="32"/>
        </w:rPr>
        <w:t>住房保障支出（类）住房改革支出（款）住房公积金（项）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支出决算为181.91万元，完成预算100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pStyle w:val="6"/>
        <w:spacing w:before="93"/>
        <w:ind w:firstLine="640" w:firstLineChars="200"/>
        <w:rPr>
          <w:rStyle w:val="14"/>
          <w:rFonts w:ascii="仿宋" w:hAnsi="仿宋" w:eastAsia="仿宋"/>
          <w:b w:val="0"/>
          <w:bCs/>
          <w:color w:val="000000"/>
          <w:sz w:val="32"/>
          <w:szCs w:val="32"/>
        </w:rPr>
      </w:pPr>
      <w:r>
        <w:rPr>
          <w:rStyle w:val="14"/>
          <w:rFonts w:hint="eastAsia" w:ascii="仿宋" w:hAnsi="仿宋" w:eastAsia="仿宋"/>
          <w:b w:val="0"/>
          <w:color w:val="000000"/>
          <w:sz w:val="32"/>
          <w:szCs w:val="32"/>
        </w:rPr>
        <w:t>29.</w:t>
      </w:r>
      <w:r>
        <w:rPr>
          <w:rStyle w:val="14"/>
          <w:rFonts w:hint="eastAsia" w:ascii="仿宋" w:hAnsi="仿宋" w:eastAsia="仿宋"/>
          <w:bCs/>
          <w:color w:val="000000"/>
          <w:sz w:val="32"/>
          <w:szCs w:val="32"/>
        </w:rPr>
        <w:t>灾害防治及应急管理支出（类）森林消防事务（款）其他森林消防事务支出（项）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支出决算为32.04万元，完成预算100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color w:val="000000"/>
          <w:sz w:val="32"/>
          <w:szCs w:val="32"/>
        </w:rPr>
        <w:t>30.</w:t>
      </w:r>
      <w:r>
        <w:rPr>
          <w:rStyle w:val="14"/>
          <w:rFonts w:hint="eastAsia" w:ascii="仿宋" w:hAnsi="仿宋" w:eastAsia="仿宋"/>
          <w:bCs/>
          <w:color w:val="000000"/>
          <w:sz w:val="32"/>
          <w:szCs w:val="32"/>
        </w:rPr>
        <w:t>灾害防治及应急管理支出（类）自然灾害防治（款）地质灾害防治（项）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支出决算为606.45万元，完成预算33.56</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，决算数小于预算数的主要原因是地质灾害治理项目尚未完成。</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color w:val="000000"/>
          <w:sz w:val="32"/>
          <w:szCs w:val="32"/>
        </w:rPr>
        <w:t>31.</w:t>
      </w:r>
      <w:r>
        <w:rPr>
          <w:rStyle w:val="14"/>
          <w:rFonts w:hint="eastAsia" w:ascii="仿宋" w:hAnsi="仿宋" w:eastAsia="仿宋"/>
          <w:bCs/>
          <w:color w:val="000000"/>
          <w:sz w:val="32"/>
          <w:szCs w:val="32"/>
        </w:rPr>
        <w:t>灾害防治及应急管理支出（类）自然灾害救灾及恢复重建支出（款）其他自然灾害救灾及恢复重建支出（项）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支出决算为94.16万元，完成预算100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rPr>
          <w:rFonts w:ascii="仿宋" w:hAnsi="仿宋" w:eastAsia="仿宋"/>
          <w:b/>
          <w:color w:val="000000"/>
          <w:sz w:val="32"/>
          <w:szCs w:val="32"/>
        </w:rPr>
      </w:pPr>
    </w:p>
    <w:p>
      <w:pPr>
        <w:tabs>
          <w:tab w:val="right" w:pos="8306"/>
        </w:tabs>
        <w:spacing w:line="600" w:lineRule="exact"/>
        <w:ind w:firstLine="640"/>
        <w:outlineLvl w:val="1"/>
        <w:rPr>
          <w:rStyle w:val="17"/>
          <w:rFonts w:ascii="仿宋" w:hAnsi="仿宋" w:eastAsia="仿宋"/>
        </w:rPr>
      </w:pPr>
      <w:bookmarkStart w:id="44" w:name="_Toc15396608"/>
      <w:bookmarkStart w:id="45" w:name="_Toc15377214"/>
      <w:r>
        <w:rPr>
          <w:rFonts w:hint="eastAsia" w:ascii="黑体" w:hAnsi="黑体" w:eastAsia="黑体" w:cs="黑体"/>
          <w:color w:val="000000"/>
          <w:sz w:val="32"/>
          <w:szCs w:val="32"/>
        </w:rPr>
        <w:t>六</w:t>
      </w:r>
      <w:r>
        <w:rPr>
          <w:rFonts w:hint="eastAsia" w:ascii="黑体" w:hAnsi="黑体" w:eastAsia="黑体" w:cs="黑体"/>
          <w:b/>
          <w:color w:val="000000"/>
          <w:sz w:val="32"/>
          <w:szCs w:val="32"/>
        </w:rPr>
        <w:t>、一</w:t>
      </w:r>
      <w:r>
        <w:rPr>
          <w:rStyle w:val="17"/>
          <w:rFonts w:hint="eastAsia" w:ascii="黑体" w:hAnsi="黑体" w:eastAsia="黑体" w:cs="黑体"/>
          <w:b w:val="0"/>
        </w:rPr>
        <w:t>般公共预算财政拨款基本支出决算情况说明</w:t>
      </w:r>
      <w:bookmarkEnd w:id="44"/>
      <w:bookmarkEnd w:id="45"/>
      <w:r>
        <w:rPr>
          <w:rStyle w:val="17"/>
          <w:rFonts w:ascii="仿宋" w:hAnsi="仿宋" w:eastAsia="仿宋"/>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20年一般公共预算财政拨款基本支出2325.9万元，其中：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2119.98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205.92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7"/>
          <w:rFonts w:hint="eastAsia" w:ascii="黑体" w:hAnsi="黑体" w:eastAsia="黑体" w:cs="黑体"/>
          <w:b w:val="0"/>
        </w:rPr>
      </w:pPr>
      <w:bookmarkStart w:id="46" w:name="_Toc15377215"/>
      <w:bookmarkStart w:id="47" w:name="_Toc15396609"/>
      <w:r>
        <w:rPr>
          <w:rFonts w:hint="eastAsia" w:ascii="黑体" w:hAnsi="黑体" w:eastAsia="黑体" w:cs="黑体"/>
          <w:color w:val="000000"/>
          <w:sz w:val="32"/>
          <w:szCs w:val="32"/>
        </w:rPr>
        <w:t>七、</w:t>
      </w:r>
      <w:r>
        <w:rPr>
          <w:rStyle w:val="17"/>
          <w:rFonts w:hint="eastAsia" w:ascii="黑体" w:hAnsi="黑体" w:eastAsia="黑体" w:cs="黑体"/>
        </w:rPr>
        <w:t>“</w:t>
      </w:r>
      <w:r>
        <w:rPr>
          <w:rStyle w:val="17"/>
          <w:rFonts w:hint="eastAsia" w:ascii="黑体" w:hAnsi="黑体" w:eastAsia="黑体" w:cs="黑体"/>
          <w:b w:val="0"/>
        </w:rPr>
        <w:t>三公”经费财政拨款支出决算情况说明</w:t>
      </w:r>
      <w:bookmarkEnd w:id="46"/>
      <w:bookmarkEnd w:id="47"/>
    </w:p>
    <w:p>
      <w:pPr>
        <w:spacing w:line="600" w:lineRule="exact"/>
        <w:ind w:firstLine="640"/>
        <w:outlineLvl w:val="2"/>
        <w:rPr>
          <w:rFonts w:hint="eastAsia" w:ascii="楷体_GB2312" w:hAnsi="楷体_GB2312" w:eastAsia="楷体_GB2312" w:cs="楷体_GB2312"/>
          <w:b w:val="0"/>
          <w:bCs/>
          <w:color w:val="000000"/>
          <w:sz w:val="32"/>
          <w:szCs w:val="32"/>
        </w:rPr>
      </w:pPr>
      <w:bookmarkStart w:id="48" w:name="_Toc15377216"/>
      <w:r>
        <w:rPr>
          <w:rFonts w:hint="eastAsia" w:ascii="楷体_GB2312" w:hAnsi="楷体_GB2312" w:eastAsia="楷体_GB2312" w:cs="楷体_GB2312"/>
          <w:b w:val="0"/>
          <w:bCs/>
          <w:color w:val="000000"/>
          <w:sz w:val="32"/>
          <w:szCs w:val="32"/>
        </w:rPr>
        <w:t>（一）“三公”经费财政拨款支出决算总体情况说明</w:t>
      </w:r>
      <w:bookmarkEnd w:id="4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20年“三公”经费财政拨款支出决算为76.11万元，完成预算100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hint="eastAsia" w:ascii="楷体_GB2312" w:hAnsi="楷体_GB2312" w:eastAsia="楷体_GB2312" w:cs="楷体_GB2312"/>
          <w:b w:val="0"/>
          <w:bCs/>
          <w:color w:val="000000"/>
          <w:sz w:val="32"/>
          <w:szCs w:val="32"/>
        </w:rPr>
      </w:pPr>
      <w:bookmarkStart w:id="49" w:name="_Toc15377217"/>
      <w:r>
        <w:rPr>
          <w:rFonts w:hint="eastAsia" w:ascii="楷体_GB2312" w:hAnsi="楷体_GB2312" w:eastAsia="楷体_GB2312" w:cs="楷体_GB2312"/>
          <w:b w:val="0"/>
          <w:bCs/>
          <w:color w:val="000000"/>
          <w:sz w:val="32"/>
          <w:szCs w:val="32"/>
        </w:rPr>
        <w:t>（二）“三公”经费财政拨款支出决算具体情况说明</w:t>
      </w:r>
      <w:bookmarkEnd w:id="4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；公务用车购置及运行维护费支出决算75.07万元，占98.63</w:t>
      </w:r>
      <w:r>
        <w:rPr>
          <w:rFonts w:ascii="仿宋" w:hAnsi="仿宋" w:eastAsia="仿宋"/>
          <w:color w:val="000000"/>
          <w:sz w:val="32"/>
          <w:szCs w:val="32"/>
        </w:rPr>
        <w:t>%</w:t>
      </w:r>
      <w:r>
        <w:rPr>
          <w:rFonts w:hint="eastAsia" w:ascii="仿宋" w:hAnsi="仿宋" w:eastAsia="仿宋"/>
          <w:color w:val="000000"/>
          <w:sz w:val="32"/>
          <w:szCs w:val="32"/>
        </w:rPr>
        <w:t>；公务接待费支出决算1.04万元，占1.37</w:t>
      </w:r>
      <w:r>
        <w:rPr>
          <w:rFonts w:ascii="仿宋" w:hAnsi="仿宋" w:eastAsia="仿宋"/>
          <w:color w:val="000000"/>
          <w:sz w:val="32"/>
          <w:szCs w:val="32"/>
        </w:rPr>
        <w:t>%</w:t>
      </w:r>
      <w:r>
        <w:rPr>
          <w:rFonts w:hint="eastAsia" w:ascii="仿宋" w:hAnsi="仿宋" w:eastAsia="仿宋"/>
          <w:color w:val="000000"/>
          <w:sz w:val="32"/>
          <w:szCs w:val="32"/>
        </w:rPr>
        <w:t>。具体情况如下：</w:t>
      </w:r>
    </w:p>
    <w:p>
      <w:pPr>
        <w:rPr>
          <w:rFonts w:ascii="仿宋" w:hAnsi="仿宋" w:eastAsia="仿宋"/>
        </w:rPr>
      </w:pPr>
      <w:r>
        <w:rPr>
          <w:rFonts w:hint="eastAsia" w:ascii="仿宋" w:hAnsi="仿宋" w:eastAsia="仿宋"/>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rPr>
          <w:rFonts w:ascii="仿宋" w:hAnsi="仿宋" w:eastAsia="仿宋"/>
        </w:rPr>
      </w:pPr>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hint="eastAsia" w:ascii="仿宋" w:hAnsi="仿宋" w:eastAsia="仿宋"/>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公务用车购置及运行维护费支出75.07</w:t>
      </w:r>
      <w:r>
        <w:rPr>
          <w:rFonts w:hint="eastAsia" w:ascii="仿宋" w:hAnsi="仿宋" w:eastAsia="仿宋"/>
          <w:color w:val="000000"/>
          <w:sz w:val="32"/>
          <w:szCs w:val="32"/>
        </w:rPr>
        <w:t>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 w:hAnsi="仿宋" w:eastAsia="仿宋"/>
          <w:color w:val="000000"/>
          <w:sz w:val="32"/>
          <w:szCs w:val="32"/>
        </w:rPr>
        <w:t>公务用车购置及运行维护费支出决算比</w:t>
      </w:r>
      <w:r>
        <w:rPr>
          <w:rFonts w:ascii="仿宋" w:hAnsi="仿宋" w:eastAsia="仿宋"/>
          <w:color w:val="000000"/>
          <w:sz w:val="32"/>
          <w:szCs w:val="32"/>
        </w:rPr>
        <w:t>201</w:t>
      </w:r>
      <w:r>
        <w:rPr>
          <w:rFonts w:hint="eastAsia" w:ascii="仿宋" w:hAnsi="仿宋" w:eastAsia="仿宋"/>
          <w:color w:val="000000"/>
          <w:sz w:val="32"/>
          <w:szCs w:val="32"/>
        </w:rPr>
        <w:t>9年增加20.35万元，上升37.19</w:t>
      </w:r>
      <w:r>
        <w:rPr>
          <w:rFonts w:ascii="仿宋" w:hAnsi="仿宋" w:eastAsia="仿宋"/>
          <w:color w:val="000000"/>
          <w:sz w:val="32"/>
          <w:szCs w:val="32"/>
        </w:rPr>
        <w:t>%</w:t>
      </w:r>
      <w:r>
        <w:rPr>
          <w:rFonts w:hint="eastAsia" w:ascii="仿宋" w:hAnsi="仿宋" w:eastAsia="仿宋"/>
          <w:color w:val="000000"/>
          <w:sz w:val="32"/>
          <w:szCs w:val="32"/>
        </w:rPr>
        <w:t>。主要原因一是工作任务重，用车量较大；二是有的单位车辆陈旧，维修成本较高。</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w:t>
      </w:r>
      <w:r>
        <w:rPr>
          <w:rFonts w:hint="eastAsia" w:ascii="仿宋" w:hAnsi="仿宋" w:eastAsia="仿宋"/>
          <w:b/>
          <w:color w:val="000000"/>
          <w:sz w:val="32"/>
          <w:szCs w:val="32"/>
        </w:rPr>
        <w:t>公务用车购置支出</w:t>
      </w:r>
      <w:r>
        <w:rPr>
          <w:rFonts w:hint="eastAsia" w:ascii="仿宋" w:hAnsi="仿宋" w:eastAsia="仿宋"/>
          <w:color w:val="000000"/>
          <w:sz w:val="32"/>
          <w:szCs w:val="32"/>
        </w:rPr>
        <w:t>0万元。</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公务用车运行维护费支出</w:t>
      </w:r>
      <w:r>
        <w:rPr>
          <w:rFonts w:hint="eastAsia" w:ascii="仿宋" w:hAnsi="仿宋" w:eastAsia="仿宋"/>
          <w:color w:val="000000"/>
          <w:sz w:val="32"/>
          <w:szCs w:val="32"/>
        </w:rPr>
        <w:t>75.07万元。主要用于本部门公务用车燃料费、维修费、过路过桥费、保险费等支出。</w:t>
      </w:r>
    </w:p>
    <w:p>
      <w:pPr>
        <w:spacing w:line="600" w:lineRule="exact"/>
        <w:ind w:firstLine="640"/>
        <w:rPr>
          <w:rFonts w:ascii="仿宋" w:hAnsi="仿宋" w:eastAsia="仿宋"/>
          <w:color w:val="000000"/>
          <w:sz w:val="32"/>
          <w:szCs w:val="32"/>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rFonts w:hint="eastAsia" w:ascii="仿宋" w:hAnsi="仿宋" w:eastAsia="仿宋"/>
          <w:color w:val="000000"/>
          <w:sz w:val="32"/>
          <w:szCs w:val="32"/>
        </w:rPr>
        <w:t>1.04万元，</w:t>
      </w:r>
      <w:r>
        <w:rPr>
          <w:rStyle w:val="14"/>
          <w:rFonts w:hint="eastAsia" w:ascii="仿宋" w:hAnsi="仿宋" w:eastAsia="仿宋"/>
          <w:b w:val="0"/>
          <w:bCs/>
          <w:color w:val="000000"/>
          <w:sz w:val="32"/>
          <w:szCs w:val="32"/>
        </w:rPr>
        <w:t>完成预算10.4%。</w:t>
      </w:r>
      <w:r>
        <w:rPr>
          <w:rFonts w:hint="eastAsia" w:ascii="仿宋" w:hAnsi="仿宋" w:eastAsia="仿宋"/>
          <w:color w:val="000000"/>
          <w:sz w:val="32"/>
          <w:szCs w:val="32"/>
        </w:rPr>
        <w:t>公务接待费支出决算比</w:t>
      </w:r>
      <w:r>
        <w:rPr>
          <w:rFonts w:ascii="仿宋" w:hAnsi="仿宋" w:eastAsia="仿宋"/>
          <w:color w:val="000000"/>
          <w:sz w:val="32"/>
          <w:szCs w:val="32"/>
        </w:rPr>
        <w:t>201</w:t>
      </w:r>
      <w:r>
        <w:rPr>
          <w:rFonts w:hint="eastAsia" w:ascii="仿宋" w:hAnsi="仿宋" w:eastAsia="仿宋"/>
          <w:color w:val="000000"/>
          <w:sz w:val="32"/>
          <w:szCs w:val="32"/>
        </w:rPr>
        <w:t>9年减少0.1万元，下降8.77</w:t>
      </w:r>
      <w:r>
        <w:rPr>
          <w:rFonts w:ascii="仿宋" w:hAnsi="仿宋" w:eastAsia="仿宋"/>
          <w:color w:val="000000"/>
          <w:sz w:val="32"/>
          <w:szCs w:val="32"/>
        </w:rPr>
        <w:t>%</w:t>
      </w:r>
      <w:r>
        <w:rPr>
          <w:rFonts w:hint="eastAsia" w:ascii="仿宋" w:hAnsi="仿宋" w:eastAsia="仿宋"/>
          <w:color w:val="000000"/>
          <w:sz w:val="32"/>
          <w:szCs w:val="32"/>
        </w:rPr>
        <w:t>。主要原因是严格执行了中央八项规定，将厉行节约落到实处。</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1.04万元，主要用于省自然资源厅、乐山市局各种检查工作接待。</w:t>
      </w:r>
    </w:p>
    <w:p>
      <w:pPr>
        <w:spacing w:line="600" w:lineRule="exact"/>
        <w:ind w:firstLine="643" w:firstLineChars="200"/>
        <w:rPr>
          <w:rFonts w:ascii="仿宋" w:hAnsi="仿宋" w:eastAsia="仿宋"/>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0万元。</w:t>
      </w:r>
    </w:p>
    <w:p>
      <w:pPr>
        <w:spacing w:line="600" w:lineRule="exact"/>
        <w:ind w:firstLine="640"/>
        <w:outlineLvl w:val="1"/>
        <w:rPr>
          <w:rFonts w:ascii="仿宋" w:hAnsi="仿宋" w:eastAsia="仿宋"/>
          <w:color w:val="000000"/>
          <w:sz w:val="32"/>
          <w:szCs w:val="32"/>
        </w:rPr>
      </w:pPr>
      <w:bookmarkStart w:id="50" w:name="_Toc15377218"/>
      <w:bookmarkStart w:id="51" w:name="_Toc15396610"/>
    </w:p>
    <w:p>
      <w:pPr>
        <w:spacing w:line="600" w:lineRule="exact"/>
        <w:ind w:firstLine="640"/>
        <w:outlineLvl w:val="1"/>
        <w:rPr>
          <w:rStyle w:val="17"/>
          <w:rFonts w:hint="eastAsia" w:ascii="黑体" w:hAnsi="黑体" w:eastAsia="黑体" w:cs="黑体"/>
        </w:rPr>
      </w:pPr>
      <w:r>
        <w:rPr>
          <w:rFonts w:hint="eastAsia" w:ascii="黑体" w:hAnsi="黑体" w:eastAsia="黑体" w:cs="黑体"/>
          <w:color w:val="000000"/>
          <w:sz w:val="32"/>
          <w:szCs w:val="32"/>
        </w:rPr>
        <w:t>八、</w:t>
      </w:r>
      <w:r>
        <w:rPr>
          <w:rStyle w:val="17"/>
          <w:rFonts w:hint="eastAsia" w:ascii="黑体" w:hAnsi="黑体" w:eastAsia="黑体" w:cs="黑体"/>
          <w:b w:val="0"/>
        </w:rPr>
        <w:t>政府性基金预算支出决算情况说明</w:t>
      </w:r>
      <w:bookmarkEnd w:id="50"/>
      <w:bookmarkEnd w:id="5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20年政府性基金预算拨款支出163447.57万元。</w:t>
      </w:r>
    </w:p>
    <w:p>
      <w:pPr>
        <w:numPr>
          <w:ilvl w:val="0"/>
          <w:numId w:val="4"/>
        </w:numPr>
        <w:spacing w:line="600" w:lineRule="exact"/>
        <w:ind w:firstLine="640"/>
        <w:outlineLvl w:val="1"/>
        <w:rPr>
          <w:rStyle w:val="17"/>
          <w:rFonts w:hint="eastAsia" w:ascii="黑体" w:hAnsi="黑体" w:eastAsia="黑体" w:cs="黑体"/>
          <w:b w:val="0"/>
        </w:rPr>
      </w:pPr>
      <w:bookmarkStart w:id="52" w:name="_Toc15396611"/>
      <w:bookmarkStart w:id="53" w:name="_Toc15377219"/>
      <w:r>
        <w:rPr>
          <w:rStyle w:val="17"/>
          <w:rFonts w:hint="eastAsia" w:ascii="黑体" w:hAnsi="黑体" w:eastAsia="黑体" w:cs="黑体"/>
          <w:b w:val="0"/>
        </w:rPr>
        <w:t>国有资本经营预算支出决算情况说明</w:t>
      </w:r>
      <w:bookmarkEnd w:id="52"/>
      <w:bookmarkEnd w:id="5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20年国有资本经营预算拨款支出0万元。</w:t>
      </w:r>
    </w:p>
    <w:p>
      <w:pPr>
        <w:spacing w:line="600" w:lineRule="exact"/>
        <w:ind w:firstLine="800" w:firstLineChars="250"/>
        <w:outlineLvl w:val="1"/>
        <w:rPr>
          <w:rStyle w:val="17"/>
          <w:rFonts w:hint="eastAsia" w:ascii="黑体" w:hAnsi="黑体" w:eastAsia="黑体" w:cs="黑体"/>
        </w:rPr>
      </w:pPr>
      <w:bookmarkStart w:id="54" w:name="_Toc15377221"/>
      <w:bookmarkStart w:id="55" w:name="_Toc15396612"/>
      <w:r>
        <w:rPr>
          <w:rFonts w:hint="eastAsia" w:ascii="黑体" w:hAnsi="黑体" w:eastAsia="黑体" w:cs="黑体"/>
          <w:color w:val="000000"/>
          <w:sz w:val="32"/>
          <w:szCs w:val="32"/>
        </w:rPr>
        <w:t>十</w:t>
      </w:r>
      <w:r>
        <w:rPr>
          <w:rStyle w:val="17"/>
          <w:rFonts w:hint="eastAsia" w:ascii="黑体" w:hAnsi="黑体" w:eastAsia="黑体" w:cs="黑体"/>
        </w:rPr>
        <w:t>、</w:t>
      </w:r>
      <w:r>
        <w:rPr>
          <w:rStyle w:val="17"/>
          <w:rFonts w:hint="eastAsia" w:ascii="黑体" w:hAnsi="黑体" w:eastAsia="黑体" w:cs="黑体"/>
          <w:b w:val="0"/>
        </w:rPr>
        <w:t>其他重要事项的情况说明</w:t>
      </w:r>
      <w:bookmarkEnd w:id="54"/>
      <w:bookmarkEnd w:id="55"/>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56" w:name="_Toc15377222"/>
      <w:r>
        <w:rPr>
          <w:rFonts w:hint="eastAsia" w:ascii="楷体_GB2312" w:hAnsi="楷体_GB2312" w:eastAsia="楷体_GB2312" w:cs="楷体_GB2312"/>
          <w:b w:val="0"/>
          <w:bCs/>
          <w:color w:val="000000"/>
          <w:sz w:val="32"/>
          <w:szCs w:val="32"/>
        </w:rPr>
        <w:t>（一）机关运行经费支出情况</w:t>
      </w:r>
      <w:bookmarkEnd w:id="56"/>
    </w:p>
    <w:p>
      <w:pPr>
        <w:spacing w:line="600" w:lineRule="exact"/>
        <w:ind w:firstLine="640" w:firstLineChars="200"/>
        <w:rPr>
          <w:rFonts w:ascii="仿宋" w:hAnsi="仿宋" w:eastAsia="仿宋"/>
          <w:color w:val="000000" w:themeColor="text1"/>
          <w:sz w:val="32"/>
          <w:szCs w:val="32"/>
          <w:highlight w:val="yellow"/>
        </w:rPr>
      </w:pPr>
      <w:r>
        <w:rPr>
          <w:rFonts w:ascii="仿宋" w:hAnsi="仿宋" w:eastAsia="仿宋"/>
          <w:color w:val="000000"/>
          <w:sz w:val="32"/>
          <w:szCs w:val="32"/>
        </w:rPr>
        <w:t>20</w:t>
      </w:r>
      <w:r>
        <w:rPr>
          <w:rFonts w:hint="eastAsia" w:ascii="仿宋" w:hAnsi="仿宋" w:eastAsia="仿宋"/>
          <w:color w:val="000000"/>
          <w:sz w:val="32"/>
          <w:szCs w:val="32"/>
        </w:rPr>
        <w:t>20年，峨眉山市自然资源系统运行经费支出96.79万元，比</w:t>
      </w:r>
      <w:r>
        <w:rPr>
          <w:rFonts w:ascii="仿宋" w:hAnsi="仿宋" w:eastAsia="仿宋"/>
          <w:color w:val="000000"/>
          <w:sz w:val="32"/>
          <w:szCs w:val="32"/>
        </w:rPr>
        <w:t>201</w:t>
      </w:r>
      <w:r>
        <w:rPr>
          <w:rFonts w:hint="eastAsia" w:ascii="仿宋" w:hAnsi="仿宋" w:eastAsia="仿宋"/>
          <w:color w:val="000000"/>
          <w:sz w:val="32"/>
          <w:szCs w:val="32"/>
        </w:rPr>
        <w:t>9年减少95.57万元，下降49.68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主要原因是森林公安划归市公安局，人员减少，导致公用经费减少。</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000000"/>
          <w:sz w:val="32"/>
          <w:szCs w:val="32"/>
        </w:rPr>
      </w:pPr>
      <w:bookmarkStart w:id="57" w:name="_Toc15377223"/>
      <w:r>
        <w:rPr>
          <w:rFonts w:hint="eastAsia" w:ascii="楷体_GB2312" w:hAnsi="楷体_GB2312" w:eastAsia="楷体_GB2312" w:cs="楷体_GB2312"/>
          <w:b w:val="0"/>
          <w:bCs/>
          <w:color w:val="000000"/>
          <w:sz w:val="32"/>
          <w:szCs w:val="32"/>
        </w:rPr>
        <w:t>（二）政府采购支出情况</w:t>
      </w:r>
      <w:bookmarkEnd w:id="57"/>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峨眉山市自然资源系统政府采购支出总额152.82万元，其中：政府采购货物支出16.46万元、政府采购工程支出0万元、政府采购服务支出136.36万元。主要用于征拆项目评估费、测绘费。授予中小企业合同金额0万元0，其中：授予小微企业合同金额0万元0。</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000000"/>
          <w:sz w:val="32"/>
          <w:szCs w:val="32"/>
        </w:rPr>
      </w:pPr>
      <w:bookmarkStart w:id="58" w:name="_Toc15377224"/>
      <w:r>
        <w:rPr>
          <w:rFonts w:hint="eastAsia" w:ascii="楷体_GB2312" w:hAnsi="楷体_GB2312" w:eastAsia="楷体_GB2312" w:cs="楷体_GB2312"/>
          <w:b w:val="0"/>
          <w:bCs/>
          <w:color w:val="000000"/>
          <w:sz w:val="32"/>
          <w:szCs w:val="32"/>
        </w:rPr>
        <w:t>（三）国有资产占有使用情况</w:t>
      </w:r>
      <w:bookmarkEnd w:id="58"/>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w:t>
      </w:r>
      <w:r>
        <w:rPr>
          <w:rFonts w:hint="eastAsia" w:ascii="仿宋" w:hAnsi="仿宋" w:eastAsia="仿宋"/>
          <w:color w:val="000000"/>
          <w:sz w:val="32"/>
          <w:szCs w:val="32"/>
        </w:rPr>
        <w:t>20年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日，峨眉山市自然资源部门共有车辆18辆，其中：主要领导干部用车0辆、机要通信用车0辆、应急保障用车1辆、执法执勤车1辆、特种专业技术用车1辆、其他用车15辆。</w:t>
      </w:r>
      <w:r>
        <w:rPr>
          <w:rFonts w:hint="eastAsia" w:ascii="仿宋" w:hAnsi="仿宋" w:eastAsia="仿宋"/>
          <w:color w:val="000000" w:themeColor="text1"/>
          <w:sz w:val="32"/>
          <w:szCs w:val="32"/>
        </w:rPr>
        <w:t>其他用车主要是用于处理自然资源灾害管理。单价</w:t>
      </w:r>
      <w:r>
        <w:rPr>
          <w:rFonts w:ascii="仿宋" w:hAnsi="仿宋" w:eastAsia="仿宋"/>
          <w:color w:val="000000" w:themeColor="text1"/>
          <w:sz w:val="32"/>
          <w:szCs w:val="32"/>
        </w:rPr>
        <w:t>50</w:t>
      </w:r>
      <w:r>
        <w:rPr>
          <w:rFonts w:hint="eastAsia" w:ascii="仿宋" w:hAnsi="仿宋" w:eastAsia="仿宋"/>
          <w:color w:val="000000" w:themeColor="text1"/>
          <w:sz w:val="32"/>
          <w:szCs w:val="32"/>
        </w:rPr>
        <w:t>万元以上通用设备5台（套），单价</w:t>
      </w:r>
      <w:r>
        <w:rPr>
          <w:rFonts w:ascii="仿宋" w:hAnsi="仿宋" w:eastAsia="仿宋"/>
          <w:color w:val="000000" w:themeColor="text1"/>
          <w:sz w:val="32"/>
          <w:szCs w:val="32"/>
        </w:rPr>
        <w:t>100</w:t>
      </w:r>
      <w:r>
        <w:rPr>
          <w:rFonts w:hint="eastAsia" w:ascii="仿宋" w:hAnsi="仿宋" w:eastAsia="仿宋"/>
          <w:color w:val="000000"/>
          <w:sz w:val="32"/>
          <w:szCs w:val="32"/>
        </w:rPr>
        <w:t>万元以上专用设备0台（套）。</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（四）预算绩效管理情况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根据预算绩效管理要求，本部门在年初预算编制阶段，对41个项目编制了绩效目标，预算执行过程中，选取5个项目开展绩效监控，年终执行完毕后，对5个项目开展了绩效目标完成情况自评。 </w:t>
      </w:r>
    </w:p>
    <w:p>
      <w:pPr>
        <w:widowControl/>
        <w:adjustRightInd w:val="0"/>
        <w:snapToGrid w:val="0"/>
        <w:spacing w:line="580" w:lineRule="exact"/>
        <w:ind w:firstLine="720"/>
        <w:jc w:val="left"/>
        <w:rPr>
          <w:rFonts w:ascii="仿宋" w:hAnsi="仿宋" w:eastAsia="仿宋" w:cs="仿宋_GB2312"/>
          <w:sz w:val="32"/>
          <w:szCs w:val="32"/>
        </w:rPr>
      </w:pPr>
      <w:r>
        <w:rPr>
          <w:rFonts w:hint="eastAsia" w:ascii="仿宋" w:hAnsi="仿宋" w:eastAsia="仿宋" w:cs="仿宋_GB2312"/>
          <w:sz w:val="32"/>
          <w:szCs w:val="32"/>
        </w:rPr>
        <w:t>本部门按要求对2020年部门整体支出开展绩效自评，从评价情况来看</w:t>
      </w:r>
      <w:r>
        <w:rPr>
          <w:rFonts w:hint="eastAsia" w:ascii="仿宋" w:hAnsi="仿宋" w:eastAsia="仿宋" w:cs="仿宋"/>
          <w:color w:val="000000"/>
          <w:kern w:val="0"/>
          <w:sz w:val="32"/>
          <w:szCs w:val="32"/>
          <w:shd w:val="clear" w:color="auto" w:fill="FFFFFF"/>
          <w:lang w:val="zh-CN"/>
        </w:rPr>
        <w:t>全年执行进度同项目特点相关，各项目不完全一致，确保都达到预期目的，项目实施均达到了预期的经济、生态、社会效益</w:t>
      </w:r>
      <w:r>
        <w:rPr>
          <w:rFonts w:hint="eastAsia" w:ascii="仿宋" w:hAnsi="仿宋" w:eastAsia="仿宋" w:cs="仿宋_GB2312"/>
          <w:sz w:val="32"/>
          <w:szCs w:val="32"/>
        </w:rPr>
        <w:t>。本部门还自行组织了2个项目支出绩效评价，从评价情况来看</w:t>
      </w:r>
      <w:r>
        <w:rPr>
          <w:rFonts w:hint="eastAsia" w:ascii="仿宋" w:hAnsi="仿宋" w:eastAsia="仿宋" w:cs="仿宋"/>
          <w:color w:val="000000"/>
          <w:kern w:val="0"/>
          <w:sz w:val="32"/>
          <w:szCs w:val="32"/>
          <w:shd w:val="clear" w:color="auto" w:fill="FFFFFF"/>
          <w:lang w:val="zh-CN"/>
        </w:rPr>
        <w:t>实施均达到了预期的经济、生态、社会效益。</w:t>
      </w:r>
    </w:p>
    <w:p>
      <w:pPr>
        <w:numPr>
          <w:ilvl w:val="0"/>
          <w:numId w:val="5"/>
        </w:numPr>
        <w:spacing w:line="580" w:lineRule="exact"/>
        <w:ind w:firstLine="640" w:firstLineChars="200"/>
        <w:rPr>
          <w:rFonts w:ascii="仿宋" w:hAnsi="仿宋" w:eastAsia="仿宋" w:cs="仿宋_GB2312"/>
          <w:sz w:val="32"/>
          <w:szCs w:val="32"/>
        </w:rPr>
      </w:pPr>
      <w:r>
        <w:rPr>
          <w:rFonts w:hint="eastAsia" w:ascii="仿宋" w:hAnsi="仿宋" w:eastAsia="仿宋" w:cs="楷体_GB2312"/>
          <w:sz w:val="32"/>
          <w:szCs w:val="32"/>
        </w:rPr>
        <w:t>项目绩效目标完成情况。</w:t>
      </w:r>
      <w:r>
        <w:rPr>
          <w:rFonts w:hint="eastAsia" w:ascii="仿宋" w:hAnsi="仿宋" w:eastAsia="仿宋" w:cs="楷体_GB2312"/>
          <w:sz w:val="32"/>
          <w:szCs w:val="32"/>
        </w:rPr>
        <w:br w:type="textWrapping"/>
      </w:r>
      <w:r>
        <w:rPr>
          <w:rFonts w:hint="eastAsia" w:ascii="仿宋" w:hAnsi="仿宋" w:eastAsia="仿宋" w:cs="仿宋_GB2312"/>
          <w:sz w:val="32"/>
          <w:szCs w:val="32"/>
        </w:rPr>
        <w:t xml:space="preserve">    本部门在2020年度部门决算中反映“地质灾害综合防治体系建设</w:t>
      </w:r>
      <w:r>
        <w:rPr>
          <w:rFonts w:ascii="仿宋" w:hAnsi="仿宋" w:eastAsia="仿宋" w:cs="仿宋_GB2312"/>
          <w:sz w:val="32"/>
          <w:szCs w:val="32"/>
        </w:rPr>
        <w:t>”</w:t>
      </w:r>
      <w:r>
        <w:rPr>
          <w:rFonts w:hint="eastAsia" w:ascii="仿宋" w:hAnsi="仿宋" w:eastAsia="仿宋" w:cs="仿宋_GB2312"/>
          <w:sz w:val="32"/>
          <w:szCs w:val="32"/>
        </w:rPr>
        <w:t>、“社保预存款”、“第三次全国土地调查”、“缴纳耕地占用税”、“集体林管护劳务费”、“征拆项目测绘费、评估费”、“过渡费、利息、本金”等41个项目绩效目标实际完成情况。</w:t>
      </w:r>
    </w:p>
    <w:p>
      <w:pPr>
        <w:pStyle w:val="6"/>
        <w:spacing w:before="93"/>
        <w:ind w:firstLine="640" w:firstLineChars="200"/>
        <w:rPr>
          <w:rFonts w:ascii="仿宋" w:hAnsi="仿宋" w:eastAsia="仿宋"/>
        </w:rPr>
      </w:pPr>
      <w:r>
        <w:rPr>
          <w:rFonts w:hint="eastAsia" w:ascii="仿宋" w:hAnsi="仿宋" w:eastAsia="仿宋" w:cs="仿宋_GB2312"/>
          <w:sz w:val="32"/>
          <w:szCs w:val="32"/>
        </w:rPr>
        <w:t>（1）峨眉山市土地和房屋征收服务中心征拆项目测绘费、评估费项目绩效目标完成情况综述。项目全年预算数100万元，执行数为100万元，完成预算的100%。按“精准征收、阳光拆迁、惠民安置”的要求，完成峨汉高速等项目房屋拆迁补偿安置，完成市委市政府交办的中心任务。</w:t>
      </w:r>
    </w:p>
    <w:tbl>
      <w:tblPr>
        <w:tblStyle w:val="12"/>
        <w:tblpPr w:leftFromText="180" w:rightFromText="180" w:vertAnchor="text" w:horzAnchor="page" w:tblpXSpec="center" w:tblpY="423"/>
        <w:tblOverlap w:val="never"/>
        <w:tblW w:w="9280" w:type="dxa"/>
        <w:jc w:val="center"/>
        <w:tblLayout w:type="fixed"/>
        <w:tblCellMar>
          <w:top w:w="0" w:type="dxa"/>
          <w:left w:w="0" w:type="dxa"/>
          <w:bottom w:w="0" w:type="dxa"/>
          <w:right w:w="0" w:type="dxa"/>
        </w:tblCellMar>
      </w:tblPr>
      <w:tblGrid>
        <w:gridCol w:w="362"/>
        <w:gridCol w:w="1273"/>
        <w:gridCol w:w="956"/>
        <w:gridCol w:w="2228"/>
        <w:gridCol w:w="2229"/>
        <w:gridCol w:w="2232"/>
      </w:tblGrid>
      <w:tr>
        <w:tblPrEx>
          <w:tblCellMar>
            <w:top w:w="0" w:type="dxa"/>
            <w:left w:w="0" w:type="dxa"/>
            <w:bottom w:w="0" w:type="dxa"/>
            <w:right w:w="0" w:type="dxa"/>
          </w:tblCellMar>
        </w:tblPrEx>
        <w:trPr>
          <w:trHeight w:val="1116" w:hRule="atLeast"/>
          <w:jc w:val="center"/>
        </w:trPr>
        <w:tc>
          <w:tcPr>
            <w:tcW w:w="928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方正小标宋简体" w:hAnsi="方正小标宋简体" w:eastAsia="方正小标宋简体" w:cs="方正小标宋简体"/>
                <w:b w:val="0"/>
                <w:bCs w:val="0"/>
                <w:color w:val="000000"/>
                <w:kern w:val="0"/>
                <w:sz w:val="36"/>
                <w:szCs w:val="36"/>
              </w:rPr>
              <w:t>项目绩效目标完成情况表</w:t>
            </w:r>
            <w:r>
              <w:rPr>
                <w:rFonts w:hint="eastAsia" w:ascii="方正小标宋简体" w:hAnsi="方正小标宋简体" w:eastAsia="方正小标宋简体" w:cs="方正小标宋简体"/>
                <w:b w:val="0"/>
                <w:bCs w:val="0"/>
                <w:color w:val="000000"/>
                <w:kern w:val="0"/>
                <w:sz w:val="36"/>
                <w:szCs w:val="36"/>
              </w:rPr>
              <w:br w:type="textWrapping"/>
            </w:r>
            <w:r>
              <w:rPr>
                <w:rFonts w:hint="eastAsia" w:ascii="楷体_GB2312" w:hAnsi="楷体_GB2312" w:eastAsia="楷体_GB2312" w:cs="楷体_GB2312"/>
                <w:color w:val="000000"/>
                <w:kern w:val="0"/>
                <w:sz w:val="36"/>
                <w:szCs w:val="36"/>
              </w:rPr>
              <w:t>(2020年度)</w:t>
            </w:r>
          </w:p>
        </w:tc>
      </w:tr>
      <w:tr>
        <w:tblPrEx>
          <w:tblCellMar>
            <w:top w:w="0" w:type="dxa"/>
            <w:left w:w="0" w:type="dxa"/>
            <w:bottom w:w="0" w:type="dxa"/>
            <w:right w:w="0" w:type="dxa"/>
          </w:tblCellMar>
        </w:tblPrEx>
        <w:trPr>
          <w:trHeight w:val="298" w:hRule="atLeast"/>
          <w:jc w:val="center"/>
        </w:trPr>
        <w:tc>
          <w:tcPr>
            <w:tcW w:w="25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668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征拆项目测绘费、评估费</w:t>
            </w:r>
          </w:p>
        </w:tc>
      </w:tr>
      <w:tr>
        <w:tblPrEx>
          <w:tblCellMar>
            <w:top w:w="0" w:type="dxa"/>
            <w:left w:w="0" w:type="dxa"/>
            <w:bottom w:w="0" w:type="dxa"/>
            <w:right w:w="0" w:type="dxa"/>
          </w:tblCellMar>
        </w:tblPrEx>
        <w:trPr>
          <w:trHeight w:val="298" w:hRule="atLeast"/>
          <w:jc w:val="center"/>
        </w:trPr>
        <w:tc>
          <w:tcPr>
            <w:tcW w:w="25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668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峨眉山市土地和房屋征收服务中心</w:t>
            </w:r>
          </w:p>
        </w:tc>
      </w:tr>
      <w:tr>
        <w:tblPrEx>
          <w:tblCellMar>
            <w:top w:w="0" w:type="dxa"/>
            <w:left w:w="0" w:type="dxa"/>
            <w:bottom w:w="0" w:type="dxa"/>
            <w:right w:w="0" w:type="dxa"/>
          </w:tblCellMar>
        </w:tblPrEx>
        <w:trPr>
          <w:trHeight w:val="298" w:hRule="atLeast"/>
          <w:jc w:val="center"/>
        </w:trPr>
        <w:tc>
          <w:tcPr>
            <w:tcW w:w="3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w:t>
            </w:r>
            <w:r>
              <w:rPr>
                <w:rFonts w:ascii="仿宋" w:hAnsi="仿宋" w:eastAsia="仿宋" w:cs="宋体"/>
                <w:color w:val="000000"/>
                <w:kern w:val="0"/>
                <w:sz w:val="24"/>
              </w:rPr>
              <w:t>(</w:t>
            </w:r>
            <w:r>
              <w:rPr>
                <w:rFonts w:hint="eastAsia" w:ascii="仿宋" w:hAnsi="仿宋" w:eastAsia="仿宋" w:cs="宋体"/>
                <w:color w:val="000000"/>
                <w:kern w:val="0"/>
                <w:sz w:val="24"/>
              </w:rPr>
              <w:t>万元</w:t>
            </w:r>
            <w:r>
              <w:rPr>
                <w:rFonts w:ascii="仿宋" w:hAnsi="仿宋" w:eastAsia="仿宋" w:cs="宋体"/>
                <w:color w:val="000000"/>
                <w:kern w:val="0"/>
                <w:sz w:val="24"/>
              </w:rPr>
              <w:t>)</w:t>
            </w:r>
          </w:p>
        </w:tc>
        <w:tc>
          <w:tcPr>
            <w:tcW w:w="2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r>
              <w:rPr>
                <w:rFonts w:ascii="仿宋" w:hAnsi="仿宋" w:eastAsia="仿宋" w:cs="宋体"/>
                <w:color w:val="000000"/>
                <w:kern w:val="0"/>
                <w:sz w:val="24"/>
              </w:rPr>
              <w:t>:</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100</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r>
              <w:rPr>
                <w:rFonts w:ascii="仿宋" w:hAnsi="仿宋" w:eastAsia="仿宋" w:cs="宋体"/>
                <w:color w:val="000000"/>
                <w:kern w:val="0"/>
                <w:sz w:val="24"/>
              </w:rPr>
              <w:t>:</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100</w:t>
            </w:r>
          </w:p>
        </w:tc>
      </w:tr>
      <w:tr>
        <w:tblPrEx>
          <w:tblCellMar>
            <w:top w:w="0" w:type="dxa"/>
            <w:left w:w="0" w:type="dxa"/>
            <w:bottom w:w="0" w:type="dxa"/>
            <w:right w:w="0" w:type="dxa"/>
          </w:tblCellMar>
        </w:tblPrEx>
        <w:trPr>
          <w:trHeight w:val="298" w:hRule="atLeast"/>
          <w:jc w:val="center"/>
        </w:trPr>
        <w:tc>
          <w:tcPr>
            <w:tcW w:w="3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100</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100</w:t>
            </w:r>
          </w:p>
        </w:tc>
      </w:tr>
      <w:tr>
        <w:tblPrEx>
          <w:tblCellMar>
            <w:top w:w="0" w:type="dxa"/>
            <w:left w:w="0" w:type="dxa"/>
            <w:bottom w:w="0" w:type="dxa"/>
            <w:right w:w="0" w:type="dxa"/>
          </w:tblCellMar>
        </w:tblPrEx>
        <w:trPr>
          <w:trHeight w:val="2183" w:hRule="atLeast"/>
          <w:jc w:val="center"/>
        </w:trPr>
        <w:tc>
          <w:tcPr>
            <w:tcW w:w="3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298" w:hRule="atLeast"/>
          <w:jc w:val="center"/>
        </w:trPr>
        <w:tc>
          <w:tcPr>
            <w:tcW w:w="3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4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930" w:hRule="atLeast"/>
          <w:jc w:val="center"/>
        </w:trPr>
        <w:tc>
          <w:tcPr>
            <w:tcW w:w="3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4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峨汉高速、成乐高速扩容、只有峨眉山、高桥恒邦度假小镇等项目征地拆迁测绘评估费</w:t>
            </w:r>
          </w:p>
        </w:tc>
        <w:tc>
          <w:tcPr>
            <w:tcW w:w="4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峨汉高速、成乐高速扩容、只有峨眉山、高桥恒邦度假小镇等项目征地拆迁测绘评估费</w:t>
            </w:r>
          </w:p>
        </w:tc>
      </w:tr>
      <w:tr>
        <w:tblPrEx>
          <w:tblCellMar>
            <w:top w:w="0" w:type="dxa"/>
            <w:left w:w="0" w:type="dxa"/>
            <w:bottom w:w="0" w:type="dxa"/>
            <w:right w:w="0" w:type="dxa"/>
          </w:tblCellMar>
        </w:tblPrEx>
        <w:trPr>
          <w:trHeight w:val="864" w:hRule="atLeast"/>
          <w:jc w:val="center"/>
        </w:trPr>
        <w:tc>
          <w:tcPr>
            <w:tcW w:w="36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r>
      <w:tr>
        <w:tblPrEx>
          <w:tblCellMar>
            <w:top w:w="0" w:type="dxa"/>
            <w:left w:w="0" w:type="dxa"/>
            <w:bottom w:w="0" w:type="dxa"/>
            <w:right w:w="0" w:type="dxa"/>
          </w:tblCellMar>
        </w:tblPrEx>
        <w:trPr>
          <w:trHeight w:val="795" w:hRule="atLeast"/>
          <w:jc w:val="center"/>
        </w:trPr>
        <w:tc>
          <w:tcPr>
            <w:tcW w:w="3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 xml:space="preserve">  数量指标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测绘费、评估费完成率</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960" w:firstLineChars="400"/>
              <w:textAlignment w:val="center"/>
              <w:rPr>
                <w:rFonts w:ascii="仿宋" w:hAnsi="仿宋" w:eastAsia="仿宋" w:cs="宋体"/>
                <w:color w:val="000000"/>
                <w:sz w:val="18"/>
                <w:szCs w:val="18"/>
              </w:rPr>
            </w:pPr>
            <w:r>
              <w:rPr>
                <w:rFonts w:hint="eastAsia" w:ascii="仿宋" w:hAnsi="仿宋" w:eastAsia="仿宋" w:cs="宋体"/>
                <w:color w:val="000000"/>
                <w:sz w:val="24"/>
              </w:rPr>
              <w:t>100%</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960" w:firstLineChars="400"/>
              <w:textAlignment w:val="center"/>
              <w:rPr>
                <w:rFonts w:ascii="仿宋" w:hAnsi="仿宋" w:eastAsia="仿宋" w:cs="宋体"/>
                <w:color w:val="000000"/>
                <w:sz w:val="18"/>
                <w:szCs w:val="18"/>
              </w:rPr>
            </w:pPr>
            <w:r>
              <w:rPr>
                <w:rFonts w:hint="eastAsia" w:ascii="仿宋" w:hAnsi="仿宋" w:eastAsia="仿宋" w:cs="宋体"/>
                <w:color w:val="000000"/>
                <w:sz w:val="24"/>
              </w:rPr>
              <w:t>100%</w:t>
            </w:r>
          </w:p>
        </w:tc>
      </w:tr>
      <w:tr>
        <w:tblPrEx>
          <w:tblCellMar>
            <w:top w:w="0" w:type="dxa"/>
            <w:left w:w="0" w:type="dxa"/>
            <w:bottom w:w="0" w:type="dxa"/>
            <w:right w:w="0" w:type="dxa"/>
          </w:tblCellMar>
        </w:tblPrEx>
        <w:trPr>
          <w:trHeight w:val="1066" w:hRule="atLeast"/>
          <w:jc w:val="center"/>
        </w:trPr>
        <w:tc>
          <w:tcPr>
            <w:tcW w:w="3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按时按实结算征拆项目测绘费、评估费</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按实结算征拆项目测绘费、评估费</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按实结算征拆项目测绘费、评估费</w:t>
            </w:r>
          </w:p>
        </w:tc>
      </w:tr>
      <w:tr>
        <w:tblPrEx>
          <w:tblCellMar>
            <w:top w:w="0" w:type="dxa"/>
            <w:left w:w="0" w:type="dxa"/>
            <w:bottom w:w="0" w:type="dxa"/>
            <w:right w:w="0" w:type="dxa"/>
          </w:tblCellMar>
        </w:tblPrEx>
        <w:trPr>
          <w:trHeight w:val="864" w:hRule="atLeast"/>
          <w:jc w:val="center"/>
        </w:trPr>
        <w:tc>
          <w:tcPr>
            <w:tcW w:w="3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864" w:hRule="atLeast"/>
          <w:jc w:val="center"/>
        </w:trPr>
        <w:tc>
          <w:tcPr>
            <w:tcW w:w="3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864" w:hRule="atLeast"/>
          <w:jc w:val="center"/>
        </w:trPr>
        <w:tc>
          <w:tcPr>
            <w:tcW w:w="3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864" w:hRule="atLeast"/>
          <w:jc w:val="center"/>
        </w:trPr>
        <w:tc>
          <w:tcPr>
            <w:tcW w:w="3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864" w:hRule="atLeast"/>
          <w:jc w:val="center"/>
        </w:trPr>
        <w:tc>
          <w:tcPr>
            <w:tcW w:w="3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066" w:hRule="atLeast"/>
          <w:jc w:val="center"/>
        </w:trPr>
        <w:tc>
          <w:tcPr>
            <w:tcW w:w="3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066" w:hRule="atLeast"/>
          <w:jc w:val="center"/>
        </w:trPr>
        <w:tc>
          <w:tcPr>
            <w:tcW w:w="3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871" w:hRule="atLeast"/>
          <w:jc w:val="center"/>
        </w:trPr>
        <w:tc>
          <w:tcPr>
            <w:tcW w:w="36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3678" w:hRule="atLeast"/>
          <w:jc w:val="center"/>
        </w:trPr>
        <w:tc>
          <w:tcPr>
            <w:tcW w:w="9280" w:type="dxa"/>
            <w:gridSpan w:val="6"/>
            <w:tcBorders>
              <w:top w:val="nil"/>
              <w:left w:val="nil"/>
              <w:bottom w:val="nil"/>
              <w:right w:val="nil"/>
            </w:tcBorders>
            <w:tcMar>
              <w:top w:w="15" w:type="dxa"/>
              <w:left w:w="15" w:type="dxa"/>
              <w:right w:w="15" w:type="dxa"/>
            </w:tcMar>
            <w:vAlign w:val="center"/>
          </w:tcPr>
          <w:p>
            <w:pPr>
              <w:ind w:firstLine="640" w:firstLineChars="200"/>
              <w:rPr>
                <w:rFonts w:ascii="仿宋" w:hAnsi="仿宋" w:eastAsia="仿宋" w:cs="仿宋_GB2312"/>
                <w:sz w:val="32"/>
                <w:szCs w:val="32"/>
              </w:rPr>
            </w:pPr>
            <w:r>
              <w:rPr>
                <w:rFonts w:hint="eastAsia" w:ascii="仿宋" w:hAnsi="仿宋" w:eastAsia="仿宋" w:cs="仿宋_GB2312"/>
                <w:sz w:val="32"/>
                <w:szCs w:val="32"/>
              </w:rPr>
              <w:t>（2）峨眉山市自然资源局地质灾害综合防治体系建设项目绩效目标完成情况综述。项目全年预算数800.05万元，执行数为505.26万元，完成预算的63.15%。做好地质灾害应急演练、宣传培训、应急调查等等与地质灾害综合防治体系建设相关工作。</w:t>
            </w:r>
          </w:p>
          <w:p>
            <w:pPr>
              <w:widowControl/>
              <w:jc w:val="center"/>
              <w:textAlignment w:val="center"/>
              <w:rPr>
                <w:rFonts w:ascii="仿宋" w:hAnsi="仿宋" w:eastAsia="仿宋" w:cs="宋体"/>
                <w:color w:val="000000"/>
                <w:sz w:val="36"/>
                <w:szCs w:val="36"/>
              </w:rPr>
            </w:pPr>
            <w:r>
              <w:rPr>
                <w:rFonts w:hint="eastAsia" w:ascii="方正小标宋简体" w:hAnsi="方正小标宋简体" w:eastAsia="方正小标宋简体" w:cs="方正小标宋简体"/>
                <w:b w:val="0"/>
                <w:bCs w:val="0"/>
                <w:color w:val="000000"/>
                <w:kern w:val="0"/>
                <w:sz w:val="36"/>
                <w:szCs w:val="36"/>
              </w:rPr>
              <w:t>项目绩效目标完成情况表</w:t>
            </w:r>
            <w:r>
              <w:rPr>
                <w:rFonts w:hint="eastAsia" w:ascii="方正小标宋简体" w:hAnsi="方正小标宋简体" w:eastAsia="方正小标宋简体" w:cs="方正小标宋简体"/>
                <w:b w:val="0"/>
                <w:bCs w:val="0"/>
                <w:color w:val="000000"/>
                <w:kern w:val="0"/>
                <w:sz w:val="36"/>
                <w:szCs w:val="36"/>
              </w:rPr>
              <w:br w:type="textWrapping"/>
            </w:r>
            <w:r>
              <w:rPr>
                <w:rFonts w:hint="eastAsia" w:ascii="楷体_GB2312" w:hAnsi="楷体_GB2312" w:eastAsia="楷体_GB2312" w:cs="楷体_GB2312"/>
                <w:color w:val="000000"/>
                <w:kern w:val="0"/>
                <w:sz w:val="36"/>
                <w:szCs w:val="36"/>
              </w:rPr>
              <w:t>(2020 年度)</w:t>
            </w:r>
          </w:p>
        </w:tc>
      </w:tr>
      <w:tr>
        <w:tblPrEx>
          <w:tblCellMar>
            <w:top w:w="0" w:type="dxa"/>
            <w:left w:w="0" w:type="dxa"/>
            <w:bottom w:w="0" w:type="dxa"/>
            <w:right w:w="0" w:type="dxa"/>
          </w:tblCellMar>
        </w:tblPrEx>
        <w:trPr>
          <w:trHeight w:val="574" w:hRule="atLeast"/>
          <w:jc w:val="center"/>
        </w:trPr>
        <w:tc>
          <w:tcPr>
            <w:tcW w:w="25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668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峨眉山市地质灾害综合防治体系建设</w:t>
            </w:r>
          </w:p>
        </w:tc>
      </w:tr>
      <w:tr>
        <w:tblPrEx>
          <w:tblCellMar>
            <w:top w:w="0" w:type="dxa"/>
            <w:left w:w="0" w:type="dxa"/>
            <w:bottom w:w="0" w:type="dxa"/>
            <w:right w:w="0" w:type="dxa"/>
          </w:tblCellMar>
        </w:tblPrEx>
        <w:trPr>
          <w:trHeight w:val="298" w:hRule="atLeast"/>
          <w:jc w:val="center"/>
        </w:trPr>
        <w:tc>
          <w:tcPr>
            <w:tcW w:w="25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668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峨眉山市自然资源局</w:t>
            </w:r>
          </w:p>
        </w:tc>
      </w:tr>
      <w:tr>
        <w:tblPrEx>
          <w:tblCellMar>
            <w:top w:w="0" w:type="dxa"/>
            <w:left w:w="0" w:type="dxa"/>
            <w:bottom w:w="0" w:type="dxa"/>
            <w:right w:w="0" w:type="dxa"/>
          </w:tblCellMar>
        </w:tblPrEx>
        <w:trPr>
          <w:trHeight w:val="298" w:hRule="atLeast"/>
          <w:jc w:val="center"/>
        </w:trPr>
        <w:tc>
          <w:tcPr>
            <w:tcW w:w="3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800.05</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505.26</w:t>
            </w:r>
          </w:p>
        </w:tc>
      </w:tr>
      <w:tr>
        <w:tblPrEx>
          <w:tblCellMar>
            <w:top w:w="0" w:type="dxa"/>
            <w:left w:w="0" w:type="dxa"/>
            <w:bottom w:w="0" w:type="dxa"/>
            <w:right w:w="0" w:type="dxa"/>
          </w:tblCellMar>
        </w:tblPrEx>
        <w:trPr>
          <w:trHeight w:val="298" w:hRule="atLeast"/>
          <w:jc w:val="center"/>
        </w:trPr>
        <w:tc>
          <w:tcPr>
            <w:tcW w:w="3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800.05</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505.26</w:t>
            </w:r>
          </w:p>
        </w:tc>
      </w:tr>
      <w:tr>
        <w:tblPrEx>
          <w:tblCellMar>
            <w:top w:w="0" w:type="dxa"/>
            <w:left w:w="0" w:type="dxa"/>
            <w:bottom w:w="0" w:type="dxa"/>
            <w:right w:w="0" w:type="dxa"/>
          </w:tblCellMar>
        </w:tblPrEx>
        <w:trPr>
          <w:trHeight w:val="2183" w:hRule="atLeast"/>
          <w:jc w:val="center"/>
        </w:trPr>
        <w:tc>
          <w:tcPr>
            <w:tcW w:w="3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298" w:hRule="atLeast"/>
          <w:jc w:val="center"/>
        </w:trPr>
        <w:tc>
          <w:tcPr>
            <w:tcW w:w="3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4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930" w:hRule="atLeast"/>
          <w:jc w:val="center"/>
        </w:trPr>
        <w:tc>
          <w:tcPr>
            <w:tcW w:w="3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4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做好地质灾害应急演练、宣传培训、应急调查等等与地质灾害综合防治体系建设相关工作</w:t>
            </w:r>
          </w:p>
        </w:tc>
        <w:tc>
          <w:tcPr>
            <w:tcW w:w="4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做好地质灾害应急演练、宣传培训、应急调查等等与地质灾害综合防治体系建设相关工作</w:t>
            </w:r>
          </w:p>
        </w:tc>
      </w:tr>
      <w:tr>
        <w:tblPrEx>
          <w:tblCellMar>
            <w:top w:w="0" w:type="dxa"/>
            <w:left w:w="0" w:type="dxa"/>
            <w:bottom w:w="0" w:type="dxa"/>
            <w:right w:w="0" w:type="dxa"/>
          </w:tblCellMar>
        </w:tblPrEx>
        <w:trPr>
          <w:trHeight w:val="864" w:hRule="atLeast"/>
          <w:jc w:val="center"/>
        </w:trPr>
        <w:tc>
          <w:tcPr>
            <w:tcW w:w="36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795" w:hRule="atLeast"/>
          <w:jc w:val="center"/>
        </w:trPr>
        <w:tc>
          <w:tcPr>
            <w:tcW w:w="3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完成应急演练、宣传培训</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各1次</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各1次</w:t>
            </w:r>
          </w:p>
        </w:tc>
      </w:tr>
      <w:tr>
        <w:tblPrEx>
          <w:tblCellMar>
            <w:top w:w="0" w:type="dxa"/>
            <w:left w:w="0" w:type="dxa"/>
            <w:bottom w:w="0" w:type="dxa"/>
            <w:right w:w="0" w:type="dxa"/>
          </w:tblCellMar>
        </w:tblPrEx>
        <w:trPr>
          <w:trHeight w:val="1066" w:hRule="atLeast"/>
          <w:jc w:val="center"/>
        </w:trPr>
        <w:tc>
          <w:tcPr>
            <w:tcW w:w="3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应急调查、预案编制、物质储备等工作质量</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达标</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达标</w:t>
            </w:r>
          </w:p>
        </w:tc>
      </w:tr>
      <w:tr>
        <w:tblPrEx>
          <w:tblCellMar>
            <w:top w:w="0" w:type="dxa"/>
            <w:left w:w="0" w:type="dxa"/>
            <w:bottom w:w="0" w:type="dxa"/>
            <w:right w:w="0" w:type="dxa"/>
          </w:tblCellMar>
        </w:tblPrEx>
        <w:trPr>
          <w:trHeight w:val="864" w:hRule="atLeast"/>
          <w:jc w:val="center"/>
        </w:trPr>
        <w:tc>
          <w:tcPr>
            <w:tcW w:w="3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864" w:hRule="atLeast"/>
          <w:jc w:val="center"/>
        </w:trPr>
        <w:tc>
          <w:tcPr>
            <w:tcW w:w="3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864" w:hRule="atLeast"/>
          <w:jc w:val="center"/>
        </w:trPr>
        <w:tc>
          <w:tcPr>
            <w:tcW w:w="3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 xml:space="preserve">    社会效益指标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对地质灾害进行防治，保障受威胁人员安全</w:t>
            </w: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显著</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显著</w:t>
            </w:r>
          </w:p>
        </w:tc>
      </w:tr>
      <w:tr>
        <w:tblPrEx>
          <w:tblCellMar>
            <w:top w:w="0" w:type="dxa"/>
            <w:left w:w="0" w:type="dxa"/>
            <w:bottom w:w="0" w:type="dxa"/>
            <w:right w:w="0" w:type="dxa"/>
          </w:tblCellMar>
        </w:tblPrEx>
        <w:trPr>
          <w:trHeight w:val="1066" w:hRule="atLeast"/>
          <w:jc w:val="center"/>
        </w:trPr>
        <w:tc>
          <w:tcPr>
            <w:tcW w:w="3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066" w:hRule="atLeast"/>
          <w:jc w:val="center"/>
        </w:trPr>
        <w:tc>
          <w:tcPr>
            <w:tcW w:w="36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1035" w:hRule="atLeast"/>
          <w:jc w:val="center"/>
        </w:trPr>
        <w:tc>
          <w:tcPr>
            <w:tcW w:w="9280" w:type="dxa"/>
            <w:gridSpan w:val="6"/>
            <w:tcBorders>
              <w:top w:val="nil"/>
              <w:left w:val="nil"/>
              <w:bottom w:val="nil"/>
              <w:right w:val="nil"/>
            </w:tcBorders>
            <w:tcMar>
              <w:top w:w="15" w:type="dxa"/>
              <w:left w:w="15" w:type="dxa"/>
              <w:right w:w="15" w:type="dxa"/>
            </w:tcMar>
            <w:vAlign w:val="center"/>
          </w:tcPr>
          <w:p>
            <w:pPr>
              <w:ind w:firstLine="640" w:firstLineChars="200"/>
              <w:rPr>
                <w:rFonts w:ascii="仿宋" w:hAnsi="仿宋" w:eastAsia="仿宋" w:cs="仿宋_GB2312"/>
                <w:sz w:val="32"/>
                <w:szCs w:val="32"/>
              </w:rPr>
            </w:pPr>
            <w:r>
              <w:rPr>
                <w:rFonts w:hint="eastAsia" w:ascii="仿宋" w:hAnsi="仿宋" w:eastAsia="仿宋" w:cs="仿宋_GB2312"/>
                <w:sz w:val="32"/>
                <w:szCs w:val="32"/>
              </w:rPr>
              <w:t>（3）峨眉山市自然资源局缴纳耕地占用税项目绩效目标完成情况综述。项目全年预算数2160万元，执行数为1349.05万元，完成预算的62.46%。</w:t>
            </w:r>
            <w:r>
              <w:rPr>
                <w:rFonts w:hint="eastAsia" w:ascii="仿宋" w:hAnsi="仿宋" w:eastAsia="仿宋" w:cs="仿宋"/>
                <w:sz w:val="32"/>
                <w:szCs w:val="32"/>
              </w:rPr>
              <w:t>根据《</w:t>
            </w:r>
            <w:r>
              <w:rPr>
                <w:rFonts w:hint="eastAsia" w:ascii="仿宋" w:hAnsi="仿宋" w:eastAsia="仿宋" w:cs="仿宋"/>
                <w:sz w:val="32"/>
                <w:szCs w:val="32"/>
                <w:lang w:eastAsia="zh-CN"/>
              </w:rPr>
              <w:t>中华</w:t>
            </w:r>
            <w:r>
              <w:rPr>
                <w:rFonts w:hint="eastAsia" w:ascii="仿宋" w:hAnsi="仿宋" w:eastAsia="仿宋" w:cs="仿宋"/>
                <w:sz w:val="32"/>
                <w:szCs w:val="32"/>
              </w:rPr>
              <w:t>人民共和国耕地占用税法实施办法》，履行耕地占用税费缴纳义务。</w:t>
            </w:r>
          </w:p>
          <w:p>
            <w:pPr>
              <w:widowControl/>
              <w:textAlignment w:val="center"/>
              <w:rPr>
                <w:rFonts w:ascii="仿宋" w:hAnsi="仿宋" w:eastAsia="仿宋" w:cs="宋体"/>
                <w:color w:val="000000"/>
                <w:sz w:val="36"/>
                <w:szCs w:val="36"/>
              </w:rPr>
            </w:pPr>
          </w:p>
          <w:tbl>
            <w:tblPr>
              <w:tblStyle w:val="12"/>
              <w:tblpPr w:leftFromText="180" w:rightFromText="180" w:vertAnchor="text" w:horzAnchor="page" w:tblpXSpec="center" w:tblpY="183"/>
              <w:tblOverlap w:val="never"/>
              <w:tblW w:w="9280" w:type="dxa"/>
              <w:jc w:val="center"/>
              <w:tblLayout w:type="fixed"/>
              <w:tblCellMar>
                <w:top w:w="0" w:type="dxa"/>
                <w:left w:w="0" w:type="dxa"/>
                <w:bottom w:w="0" w:type="dxa"/>
                <w:right w:w="0" w:type="dxa"/>
              </w:tblCellMar>
            </w:tblPr>
            <w:tblGrid>
              <w:gridCol w:w="361"/>
              <w:gridCol w:w="1272"/>
              <w:gridCol w:w="957"/>
              <w:gridCol w:w="2228"/>
              <w:gridCol w:w="2230"/>
              <w:gridCol w:w="2232"/>
            </w:tblGrid>
            <w:tr>
              <w:tblPrEx>
                <w:tblCellMar>
                  <w:top w:w="0" w:type="dxa"/>
                  <w:left w:w="0" w:type="dxa"/>
                  <w:bottom w:w="0" w:type="dxa"/>
                  <w:right w:w="0" w:type="dxa"/>
                </w:tblCellMar>
              </w:tblPrEx>
              <w:trPr>
                <w:trHeight w:val="1295" w:hRule="atLeast"/>
                <w:jc w:val="center"/>
              </w:trPr>
              <w:tc>
                <w:tcPr>
                  <w:tcW w:w="928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方正小标宋简体" w:hAnsi="方正小标宋简体" w:eastAsia="方正小标宋简体" w:cs="方正小标宋简体"/>
                      <w:b w:val="0"/>
                      <w:bCs w:val="0"/>
                      <w:color w:val="000000"/>
                      <w:kern w:val="0"/>
                      <w:sz w:val="36"/>
                      <w:szCs w:val="36"/>
                    </w:rPr>
                    <w:t>项目绩效目标完成情况表</w:t>
                  </w:r>
                  <w:r>
                    <w:rPr>
                      <w:rFonts w:hint="eastAsia" w:ascii="方正小标宋简体" w:hAnsi="方正小标宋简体" w:eastAsia="方正小标宋简体" w:cs="方正小标宋简体"/>
                      <w:b w:val="0"/>
                      <w:bCs w:val="0"/>
                      <w:color w:val="000000"/>
                      <w:kern w:val="0"/>
                      <w:sz w:val="36"/>
                      <w:szCs w:val="36"/>
                    </w:rPr>
                    <w:br w:type="textWrapping"/>
                  </w:r>
                  <w:r>
                    <w:rPr>
                      <w:rFonts w:hint="eastAsia" w:ascii="楷体_GB2312" w:hAnsi="楷体_GB2312" w:eastAsia="楷体_GB2312" w:cs="楷体_GB2312"/>
                      <w:color w:val="000000"/>
                      <w:kern w:val="0"/>
                      <w:sz w:val="36"/>
                      <w:szCs w:val="36"/>
                    </w:rPr>
                    <w:t>(2020 年度)</w:t>
                  </w:r>
                </w:p>
              </w:tc>
            </w:tr>
            <w:tr>
              <w:tblPrEx>
                <w:tblCellMar>
                  <w:top w:w="0" w:type="dxa"/>
                  <w:left w:w="0" w:type="dxa"/>
                  <w:bottom w:w="0" w:type="dxa"/>
                  <w:right w:w="0" w:type="dxa"/>
                </w:tblCellMar>
              </w:tblPrEx>
              <w:trPr>
                <w:trHeight w:val="682" w:hRule="atLeast"/>
                <w:jc w:val="center"/>
              </w:trPr>
              <w:tc>
                <w:tcPr>
                  <w:tcW w:w="25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66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缴纳耕地占有税</w:t>
                  </w:r>
                </w:p>
              </w:tc>
            </w:tr>
            <w:tr>
              <w:tblPrEx>
                <w:tblCellMar>
                  <w:top w:w="0" w:type="dxa"/>
                  <w:left w:w="0" w:type="dxa"/>
                  <w:bottom w:w="0" w:type="dxa"/>
                  <w:right w:w="0" w:type="dxa"/>
                </w:tblCellMar>
              </w:tblPrEx>
              <w:trPr>
                <w:trHeight w:val="365" w:hRule="atLeast"/>
                <w:jc w:val="center"/>
              </w:trPr>
              <w:tc>
                <w:tcPr>
                  <w:tcW w:w="25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66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峨眉山市自然资源局</w:t>
                  </w:r>
                </w:p>
              </w:tc>
            </w:tr>
            <w:tr>
              <w:tblPrEx>
                <w:tblCellMar>
                  <w:top w:w="0" w:type="dxa"/>
                  <w:left w:w="0" w:type="dxa"/>
                  <w:bottom w:w="0" w:type="dxa"/>
                  <w:right w:w="0" w:type="dxa"/>
                </w:tblCellMar>
              </w:tblPrEx>
              <w:trPr>
                <w:trHeight w:val="365" w:hRule="atLeast"/>
                <w:jc w:val="center"/>
              </w:trPr>
              <w:tc>
                <w:tcPr>
                  <w:tcW w:w="3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2160</w:t>
                  </w: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1349.05</w:t>
                  </w:r>
                </w:p>
              </w:tc>
            </w:tr>
            <w:tr>
              <w:tblPrEx>
                <w:tblCellMar>
                  <w:top w:w="0" w:type="dxa"/>
                  <w:left w:w="0" w:type="dxa"/>
                  <w:bottom w:w="0" w:type="dxa"/>
                  <w:right w:w="0" w:type="dxa"/>
                </w:tblCellMar>
              </w:tblPrEx>
              <w:trPr>
                <w:trHeight w:val="365" w:hRule="atLeast"/>
                <w:jc w:val="center"/>
              </w:trPr>
              <w:tc>
                <w:tcPr>
                  <w:tcW w:w="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2160</w:t>
                  </w: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1349.05</w:t>
                  </w:r>
                </w:p>
              </w:tc>
            </w:tr>
            <w:tr>
              <w:tblPrEx>
                <w:tblCellMar>
                  <w:top w:w="0" w:type="dxa"/>
                  <w:left w:w="0" w:type="dxa"/>
                  <w:bottom w:w="0" w:type="dxa"/>
                  <w:right w:w="0" w:type="dxa"/>
                </w:tblCellMar>
              </w:tblPrEx>
              <w:trPr>
                <w:trHeight w:val="2529" w:hRule="atLeast"/>
                <w:jc w:val="center"/>
              </w:trPr>
              <w:tc>
                <w:tcPr>
                  <w:tcW w:w="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365" w:hRule="atLeast"/>
                <w:jc w:val="center"/>
              </w:trPr>
              <w:tc>
                <w:tcPr>
                  <w:tcW w:w="3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4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4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2238" w:hRule="atLeast"/>
                <w:jc w:val="center"/>
              </w:trPr>
              <w:tc>
                <w:tcPr>
                  <w:tcW w:w="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4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
                      <w:sz w:val="32"/>
                      <w:szCs w:val="32"/>
                    </w:rPr>
                    <w:t>根据《</w:t>
                  </w:r>
                  <w:r>
                    <w:rPr>
                      <w:rFonts w:hint="eastAsia" w:ascii="仿宋" w:hAnsi="仿宋" w:eastAsia="仿宋" w:cs="仿宋"/>
                      <w:sz w:val="32"/>
                      <w:szCs w:val="32"/>
                      <w:lang w:eastAsia="zh-CN"/>
                    </w:rPr>
                    <w:t>中华</w:t>
                  </w:r>
                  <w:r>
                    <w:rPr>
                      <w:rFonts w:hint="eastAsia" w:ascii="仿宋" w:hAnsi="仿宋" w:eastAsia="仿宋" w:cs="仿宋"/>
                      <w:sz w:val="32"/>
                      <w:szCs w:val="32"/>
                    </w:rPr>
                    <w:t>人民共和国耕地占用税法实施办法》，履行耕地占用税费缴纳义务</w:t>
                  </w:r>
                </w:p>
              </w:tc>
              <w:tc>
                <w:tcPr>
                  <w:tcW w:w="446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
                      <w:sz w:val="32"/>
                      <w:szCs w:val="32"/>
                    </w:rPr>
                    <w:t>根据《</w:t>
                  </w:r>
                  <w:r>
                    <w:rPr>
                      <w:rFonts w:hint="eastAsia" w:ascii="仿宋" w:hAnsi="仿宋" w:eastAsia="仿宋" w:cs="仿宋"/>
                      <w:sz w:val="32"/>
                      <w:szCs w:val="32"/>
                      <w:lang w:eastAsia="zh-CN"/>
                    </w:rPr>
                    <w:t>中华</w:t>
                  </w:r>
                  <w:r>
                    <w:rPr>
                      <w:rFonts w:hint="eastAsia" w:ascii="仿宋" w:hAnsi="仿宋" w:eastAsia="仿宋" w:cs="仿宋"/>
                      <w:sz w:val="32"/>
                      <w:szCs w:val="32"/>
                    </w:rPr>
                    <w:t>人民共和国耕地占用税法实施办法》，履行耕地占用税费缴纳义务</w:t>
                  </w:r>
                </w:p>
              </w:tc>
            </w:tr>
            <w:tr>
              <w:tblPrEx>
                <w:tblCellMar>
                  <w:top w:w="0" w:type="dxa"/>
                  <w:left w:w="0" w:type="dxa"/>
                  <w:bottom w:w="0" w:type="dxa"/>
                  <w:right w:w="0" w:type="dxa"/>
                </w:tblCellMar>
              </w:tblPrEx>
              <w:trPr>
                <w:trHeight w:val="1105" w:hRule="atLeast"/>
                <w:jc w:val="center"/>
              </w:trPr>
              <w:tc>
                <w:tcPr>
                  <w:tcW w:w="3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1015" w:hRule="atLeast"/>
                <w:jc w:val="center"/>
              </w:trPr>
              <w:tc>
                <w:tcPr>
                  <w:tcW w:w="36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缴纳耕地占税完成率</w:t>
                  </w: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364" w:hRule="atLeast"/>
                <w:jc w:val="center"/>
              </w:trPr>
              <w:tc>
                <w:tcPr>
                  <w:tcW w:w="36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保证项目用地质量</w:t>
                  </w: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达标</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达标</w:t>
                  </w:r>
                </w:p>
              </w:tc>
            </w:tr>
            <w:tr>
              <w:tblPrEx>
                <w:tblCellMar>
                  <w:top w:w="0" w:type="dxa"/>
                  <w:left w:w="0" w:type="dxa"/>
                  <w:bottom w:w="0" w:type="dxa"/>
                  <w:right w:w="0" w:type="dxa"/>
                </w:tblCellMar>
              </w:tblPrEx>
              <w:trPr>
                <w:trHeight w:val="1105" w:hRule="atLeast"/>
                <w:jc w:val="center"/>
              </w:trPr>
              <w:tc>
                <w:tcPr>
                  <w:tcW w:w="36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时效指标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项目占用耕及时性</w:t>
                  </w: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及时</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及时</w:t>
                  </w:r>
                </w:p>
              </w:tc>
            </w:tr>
            <w:tr>
              <w:tblPrEx>
                <w:tblCellMar>
                  <w:top w:w="0" w:type="dxa"/>
                  <w:left w:w="0" w:type="dxa"/>
                  <w:bottom w:w="0" w:type="dxa"/>
                  <w:right w:w="0" w:type="dxa"/>
                </w:tblCellMar>
              </w:tblPrEx>
              <w:trPr>
                <w:trHeight w:val="1105" w:hRule="atLeast"/>
                <w:jc w:val="center"/>
              </w:trPr>
              <w:tc>
                <w:tcPr>
                  <w:tcW w:w="36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105" w:hRule="atLeast"/>
                <w:jc w:val="center"/>
              </w:trPr>
              <w:tc>
                <w:tcPr>
                  <w:tcW w:w="36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105" w:hRule="atLeast"/>
                <w:jc w:val="center"/>
              </w:trPr>
              <w:tc>
                <w:tcPr>
                  <w:tcW w:w="36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364" w:hRule="atLeast"/>
                <w:jc w:val="center"/>
              </w:trPr>
              <w:tc>
                <w:tcPr>
                  <w:tcW w:w="36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364" w:hRule="atLeast"/>
                <w:jc w:val="center"/>
              </w:trPr>
              <w:tc>
                <w:tcPr>
                  <w:tcW w:w="36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134" w:hRule="atLeast"/>
                <w:jc w:val="center"/>
              </w:trPr>
              <w:tc>
                <w:tcPr>
                  <w:tcW w:w="36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bl>
          <w:p>
            <w:pPr>
              <w:widowControl/>
              <w:jc w:val="center"/>
              <w:textAlignment w:val="center"/>
              <w:rPr>
                <w:rFonts w:ascii="仿宋" w:hAnsi="仿宋" w:eastAsia="仿宋" w:cs="宋体"/>
                <w:color w:val="000000"/>
                <w:sz w:val="36"/>
                <w:szCs w:val="36"/>
              </w:rPr>
            </w:pPr>
          </w:p>
        </w:tc>
      </w:tr>
    </w:tbl>
    <w:p>
      <w:pPr>
        <w:ind w:firstLine="640" w:firstLineChars="200"/>
        <w:rPr>
          <w:rFonts w:ascii="仿宋" w:hAnsi="仿宋" w:eastAsia="仿宋" w:cs="仿宋_GB2312"/>
          <w:sz w:val="32"/>
          <w:szCs w:val="32"/>
        </w:rPr>
      </w:pPr>
      <w:r>
        <w:rPr>
          <w:rFonts w:hint="eastAsia" w:ascii="仿宋" w:hAnsi="仿宋" w:eastAsia="仿宋" w:cs="仿宋_GB2312"/>
          <w:sz w:val="32"/>
          <w:szCs w:val="32"/>
        </w:rPr>
        <w:t>（4）社保预存款项目绩效目标完成情况综述。项目全年预算数13795.42万元，执行数为13795.42万元，完成预算的100%。通过项目实施，按照省人社、自然资源文件，土地报征前需将涉及的转非人员所需社保预存至专户，以保障政府对转非人员的社保购买履职能力。</w:t>
      </w:r>
    </w:p>
    <w:tbl>
      <w:tblPr>
        <w:tblStyle w:val="12"/>
        <w:tblpPr w:leftFromText="180" w:rightFromText="180" w:vertAnchor="text" w:horzAnchor="page" w:tblpXSpec="center" w:tblpY="183"/>
        <w:tblOverlap w:val="never"/>
        <w:tblW w:w="9420" w:type="dxa"/>
        <w:jc w:val="center"/>
        <w:tblLayout w:type="fixed"/>
        <w:tblCellMar>
          <w:top w:w="0" w:type="dxa"/>
          <w:left w:w="0" w:type="dxa"/>
          <w:bottom w:w="0" w:type="dxa"/>
          <w:right w:w="0" w:type="dxa"/>
        </w:tblCellMar>
      </w:tblPr>
      <w:tblGrid>
        <w:gridCol w:w="497"/>
        <w:gridCol w:w="1274"/>
        <w:gridCol w:w="956"/>
        <w:gridCol w:w="2230"/>
        <w:gridCol w:w="2231"/>
        <w:gridCol w:w="2232"/>
      </w:tblGrid>
      <w:tr>
        <w:tblPrEx>
          <w:tblCellMar>
            <w:top w:w="0" w:type="dxa"/>
            <w:left w:w="0" w:type="dxa"/>
            <w:bottom w:w="0" w:type="dxa"/>
            <w:right w:w="0" w:type="dxa"/>
          </w:tblCellMar>
        </w:tblPrEx>
        <w:trPr>
          <w:trHeight w:val="1847" w:hRule="atLeast"/>
          <w:jc w:val="center"/>
        </w:trPr>
        <w:tc>
          <w:tcPr>
            <w:tcW w:w="942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b/>
                <w:bCs/>
                <w:color w:val="000000"/>
                <w:kern w:val="0"/>
                <w:sz w:val="36"/>
                <w:szCs w:val="36"/>
              </w:rPr>
            </w:pPr>
          </w:p>
          <w:p>
            <w:pPr>
              <w:widowControl/>
              <w:jc w:val="center"/>
              <w:textAlignment w:val="center"/>
              <w:rPr>
                <w:rFonts w:ascii="仿宋" w:hAnsi="仿宋" w:eastAsia="仿宋" w:cs="宋体"/>
                <w:color w:val="000000"/>
                <w:sz w:val="36"/>
                <w:szCs w:val="36"/>
              </w:rPr>
            </w:pPr>
            <w:r>
              <w:rPr>
                <w:rFonts w:hint="eastAsia" w:ascii="方正小标宋简体" w:hAnsi="方正小标宋简体" w:eastAsia="方正小标宋简体" w:cs="方正小标宋简体"/>
                <w:b w:val="0"/>
                <w:bCs w:val="0"/>
                <w:color w:val="000000"/>
                <w:kern w:val="0"/>
                <w:sz w:val="36"/>
                <w:szCs w:val="36"/>
              </w:rPr>
              <w:t>项目绩效目标完成情况表</w:t>
            </w:r>
            <w:r>
              <w:rPr>
                <w:rFonts w:hint="eastAsia" w:ascii="方正小标宋简体" w:hAnsi="方正小标宋简体" w:eastAsia="方正小标宋简体" w:cs="方正小标宋简体"/>
                <w:b w:val="0"/>
                <w:bCs w:val="0"/>
                <w:color w:val="000000"/>
                <w:kern w:val="0"/>
                <w:sz w:val="36"/>
                <w:szCs w:val="36"/>
              </w:rPr>
              <w:br w:type="textWrapping"/>
            </w:r>
            <w:r>
              <w:rPr>
                <w:rFonts w:hint="eastAsia" w:ascii="楷体_GB2312" w:hAnsi="楷体_GB2312" w:eastAsia="楷体_GB2312" w:cs="楷体_GB2312"/>
                <w:color w:val="000000"/>
                <w:kern w:val="0"/>
                <w:sz w:val="36"/>
                <w:szCs w:val="36"/>
              </w:rPr>
              <w:t>(2020 年度)</w:t>
            </w:r>
          </w:p>
        </w:tc>
      </w:tr>
      <w:tr>
        <w:tblPrEx>
          <w:tblCellMar>
            <w:top w:w="0" w:type="dxa"/>
            <w:left w:w="0" w:type="dxa"/>
            <w:bottom w:w="0" w:type="dxa"/>
            <w:right w:w="0" w:type="dxa"/>
          </w:tblCellMar>
        </w:tblPrEx>
        <w:trPr>
          <w:trHeight w:val="635" w:hRule="atLeast"/>
          <w:jc w:val="center"/>
        </w:trPr>
        <w:tc>
          <w:tcPr>
            <w:tcW w:w="272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669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社保预存款</w:t>
            </w:r>
          </w:p>
        </w:tc>
      </w:tr>
      <w:tr>
        <w:tblPrEx>
          <w:tblCellMar>
            <w:top w:w="0" w:type="dxa"/>
            <w:left w:w="0" w:type="dxa"/>
            <w:bottom w:w="0" w:type="dxa"/>
            <w:right w:w="0" w:type="dxa"/>
          </w:tblCellMar>
        </w:tblPrEx>
        <w:trPr>
          <w:trHeight w:val="330" w:hRule="atLeast"/>
          <w:jc w:val="center"/>
        </w:trPr>
        <w:tc>
          <w:tcPr>
            <w:tcW w:w="272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669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峨眉山市自然资源局</w:t>
            </w:r>
          </w:p>
        </w:tc>
      </w:tr>
      <w:tr>
        <w:tblPrEx>
          <w:tblCellMar>
            <w:top w:w="0" w:type="dxa"/>
            <w:left w:w="0" w:type="dxa"/>
            <w:bottom w:w="0" w:type="dxa"/>
            <w:right w:w="0" w:type="dxa"/>
          </w:tblCellMar>
        </w:tblPrEx>
        <w:trPr>
          <w:trHeight w:val="330" w:hRule="atLeast"/>
          <w:jc w:val="center"/>
        </w:trPr>
        <w:tc>
          <w:tcPr>
            <w:tcW w:w="4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13795.42</w:t>
            </w:r>
          </w:p>
        </w:tc>
        <w:tc>
          <w:tcPr>
            <w:tcW w:w="22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13795.42</w:t>
            </w:r>
          </w:p>
        </w:tc>
      </w:tr>
      <w:tr>
        <w:tblPrEx>
          <w:tblCellMar>
            <w:top w:w="0" w:type="dxa"/>
            <w:left w:w="0" w:type="dxa"/>
            <w:bottom w:w="0" w:type="dxa"/>
            <w:right w:w="0" w:type="dxa"/>
          </w:tblCellMar>
        </w:tblPrEx>
        <w:trPr>
          <w:trHeight w:val="727" w:hRule="atLeast"/>
          <w:jc w:val="center"/>
        </w:trPr>
        <w:tc>
          <w:tcPr>
            <w:tcW w:w="4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13795.42</w:t>
            </w:r>
          </w:p>
        </w:tc>
        <w:tc>
          <w:tcPr>
            <w:tcW w:w="22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6"/>
              <w:spacing w:before="93"/>
              <w:ind w:firstLine="600" w:firstLineChars="200"/>
              <w:rPr>
                <w:rFonts w:ascii="仿宋" w:hAnsi="仿宋" w:eastAsia="仿宋"/>
              </w:rPr>
            </w:pPr>
            <w:r>
              <w:rPr>
                <w:rFonts w:hint="eastAsia" w:ascii="仿宋" w:hAnsi="仿宋" w:eastAsia="仿宋"/>
              </w:rPr>
              <w:t>13795.42</w:t>
            </w:r>
          </w:p>
        </w:tc>
      </w:tr>
      <w:tr>
        <w:tblPrEx>
          <w:tblCellMar>
            <w:top w:w="0" w:type="dxa"/>
            <w:left w:w="0" w:type="dxa"/>
            <w:bottom w:w="0" w:type="dxa"/>
            <w:right w:w="0" w:type="dxa"/>
          </w:tblCellMar>
        </w:tblPrEx>
        <w:trPr>
          <w:trHeight w:val="1503" w:hRule="atLeast"/>
          <w:jc w:val="center"/>
        </w:trPr>
        <w:tc>
          <w:tcPr>
            <w:tcW w:w="4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2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330" w:hRule="atLeast"/>
          <w:jc w:val="center"/>
        </w:trPr>
        <w:tc>
          <w:tcPr>
            <w:tcW w:w="4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4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4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246" w:hRule="atLeast"/>
          <w:jc w:val="center"/>
        </w:trPr>
        <w:tc>
          <w:tcPr>
            <w:tcW w:w="4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4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保障政府对转非人员的社保购买履职能力</w:t>
            </w:r>
          </w:p>
        </w:tc>
        <w:tc>
          <w:tcPr>
            <w:tcW w:w="44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保障政府对转非人员的社保购买履职能力</w:t>
            </w:r>
          </w:p>
        </w:tc>
      </w:tr>
      <w:tr>
        <w:tblPrEx>
          <w:tblCellMar>
            <w:top w:w="0" w:type="dxa"/>
            <w:left w:w="0" w:type="dxa"/>
            <w:bottom w:w="0" w:type="dxa"/>
            <w:right w:w="0" w:type="dxa"/>
          </w:tblCellMar>
        </w:tblPrEx>
        <w:trPr>
          <w:trHeight w:val="1044" w:hRule="atLeast"/>
          <w:jc w:val="center"/>
        </w:trPr>
        <w:tc>
          <w:tcPr>
            <w:tcW w:w="4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2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957" w:hRule="atLeast"/>
          <w:jc w:val="center"/>
        </w:trPr>
        <w:tc>
          <w:tcPr>
            <w:tcW w:w="49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缴纳社保完成率</w:t>
            </w:r>
          </w:p>
        </w:tc>
        <w:tc>
          <w:tcPr>
            <w:tcW w:w="22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100%</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100%</w:t>
            </w:r>
          </w:p>
        </w:tc>
      </w:tr>
      <w:tr>
        <w:tblPrEx>
          <w:tblCellMar>
            <w:top w:w="0" w:type="dxa"/>
            <w:left w:w="0" w:type="dxa"/>
            <w:bottom w:w="0" w:type="dxa"/>
            <w:right w:w="0" w:type="dxa"/>
          </w:tblCellMar>
        </w:tblPrEx>
        <w:trPr>
          <w:trHeight w:val="1294" w:hRule="atLeast"/>
          <w:jc w:val="center"/>
        </w:trPr>
        <w:tc>
          <w:tcPr>
            <w:tcW w:w="49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时效指标</w:t>
            </w: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缴纳社保及时性</w:t>
            </w:r>
          </w:p>
        </w:tc>
        <w:tc>
          <w:tcPr>
            <w:tcW w:w="22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及时</w:t>
            </w: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及时</w:t>
            </w:r>
          </w:p>
        </w:tc>
      </w:tr>
      <w:tr>
        <w:tblPrEx>
          <w:tblCellMar>
            <w:top w:w="0" w:type="dxa"/>
            <w:left w:w="0" w:type="dxa"/>
            <w:bottom w:w="0" w:type="dxa"/>
            <w:right w:w="0" w:type="dxa"/>
          </w:tblCellMar>
        </w:tblPrEx>
        <w:trPr>
          <w:trHeight w:val="1044" w:hRule="atLeast"/>
          <w:jc w:val="center"/>
        </w:trPr>
        <w:tc>
          <w:tcPr>
            <w:tcW w:w="49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044" w:hRule="atLeast"/>
          <w:jc w:val="center"/>
        </w:trPr>
        <w:tc>
          <w:tcPr>
            <w:tcW w:w="49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044" w:hRule="atLeast"/>
          <w:jc w:val="center"/>
        </w:trPr>
        <w:tc>
          <w:tcPr>
            <w:tcW w:w="49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294" w:hRule="atLeast"/>
          <w:jc w:val="center"/>
        </w:trPr>
        <w:tc>
          <w:tcPr>
            <w:tcW w:w="49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294" w:hRule="atLeast"/>
          <w:jc w:val="center"/>
        </w:trPr>
        <w:tc>
          <w:tcPr>
            <w:tcW w:w="49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062" w:hRule="atLeast"/>
          <w:jc w:val="center"/>
        </w:trPr>
        <w:tc>
          <w:tcPr>
            <w:tcW w:w="49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9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bl>
    <w:p>
      <w:pPr>
        <w:ind w:firstLine="640" w:firstLineChars="200"/>
        <w:rPr>
          <w:rFonts w:ascii="仿宋" w:hAnsi="仿宋" w:eastAsia="仿宋" w:cs="仿宋_GB2312"/>
          <w:sz w:val="32"/>
          <w:szCs w:val="32"/>
        </w:rPr>
      </w:pPr>
      <w:r>
        <w:rPr>
          <w:rFonts w:hint="eastAsia" w:ascii="仿宋" w:hAnsi="仿宋" w:eastAsia="仿宋" w:cs="仿宋_GB2312"/>
          <w:sz w:val="32"/>
          <w:szCs w:val="32"/>
        </w:rPr>
        <w:t>（5）峨眉山市集体林管护劳务费项目绩效目标完成情况综述。项目全年预算数50万元，执行数为24.67万元完成预算的49.34%。通过项目实施，保证了管护责任片区巡山护林，及时发现制止人为破坏森林资源行为。</w:t>
      </w:r>
    </w:p>
    <w:tbl>
      <w:tblPr>
        <w:tblStyle w:val="12"/>
        <w:tblpPr w:leftFromText="180" w:rightFromText="180" w:vertAnchor="text" w:horzAnchor="page" w:tblpXSpec="center" w:tblpY="18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b/>
                <w:bCs/>
                <w:color w:val="000000"/>
                <w:kern w:val="0"/>
                <w:sz w:val="36"/>
                <w:szCs w:val="36"/>
              </w:rPr>
            </w:pPr>
          </w:p>
          <w:p>
            <w:pPr>
              <w:widowControl/>
              <w:jc w:val="center"/>
              <w:textAlignment w:val="center"/>
              <w:rPr>
                <w:rFonts w:ascii="仿宋" w:hAnsi="仿宋" w:eastAsia="仿宋" w:cs="宋体"/>
                <w:color w:val="000000"/>
                <w:sz w:val="36"/>
                <w:szCs w:val="36"/>
              </w:rPr>
            </w:pPr>
            <w:r>
              <w:rPr>
                <w:rFonts w:hint="eastAsia" w:ascii="方正小标宋简体" w:hAnsi="方正小标宋简体" w:eastAsia="方正小标宋简体" w:cs="方正小标宋简体"/>
                <w:b w:val="0"/>
                <w:bCs w:val="0"/>
                <w:color w:val="000000"/>
                <w:kern w:val="0"/>
                <w:sz w:val="36"/>
                <w:szCs w:val="36"/>
              </w:rPr>
              <w:t>项目绩效目标完成情况表</w:t>
            </w:r>
            <w:r>
              <w:rPr>
                <w:rFonts w:hint="eastAsia" w:ascii="方正小标宋简体" w:hAnsi="方正小标宋简体" w:eastAsia="方正小标宋简体" w:cs="方正小标宋简体"/>
                <w:b w:val="0"/>
                <w:bCs w:val="0"/>
                <w:color w:val="000000"/>
                <w:kern w:val="0"/>
                <w:sz w:val="36"/>
                <w:szCs w:val="36"/>
              </w:rPr>
              <w:br w:type="textWrapping"/>
            </w:r>
            <w:r>
              <w:rPr>
                <w:rFonts w:hint="eastAsia" w:ascii="楷体_GB2312" w:hAnsi="楷体_GB2312" w:eastAsia="楷体_GB2312" w:cs="楷体_GB2312"/>
                <w:color w:val="000000"/>
                <w:kern w:val="0"/>
                <w:sz w:val="36"/>
                <w:szCs w:val="36"/>
              </w:rPr>
              <w:t>(2020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集体林管护劳务费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峨眉山市自然资源局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6"/>
              <w:spacing w:before="93"/>
              <w:ind w:firstLine="1200" w:firstLineChars="400"/>
              <w:rPr>
                <w:rFonts w:ascii="仿宋" w:hAnsi="仿宋" w:eastAsia="仿宋"/>
              </w:rPr>
            </w:pPr>
            <w:r>
              <w:rPr>
                <w:rFonts w:hint="eastAsia" w:ascii="仿宋" w:hAnsi="仿宋" w:eastAsia="仿宋"/>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24.67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24.67</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保证管护责任片区巡山护林，及时发现制止人为破坏森林资源行为</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仿宋_GB2312"/>
                <w:sz w:val="32"/>
                <w:szCs w:val="32"/>
              </w:rPr>
              <w:t>保证管护责任片区巡山护林，及时发现制止人为破坏森林资源行为</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森林管护信息员数量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20人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集体林管护信息提供质量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准确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准确</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 xml:space="preserve">时效指标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发生集体林破坏提供信息及时性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及时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及时</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r>
    </w:tbl>
    <w:p>
      <w:pPr>
        <w:pStyle w:val="6"/>
        <w:spacing w:before="93"/>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楷体_GB2312"/>
          <w:sz w:val="32"/>
          <w:szCs w:val="32"/>
        </w:rPr>
        <w:t>2.部门绩效评价结果。</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本部门按要求对2020年部门整体支出绩效评价情况开展自评，《峨眉山市自然资源部门2020年部门整体支出绩效评价报告》见附件（附件1）。</w:t>
      </w:r>
    </w:p>
    <w:p>
      <w:pPr>
        <w:spacing w:line="600" w:lineRule="exact"/>
        <w:jc w:val="left"/>
        <w:rPr>
          <w:rFonts w:ascii="仿宋" w:hAnsi="仿宋" w:eastAsia="仿宋" w:cs="仿宋"/>
          <w:b/>
          <w:color w:val="000000"/>
          <w:sz w:val="32"/>
          <w:szCs w:val="32"/>
        </w:rPr>
      </w:pPr>
      <w:r>
        <w:rPr>
          <w:rFonts w:hint="eastAsia" w:ascii="仿宋" w:hAnsi="仿宋" w:eastAsia="仿宋" w:cs="仿宋"/>
          <w:sz w:val="32"/>
          <w:szCs w:val="32"/>
        </w:rPr>
        <w:t xml:space="preserve">   本部门自行组织对空间规划编制科研经费和征地拆迁挂帐付息、过渡费项目开展了绩效评价，《空间规划编制科研经费项目支出绩效自评报告、征地拆迁挂帐付息、过渡费项目支出绩效自评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 w:hAnsi="仿宋" w:eastAsia="仿宋"/>
          <w:b/>
          <w:color w:val="000000"/>
          <w:sz w:val="32"/>
          <w:szCs w:val="32"/>
        </w:rPr>
      </w:pPr>
      <w:r>
        <w:rPr>
          <w:rFonts w:ascii="仿宋" w:hAnsi="仿宋" w:eastAsia="仿宋"/>
          <w:b/>
          <w:color w:val="000000"/>
          <w:sz w:val="32"/>
          <w:szCs w:val="32"/>
        </w:rPr>
        <w:br w:type="page"/>
      </w:r>
    </w:p>
    <w:p>
      <w:pPr>
        <w:numPr>
          <w:ilvl w:val="0"/>
          <w:numId w:val="6"/>
        </w:numPr>
        <w:spacing w:line="600" w:lineRule="exact"/>
        <w:ind w:firstLine="660" w:firstLineChars="150"/>
        <w:jc w:val="center"/>
        <w:outlineLvl w:val="0"/>
        <w:rPr>
          <w:rStyle w:val="16"/>
          <w:rFonts w:hint="eastAsia" w:ascii="方正小标宋简体" w:hAnsi="方正小标宋简体" w:eastAsia="方正小标宋简体" w:cs="方正小标宋简体"/>
          <w:b w:val="0"/>
        </w:rPr>
      </w:pPr>
      <w:bookmarkStart w:id="59" w:name="_Toc15377225"/>
      <w:bookmarkStart w:id="60" w:name="_Toc15396613"/>
      <w:r>
        <w:rPr>
          <w:rFonts w:hint="eastAsia" w:ascii="方正小标宋简体" w:hAnsi="方正小标宋简体" w:eastAsia="方正小标宋简体" w:cs="方正小标宋简体"/>
          <w:color w:val="000000"/>
          <w:sz w:val="44"/>
          <w:szCs w:val="44"/>
        </w:rPr>
        <w:t>名</w:t>
      </w:r>
      <w:r>
        <w:rPr>
          <w:rStyle w:val="16"/>
          <w:rFonts w:hint="eastAsia" w:ascii="方正小标宋简体" w:hAnsi="方正小标宋简体" w:eastAsia="方正小标宋简体" w:cs="方正小标宋简体"/>
          <w:b w:val="0"/>
        </w:rPr>
        <w:t>词解释</w:t>
      </w:r>
      <w:bookmarkEnd w:id="59"/>
      <w:bookmarkEnd w:id="60"/>
    </w:p>
    <w:p>
      <w:pPr>
        <w:spacing w:line="600" w:lineRule="exact"/>
        <w:jc w:val="left"/>
        <w:rPr>
          <w:rFonts w:ascii="仿宋" w:hAnsi="仿宋" w:eastAsia="仿宋"/>
          <w:b/>
          <w:color w:val="000000"/>
          <w:sz w:val="44"/>
          <w:szCs w:val="44"/>
        </w:rPr>
      </w:pPr>
    </w:p>
    <w:p>
      <w:pPr>
        <w:pStyle w:val="19"/>
        <w:spacing w:line="560" w:lineRule="exact"/>
        <w:ind w:firstLine="640" w:firstLineChars="200"/>
        <w:rPr>
          <w:rFonts w:hAnsi="仿宋"/>
          <w:sz w:val="32"/>
          <w:szCs w:val="32"/>
        </w:rPr>
      </w:pPr>
      <w:r>
        <w:rPr>
          <w:rFonts w:hAnsi="仿宋"/>
          <w:sz w:val="32"/>
          <w:szCs w:val="32"/>
        </w:rPr>
        <w:t>1.</w:t>
      </w:r>
      <w:r>
        <w:rPr>
          <w:rFonts w:hint="eastAsia" w:hAnsi="仿宋"/>
          <w:sz w:val="32"/>
          <w:szCs w:val="32"/>
        </w:rPr>
        <w:t>财政拨款收入：指单位从同级财政部门取得的财政预算资金。</w:t>
      </w:r>
    </w:p>
    <w:p>
      <w:pPr>
        <w:pStyle w:val="19"/>
        <w:spacing w:line="560" w:lineRule="exact"/>
        <w:ind w:firstLine="640" w:firstLineChars="200"/>
        <w:rPr>
          <w:rFonts w:hAnsi="仿宋"/>
          <w:sz w:val="32"/>
          <w:szCs w:val="32"/>
        </w:rPr>
      </w:pPr>
      <w:r>
        <w:rPr>
          <w:rFonts w:hAnsi="仿宋"/>
          <w:sz w:val="32"/>
          <w:szCs w:val="32"/>
        </w:rPr>
        <w:t>2.</w:t>
      </w:r>
      <w:r>
        <w:rPr>
          <w:rFonts w:hint="eastAsia" w:hAnsi="仿宋"/>
          <w:sz w:val="32"/>
          <w:szCs w:val="32"/>
        </w:rPr>
        <w:t>事业收入：指事业单位开展专业业务活动及辅助活动取得的收入。</w:t>
      </w:r>
    </w:p>
    <w:p>
      <w:pPr>
        <w:pStyle w:val="19"/>
        <w:spacing w:line="560" w:lineRule="exact"/>
        <w:ind w:firstLine="640" w:firstLineChars="200"/>
        <w:rPr>
          <w:rFonts w:hAnsi="仿宋"/>
          <w:sz w:val="32"/>
          <w:szCs w:val="32"/>
        </w:rPr>
      </w:pPr>
      <w:r>
        <w:rPr>
          <w:rFonts w:hAnsi="仿宋"/>
          <w:sz w:val="32"/>
          <w:szCs w:val="32"/>
        </w:rPr>
        <w:t>3.</w:t>
      </w:r>
      <w:r>
        <w:rPr>
          <w:rFonts w:hint="eastAsia" w:hAnsi="仿宋"/>
          <w:sz w:val="32"/>
          <w:szCs w:val="32"/>
        </w:rPr>
        <w:t>经营收入：指事业单位在专业业务活动及其辅助活动之外开展非独立核算经营活动取得的收入。</w:t>
      </w:r>
    </w:p>
    <w:p>
      <w:pPr>
        <w:pStyle w:val="19"/>
        <w:spacing w:line="560" w:lineRule="exact"/>
        <w:ind w:firstLine="640" w:firstLineChars="200"/>
        <w:rPr>
          <w:rFonts w:hAnsi="仿宋"/>
          <w:sz w:val="32"/>
          <w:szCs w:val="32"/>
        </w:rPr>
      </w:pPr>
      <w:r>
        <w:rPr>
          <w:rFonts w:hAnsi="仿宋"/>
          <w:sz w:val="32"/>
          <w:szCs w:val="32"/>
        </w:rPr>
        <w:t>4.</w:t>
      </w:r>
      <w:r>
        <w:rPr>
          <w:rFonts w:hint="eastAsia" w:hAnsi="仿宋"/>
          <w:sz w:val="32"/>
          <w:szCs w:val="32"/>
        </w:rPr>
        <w:t>其他收入：指单位取得的除上述收入以外的各项收入。</w:t>
      </w:r>
      <w:r>
        <w:rPr>
          <w:rFonts w:hAnsi="仿宋"/>
          <w:sz w:val="32"/>
          <w:szCs w:val="32"/>
        </w:rPr>
        <w:t xml:space="preserve"> </w:t>
      </w:r>
    </w:p>
    <w:p>
      <w:pPr>
        <w:pStyle w:val="19"/>
        <w:spacing w:line="560" w:lineRule="exact"/>
        <w:ind w:firstLine="640" w:firstLineChars="200"/>
        <w:rPr>
          <w:rFonts w:hAnsi="仿宋"/>
          <w:sz w:val="32"/>
          <w:szCs w:val="32"/>
        </w:rPr>
      </w:pPr>
      <w:r>
        <w:rPr>
          <w:rFonts w:hAnsi="仿宋"/>
          <w:sz w:val="32"/>
          <w:szCs w:val="32"/>
        </w:rPr>
        <w:t>5.</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Ansi="仿宋"/>
          <w:sz w:val="32"/>
          <w:szCs w:val="32"/>
        </w:rPr>
        <w:t xml:space="preserve"> </w:t>
      </w:r>
    </w:p>
    <w:p>
      <w:pPr>
        <w:pStyle w:val="19"/>
        <w:spacing w:line="560" w:lineRule="exact"/>
        <w:ind w:firstLine="640" w:firstLineChars="200"/>
        <w:rPr>
          <w:rFonts w:hAnsi="仿宋"/>
          <w:sz w:val="32"/>
          <w:szCs w:val="32"/>
        </w:rPr>
      </w:pPr>
      <w:r>
        <w:rPr>
          <w:rFonts w:hAnsi="仿宋"/>
          <w:sz w:val="32"/>
          <w:szCs w:val="32"/>
        </w:rPr>
        <w:t>6.</w:t>
      </w:r>
      <w:r>
        <w:rPr>
          <w:rFonts w:hint="eastAsia" w:hAnsi="仿宋"/>
          <w:sz w:val="32"/>
          <w:szCs w:val="32"/>
        </w:rPr>
        <w:t>年初结转和结余：指以前年度尚未完成、结转到本年按有关规定继续使用的资金。</w:t>
      </w:r>
      <w:r>
        <w:rPr>
          <w:rFonts w:hAnsi="仿宋"/>
          <w:sz w:val="32"/>
          <w:szCs w:val="32"/>
        </w:rPr>
        <w:t xml:space="preserve"> </w:t>
      </w:r>
    </w:p>
    <w:p>
      <w:pPr>
        <w:pStyle w:val="19"/>
        <w:spacing w:line="560" w:lineRule="exact"/>
        <w:ind w:firstLine="640" w:firstLineChars="200"/>
        <w:rPr>
          <w:rFonts w:hAnsi="仿宋"/>
          <w:sz w:val="32"/>
          <w:szCs w:val="32"/>
        </w:rPr>
      </w:pPr>
      <w:r>
        <w:rPr>
          <w:rFonts w:hAnsi="仿宋"/>
          <w:sz w:val="32"/>
          <w:szCs w:val="32"/>
        </w:rPr>
        <w:t>7.</w:t>
      </w:r>
      <w:r>
        <w:rPr>
          <w:rFonts w:hint="eastAsia" w:hAnsi="仿宋"/>
          <w:sz w:val="32"/>
          <w:szCs w:val="32"/>
        </w:rPr>
        <w:t>结余分配：指事业单位按照事业单位会计制度的规定从非财政补助结余中分配的事业基金和职工福利基金等。</w:t>
      </w:r>
    </w:p>
    <w:p>
      <w:pPr>
        <w:pStyle w:val="19"/>
        <w:spacing w:line="560" w:lineRule="exact"/>
        <w:ind w:firstLine="640" w:firstLineChars="200"/>
        <w:rPr>
          <w:rFonts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pPr>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9.</w:t>
      </w:r>
      <w:r>
        <w:rPr>
          <w:rFonts w:hint="eastAsia" w:ascii="仿宋" w:hAnsi="仿宋" w:eastAsia="仿宋"/>
          <w:sz w:val="32"/>
          <w:szCs w:val="32"/>
        </w:rPr>
        <w:t xml:space="preserve"> 一般公共服务（类）政府办公厅（室）及相关机构事务（款）事业运行（项）</w:t>
      </w:r>
      <w:r>
        <w:rPr>
          <w:rFonts w:hint="eastAsia" w:ascii="仿宋" w:hAnsi="仿宋" w:eastAsia="仿宋"/>
          <w:color w:val="000000"/>
          <w:sz w:val="32"/>
          <w:szCs w:val="32"/>
        </w:rPr>
        <w:t>：指</w:t>
      </w:r>
      <w:r>
        <w:rPr>
          <w:rFonts w:hint="eastAsia" w:ascii="仿宋" w:hAnsi="仿宋" w:eastAsia="仿宋"/>
          <w:sz w:val="32"/>
          <w:szCs w:val="32"/>
        </w:rPr>
        <w:t>正常运转的基本支出，包括基本工资、津贴补贴（或绩效工资）等人员经费以及办公费、印刷费、水电费等日常公用经费。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10.</w:t>
      </w:r>
      <w:r>
        <w:rPr>
          <w:rFonts w:hint="eastAsia" w:ascii="仿宋" w:hAnsi="仿宋" w:eastAsia="仿宋"/>
          <w:sz w:val="32"/>
          <w:szCs w:val="32"/>
        </w:rPr>
        <w:t xml:space="preserve"> 社会保障和就业（类）行政事业单位养老支出（款）机关事业单位基本养老保险缴费支出（项）</w:t>
      </w:r>
      <w:r>
        <w:rPr>
          <w:rFonts w:hint="eastAsia" w:ascii="仿宋" w:hAnsi="仿宋" w:eastAsia="仿宋"/>
          <w:color w:val="000000"/>
          <w:sz w:val="32"/>
          <w:szCs w:val="32"/>
        </w:rPr>
        <w:t>：指机关事业单位实施养老保险制度由单位缴纳的基本养老保险支出。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11.</w:t>
      </w:r>
      <w:r>
        <w:rPr>
          <w:rFonts w:hint="eastAsia" w:ascii="仿宋" w:hAnsi="仿宋" w:eastAsia="仿宋"/>
          <w:sz w:val="32"/>
          <w:szCs w:val="32"/>
        </w:rPr>
        <w:t xml:space="preserve"> 社会保障和就业（类）行政事业单位养老支出（款）机关事业单位职业年金缴费支出（项）</w:t>
      </w:r>
      <w:r>
        <w:rPr>
          <w:rFonts w:hint="eastAsia" w:ascii="仿宋" w:hAnsi="仿宋" w:eastAsia="仿宋"/>
          <w:color w:val="000000"/>
          <w:sz w:val="32"/>
          <w:szCs w:val="32"/>
        </w:rPr>
        <w:t>：指机关事业单位实施养老保险制度由单位实际缴纳的职业年金支出。</w:t>
      </w:r>
    </w:p>
    <w:p>
      <w:pPr>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社会保障和就业（类）抚恤（款）其他优抚支出（项）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指其他用于优抚方面的支出。</w:t>
      </w:r>
    </w:p>
    <w:p>
      <w:pPr>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13.</w:t>
      </w:r>
      <w:r>
        <w:rPr>
          <w:rFonts w:hint="eastAsia" w:ascii="仿宋" w:hAnsi="仿宋" w:eastAsia="仿宋" w:cs="仿宋"/>
          <w:color w:val="000000"/>
          <w:kern w:val="0"/>
          <w:sz w:val="32"/>
          <w:szCs w:val="32"/>
        </w:rPr>
        <w:t>卫生健康支出（类）行政事业单位医疗（款）行政单位医疗（项）</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指财政部门安排的行政单位（包括实行公务员管理的事业单位）基本医疗保险缴费经费，未参加医疗保险的行政单位的公费医疗经费，按国家规定享受离休人员、红军老战士待遇人员的医疗经费。</w:t>
      </w:r>
    </w:p>
    <w:p>
      <w:pPr>
        <w:ind w:firstLine="640" w:firstLineChars="200"/>
        <w:rPr>
          <w:rFonts w:hint="eastAsia" w:ascii="仿宋" w:hAnsi="仿宋" w:eastAsia="仿宋" w:cs="仿宋"/>
          <w:color w:val="000000"/>
          <w:kern w:val="0"/>
          <w:sz w:val="32"/>
          <w:szCs w:val="32"/>
        </w:rPr>
      </w:pPr>
      <w:r>
        <w:rPr>
          <w:rFonts w:ascii="仿宋" w:hAnsi="仿宋" w:eastAsia="仿宋" w:cs="仿宋"/>
          <w:color w:val="000000"/>
          <w:kern w:val="0"/>
          <w:sz w:val="32"/>
          <w:szCs w:val="32"/>
        </w:rPr>
        <w:t>14.</w:t>
      </w:r>
      <w:r>
        <w:rPr>
          <w:rFonts w:hint="eastAsia" w:ascii="仿宋" w:hAnsi="仿宋" w:eastAsia="仿宋" w:cs="仿宋"/>
          <w:color w:val="000000"/>
          <w:kern w:val="0"/>
          <w:sz w:val="32"/>
          <w:szCs w:val="32"/>
        </w:rPr>
        <w:t>卫生健康（类）行政事业单位医疗（款）事业单位医疗（项）：指财政部门安排的事业单位基本医疗保险缴费经费，未参加医疗保险的事业单位的公费医疗经费，按国家规定享受离休人员待遇的医疗经费。</w:t>
      </w:r>
    </w:p>
    <w:p>
      <w:pPr>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15.</w:t>
      </w:r>
      <w:r>
        <w:rPr>
          <w:rFonts w:hint="eastAsia" w:ascii="仿宋" w:hAnsi="仿宋" w:eastAsia="仿宋" w:cs="仿宋"/>
          <w:color w:val="000000"/>
          <w:kern w:val="0"/>
          <w:sz w:val="32"/>
          <w:szCs w:val="32"/>
        </w:rPr>
        <w:t>节能环保支出（类）天然林保护（款）社会保险补助（项）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指专项用于由于木材减产或停产造成实施单位应缴纳保险费缺口的补助支出。</w:t>
      </w:r>
    </w:p>
    <w:p>
      <w:pPr>
        <w:pStyle w:val="19"/>
        <w:spacing w:line="560" w:lineRule="exact"/>
        <w:ind w:firstLine="640" w:firstLineChars="200"/>
        <w:rPr>
          <w:rFonts w:hAnsi="仿宋"/>
          <w:sz w:val="32"/>
          <w:szCs w:val="32"/>
        </w:rPr>
      </w:pPr>
      <w:r>
        <w:rPr>
          <w:rFonts w:hint="eastAsia" w:hAnsi="仿宋"/>
          <w:sz w:val="32"/>
          <w:szCs w:val="32"/>
        </w:rPr>
        <w:t>16.城乡社区支出（类）城乡社区管理事务（款） 其他城乡社区管理事务支出（项）</w:t>
      </w:r>
      <w:r>
        <w:rPr>
          <w:rFonts w:hAnsi="仿宋"/>
          <w:sz w:val="32"/>
          <w:szCs w:val="32"/>
        </w:rPr>
        <w:t xml:space="preserve">: </w:t>
      </w:r>
      <w:r>
        <w:rPr>
          <w:rFonts w:hint="eastAsia" w:hAnsi="仿宋"/>
          <w:sz w:val="32"/>
          <w:szCs w:val="32"/>
        </w:rPr>
        <w:t>指其他用于城乡社区方面的支出。</w:t>
      </w:r>
    </w:p>
    <w:p>
      <w:pPr>
        <w:ind w:firstLine="640" w:firstLineChars="200"/>
        <w:rPr>
          <w:rFonts w:hint="eastAsia" w:ascii="仿宋" w:hAnsi="仿宋" w:eastAsia="仿宋" w:cs="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6</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节能环保支出（类）退耕还林（款） 退耕现金（项）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指专项用于退耕户的医疗、教育等日常生活需要的支出。</w:t>
      </w:r>
    </w:p>
    <w:p>
      <w:pPr>
        <w:pStyle w:val="19"/>
        <w:spacing w:line="560" w:lineRule="exact"/>
        <w:ind w:firstLine="640" w:firstLineChars="200"/>
        <w:rPr>
          <w:rFonts w:hAnsi="仿宋"/>
          <w:sz w:val="32"/>
          <w:szCs w:val="32"/>
        </w:rPr>
      </w:pPr>
      <w:r>
        <w:rPr>
          <w:rFonts w:hint="eastAsia" w:hAnsi="仿宋"/>
          <w:sz w:val="32"/>
          <w:szCs w:val="32"/>
        </w:rPr>
        <w:t>17．城乡和社区支出（类）国有土地使用权出让收入安排的支出（款）征地和拆迁补偿支出（项）：指新疆生产建设兵团和地方政府在征地和土地收购过程中支付的土地补偿费、安置补助费、地上附着和青苗补偿费、拆迁补偿费支出。</w:t>
      </w:r>
    </w:p>
    <w:p>
      <w:pPr>
        <w:pStyle w:val="19"/>
        <w:spacing w:line="560" w:lineRule="exact"/>
        <w:ind w:firstLine="640" w:firstLineChars="200"/>
        <w:rPr>
          <w:rFonts w:hint="eastAsia" w:hAnsi="仿宋"/>
          <w:sz w:val="32"/>
          <w:szCs w:val="32"/>
        </w:rPr>
      </w:pPr>
      <w:r>
        <w:rPr>
          <w:rFonts w:hint="eastAsia" w:hAnsi="仿宋"/>
          <w:sz w:val="32"/>
          <w:szCs w:val="32"/>
        </w:rPr>
        <w:t>18.城乡和社区支出（类）国有土地使用权出让收入安排的支出（款）土地开发支出（项）：指新疆生产建设兵团和地方政府用于前期土地开发性支出以及与前期土地开发相关的费用等支出。</w:t>
      </w:r>
    </w:p>
    <w:p>
      <w:pPr>
        <w:pStyle w:val="19"/>
        <w:spacing w:line="560" w:lineRule="exact"/>
        <w:ind w:firstLine="640" w:firstLineChars="200"/>
        <w:rPr>
          <w:rFonts w:hint="eastAsia" w:hAnsi="仿宋"/>
          <w:sz w:val="32"/>
          <w:szCs w:val="32"/>
        </w:rPr>
      </w:pPr>
      <w:r>
        <w:rPr>
          <w:rFonts w:hint="eastAsia" w:hAnsi="仿宋"/>
          <w:sz w:val="32"/>
          <w:szCs w:val="32"/>
        </w:rPr>
        <w:t xml:space="preserve"> 19.城乡和社区支出（类）国有土地使用权出让收入安排的支出（款）农村基础设施建设支出（项）：指土地收让收入用于农村饮水、环境、卫生、教育以及文化等基础设施建设支出。</w:t>
      </w:r>
    </w:p>
    <w:p>
      <w:pPr>
        <w:pStyle w:val="19"/>
        <w:spacing w:line="560" w:lineRule="exact"/>
        <w:ind w:firstLine="640" w:firstLineChars="200"/>
        <w:rPr>
          <w:rFonts w:hAnsi="仿宋"/>
          <w:sz w:val="32"/>
          <w:szCs w:val="32"/>
        </w:rPr>
      </w:pPr>
      <w:r>
        <w:rPr>
          <w:rFonts w:hint="eastAsia" w:hAnsi="仿宋"/>
          <w:sz w:val="32"/>
          <w:szCs w:val="32"/>
        </w:rPr>
        <w:t>20.城乡和社区支出（类）国有土地使用权出让收入安排的支出（款）补助被征地农民支出（项）：指土地出让收入用于补助被征地农民社会保障支出以及保持被征地农民原有生活水平支出。</w:t>
      </w:r>
    </w:p>
    <w:p>
      <w:pPr>
        <w:pStyle w:val="19"/>
        <w:spacing w:line="560" w:lineRule="exact"/>
        <w:ind w:firstLine="640" w:firstLineChars="200"/>
        <w:rPr>
          <w:rFonts w:hAnsi="仿宋"/>
          <w:sz w:val="32"/>
          <w:szCs w:val="32"/>
        </w:rPr>
      </w:pPr>
      <w:r>
        <w:rPr>
          <w:rFonts w:hint="eastAsia" w:hAnsi="仿宋"/>
          <w:sz w:val="32"/>
          <w:szCs w:val="32"/>
        </w:rPr>
        <w:t xml:space="preserve">21.城乡和社区支出（类）国有土地使用权出让收入安排的支出（款）土地出让业务支出（项）：指土地出让收入用于土地出让业务费用的开支。 </w:t>
      </w:r>
    </w:p>
    <w:p>
      <w:pPr>
        <w:pStyle w:val="2"/>
        <w:rPr>
          <w:rFonts w:ascii="仿宋" w:hAnsi="仿宋" w:eastAsia="仿宋"/>
        </w:rPr>
      </w:pP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22</w:t>
      </w:r>
      <w:r>
        <w:rPr>
          <w:rFonts w:ascii="仿宋" w:hAnsi="仿宋" w:eastAsia="仿宋" w:cs="仿宋"/>
          <w:color w:val="000000"/>
          <w:kern w:val="0"/>
          <w:sz w:val="32"/>
          <w:szCs w:val="32"/>
        </w:rPr>
        <w:t>.</w:t>
      </w:r>
      <w:r>
        <w:rPr>
          <w:rFonts w:hint="eastAsia" w:ascii="仿宋" w:hAnsi="仿宋" w:eastAsia="仿宋"/>
          <w:sz w:val="32"/>
          <w:szCs w:val="32"/>
        </w:rPr>
        <w:t xml:space="preserve"> 城乡和社区支出（类）国有土地使用权出让收入安排的支出（款）其他国有土地使用权出让收入安排的支出（项）：指土地出让收入用于其他方面的支出。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23</w:t>
      </w:r>
      <w:r>
        <w:rPr>
          <w:rFonts w:ascii="仿宋" w:hAnsi="仿宋" w:eastAsia="仿宋" w:cs="仿宋"/>
          <w:color w:val="000000"/>
          <w:kern w:val="0"/>
          <w:sz w:val="32"/>
          <w:szCs w:val="32"/>
        </w:rPr>
        <w:t>.</w:t>
      </w:r>
      <w:r>
        <w:rPr>
          <w:rFonts w:hint="eastAsia" w:ascii="仿宋" w:hAnsi="仿宋" w:eastAsia="仿宋"/>
          <w:sz w:val="32"/>
          <w:szCs w:val="32"/>
        </w:rPr>
        <w:t xml:space="preserve"> 城乡和社区支出（类）国有土地收益基金安排的支出（款）征地和拆迁补偿支出（项）：指从国有土地收益基金中安排用于储备土地需要支付的土地补偿费、安置补助费、地上附着物和青苗补偿费、拆迁补助费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24</w:t>
      </w:r>
      <w:r>
        <w:rPr>
          <w:rFonts w:ascii="仿宋" w:hAnsi="仿宋" w:eastAsia="仿宋" w:cs="仿宋"/>
          <w:color w:val="000000"/>
          <w:kern w:val="0"/>
          <w:sz w:val="32"/>
          <w:szCs w:val="32"/>
        </w:rPr>
        <w:t>.</w:t>
      </w:r>
      <w:r>
        <w:rPr>
          <w:rFonts w:hint="eastAsia" w:ascii="仿宋" w:hAnsi="仿宋" w:eastAsia="仿宋"/>
          <w:sz w:val="32"/>
          <w:szCs w:val="32"/>
        </w:rPr>
        <w:t xml:space="preserve"> 城乡和社区支出（类）国有土地收益基金安排的支出（款）土地开发支出（项）：指从国有土地收益基金中安排用于储备土地需要支付的前期土地开发性支出以及与前期土地开发相关的费用等支出。</w:t>
      </w:r>
    </w:p>
    <w:p>
      <w:pPr>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25.</w:t>
      </w:r>
      <w:r>
        <w:rPr>
          <w:rFonts w:hint="eastAsia" w:ascii="仿宋" w:hAnsi="仿宋" w:eastAsia="仿宋" w:cs="仿宋"/>
          <w:color w:val="000000"/>
          <w:kern w:val="0"/>
          <w:sz w:val="32"/>
          <w:szCs w:val="32"/>
        </w:rPr>
        <w:t>农林水支出（类）林业和草原（款）事业机构（项）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指事业单位的基本支出，不包括行政单位（含实行公务员管理的事业单位）后勤服务中心等附属事业单位的支出。</w:t>
      </w:r>
    </w:p>
    <w:p>
      <w:pPr>
        <w:ind w:firstLine="640" w:firstLineChars="200"/>
        <w:rPr>
          <w:rFonts w:hint="eastAsia" w:ascii="仿宋" w:hAnsi="仿宋" w:eastAsia="仿宋" w:cs="仿宋"/>
          <w:color w:val="000000"/>
          <w:kern w:val="0"/>
          <w:sz w:val="32"/>
          <w:szCs w:val="32"/>
        </w:rPr>
      </w:pPr>
      <w:r>
        <w:rPr>
          <w:rFonts w:ascii="仿宋" w:hAnsi="仿宋" w:eastAsia="仿宋" w:cs="仿宋"/>
          <w:color w:val="000000"/>
          <w:kern w:val="0"/>
          <w:sz w:val="32"/>
          <w:szCs w:val="32"/>
        </w:rPr>
        <w:t>26.</w:t>
      </w:r>
      <w:r>
        <w:rPr>
          <w:rFonts w:hint="eastAsia" w:ascii="仿宋" w:hAnsi="仿宋" w:eastAsia="仿宋" w:cs="仿宋"/>
          <w:color w:val="000000"/>
          <w:kern w:val="0"/>
          <w:sz w:val="32"/>
          <w:szCs w:val="32"/>
        </w:rPr>
        <w:t xml:space="preserve"> 农林水支出（类）林业和草原（款）森林资源培育（项）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指育苗（种）、造林、抚育、退化林修复、义务植树以及生物质能源建设等方面的支出。</w:t>
      </w:r>
    </w:p>
    <w:p>
      <w:pPr>
        <w:ind w:firstLine="640" w:firstLineChars="200"/>
        <w:rPr>
          <w:rFonts w:hint="eastAsia" w:ascii="仿宋" w:hAnsi="仿宋" w:eastAsia="仿宋" w:cs="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7</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 xml:space="preserve"> 农林水支出（类）林业和草原（款）森林资源管理（项）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指森林资源核查、监测、评估、经营利用、林地保护等方面的支出。</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28.农林水支出（类）林业和草原（款） 森林生态效益补偿（项）</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指公益林保护管管理等方面的支出。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29.农林水支出（类）林业和草原（款）动植物保护（项）</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指动植物资源生存环境调查、监测、保护管理、野外放（回）归、巡护、野生动物疫源疫病监测防控、濒危野生动植物拯救、繁育及进出口管理等方面的支出。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30.农林水支出（类）林业和草原（款）林业草原防灾减灾（项）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指病虫害等有害生物灾害、野生动物疫病灾害等方面的支出。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31.农林水支出（类）林业和草原（款）其他林业和草原支出（项）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批其他用于林业和草原方面的支出。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32.农林水支出（类）扶贫（款） 其他扶贫支出（项）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指其他用于扶贫方面的支出。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33.农林水支出（类）其他农林水支出（款） 其他农林水支出（项）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指化解债务支出以外用于农林水方面的支出。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34.自然资源海洋气象等支出（类）自然资源事务（款）行政运行（项）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指行政单位（包括实行公务员管理的事业单位）的基本支出。</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35.自然资源海洋气象等支出（类）自然资源事务（款） 一般行政管理事务（项）</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指行政单位（包括实行公务员管理的事业单位）未单独设置项级科目的其他项目支出。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36.自然资源海洋气象等支出（类）自然资源事务（款） 自然资源规划及管理（项）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指用于自然资源规划、研究、管理方面的支出。</w:t>
      </w:r>
    </w:p>
    <w:p>
      <w:pPr>
        <w:pStyle w:val="2"/>
        <w:rPr>
          <w:rFonts w:ascii="仿宋" w:hAnsi="仿宋" w:eastAsia="仿宋"/>
        </w:rPr>
      </w:pP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37.自然资源海洋气象等支出（类）自然资源事务（款） 自然资源利用与保护（项）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指自然资源部门土地利用监测、耕地保护、土地分等定级、土地评估等方面的支出。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38.自然资源海洋气象等支出（类）自然资源事务（款）自然资源调查与确权登记（项）</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指自然资源部门用于自然资源调查监测评价、自然资源统一确权登记等方面的支出。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39.自然资源海洋气象等支出（类）自然资源事务（款）   事业运行（项）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指事业单位的基本支出，不包括行政单位（含实行公务员管理的事业单位）后勤服务中心等附属事业单位的支出。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40.自然资源海洋气象等支出（类）自然资源事务（款）   其他自然资源事务支出（项）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指其他用于自然资源事务方面的支出。</w:t>
      </w:r>
    </w:p>
    <w:p>
      <w:pPr>
        <w:spacing w:line="580" w:lineRule="exact"/>
        <w:ind w:firstLine="640" w:firstLineChars="200"/>
        <w:rPr>
          <w:rFonts w:ascii="仿宋" w:hAnsi="仿宋" w:eastAsia="仿宋"/>
          <w:sz w:val="32"/>
          <w:szCs w:val="32"/>
        </w:rPr>
      </w:pPr>
      <w:r>
        <w:rPr>
          <w:rFonts w:hint="eastAsia" w:ascii="仿宋" w:hAnsi="仿宋" w:eastAsia="仿宋"/>
          <w:color w:val="000000"/>
          <w:sz w:val="32"/>
          <w:szCs w:val="32"/>
        </w:rPr>
        <w:t>41.</w:t>
      </w:r>
      <w:r>
        <w:rPr>
          <w:rFonts w:hint="eastAsia" w:ascii="仿宋" w:hAnsi="仿宋" w:eastAsia="仿宋"/>
          <w:sz w:val="32"/>
          <w:szCs w:val="32"/>
        </w:rPr>
        <w:t xml:space="preserve"> 住房保障支出（类）保障性安居工程支出（款）棚户区改造（项）</w:t>
      </w:r>
      <w:r>
        <w:rPr>
          <w:rFonts w:hint="eastAsia" w:ascii="仿宋" w:hAnsi="仿宋" w:eastAsia="仿宋"/>
          <w:color w:val="000000"/>
          <w:sz w:val="32"/>
          <w:szCs w:val="32"/>
        </w:rPr>
        <w:t>：指</w:t>
      </w:r>
      <w:r>
        <w:rPr>
          <w:rFonts w:hint="eastAsia" w:ascii="仿宋" w:hAnsi="仿宋" w:eastAsia="仿宋"/>
          <w:sz w:val="32"/>
          <w:szCs w:val="32"/>
        </w:rPr>
        <w:t>用于棚户区改造方面的支出。</w:t>
      </w:r>
    </w:p>
    <w:p>
      <w:pPr>
        <w:ind w:firstLine="640" w:firstLineChars="200"/>
        <w:rPr>
          <w:rStyle w:val="14"/>
          <w:rFonts w:hint="eastAsia" w:ascii="仿宋" w:hAnsi="仿宋" w:eastAsia="仿宋"/>
          <w:b w:val="0"/>
          <w:bCs/>
          <w:color w:val="000000"/>
          <w:sz w:val="32"/>
          <w:szCs w:val="32"/>
        </w:rPr>
      </w:pPr>
      <w:r>
        <w:rPr>
          <w:rFonts w:hint="eastAsia" w:ascii="仿宋" w:hAnsi="仿宋" w:eastAsia="仿宋" w:cs="仿宋"/>
          <w:color w:val="000000"/>
          <w:kern w:val="0"/>
          <w:sz w:val="32"/>
          <w:szCs w:val="32"/>
        </w:rPr>
        <w:t>42.住房保障支出（类）住房改革支出（款）住房公积金（项）</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指行政事业单位按人力资源和社会保障部、财政部规定的基本工资和津贴补贴以及规定比例为职工缴</w:t>
      </w:r>
      <w:r>
        <w:rPr>
          <w:rStyle w:val="14"/>
          <w:rFonts w:hint="eastAsia" w:ascii="仿宋" w:hAnsi="仿宋" w:eastAsia="仿宋"/>
          <w:b w:val="0"/>
          <w:bCs/>
          <w:color w:val="000000"/>
          <w:sz w:val="32"/>
          <w:szCs w:val="32"/>
        </w:rPr>
        <w:t>纳的住房公积金。</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43.灾害防治及应急管理支出（类）自然灾害防治（款）地质灾害防治（项）: 指防治地质灾害方面的支出。</w:t>
      </w:r>
    </w:p>
    <w:p>
      <w:pPr>
        <w:pStyle w:val="6"/>
        <w:spacing w:before="93"/>
        <w:ind w:firstLine="640" w:firstLineChars="200"/>
        <w:rPr>
          <w:rFonts w:ascii="仿宋" w:hAnsi="仿宋" w:eastAsia="仿宋"/>
        </w:rPr>
      </w:pPr>
      <w:r>
        <w:rPr>
          <w:rFonts w:hint="eastAsia" w:ascii="仿宋" w:hAnsi="仿宋" w:eastAsia="仿宋" w:cs="仿宋"/>
          <w:color w:val="000000"/>
          <w:sz w:val="32"/>
          <w:szCs w:val="32"/>
        </w:rPr>
        <w:t>44.灾害防治及应急管理支出（类）自然灾害救灾及恢复重建支出（款）其他自然灾害救灾及恢复重建支出（项）: 指其他用于自然灾害生活救助方面的支出。</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45.灾害防治及应急管理支出（类）自然灾害救灾及恢复重建支出（款）其他自然灾害救灾及恢复重建支出（项）: 指其他用于自然灾害救灾、灾后恢复重建等方面的支出。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46</w:t>
      </w:r>
      <w:r>
        <w:rPr>
          <w:rFonts w:ascii="仿宋" w:hAnsi="仿宋" w:eastAsia="仿宋"/>
          <w:color w:val="000000"/>
          <w:sz w:val="32"/>
          <w:szCs w:val="32"/>
        </w:rPr>
        <w:t>.</w:t>
      </w:r>
      <w:r>
        <w:rPr>
          <w:rFonts w:hint="eastAsia" w:ascii="仿宋" w:hAnsi="仿宋" w:eastAsia="仿宋"/>
          <w:color w:val="000000"/>
          <w:sz w:val="32"/>
          <w:szCs w:val="32"/>
        </w:rPr>
        <w:t>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47</w:t>
      </w:r>
      <w:r>
        <w:rPr>
          <w:rFonts w:ascii="仿宋" w:hAnsi="仿宋" w:eastAsia="仿宋"/>
          <w:color w:val="000000"/>
          <w:sz w:val="32"/>
          <w:szCs w:val="32"/>
        </w:rPr>
        <w:t>.</w:t>
      </w:r>
      <w:r>
        <w:rPr>
          <w:rFonts w:hint="eastAsia" w:ascii="仿宋" w:hAnsi="仿宋" w:eastAsia="仿宋"/>
          <w:color w:val="000000"/>
          <w:sz w:val="32"/>
          <w:szCs w:val="32"/>
        </w:rPr>
        <w:t>项目支出：指在基本支出之外为完成特定行政任务和事业发展目标所发生的支出。</w:t>
      </w:r>
      <w:r>
        <w:rPr>
          <w:rFonts w:ascii="仿宋" w:hAnsi="仿宋" w:eastAsia="仿宋"/>
          <w:color w:val="000000"/>
          <w:sz w:val="32"/>
          <w:szCs w:val="32"/>
        </w:rPr>
        <w:t xml:space="preserve"> </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48</w:t>
      </w:r>
      <w:r>
        <w:rPr>
          <w:rFonts w:ascii="仿宋" w:hAnsi="仿宋" w:eastAsia="仿宋"/>
          <w:color w:val="000000"/>
          <w:sz w:val="32"/>
          <w:szCs w:val="32"/>
        </w:rPr>
        <w:t>.</w:t>
      </w:r>
      <w:r>
        <w:rPr>
          <w:rFonts w:hint="eastAsia" w:ascii="仿宋" w:hAnsi="仿宋" w:eastAsia="仿宋"/>
          <w:color w:val="000000"/>
          <w:sz w:val="32"/>
          <w:szCs w:val="32"/>
        </w:rPr>
        <w:t>经营支出：指事业单位在专业业务活动及其辅助活动之外开展非独立核算经营活动发生的支出。</w:t>
      </w:r>
    </w:p>
    <w:p>
      <w:pPr>
        <w:pStyle w:val="19"/>
        <w:spacing w:line="560" w:lineRule="exact"/>
        <w:ind w:firstLine="640" w:firstLineChars="200"/>
        <w:rPr>
          <w:rFonts w:hAnsi="仿宋"/>
          <w:sz w:val="32"/>
          <w:szCs w:val="32"/>
        </w:rPr>
      </w:pPr>
      <w:r>
        <w:rPr>
          <w:rFonts w:hint="eastAsia" w:hAnsi="仿宋"/>
          <w:sz w:val="32"/>
          <w:szCs w:val="32"/>
        </w:rPr>
        <w:t>49</w:t>
      </w:r>
      <w:r>
        <w:rPr>
          <w:rFonts w:hAnsi="仿宋"/>
          <w:sz w:val="32"/>
          <w:szCs w:val="32"/>
        </w:rPr>
        <w:t>.</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9"/>
        <w:spacing w:line="560" w:lineRule="exact"/>
        <w:ind w:firstLine="640" w:firstLineChars="200"/>
        <w:rPr>
          <w:rFonts w:hAnsi="仿宋"/>
          <w:sz w:val="32"/>
          <w:szCs w:val="32"/>
        </w:rPr>
      </w:pPr>
      <w:r>
        <w:rPr>
          <w:rFonts w:hint="eastAsia" w:hAnsi="仿宋"/>
          <w:sz w:val="32"/>
          <w:szCs w:val="32"/>
        </w:rPr>
        <w:t>50</w:t>
      </w:r>
      <w:r>
        <w:rPr>
          <w:rFonts w:hAnsi="仿宋"/>
          <w:sz w:val="32"/>
          <w:szCs w:val="32"/>
        </w:rPr>
        <w:t>.</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9"/>
        <w:spacing w:line="560" w:lineRule="exact"/>
        <w:ind w:firstLine="640" w:firstLineChars="200"/>
        <w:rPr>
          <w:rFonts w:hAnsi="仿宋"/>
          <w:sz w:val="32"/>
          <w:szCs w:val="32"/>
        </w:rPr>
      </w:pPr>
    </w:p>
    <w:p>
      <w:pPr>
        <w:spacing w:line="600" w:lineRule="exact"/>
        <w:jc w:val="center"/>
        <w:outlineLvl w:val="0"/>
        <w:rPr>
          <w:rFonts w:hint="eastAsia" w:ascii="方正小标宋简体" w:hAnsi="方正小标宋简体" w:eastAsia="方正小标宋简体" w:cs="方正小标宋简体"/>
          <w:color w:val="000000"/>
          <w:sz w:val="44"/>
          <w:szCs w:val="44"/>
        </w:rPr>
      </w:pPr>
      <w:bookmarkStart w:id="61" w:name="_Toc15396614"/>
      <w:bookmarkStart w:id="62" w:name="_Toc15377226"/>
    </w:p>
    <w:p>
      <w:pPr>
        <w:spacing w:line="600" w:lineRule="exact"/>
        <w:jc w:val="center"/>
        <w:outlineLvl w:val="0"/>
        <w:rPr>
          <w:rFonts w:hint="eastAsia" w:ascii="方正小标宋简体" w:hAnsi="方正小标宋简体" w:eastAsia="方正小标宋简体" w:cs="方正小标宋简体"/>
          <w:color w:val="000000"/>
          <w:sz w:val="44"/>
          <w:szCs w:val="44"/>
        </w:rPr>
      </w:pPr>
    </w:p>
    <w:p>
      <w:pPr>
        <w:spacing w:line="600" w:lineRule="exact"/>
        <w:jc w:val="center"/>
        <w:outlineLvl w:val="0"/>
        <w:rPr>
          <w:rFonts w:hint="eastAsia" w:ascii="方正小标宋简体" w:hAnsi="方正小标宋简体" w:eastAsia="方正小标宋简体" w:cs="方正小标宋简体"/>
          <w:color w:val="000000"/>
          <w:sz w:val="44"/>
          <w:szCs w:val="44"/>
        </w:rPr>
      </w:pPr>
    </w:p>
    <w:p>
      <w:pPr>
        <w:spacing w:line="600" w:lineRule="exact"/>
        <w:jc w:val="center"/>
        <w:outlineLvl w:val="0"/>
        <w:rPr>
          <w:rFonts w:hint="eastAsia" w:ascii="方正小标宋简体" w:hAnsi="方正小标宋简体" w:eastAsia="方正小标宋简体" w:cs="方正小标宋简体"/>
          <w:color w:val="000000"/>
          <w:sz w:val="44"/>
          <w:szCs w:val="44"/>
        </w:rPr>
      </w:pPr>
    </w:p>
    <w:p>
      <w:pPr>
        <w:spacing w:line="600" w:lineRule="exact"/>
        <w:jc w:val="center"/>
        <w:outlineLvl w:val="0"/>
        <w:rPr>
          <w:rFonts w:hint="eastAsia" w:ascii="方正小标宋简体" w:hAnsi="方正小标宋简体" w:eastAsia="方正小标宋简体" w:cs="方正小标宋简体"/>
          <w:color w:val="000000"/>
          <w:sz w:val="44"/>
          <w:szCs w:val="44"/>
        </w:rPr>
      </w:pPr>
    </w:p>
    <w:p>
      <w:pPr>
        <w:spacing w:line="600" w:lineRule="exact"/>
        <w:jc w:val="center"/>
        <w:outlineLvl w:val="0"/>
        <w:rPr>
          <w:rFonts w:hint="eastAsia" w:ascii="方正小标宋简体" w:hAnsi="方正小标宋简体" w:eastAsia="方正小标宋简体" w:cs="方正小标宋简体"/>
          <w:color w:val="000000"/>
          <w:sz w:val="44"/>
          <w:szCs w:val="44"/>
        </w:rPr>
      </w:pPr>
    </w:p>
    <w:p>
      <w:pPr>
        <w:spacing w:line="600" w:lineRule="exact"/>
        <w:jc w:val="center"/>
        <w:outlineLvl w:val="0"/>
        <w:rPr>
          <w:rFonts w:hint="eastAsia" w:ascii="方正小标宋简体" w:hAnsi="方正小标宋简体" w:eastAsia="方正小标宋简体" w:cs="方正小标宋简体"/>
          <w:color w:val="000000"/>
          <w:sz w:val="44"/>
          <w:szCs w:val="44"/>
        </w:rPr>
      </w:pPr>
    </w:p>
    <w:p>
      <w:pPr>
        <w:spacing w:line="600" w:lineRule="exact"/>
        <w:jc w:val="center"/>
        <w:outlineLvl w:val="0"/>
        <w:rPr>
          <w:rFonts w:hint="eastAsia" w:ascii="方正小标宋简体" w:hAnsi="方正小标宋简体" w:eastAsia="方正小标宋简体" w:cs="方正小标宋简体"/>
          <w:color w:val="000000"/>
          <w:sz w:val="44"/>
          <w:szCs w:val="44"/>
        </w:rPr>
      </w:pPr>
    </w:p>
    <w:p>
      <w:pPr>
        <w:spacing w:line="600" w:lineRule="exact"/>
        <w:jc w:val="center"/>
        <w:outlineLvl w:val="0"/>
        <w:rPr>
          <w:rFonts w:hint="eastAsia" w:ascii="方正小标宋简体" w:hAnsi="方正小标宋简体" w:eastAsia="方正小标宋简体" w:cs="方正小标宋简体"/>
          <w:color w:val="000000"/>
          <w:sz w:val="44"/>
          <w:szCs w:val="44"/>
        </w:rPr>
      </w:pPr>
    </w:p>
    <w:p>
      <w:pPr>
        <w:spacing w:line="600" w:lineRule="exact"/>
        <w:jc w:val="center"/>
        <w:outlineLvl w:val="0"/>
        <w:rPr>
          <w:rFonts w:hint="eastAsia" w:ascii="方正小标宋简体" w:hAnsi="方正小标宋简体" w:eastAsia="方正小标宋简体" w:cs="方正小标宋简体"/>
          <w:color w:val="000000"/>
          <w:sz w:val="44"/>
          <w:szCs w:val="44"/>
        </w:rPr>
      </w:pPr>
    </w:p>
    <w:p>
      <w:pPr>
        <w:spacing w:line="600" w:lineRule="exact"/>
        <w:jc w:val="center"/>
        <w:outlineLvl w:val="0"/>
        <w:rPr>
          <w:rFonts w:hint="eastAsia" w:ascii="方正小标宋简体" w:hAnsi="方正小标宋简体" w:eastAsia="方正小标宋简体" w:cs="方正小标宋简体"/>
          <w:color w:val="000000"/>
          <w:sz w:val="44"/>
          <w:szCs w:val="44"/>
        </w:rPr>
      </w:pPr>
    </w:p>
    <w:p>
      <w:pPr>
        <w:spacing w:line="600" w:lineRule="exact"/>
        <w:jc w:val="center"/>
        <w:outlineLvl w:val="0"/>
        <w:rPr>
          <w:rStyle w:val="16"/>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color w:val="000000"/>
          <w:sz w:val="44"/>
          <w:szCs w:val="44"/>
        </w:rPr>
        <w:t>第</w:t>
      </w:r>
      <w:r>
        <w:rPr>
          <w:rStyle w:val="16"/>
          <w:rFonts w:hint="eastAsia" w:ascii="方正小标宋简体" w:hAnsi="方正小标宋简体" w:eastAsia="方正小标宋简体" w:cs="方正小标宋简体"/>
          <w:b w:val="0"/>
        </w:rPr>
        <w:t>四部分 附件</w:t>
      </w:r>
      <w:bookmarkEnd w:id="61"/>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r>
        <w:rPr>
          <w:rFonts w:hint="eastAsia" w:ascii="黑体" w:hAnsi="黑体" w:eastAsia="黑体" w:cs="黑体"/>
          <w:sz w:val="32"/>
          <w:szCs w:val="32"/>
        </w:rPr>
        <w:t>附件1</w:t>
      </w:r>
    </w:p>
    <w:p>
      <w:pPr>
        <w:spacing w:line="580" w:lineRule="exact"/>
        <w:jc w:val="center"/>
        <w:rPr>
          <w:rFonts w:ascii="仿宋" w:hAnsi="仿宋" w:eastAsia="仿宋" w:cs="方正小标宋简体"/>
          <w:sz w:val="44"/>
          <w:szCs w:val="44"/>
        </w:rPr>
      </w:pPr>
    </w:p>
    <w:p>
      <w:pPr>
        <w:spacing w:line="600" w:lineRule="exact"/>
        <w:jc w:val="center"/>
        <w:rPr>
          <w:rFonts w:hint="eastAsia" w:ascii="方正小标宋简体" w:hAnsi="方正小标宋简体" w:eastAsia="方正小标宋简体" w:cs="方正小标宋简体"/>
          <w:color w:val="000000"/>
          <w:kern w:val="0"/>
          <w:sz w:val="40"/>
          <w:szCs w:val="44"/>
          <w:lang w:val="zh-CN"/>
        </w:rPr>
      </w:pPr>
      <w:r>
        <w:rPr>
          <w:rFonts w:hint="eastAsia" w:ascii="方正小标宋简体" w:hAnsi="方正小标宋简体" w:eastAsia="方正小标宋简体" w:cs="方正小标宋简体"/>
          <w:color w:val="000000"/>
          <w:kern w:val="0"/>
          <w:sz w:val="40"/>
          <w:szCs w:val="44"/>
        </w:rPr>
        <w:t>峨眉山市自然资源</w:t>
      </w:r>
      <w:r>
        <w:rPr>
          <w:rFonts w:hint="eastAsia" w:ascii="方正小标宋简体" w:hAnsi="方正小标宋简体" w:eastAsia="方正小标宋简体" w:cs="方正小标宋简体"/>
          <w:color w:val="000000"/>
          <w:kern w:val="0"/>
          <w:sz w:val="40"/>
          <w:szCs w:val="44"/>
          <w:lang w:val="zh-CN"/>
        </w:rPr>
        <w:t>部门</w:t>
      </w:r>
      <w:r>
        <w:rPr>
          <w:rFonts w:hint="eastAsia" w:ascii="方正小标宋简体" w:hAnsi="方正小标宋简体" w:eastAsia="方正小标宋简体" w:cs="方正小标宋简体"/>
          <w:color w:val="000000"/>
          <w:kern w:val="0"/>
          <w:sz w:val="40"/>
          <w:szCs w:val="44"/>
        </w:rPr>
        <w:t>2020年部门</w:t>
      </w:r>
      <w:r>
        <w:rPr>
          <w:rFonts w:hint="eastAsia" w:ascii="方正小标宋简体" w:hAnsi="方正小标宋简体" w:eastAsia="方正小标宋简体" w:cs="方正小标宋简体"/>
          <w:color w:val="000000"/>
          <w:kern w:val="0"/>
          <w:sz w:val="40"/>
          <w:szCs w:val="44"/>
          <w:lang w:val="zh-CN"/>
        </w:rPr>
        <w:t>整体支出绩效评价报告</w:t>
      </w:r>
    </w:p>
    <w:p>
      <w:pPr>
        <w:spacing w:line="600" w:lineRule="exact"/>
        <w:jc w:val="center"/>
        <w:rPr>
          <w:rFonts w:ascii="仿宋" w:hAnsi="仿宋" w:eastAsia="仿宋"/>
          <w:color w:val="000000"/>
          <w:kern w:val="0"/>
          <w:sz w:val="40"/>
          <w:szCs w:val="44"/>
          <w:lang w:val="zh-CN"/>
        </w:rPr>
      </w:pPr>
    </w:p>
    <w:p>
      <w:pPr>
        <w:widowControl/>
        <w:adjustRightInd w:val="0"/>
        <w:snapToGrid w:val="0"/>
        <w:spacing w:line="560" w:lineRule="exact"/>
        <w:ind w:firstLine="640" w:firstLineChars="200"/>
        <w:contextualSpacing/>
        <w:jc w:val="left"/>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部门（单位）概况</w:t>
      </w:r>
    </w:p>
    <w:p>
      <w:pPr>
        <w:widowControl/>
        <w:adjustRightInd w:val="0"/>
        <w:snapToGrid w:val="0"/>
        <w:spacing w:line="56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（一）机构组成</w:t>
      </w:r>
    </w:p>
    <w:p>
      <w:pPr>
        <w:ind w:firstLine="800" w:firstLineChars="250"/>
        <w:rPr>
          <w:rFonts w:ascii="仿宋" w:hAnsi="仿宋" w:eastAsia="仿宋"/>
          <w:sz w:val="32"/>
          <w:szCs w:val="32"/>
        </w:rPr>
      </w:pPr>
      <w:r>
        <w:rPr>
          <w:rFonts w:hint="eastAsia" w:ascii="仿宋" w:hAnsi="仿宋" w:eastAsia="仿宋"/>
          <w:sz w:val="32"/>
          <w:szCs w:val="32"/>
        </w:rPr>
        <w:t>峨眉山市自然资源局属于行政单位，下属二级单位19个，其中行政单位0个，参照公务员法管理的事业单位</w:t>
      </w:r>
      <w:r>
        <w:rPr>
          <w:rFonts w:hint="eastAsia" w:ascii="仿宋" w:hAnsi="仿宋" w:eastAsia="仿宋"/>
          <w:bCs/>
          <w:sz w:val="32"/>
          <w:szCs w:val="32"/>
        </w:rPr>
        <w:t>1</w:t>
      </w:r>
      <w:r>
        <w:rPr>
          <w:rFonts w:hint="eastAsia" w:ascii="仿宋" w:hAnsi="仿宋" w:eastAsia="仿宋"/>
          <w:sz w:val="32"/>
          <w:szCs w:val="32"/>
        </w:rPr>
        <w:t>个，其他事业单位18个。</w:t>
      </w:r>
    </w:p>
    <w:p>
      <w:pPr>
        <w:widowControl/>
        <w:adjustRightInd w:val="0"/>
        <w:snapToGrid w:val="0"/>
        <w:spacing w:line="56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（二）机构职能</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1.按照规定权限，履行全民所有土地、矿产、森林、湿地、水等自然资源资产所有者职责和所有国土空间用途管制职责。拟订全市自然资源和国土空间规划的规范性文件，制定有关政策措施并监督检查执行情况。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2.负责全市自然资源调查监测评价。依照自然资源调查监测评价的指标体系和统计标准，贯彻落实自然资源调查监测评价制度。实施自然资源基础调查、专项调查和监测。</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3.负责全市自然资源统一确权登记工作。组织实施各类自然资源和不动产统一确权登记、权籍调查、不动产测绘、争议调处、成果应用的制度、标准、规范。建立健全自然资源和不动产登记信息管理基础平台。</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4.负责全市自然资源资产有偿使用工作。建立全民所有自然资源资产统计制度，负责全民所有自然资源资产核算。</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负责自然资源的合理开发利用。贯彻执行自然资源发展规划和战略，组织实施自然资源开发利用地方标准，建立政府公示自然资源价格体系，组织开展自然资源分等定级价格评估，开展自然资源利用评价考核，指导实施节约集约利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6.负责建立全市空间规划体系并监督实施。推进主体功能区战略和制度，组织编制并监督实施国土空间规划和相关专项规划。   </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7.负责统筹国土空间生态修复。牵头组织编制国土空间生态修复规划并组织实施有关生态修复工程。</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8.负责组织实施最严格的耕地保护制度。牵头实施全市耕地保护政策，负责耕地数量、质量、生态保护。</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9.负责全市地质勘查管理和地质工作。拟订全市地质勘查规划并监督检査执行情况。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10.负责落实综合防灾减灾规划相关要求，组织编制全市地质灾害防治规划、森林火灾防治规划并指导实施。</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11.负责全市矿产资源管理工作。负责矿产资源储量管理、矿业权管理。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12.负责测绘地理信息管理工作。负责基础测绘和测行业管理。负责测绘资质资格、质量、信用管理，监督管理地理信息安全和市场秩序。</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13.推动全市自然资源领域科技发展和对外合作。制定并实施全市自然资源领域科技创新发展和人才培养规划、计划组织实施重大科技专项及创新能力建设，推进自然资源信息化和信息资料的公共服务。</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14.配合国家、省、乐山市对全市落实党中央、国务院和省委省政府、乐山市委市政府关于自然资源和国土空间规划的重大方针政策、决策部署及法律法规执行情况进行督察。</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15.负责全市森林、湿地资源的监督管理。组织编制并监督执行全市森林采伐限额。</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16.负责监督管理全市荒漠化防治工作。组织开展荒漠调查，组织拟订防沙治沙、石漠化防治及沙化土地封禁保护区建设规划并监督实施，监督管理沙化土地的开发利用，组织沙尘灾害预测预报和应急处置。</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17.负责全市陆生野生动植物资源监督管理。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18.负责监督管理全市各类自然保护地。拟订各类自然保护地规划。负责组织自然遗产的申报和监督管理。负责生物多样性保护相关工作。</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19.负责推进全市林业改革相关工作。拟订集体林权制国有林区、国有林场等重大改革意见并监督实施。</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20.拟订全市林业资源优化配置及木材利用政策，组织指导林产品质量监督，指导山区林业综合开发和生态扶贫相关工作，推进全市林竹产业带和产业基地建设。</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21.监督管理全市国有林场基本建设和发展，组织林木种质资源普查，组织建立种质资源库，负责良种选育推广，管理林木种苗经营行为，监管林木种苗质量。</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22.监督管理全市林业项目资金和国有资产，提出林业各类预算内投资、市级以上财政性资金安排建议，按本级政府规定权限，核报、核准规划内和年度计划内投资项目。</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23.负责职责范围内的安全生产和职业健康、生态环境保护、审批服务便民化等工作。</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24.完成市委、市政府交办的其他工作。</w:t>
      </w:r>
    </w:p>
    <w:p>
      <w:pPr>
        <w:widowControl/>
        <w:adjustRightInd w:val="0"/>
        <w:snapToGrid w:val="0"/>
        <w:spacing w:line="56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（三）人员概况</w:t>
      </w:r>
    </w:p>
    <w:p>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2020</w:t>
      </w:r>
      <w:r>
        <w:rPr>
          <w:rFonts w:hint="eastAsia" w:ascii="仿宋" w:hAnsi="仿宋" w:eastAsia="仿宋" w:cs="仿宋"/>
          <w:color w:val="000000"/>
          <w:kern w:val="0"/>
          <w:sz w:val="32"/>
          <w:szCs w:val="32"/>
          <w:shd w:val="clear" w:color="auto" w:fill="FFFFFF"/>
          <w:lang w:val="zh-CN"/>
        </w:rPr>
        <w:t>年自然资源</w:t>
      </w:r>
      <w:r>
        <w:rPr>
          <w:rFonts w:hint="eastAsia" w:ascii="仿宋" w:hAnsi="仿宋" w:eastAsia="仿宋" w:cs="仿宋"/>
          <w:color w:val="000000"/>
          <w:kern w:val="0"/>
          <w:sz w:val="32"/>
          <w:szCs w:val="32"/>
          <w:shd w:val="clear" w:color="auto" w:fill="FFFFFF"/>
        </w:rPr>
        <w:t>部门</w:t>
      </w:r>
      <w:r>
        <w:rPr>
          <w:rFonts w:hint="eastAsia" w:ascii="仿宋" w:hAnsi="仿宋" w:eastAsia="仿宋" w:cs="仿宋"/>
          <w:color w:val="000000"/>
          <w:kern w:val="0"/>
          <w:sz w:val="32"/>
          <w:szCs w:val="32"/>
          <w:shd w:val="clear" w:color="auto" w:fill="FFFFFF"/>
          <w:lang w:val="zh-CN"/>
        </w:rPr>
        <w:t>共有在编人员</w:t>
      </w:r>
      <w:r>
        <w:rPr>
          <w:rFonts w:hint="eastAsia" w:ascii="仿宋" w:hAnsi="仿宋" w:eastAsia="仿宋" w:cs="仿宋"/>
          <w:color w:val="000000"/>
          <w:kern w:val="0"/>
          <w:sz w:val="32"/>
          <w:szCs w:val="32"/>
          <w:shd w:val="clear" w:color="auto" w:fill="FFFFFF"/>
        </w:rPr>
        <w:t>156</w:t>
      </w:r>
      <w:r>
        <w:rPr>
          <w:rFonts w:hint="eastAsia" w:ascii="仿宋" w:hAnsi="仿宋" w:eastAsia="仿宋" w:cs="仿宋"/>
          <w:color w:val="000000"/>
          <w:kern w:val="0"/>
          <w:sz w:val="32"/>
          <w:szCs w:val="32"/>
          <w:shd w:val="clear" w:color="auto" w:fill="FFFFFF"/>
          <w:lang w:val="zh-CN"/>
        </w:rPr>
        <w:t>人，其中：事业人员</w:t>
      </w:r>
      <w:r>
        <w:rPr>
          <w:rFonts w:hint="eastAsia" w:ascii="仿宋" w:hAnsi="仿宋" w:eastAsia="仿宋" w:cs="仿宋"/>
          <w:color w:val="000000"/>
          <w:kern w:val="0"/>
          <w:sz w:val="32"/>
          <w:szCs w:val="32"/>
          <w:shd w:val="clear" w:color="auto" w:fill="FFFFFF"/>
        </w:rPr>
        <w:t>110</w:t>
      </w:r>
      <w:r>
        <w:rPr>
          <w:rFonts w:hint="eastAsia" w:ascii="仿宋" w:hAnsi="仿宋" w:eastAsia="仿宋" w:cs="仿宋"/>
          <w:color w:val="000000"/>
          <w:kern w:val="0"/>
          <w:sz w:val="32"/>
          <w:szCs w:val="32"/>
          <w:shd w:val="clear" w:color="auto" w:fill="FFFFFF"/>
          <w:lang w:val="zh-CN"/>
        </w:rPr>
        <w:t>人，公务员</w:t>
      </w:r>
      <w:r>
        <w:rPr>
          <w:rFonts w:hint="eastAsia" w:ascii="仿宋" w:hAnsi="仿宋" w:eastAsia="仿宋" w:cs="仿宋"/>
          <w:color w:val="000000"/>
          <w:kern w:val="0"/>
          <w:sz w:val="32"/>
          <w:szCs w:val="32"/>
          <w:shd w:val="clear" w:color="auto" w:fill="FFFFFF"/>
        </w:rPr>
        <w:t>27</w:t>
      </w:r>
      <w:r>
        <w:rPr>
          <w:rFonts w:hint="eastAsia" w:ascii="仿宋" w:hAnsi="仿宋" w:eastAsia="仿宋" w:cs="仿宋"/>
          <w:color w:val="000000"/>
          <w:kern w:val="0"/>
          <w:sz w:val="32"/>
          <w:szCs w:val="32"/>
          <w:shd w:val="clear" w:color="auto" w:fill="FFFFFF"/>
          <w:lang w:val="zh-CN"/>
        </w:rPr>
        <w:t>人，机关工人2人，</w:t>
      </w:r>
      <w:r>
        <w:rPr>
          <w:rFonts w:hint="eastAsia" w:ascii="仿宋" w:hAnsi="仿宋" w:eastAsia="仿宋" w:cs="仿宋"/>
          <w:color w:val="000000"/>
          <w:kern w:val="0"/>
          <w:sz w:val="32"/>
          <w:szCs w:val="32"/>
          <w:shd w:val="clear" w:color="auto" w:fill="FFFFFF"/>
        </w:rPr>
        <w:t>经费自理17人</w:t>
      </w:r>
      <w:r>
        <w:rPr>
          <w:rFonts w:hint="eastAsia" w:ascii="仿宋" w:hAnsi="仿宋" w:eastAsia="仿宋" w:cs="仿宋"/>
          <w:color w:val="000000"/>
          <w:kern w:val="0"/>
          <w:sz w:val="32"/>
          <w:szCs w:val="32"/>
          <w:shd w:val="clear" w:color="auto" w:fill="FFFFFF"/>
          <w:lang w:val="zh-CN"/>
        </w:rPr>
        <w:t>。</w:t>
      </w:r>
    </w:p>
    <w:p>
      <w:pPr>
        <w:widowControl/>
        <w:adjustRightInd w:val="0"/>
        <w:snapToGrid w:val="0"/>
        <w:spacing w:line="560"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二、部门财政资金收支情况</w:t>
      </w:r>
    </w:p>
    <w:p>
      <w:pPr>
        <w:widowControl/>
        <w:adjustRightInd w:val="0"/>
        <w:snapToGrid w:val="0"/>
        <w:spacing w:line="56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（一）部门财政资金收入情况</w:t>
      </w:r>
    </w:p>
    <w:p>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olor w:val="000000"/>
          <w:sz w:val="32"/>
          <w:szCs w:val="32"/>
        </w:rPr>
        <w:t>2020年本年收入合计166997.86万元</w:t>
      </w:r>
      <w:r>
        <w:rPr>
          <w:rFonts w:hint="eastAsia" w:ascii="仿宋" w:hAnsi="仿宋" w:eastAsia="仿宋" w:cs="仿宋"/>
          <w:color w:val="000000"/>
          <w:kern w:val="0"/>
          <w:sz w:val="32"/>
          <w:szCs w:val="32"/>
          <w:shd w:val="clear" w:color="auto" w:fill="FFFFFF"/>
          <w:lang w:val="zh-CN"/>
        </w:rPr>
        <w:t>。</w:t>
      </w:r>
    </w:p>
    <w:p>
      <w:pPr>
        <w:widowControl/>
        <w:adjustRightInd w:val="0"/>
        <w:snapToGrid w:val="0"/>
        <w:spacing w:line="56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（二）部门财政资金支出情况</w:t>
      </w:r>
    </w:p>
    <w:p>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ascii="仿宋" w:hAnsi="仿宋" w:eastAsia="仿宋"/>
          <w:color w:val="000000"/>
          <w:sz w:val="32"/>
          <w:szCs w:val="32"/>
        </w:rPr>
        <w:t>20</w:t>
      </w:r>
      <w:r>
        <w:rPr>
          <w:rFonts w:hint="eastAsia" w:ascii="仿宋" w:hAnsi="仿宋" w:eastAsia="仿宋"/>
          <w:color w:val="000000"/>
          <w:sz w:val="32"/>
          <w:szCs w:val="32"/>
        </w:rPr>
        <w:t>20年本年支出合计168859.13万元</w:t>
      </w:r>
      <w:r>
        <w:rPr>
          <w:rFonts w:hint="eastAsia" w:ascii="仿宋" w:hAnsi="仿宋" w:eastAsia="仿宋" w:cs="仿宋"/>
          <w:color w:val="000000"/>
          <w:kern w:val="0"/>
          <w:sz w:val="32"/>
          <w:szCs w:val="32"/>
          <w:shd w:val="clear" w:color="auto" w:fill="FFFFFF"/>
          <w:lang w:val="zh-CN"/>
        </w:rPr>
        <w:t>。</w:t>
      </w:r>
    </w:p>
    <w:p>
      <w:pPr>
        <w:widowControl/>
        <w:adjustRightInd w:val="0"/>
        <w:snapToGrid w:val="0"/>
        <w:spacing w:line="560"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三、部门整体预算绩效管理情况</w:t>
      </w:r>
    </w:p>
    <w:p>
      <w:pPr>
        <w:widowControl/>
        <w:adjustRightInd w:val="0"/>
        <w:snapToGrid w:val="0"/>
        <w:spacing w:line="580" w:lineRule="exact"/>
        <w:ind w:firstLine="720"/>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w:t>
      </w:r>
      <w:r>
        <w:rPr>
          <w:rFonts w:hint="eastAsia" w:ascii="楷体_GB2312" w:hAnsi="楷体_GB2312" w:eastAsia="楷体_GB2312" w:cs="楷体_GB2312"/>
          <w:color w:val="000000"/>
          <w:kern w:val="0"/>
          <w:sz w:val="32"/>
          <w:szCs w:val="32"/>
          <w:shd w:val="clear" w:color="auto" w:fill="FFFFFF"/>
        </w:rPr>
        <w:t>一</w:t>
      </w:r>
      <w:r>
        <w:rPr>
          <w:rFonts w:hint="eastAsia" w:ascii="楷体_GB2312" w:hAnsi="楷体_GB2312" w:eastAsia="楷体_GB2312" w:cs="楷体_GB2312"/>
          <w:color w:val="000000"/>
          <w:kern w:val="0"/>
          <w:sz w:val="32"/>
          <w:szCs w:val="32"/>
          <w:shd w:val="clear" w:color="auto" w:fill="FFFFFF"/>
          <w:lang w:val="zh-CN"/>
        </w:rPr>
        <w:t>）预算执行管理情况</w:t>
      </w:r>
    </w:p>
    <w:p>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峨眉山市自</w:t>
      </w:r>
      <w:r>
        <w:rPr>
          <w:rFonts w:hint="eastAsia" w:ascii="仿宋" w:hAnsi="仿宋" w:eastAsia="仿宋" w:cs="仿宋"/>
          <w:color w:val="000000"/>
          <w:kern w:val="0"/>
          <w:sz w:val="32"/>
          <w:szCs w:val="32"/>
          <w:shd w:val="clear" w:color="auto" w:fill="FFFFFF"/>
          <w:lang w:val="zh-CN"/>
        </w:rPr>
        <w:t>然资源局严格按照</w:t>
      </w:r>
      <w:r>
        <w:rPr>
          <w:rFonts w:hint="eastAsia" w:ascii="仿宋" w:hAnsi="仿宋" w:eastAsia="仿宋" w:cs="仿宋"/>
          <w:color w:val="000000"/>
          <w:kern w:val="0"/>
          <w:sz w:val="32"/>
          <w:szCs w:val="32"/>
          <w:shd w:val="clear" w:color="auto" w:fill="FFFFFF"/>
        </w:rPr>
        <w:t>县</w:t>
      </w:r>
      <w:r>
        <w:rPr>
          <w:rFonts w:hint="eastAsia" w:ascii="仿宋" w:hAnsi="仿宋" w:eastAsia="仿宋" w:cs="仿宋"/>
          <w:color w:val="000000"/>
          <w:kern w:val="0"/>
          <w:sz w:val="32"/>
          <w:szCs w:val="32"/>
          <w:shd w:val="clear" w:color="auto" w:fill="FFFFFF"/>
          <w:lang w:val="zh-CN"/>
        </w:rPr>
        <w:t>级部门预算编制通知和有关要求，在支出预算编制上，根据“总量控制，计划管理”的要求从严控制行政经费，压缩公务开支，严格控制“三公”经费，资产的配置严格政府采购，按照预算科目和项目资金的规定使用财政资金，保障部门整体支出的规范化、制度化。按时完成基础、项目库报送工作项目，明确了绩效目标的编制；严格按照相应规定提前下达转移支付，分项目编制专项转移支付。</w:t>
      </w:r>
    </w:p>
    <w:p>
      <w:pPr>
        <w:widowControl/>
        <w:adjustRightInd w:val="0"/>
        <w:snapToGrid w:val="0"/>
        <w:spacing w:line="56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（二）执行管理情况</w:t>
      </w:r>
    </w:p>
    <w:p>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峨眉山市</w:t>
      </w:r>
      <w:r>
        <w:rPr>
          <w:rFonts w:hint="eastAsia" w:ascii="仿宋" w:hAnsi="仿宋" w:eastAsia="仿宋" w:cs="仿宋"/>
          <w:color w:val="000000"/>
          <w:kern w:val="0"/>
          <w:sz w:val="32"/>
          <w:szCs w:val="32"/>
          <w:shd w:val="clear" w:color="auto" w:fill="FFFFFF"/>
          <w:lang w:val="zh-CN"/>
        </w:rPr>
        <w:t>自然资源局根据年初工作规划和重点工作，紧紧围绕</w:t>
      </w:r>
      <w:r>
        <w:rPr>
          <w:rFonts w:hint="eastAsia" w:ascii="仿宋" w:hAnsi="仿宋" w:eastAsia="仿宋" w:cs="仿宋"/>
          <w:color w:val="000000"/>
          <w:kern w:val="0"/>
          <w:sz w:val="32"/>
          <w:szCs w:val="32"/>
          <w:shd w:val="clear" w:color="auto" w:fill="FFFFFF"/>
        </w:rPr>
        <w:t>市</w:t>
      </w:r>
      <w:r>
        <w:rPr>
          <w:rFonts w:hint="eastAsia" w:ascii="仿宋" w:hAnsi="仿宋" w:eastAsia="仿宋" w:cs="仿宋"/>
          <w:color w:val="000000"/>
          <w:kern w:val="0"/>
          <w:sz w:val="32"/>
          <w:szCs w:val="32"/>
          <w:shd w:val="clear" w:color="auto" w:fill="FFFFFF"/>
          <w:lang w:val="zh-CN"/>
        </w:rPr>
        <w:t>委、</w:t>
      </w:r>
      <w:r>
        <w:rPr>
          <w:rFonts w:hint="eastAsia" w:ascii="仿宋" w:hAnsi="仿宋" w:eastAsia="仿宋" w:cs="仿宋"/>
          <w:color w:val="000000"/>
          <w:kern w:val="0"/>
          <w:sz w:val="32"/>
          <w:szCs w:val="32"/>
          <w:shd w:val="clear" w:color="auto" w:fill="FFFFFF"/>
        </w:rPr>
        <w:t>市</w:t>
      </w:r>
      <w:r>
        <w:rPr>
          <w:rFonts w:hint="eastAsia" w:ascii="仿宋" w:hAnsi="仿宋" w:eastAsia="仿宋" w:cs="仿宋"/>
          <w:color w:val="000000"/>
          <w:kern w:val="0"/>
          <w:sz w:val="32"/>
          <w:szCs w:val="32"/>
          <w:shd w:val="clear" w:color="auto" w:fill="FFFFFF"/>
          <w:lang w:val="zh-CN"/>
        </w:rPr>
        <w:t>政府的工作部署，积极履行职责，强化管理，较好地完成了工作目标。部门预算执行进度良好，给</w:t>
      </w:r>
      <w:r>
        <w:rPr>
          <w:rFonts w:hint="eastAsia" w:ascii="仿宋" w:hAnsi="仿宋" w:eastAsia="仿宋" w:cs="仿宋"/>
          <w:color w:val="000000"/>
          <w:kern w:val="0"/>
          <w:sz w:val="32"/>
          <w:szCs w:val="32"/>
          <w:shd w:val="clear" w:color="auto" w:fill="FFFFFF"/>
        </w:rPr>
        <w:t>2020</w:t>
      </w:r>
      <w:r>
        <w:rPr>
          <w:rFonts w:hint="eastAsia" w:ascii="仿宋" w:hAnsi="仿宋" w:eastAsia="仿宋" w:cs="仿宋"/>
          <w:color w:val="000000"/>
          <w:kern w:val="0"/>
          <w:sz w:val="32"/>
          <w:szCs w:val="32"/>
          <w:shd w:val="clear" w:color="auto" w:fill="FFFFFF"/>
          <w:lang w:val="zh-CN"/>
        </w:rPr>
        <w:t>年预算提供可靠依据。</w:t>
      </w:r>
    </w:p>
    <w:p>
      <w:pPr>
        <w:widowControl/>
        <w:adjustRightInd w:val="0"/>
        <w:snapToGrid w:val="0"/>
        <w:spacing w:line="56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（三）综合管理情况</w:t>
      </w:r>
    </w:p>
    <w:p>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峨眉山市</w:t>
      </w:r>
      <w:r>
        <w:rPr>
          <w:rFonts w:hint="eastAsia" w:ascii="仿宋" w:hAnsi="仿宋" w:eastAsia="仿宋" w:cs="仿宋"/>
          <w:color w:val="000000"/>
          <w:kern w:val="0"/>
          <w:sz w:val="32"/>
          <w:szCs w:val="32"/>
          <w:shd w:val="clear" w:color="auto" w:fill="FFFFFF"/>
          <w:lang w:val="zh-CN"/>
        </w:rPr>
        <w:t>自然资源局无政府性债务相关情况，在政府采购过程中，严格按照政府采购实施计划执行采购，按照相关要求将国有资产纳入资产信息系统，在日常工作中及时、准确、全面开展资产清查工作，确保了上报国有资产报表数据的真实性、准确性、全面性。同时加强预算收支的管理，建立健全内部管理制度，严格内部管理流程，部门整体支出管理得到了明显提升。预算管理方面，制订了切实有效的内部财务、资产内部管理制度，执行总体较为有效。在信息公开方面，及时按照财政部门的通知和要求公开本部门预算、决算，依法接受财政监督。</w:t>
      </w:r>
    </w:p>
    <w:p>
      <w:pPr>
        <w:widowControl/>
        <w:adjustRightInd w:val="0"/>
        <w:snapToGrid w:val="0"/>
        <w:spacing w:line="56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（四）整体绩效。</w:t>
      </w:r>
    </w:p>
    <w:p>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部门职责履行良好、服务对象满意度较高。</w:t>
      </w:r>
    </w:p>
    <w:p>
      <w:pPr>
        <w:widowControl/>
        <w:adjustRightInd w:val="0"/>
        <w:snapToGrid w:val="0"/>
        <w:spacing w:line="560" w:lineRule="exact"/>
        <w:ind w:firstLine="640" w:firstLineChars="200"/>
        <w:contextualSpacing/>
        <w:jc w:val="left"/>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三、评价结论及建议</w:t>
      </w:r>
    </w:p>
    <w:p>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（一）评价结论。</w:t>
      </w:r>
    </w:p>
    <w:p>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我</w:t>
      </w:r>
      <w:r>
        <w:rPr>
          <w:rFonts w:hint="eastAsia" w:ascii="仿宋" w:hAnsi="仿宋" w:eastAsia="仿宋" w:cs="仿宋"/>
          <w:color w:val="000000"/>
          <w:kern w:val="0"/>
          <w:sz w:val="32"/>
          <w:szCs w:val="32"/>
          <w:shd w:val="clear" w:color="auto" w:fill="FFFFFF"/>
        </w:rPr>
        <w:t>单位</w:t>
      </w:r>
      <w:r>
        <w:rPr>
          <w:rFonts w:hint="eastAsia" w:ascii="仿宋" w:hAnsi="仿宋" w:eastAsia="仿宋" w:cs="仿宋"/>
          <w:color w:val="000000"/>
          <w:kern w:val="0"/>
          <w:sz w:val="32"/>
          <w:szCs w:val="32"/>
          <w:shd w:val="clear" w:color="auto" w:fill="FFFFFF"/>
          <w:lang w:val="zh-CN"/>
        </w:rPr>
        <w:t>整体综合绩效考核得分为96分。</w:t>
      </w:r>
    </w:p>
    <w:p>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我单位建立健全了财务管理制度和约束机制，依法、有效地使用财政资金，提高财政资金使用效率，合理分配人、财、物，完成了部门职能目标。</w:t>
      </w:r>
    </w:p>
    <w:p>
      <w:pPr>
        <w:widowControl/>
        <w:adjustRightInd w:val="0"/>
        <w:snapToGrid w:val="0"/>
        <w:spacing w:line="56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（二）存在问题</w:t>
      </w:r>
    </w:p>
    <w:p>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算编制有待更严格执行，存在少量调整预算指标的情况预算。</w:t>
      </w:r>
    </w:p>
    <w:p>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（三）改进建议</w:t>
      </w:r>
    </w:p>
    <w:p>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一是按照预算规定的项目和用途严格财务审核，经费支出严格按照预算规定项目的财务支出内容进行财务核算，在预算金额内严格控制费用的支出。</w:t>
      </w:r>
    </w:p>
    <w:p>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二是严格控制“三公”经费支出，杜绝挪用和挤占其他预算资金，进一步细化“三公”经费管理，压缩“三公”经费支出。</w:t>
      </w:r>
    </w:p>
    <w:p>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三是预算财务分析常态化，定期做好预算支出财务分析，做好部门整体支出预算评价工作。</w:t>
      </w:r>
    </w:p>
    <w:p>
      <w:pPr>
        <w:widowControl/>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四是财政资金按进度拨款、支付，以提高资金的使用效率。</w:t>
      </w:r>
    </w:p>
    <w:p>
      <w:pPr>
        <w:spacing w:line="580" w:lineRule="exact"/>
        <w:rPr>
          <w:rFonts w:ascii="仿宋" w:hAnsi="仿宋" w:eastAsia="仿宋" w:cs="仿宋_GB2312"/>
          <w:sz w:val="32"/>
          <w:szCs w:val="32"/>
        </w:rPr>
      </w:pPr>
    </w:p>
    <w:p>
      <w:pPr>
        <w:spacing w:line="580" w:lineRule="exact"/>
        <w:rPr>
          <w:rFonts w:hint="eastAsia" w:ascii="黑体" w:hAnsi="黑体" w:eastAsia="黑体" w:cs="黑体"/>
          <w:sz w:val="32"/>
          <w:szCs w:val="32"/>
        </w:rPr>
      </w:pPr>
      <w:r>
        <w:rPr>
          <w:rFonts w:hint="eastAsia" w:ascii="黑体" w:hAnsi="黑体" w:eastAsia="黑体" w:cs="黑体"/>
          <w:sz w:val="32"/>
          <w:szCs w:val="32"/>
        </w:rPr>
        <w:t>附件2</w:t>
      </w:r>
    </w:p>
    <w:p>
      <w:pPr>
        <w:spacing w:line="580" w:lineRule="exact"/>
        <w:ind w:firstLine="640" w:firstLineChars="200"/>
        <w:rPr>
          <w:rFonts w:ascii="仿宋" w:hAnsi="仿宋" w:eastAsia="仿宋" w:cs="仿宋_GB2312"/>
          <w:sz w:val="32"/>
          <w:szCs w:val="32"/>
        </w:rPr>
      </w:pP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空间规划编制科研经费项目支出绩效</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自评报告</w:t>
      </w:r>
    </w:p>
    <w:p>
      <w:pPr>
        <w:keepNext w:val="0"/>
        <w:keepLines w:val="0"/>
        <w:pageBreakBefore w:val="0"/>
        <w:widowControl w:val="0"/>
        <w:kinsoku/>
        <w:wordWrap/>
        <w:overflowPunct/>
        <w:topLinePunct w:val="0"/>
        <w:autoSpaceDE/>
        <w:autoSpaceDN/>
        <w:bidi w:val="0"/>
        <w:adjustRightInd/>
        <w:snapToGrid/>
        <w:spacing w:line="580" w:lineRule="exact"/>
        <w:ind w:left="420" w:leftChars="200" w:right="325" w:rightChars="155" w:firstLine="320" w:firstLineChars="100"/>
        <w:textAlignment w:val="auto"/>
        <w:rPr>
          <w:rFonts w:hint="eastAsia" w:ascii="仿宋" w:hAnsi="仿宋" w:eastAsia="仿宋"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right="325" w:rightChars="155"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一、项目情况</w:t>
      </w:r>
    </w:p>
    <w:p>
      <w:pPr>
        <w:keepNext w:val="0"/>
        <w:keepLines w:val="0"/>
        <w:pageBreakBefore w:val="0"/>
        <w:widowControl w:val="0"/>
        <w:kinsoku/>
        <w:wordWrap/>
        <w:overflowPunct/>
        <w:topLinePunct w:val="0"/>
        <w:autoSpaceDE/>
        <w:autoSpaceDN/>
        <w:bidi w:val="0"/>
        <w:adjustRightInd/>
        <w:snapToGrid/>
        <w:spacing w:line="580" w:lineRule="exact"/>
        <w:ind w:right="325" w:rightChars="155"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80" w:lineRule="exact"/>
        <w:ind w:right="325" w:rightChars="155"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1.项目主管部门（单位）职能</w:t>
      </w:r>
    </w:p>
    <w:p>
      <w:pPr>
        <w:keepNext w:val="0"/>
        <w:keepLines w:val="0"/>
        <w:pageBreakBefore w:val="0"/>
        <w:widowControl w:val="0"/>
        <w:kinsoku/>
        <w:wordWrap/>
        <w:overflowPunct/>
        <w:topLinePunct w:val="0"/>
        <w:autoSpaceDE/>
        <w:autoSpaceDN/>
        <w:bidi w:val="0"/>
        <w:adjustRightInd/>
        <w:snapToGrid/>
        <w:spacing w:line="580" w:lineRule="exact"/>
        <w:ind w:right="325" w:rightChars="155"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承担主体功能区规划、城乡规划等空间规划“多规合一”工作；参与研究制定全市经济和社会发展规划；负责组织编制全市总体规划层面的社会事业、市政和交通基础设施、基本农田保护、历史文化名镇、林地保护利用、矿产资源规划等各类专项规划；负责组织编制城市近期建设规划、协调总体规划与年度建设计划的衔接问题。</w:t>
      </w:r>
    </w:p>
    <w:p>
      <w:pPr>
        <w:keepNext w:val="0"/>
        <w:keepLines w:val="0"/>
        <w:pageBreakBefore w:val="0"/>
        <w:widowControl w:val="0"/>
        <w:kinsoku/>
        <w:wordWrap/>
        <w:overflowPunct/>
        <w:topLinePunct w:val="0"/>
        <w:autoSpaceDE/>
        <w:autoSpaceDN/>
        <w:bidi w:val="0"/>
        <w:adjustRightInd/>
        <w:snapToGrid/>
        <w:spacing w:line="580" w:lineRule="exact"/>
        <w:ind w:right="325" w:rightChars="155"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2.项目资金申报依据</w:t>
      </w:r>
    </w:p>
    <w:p>
      <w:pPr>
        <w:keepNext w:val="0"/>
        <w:keepLines w:val="0"/>
        <w:pageBreakBefore w:val="0"/>
        <w:widowControl w:val="0"/>
        <w:kinsoku/>
        <w:wordWrap/>
        <w:overflowPunct/>
        <w:topLinePunct w:val="0"/>
        <w:autoSpaceDE/>
        <w:autoSpaceDN/>
        <w:bidi w:val="0"/>
        <w:adjustRightInd/>
        <w:snapToGrid/>
        <w:spacing w:line="580" w:lineRule="exact"/>
        <w:ind w:right="325" w:rightChars="155"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因为是规划编制，不是项目建设，故不需立项。主要依据峨眉山市2019年7月31日，十四届市委第77次常务会议研究市政府党组关于峨眉山市国土空间规划编制有关事宜的请示《中共峨眉山市委常委会议决定事项通知》（峨委十四届[2019]77-22号）。按照会议纪要的要求，我局通过招标由四川省城乡规划设计研究院编制。2019年12月签到了规划设计合同，按照合同约定，合同签订生效后，我局于7日内向乙方支付规划编制费的30%，即人民币236.4万。</w:t>
      </w:r>
    </w:p>
    <w:p>
      <w:pPr>
        <w:keepNext w:val="0"/>
        <w:keepLines w:val="0"/>
        <w:pageBreakBefore w:val="0"/>
        <w:widowControl w:val="0"/>
        <w:kinsoku/>
        <w:wordWrap/>
        <w:overflowPunct/>
        <w:topLinePunct w:val="0"/>
        <w:autoSpaceDE/>
        <w:autoSpaceDN/>
        <w:bidi w:val="0"/>
        <w:adjustRightInd/>
        <w:snapToGrid/>
        <w:spacing w:line="580" w:lineRule="exact"/>
        <w:ind w:right="325" w:rightChars="155"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snapToGrid/>
        <w:spacing w:line="580" w:lineRule="exact"/>
        <w:ind w:right="325" w:rightChars="155"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资金管理按2020年自然资源局项目资金管理办法进行管理。按照合同约定，严格按照规划编制进度完成情况拨付资金。</w:t>
      </w:r>
    </w:p>
    <w:p>
      <w:pPr>
        <w:keepNext w:val="0"/>
        <w:keepLines w:val="0"/>
        <w:pageBreakBefore w:val="0"/>
        <w:widowControl w:val="0"/>
        <w:kinsoku/>
        <w:wordWrap/>
        <w:overflowPunct/>
        <w:topLinePunct w:val="0"/>
        <w:autoSpaceDE/>
        <w:autoSpaceDN/>
        <w:bidi w:val="0"/>
        <w:adjustRightInd/>
        <w:snapToGrid/>
        <w:spacing w:line="580" w:lineRule="exact"/>
        <w:ind w:right="325" w:rightChars="155"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pPr>
        <w:keepNext w:val="0"/>
        <w:keepLines w:val="0"/>
        <w:pageBreakBefore w:val="0"/>
        <w:widowControl w:val="0"/>
        <w:kinsoku/>
        <w:wordWrap/>
        <w:overflowPunct/>
        <w:topLinePunct w:val="0"/>
        <w:autoSpaceDE/>
        <w:autoSpaceDN/>
        <w:bidi w:val="0"/>
        <w:adjustRightInd/>
        <w:snapToGrid/>
        <w:spacing w:line="580" w:lineRule="exact"/>
        <w:ind w:right="325" w:rightChars="155"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1.项目内容</w:t>
      </w:r>
    </w:p>
    <w:p>
      <w:pPr>
        <w:keepNext w:val="0"/>
        <w:keepLines w:val="0"/>
        <w:pageBreakBefore w:val="0"/>
        <w:widowControl w:val="0"/>
        <w:kinsoku/>
        <w:wordWrap/>
        <w:overflowPunct/>
        <w:topLinePunct w:val="0"/>
        <w:autoSpaceDE/>
        <w:autoSpaceDN/>
        <w:bidi w:val="0"/>
        <w:adjustRightInd/>
        <w:snapToGrid/>
        <w:spacing w:line="580" w:lineRule="exact"/>
        <w:ind w:right="325" w:rightChars="155"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规划在峨眉山市国土空间现状发展分析和“双评价”、“双评估”的基础上开展重大专题研究，提出峨眉山市国土空间发展总体战略目标，确定市域国土空间保护和开发体系，优化中心城区国土空间总体格局，明确各类用地调控指标，确定国土整治的规模、范围和重点区域，对中心城区空间结构、用地布局、道路系统、景观风貌、人居环境等进行布局，提升城市品质，推动峨眉山高质量发展。</w:t>
      </w:r>
    </w:p>
    <w:p>
      <w:pPr>
        <w:keepNext w:val="0"/>
        <w:keepLines w:val="0"/>
        <w:pageBreakBefore w:val="0"/>
        <w:widowControl w:val="0"/>
        <w:kinsoku/>
        <w:wordWrap/>
        <w:overflowPunct/>
        <w:topLinePunct w:val="0"/>
        <w:autoSpaceDE/>
        <w:autoSpaceDN/>
        <w:bidi w:val="0"/>
        <w:adjustRightInd/>
        <w:snapToGrid/>
        <w:spacing w:line="580" w:lineRule="exact"/>
        <w:ind w:right="325" w:rightChars="155"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分析现状，诊断问题，以第三次全国国土普查结果为基础资料，立足峨眉山市经济社会发展，把握城市空间规划保护利用现状特征及演变规律，针对国家和省的相关政策，研判峨眉山市发展面临的形势、机遇、挑战、风险和存在的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（2）开展双评价工作，在全面摸清全市自然资源家庭的基础上，客观分析资源环境承载力和国土空间开发适宜性。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（3）对峨眉山市与国土空间相关的规划开展实施评估。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（4）明确峨眉山市的发展定位和发展目标。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（5）科学预测全市城乡人口和旅游人口，规划全市镇村体系。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（6）规划全市空间格局，提出国土空间管控的战略部署和重大任务。合理布局生产、生活、生态空间，划定生态保护红线、永久基本农田保护边界、城镇开发边界三条空间管控线。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（7）保护历史文化资源和自然景观要素，强化对双遗传的保护与管控要求。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（8）提出自然资源保护与利用要求。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（9）明确城镇化与城乡融合发展方案。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（10）提出全市产业空间布局方案。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（11）开展市域国土空间综合整治规划。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（12）统筹规划全市支撑保障体系。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（13）开展中心城区空间布局规划。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（14）塑造城市风貌特色。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（15）明确中心城区要求保障体系。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（16）提出规划传导与实施保障机制。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bCs/>
          <w:sz w:val="32"/>
          <w:szCs w:val="32"/>
          <w:lang w:val="zh-CN"/>
        </w:rPr>
      </w:pPr>
      <w:r>
        <w:rPr>
          <w:rFonts w:hint="eastAsia" w:ascii="仿宋" w:hAnsi="仿宋" w:eastAsia="仿宋" w:cs="仿宋_GB2312"/>
          <w:bCs/>
          <w:sz w:val="32"/>
          <w:szCs w:val="32"/>
          <w:lang w:val="zh-CN"/>
        </w:rPr>
        <w:t>成果应包括《峨眉山市国土空间规划（2020-2035年）》及《峨眉山市国土空间规划实施评估报告》、《峨眉山市资源环境承载能力评价和国土空间开发适宜性评价报告》等相关专题研究报告。成果形式要求如下：（</w:t>
      </w:r>
      <w:r>
        <w:rPr>
          <w:rFonts w:hint="eastAsia" w:ascii="仿宋" w:hAnsi="仿宋" w:eastAsia="仿宋" w:cs="仿宋_GB2312"/>
          <w:bCs/>
          <w:sz w:val="32"/>
          <w:szCs w:val="32"/>
        </w:rPr>
        <w:t>1</w:t>
      </w:r>
      <w:r>
        <w:rPr>
          <w:rFonts w:hint="eastAsia" w:ascii="仿宋" w:hAnsi="仿宋" w:eastAsia="仿宋" w:cs="仿宋_GB2312"/>
          <w:bCs/>
          <w:sz w:val="32"/>
          <w:szCs w:val="32"/>
          <w:lang w:val="zh-CN"/>
        </w:rPr>
        <w:t>）初步成果阶段提交规划设计简本。（</w:t>
      </w:r>
      <w:r>
        <w:rPr>
          <w:rFonts w:hint="eastAsia" w:ascii="仿宋" w:hAnsi="仿宋" w:eastAsia="仿宋" w:cs="仿宋_GB2312"/>
          <w:bCs/>
          <w:sz w:val="32"/>
          <w:szCs w:val="32"/>
        </w:rPr>
        <w:t>2</w:t>
      </w:r>
      <w:r>
        <w:rPr>
          <w:rFonts w:hint="eastAsia" w:ascii="仿宋" w:hAnsi="仿宋" w:eastAsia="仿宋" w:cs="仿宋_GB2312"/>
          <w:bCs/>
          <w:sz w:val="32"/>
          <w:szCs w:val="32"/>
          <w:lang w:val="zh-CN"/>
        </w:rPr>
        <w:t>）正式成果阶段提交规划设计成果（成果包括：文本、图纸及附件，附件包括说明书、基础资料汇编、专题报告、会议纪要、部门意见、专家论证意见、公众参与记录等）6套，提供相应的电子文件（重要图纸需提供CAD、GIS格式文件）。（</w:t>
      </w:r>
      <w:r>
        <w:rPr>
          <w:rFonts w:hint="eastAsia" w:ascii="仿宋" w:hAnsi="仿宋" w:eastAsia="仿宋" w:cs="仿宋_GB2312"/>
          <w:bCs/>
          <w:sz w:val="32"/>
          <w:szCs w:val="32"/>
        </w:rPr>
        <w:t>3</w:t>
      </w:r>
      <w:r>
        <w:rPr>
          <w:rFonts w:hint="eastAsia" w:ascii="仿宋" w:hAnsi="仿宋" w:eastAsia="仿宋" w:cs="仿宋_GB2312"/>
          <w:bCs/>
          <w:sz w:val="32"/>
          <w:szCs w:val="32"/>
          <w:lang w:val="zh-CN"/>
        </w:rPr>
        <w:t>）设计成果须达到国家相关法律、法规、规范和技术规定要求。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bCs/>
          <w:sz w:val="32"/>
          <w:szCs w:val="32"/>
          <w:lang w:val="zh-CN"/>
        </w:rPr>
      </w:pPr>
      <w:r>
        <w:rPr>
          <w:rFonts w:hint="eastAsia" w:ascii="仿宋" w:hAnsi="仿宋" w:eastAsia="仿宋" w:cs="仿宋_GB2312"/>
          <w:bCs/>
          <w:sz w:val="32"/>
          <w:szCs w:val="32"/>
          <w:lang w:val="zh-CN"/>
        </w:rPr>
        <w:t>工作进度安排：（</w:t>
      </w:r>
      <w:r>
        <w:rPr>
          <w:rFonts w:hint="eastAsia" w:ascii="仿宋" w:hAnsi="仿宋" w:eastAsia="仿宋" w:cs="仿宋_GB2312"/>
          <w:bCs/>
          <w:sz w:val="32"/>
          <w:szCs w:val="32"/>
        </w:rPr>
        <w:t>1</w:t>
      </w:r>
      <w:r>
        <w:rPr>
          <w:rFonts w:hint="eastAsia" w:ascii="仿宋" w:hAnsi="仿宋" w:eastAsia="仿宋" w:cs="仿宋_GB2312"/>
          <w:bCs/>
          <w:sz w:val="32"/>
          <w:szCs w:val="32"/>
          <w:lang w:val="zh-CN"/>
        </w:rPr>
        <w:t>）2019年12月底前，形成“双评价”、“双评估”及专题研究成果；（</w:t>
      </w:r>
      <w:r>
        <w:rPr>
          <w:rFonts w:hint="eastAsia" w:ascii="仿宋" w:hAnsi="仿宋" w:eastAsia="仿宋" w:cs="仿宋_GB2312"/>
          <w:bCs/>
          <w:sz w:val="32"/>
          <w:szCs w:val="32"/>
        </w:rPr>
        <w:t>2</w:t>
      </w:r>
      <w:r>
        <w:rPr>
          <w:rFonts w:hint="eastAsia" w:ascii="仿宋" w:hAnsi="仿宋" w:eastAsia="仿宋" w:cs="仿宋_GB2312"/>
          <w:bCs/>
          <w:sz w:val="32"/>
          <w:szCs w:val="32"/>
          <w:lang w:val="zh-CN"/>
        </w:rPr>
        <w:t>）2020年4月底前，形成国土空间规划编制初步成果；（</w:t>
      </w:r>
      <w:r>
        <w:rPr>
          <w:rFonts w:hint="eastAsia" w:ascii="仿宋" w:hAnsi="仿宋" w:eastAsia="仿宋" w:cs="仿宋_GB2312"/>
          <w:bCs/>
          <w:sz w:val="32"/>
          <w:szCs w:val="32"/>
        </w:rPr>
        <w:t>3</w:t>
      </w:r>
      <w:r>
        <w:rPr>
          <w:rFonts w:hint="eastAsia" w:ascii="仿宋" w:hAnsi="仿宋" w:eastAsia="仿宋" w:cs="仿宋_GB2312"/>
          <w:bCs/>
          <w:sz w:val="32"/>
          <w:szCs w:val="32"/>
          <w:lang w:val="zh-CN"/>
        </w:rPr>
        <w:t>）2020年8月底前，形成国土空间规划报批成果。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bCs/>
          <w:sz w:val="32"/>
          <w:szCs w:val="32"/>
          <w:lang w:val="zh-CN"/>
        </w:rPr>
      </w:pPr>
      <w:r>
        <w:rPr>
          <w:rFonts w:hint="eastAsia" w:ascii="仿宋" w:hAnsi="仿宋" w:eastAsia="仿宋" w:cs="仿宋_GB2312"/>
          <w:bCs/>
          <w:sz w:val="32"/>
          <w:szCs w:val="32"/>
          <w:lang w:val="zh-CN"/>
        </w:rPr>
        <w:t>技术要求：满足现行有效的国家相关标准、行业标准、地方标准以及相关规范等；质量、安全、技术规格、物理特性等参数应满足国家、行业、地方相关标准和要求；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3.分析评价申报内容是否与实际相符，申报目标是否合理可行。</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十四届市委第77次常务会要求，因该项目工作时间紧、任务重，为保证规划编制的完成，我局通过招标确定四川省国土空间规划研究院为编制单位，并按照合同督促乙方按照时间进度完成任务，并按程序完成第一阶段资金拨付。所有申报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（三）项目自评步骤及方法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color w:val="FF0000"/>
          <w:sz w:val="32"/>
          <w:szCs w:val="32"/>
        </w:rPr>
      </w:pPr>
      <w:r>
        <w:rPr>
          <w:rFonts w:hint="eastAsia" w:ascii="仿宋" w:hAnsi="仿宋" w:eastAsia="仿宋" w:cs="仿宋_GB2312"/>
          <w:sz w:val="32"/>
          <w:szCs w:val="32"/>
        </w:rPr>
        <w:t>首先由业务股室经办人员、财务人员共同草拟自评报告，分别报分管领导、主要领导审阅后再报送。</w:t>
      </w:r>
    </w:p>
    <w:p>
      <w:pPr>
        <w:keepNext w:val="0"/>
        <w:keepLines w:val="0"/>
        <w:pageBreakBefore w:val="0"/>
        <w:widowControl w:val="0"/>
        <w:kinsoku/>
        <w:wordWrap/>
        <w:overflowPunct/>
        <w:topLinePunct w:val="0"/>
        <w:autoSpaceDE/>
        <w:autoSpaceDN/>
        <w:bidi w:val="0"/>
        <w:adjustRightInd/>
        <w:snapToGrid/>
        <w:spacing w:line="580" w:lineRule="exact"/>
        <w:ind w:left="420" w:leftChars="200" w:firstLine="320" w:firstLineChars="1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项目资金申报及使用情况</w:t>
      </w:r>
      <w:bookmarkStart w:id="63" w:name="bookmark97"/>
    </w:p>
    <w:bookmarkEnd w:id="63"/>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（一）项目资金申报及批复情况</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峨眉山市十四届市委第77次常务会议研究市政府党组关于峨眉山市国土空间规划编制有关事宜的请示（峨委十四届[2019]77-22号）。按照会议纪要峨眉山市财政局下达了第一阶段规划研究经费。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（二）资金计划、到位及使用情况</w:t>
      </w:r>
    </w:p>
    <w:p>
      <w:pPr>
        <w:pStyle w:val="6"/>
        <w:keepNext w:val="0"/>
        <w:keepLines w:val="0"/>
        <w:pageBreakBefore w:val="0"/>
        <w:widowControl w:val="0"/>
        <w:kinsoku/>
        <w:wordWrap/>
        <w:overflowPunct/>
        <w:topLinePunct w:val="0"/>
        <w:autoSpaceDE/>
        <w:autoSpaceDN/>
        <w:bidi w:val="0"/>
        <w:adjustRightInd/>
        <w:snapToGrid/>
        <w:spacing w:before="93" w:line="580" w:lineRule="exact"/>
        <w:ind w:left="638" w:leftChars="304"/>
        <w:jc w:val="left"/>
        <w:textAlignment w:val="auto"/>
        <w:rPr>
          <w:rFonts w:ascii="仿宋" w:hAnsi="仿宋" w:eastAsia="仿宋" w:cs="仿宋_GB2312"/>
          <w:sz w:val="32"/>
          <w:szCs w:val="32"/>
        </w:rPr>
      </w:pPr>
      <w:r>
        <w:rPr>
          <w:rFonts w:hint="eastAsia" w:ascii="仿宋" w:hAnsi="仿宋" w:eastAsia="仿宋" w:cs="仿宋_GB2312"/>
          <w:sz w:val="32"/>
          <w:szCs w:val="32"/>
        </w:rPr>
        <w:t>1.资金计划、到位</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jc w:val="left"/>
        <w:textAlignment w:val="auto"/>
        <w:rPr>
          <w:rFonts w:ascii="仿宋" w:hAnsi="仿宋" w:eastAsia="仿宋" w:cs="仿宋_GB2312"/>
          <w:sz w:val="32"/>
          <w:szCs w:val="32"/>
        </w:rPr>
      </w:pPr>
      <w:r>
        <w:rPr>
          <w:rFonts w:hint="eastAsia" w:ascii="仿宋" w:hAnsi="仿宋" w:eastAsia="仿宋" w:cs="仿宋_GB2312"/>
          <w:sz w:val="32"/>
          <w:szCs w:val="32"/>
        </w:rPr>
        <w:t>该资金已于2020年1月19日，3月23日分别到达41.3万和236.4万元，由财政局拨付我局。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bookmarkStart w:id="64" w:name="bookmark99"/>
      <w:bookmarkEnd w:id="64"/>
      <w:bookmarkStart w:id="65" w:name="bookmark101"/>
      <w:bookmarkEnd w:id="65"/>
      <w:r>
        <w:rPr>
          <w:rFonts w:hint="eastAsia" w:ascii="仿宋" w:hAnsi="仿宋" w:eastAsia="仿宋" w:cs="仿宋_GB2312"/>
          <w:sz w:val="32"/>
          <w:szCs w:val="32"/>
        </w:rPr>
        <w:t>2.资金使用</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该资金直接拨付乙方，不存在资金分配。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（三）项目财务管理情况</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项目经费严格按照财务管理制度进行管理，保证专款专用，不存在截留、滞留、挤占、挪用、套取、虚假、冒领等问题，资金发放复查由财务人员按照财务制度进行资金的审核、支付和核算，所有支出均以转账方式进行，在具体支付时，具备了资金发票、合同等相关材料，手续完善，不存在虚假会计凭证的情况，会计严格执行财务管理制度，财务处理及时，核算规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bookmarkStart w:id="66" w:name="bookmark103"/>
      <w:r>
        <w:rPr>
          <w:rFonts w:hint="eastAsia" w:ascii="黑体" w:hAnsi="黑体" w:eastAsia="黑体" w:cs="黑体"/>
          <w:sz w:val="32"/>
          <w:szCs w:val="32"/>
        </w:rPr>
        <w:t>三</w:t>
      </w:r>
      <w:bookmarkEnd w:id="66"/>
      <w:r>
        <w:rPr>
          <w:rFonts w:hint="eastAsia" w:ascii="黑体" w:hAnsi="黑体" w:eastAsia="黑体" w:cs="黑体"/>
          <w:sz w:val="32"/>
          <w:szCs w:val="32"/>
        </w:rPr>
        <w:t>、项目实施及管理情况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bookmarkStart w:id="67" w:name="bookmark104"/>
      <w:r>
        <w:rPr>
          <w:rFonts w:hint="eastAsia" w:ascii="楷体_GB2312" w:hAnsi="楷体_GB2312" w:eastAsia="楷体_GB2312" w:cs="楷体_GB2312"/>
          <w:sz w:val="32"/>
          <w:szCs w:val="32"/>
        </w:rPr>
        <w:t>（</w:t>
      </w:r>
      <w:bookmarkEnd w:id="67"/>
      <w:r>
        <w:rPr>
          <w:rFonts w:hint="eastAsia" w:ascii="楷体_GB2312" w:hAnsi="楷体_GB2312" w:eastAsia="楷体_GB2312" w:cs="楷体_GB2312"/>
          <w:sz w:val="32"/>
          <w:szCs w:val="32"/>
        </w:rPr>
        <w:t>一）项目组织架构及实施流程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1.相关请示文件拟定；</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2.送呈常务会审议并印发会议纪要；</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3.确定编制单位，签订规划编制合同；</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4.按照合同约定，督促乙方按照合同约定推进编制工作；</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5.按照合同约定，分阶段按照程序拨付资金。</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（二）项目管理情况</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因时间紧、任务重，我局采用公开招标的方式，按照相关法律法规及项目管理制度推进相关工作。</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（三）项目监管情况</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合同签订后，我局积极配合设计单位多次开展实地调研，收集提供各类相关资料，并督促设计单位按照合同约定，加快推进各项规划及方案的编制。</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960" w:firstLineChars="300"/>
        <w:textAlignment w:val="auto"/>
        <w:rPr>
          <w:rFonts w:hint="eastAsia" w:ascii="黑体" w:hAnsi="黑体" w:eastAsia="黑体" w:cs="黑体"/>
          <w:sz w:val="32"/>
          <w:szCs w:val="32"/>
        </w:rPr>
      </w:pPr>
      <w:r>
        <w:rPr>
          <w:rFonts w:hint="eastAsia" w:ascii="黑体" w:hAnsi="黑体" w:eastAsia="黑体" w:cs="黑体"/>
          <w:sz w:val="32"/>
          <w:szCs w:val="32"/>
        </w:rPr>
        <w:t>四、项目绩效情况</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（一）项目完成情况</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通过公开招标确定编制单位为四川省国土空间规划研究院，已完成双评价与双评估工作，并以第三次国土调查成果为基础制作了国土空间规划现状一张图的底图和底数，对三调数据不准确之处给与标注；完成了人口流动与城镇化发展研究专题、城镇开发边界划定与管控研究以及国土空间生态修复与土地综合整治研究、产业发展空间布局专题研究、市县域综合交通规划研究等专题研究；初步完成国土空间总体布局规划，初步划定三区三线方案，完成生态修复与土地综合整治规划、城镇体系规划、市域综合交通规划、中心城区用地布局初步方案；8月3日召开国土空间规划编制专题会，会后对初步成果再次征求空间规划编制领导小组成员单位意见；8月3日专题会后征求意见及资料收集已反馈给规划编制单位，将由编制单位对意见建议和更新资料进行分析研究，同时结合市委、市政府关于加快打造绿水青山典范城市实现成渝地区双城经济圈节点崛起的决定、社会发展</w:t>
      </w:r>
      <w:r>
        <w:rPr>
          <w:rFonts w:hint="eastAsia" w:ascii="仿宋" w:hAnsi="仿宋" w:eastAsia="仿宋" w:cs="仿宋_GB2312"/>
          <w:color w:val="0000FF"/>
          <w:sz w:val="32"/>
          <w:szCs w:val="32"/>
          <w:lang w:eastAsia="zh-CN"/>
        </w:rPr>
        <w:t>“</w:t>
      </w:r>
      <w:r>
        <w:rPr>
          <w:rFonts w:hint="eastAsia" w:ascii="仿宋" w:hAnsi="仿宋" w:eastAsia="仿宋" w:cs="仿宋_GB2312"/>
          <w:color w:val="0000FF"/>
          <w:sz w:val="32"/>
          <w:szCs w:val="32"/>
        </w:rPr>
        <w:t>十四五</w:t>
      </w:r>
      <w:r>
        <w:rPr>
          <w:rFonts w:hint="eastAsia" w:ascii="仿宋" w:hAnsi="仿宋" w:eastAsia="仿宋" w:cs="仿宋_GB2312"/>
          <w:color w:val="0000FF"/>
          <w:sz w:val="32"/>
          <w:szCs w:val="32"/>
          <w:lang w:eastAsia="zh-CN"/>
        </w:rPr>
        <w:t>”</w:t>
      </w:r>
      <w:r>
        <w:rPr>
          <w:rFonts w:hint="eastAsia" w:ascii="仿宋" w:hAnsi="仿宋" w:eastAsia="仿宋" w:cs="仿宋_GB2312"/>
          <w:color w:val="000000" w:themeColor="text1"/>
          <w:sz w:val="32"/>
          <w:szCs w:val="32"/>
        </w:rPr>
        <w:t>规划等相关政策、战略方向，对空间规划初步成果进行优化调整。7.正在完善中心城区各项规划以及南山发展专题研究和城市设计专题研究，近期编制单位将来我市开一次专题会；一张图信息监督平台建设单位招标工作已完成需求论证，即将进行正式招标阶段；11月19日召开国土空间规划编制工作领导小组成员会，听取了四川省国土空间规划研究院关于峨眉山市国土空间规划编制最新工作汇报，重点讨论了“三区三线”几个方案的划定情况，参会领导和国土空间规划编制工作领导小组相关成员单位提出了相应的意见和建议，明确下一步工作思路和措施；12月31日市委召开国土空间规划编制专题会，重点研究了三区三线试划方案；按乐山要求，于12月底将三区三线试划方案正式上报乐山市自然资源局，市主要领导于2021年1月4日向乐山市委汇报了“三线”方案。</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（二）项目效益情况</w:t>
      </w:r>
    </w:p>
    <w:p>
      <w:pPr>
        <w:keepNext w:val="0"/>
        <w:keepLines w:val="0"/>
        <w:pageBreakBefore w:val="0"/>
        <w:widowControl w:val="0"/>
        <w:kinsoku/>
        <w:wordWrap/>
        <w:overflowPunct/>
        <w:topLinePunct w:val="0"/>
        <w:autoSpaceDE/>
        <w:autoSpaceDN/>
        <w:bidi w:val="0"/>
        <w:adjustRightInd/>
        <w:snapToGrid/>
        <w:spacing w:line="580" w:lineRule="exact"/>
        <w:ind w:right="325" w:rightChars="155"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提出峨眉山市国土空间发展总体战略目标，确定市域国土空间保护和开发体系，优化中心城区国土空间总体格局，明确各类用地调控指标，确定国土整治的规模、范围和重点区域，对中心城区空间结构、用地布局、道路系统、景观风貌、人居环境等进行布局，提升城市品质，推动峨眉山高质量发展。</w:t>
      </w:r>
    </w:p>
    <w:p>
      <w:pPr>
        <w:pStyle w:val="6"/>
        <w:keepNext w:val="0"/>
        <w:keepLines w:val="0"/>
        <w:pageBreakBefore w:val="0"/>
        <w:widowControl w:val="0"/>
        <w:numPr>
          <w:ilvl w:val="0"/>
          <w:numId w:val="7"/>
        </w:numPr>
        <w:kinsoku/>
        <w:wordWrap/>
        <w:overflowPunct/>
        <w:topLinePunct w:val="0"/>
        <w:autoSpaceDE/>
        <w:autoSpaceDN/>
        <w:bidi w:val="0"/>
        <w:adjustRightInd/>
        <w:snapToGrid/>
        <w:spacing w:before="93"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评价结论及建议</w:t>
      </w:r>
    </w:p>
    <w:p>
      <w:pPr>
        <w:pStyle w:val="6"/>
        <w:keepNext w:val="0"/>
        <w:keepLines w:val="0"/>
        <w:pageBreakBefore w:val="0"/>
        <w:widowControl w:val="0"/>
        <w:numPr>
          <w:ilvl w:val="0"/>
          <w:numId w:val="8"/>
        </w:numPr>
        <w:kinsoku/>
        <w:wordWrap/>
        <w:overflowPunct/>
        <w:topLinePunct w:val="0"/>
        <w:autoSpaceDE/>
        <w:autoSpaceDN/>
        <w:bidi w:val="0"/>
        <w:adjustRightInd/>
        <w:snapToGrid/>
        <w:spacing w:before="93" w:line="580" w:lineRule="exact"/>
        <w:ind w:firstLine="64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评价结论</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为适应新的发展趋势，促进我市发展，我局坚持规划引领，高起点规划，加强规划编制监督管理，力争取得良好的社会效益和经济效益。</w:t>
      </w:r>
    </w:p>
    <w:p>
      <w:pPr>
        <w:pStyle w:val="6"/>
        <w:keepNext w:val="0"/>
        <w:keepLines w:val="0"/>
        <w:pageBreakBefore w:val="0"/>
        <w:widowControl w:val="0"/>
        <w:numPr>
          <w:ilvl w:val="0"/>
          <w:numId w:val="8"/>
        </w:numPr>
        <w:kinsoku/>
        <w:wordWrap/>
        <w:overflowPunct/>
        <w:topLinePunct w:val="0"/>
        <w:autoSpaceDE/>
        <w:autoSpaceDN/>
        <w:bidi w:val="0"/>
        <w:adjustRightInd/>
        <w:snapToGrid/>
        <w:spacing w:before="93" w:line="580" w:lineRule="exact"/>
        <w:ind w:firstLine="64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存在的问题</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hint="eastAsia" w:ascii="仿宋" w:hAnsi="仿宋" w:eastAsia="仿宋" w:cs="仿宋_GB2312"/>
          <w:color w:val="000000" w:themeColor="text1"/>
          <w:sz w:val="32"/>
          <w:szCs w:val="32"/>
          <w:lang w:eastAsia="zh-CN"/>
        </w:rPr>
      </w:pPr>
      <w:r>
        <w:rPr>
          <w:rFonts w:hint="eastAsia" w:ascii="仿宋" w:hAnsi="仿宋" w:eastAsia="仿宋" w:cs="仿宋_GB2312"/>
          <w:color w:val="000000" w:themeColor="text1"/>
          <w:sz w:val="32"/>
          <w:szCs w:val="32"/>
        </w:rPr>
        <w:t>无</w:t>
      </w:r>
      <w:r>
        <w:rPr>
          <w:rFonts w:hint="eastAsia" w:ascii="仿宋" w:hAnsi="仿宋" w:eastAsia="仿宋" w:cs="仿宋_GB2312"/>
          <w:color w:val="000000" w:themeColor="text1"/>
          <w:sz w:val="32"/>
          <w:szCs w:val="32"/>
          <w:lang w:eastAsia="zh-CN"/>
        </w:rPr>
        <w:t>。</w:t>
      </w:r>
    </w:p>
    <w:p>
      <w:pPr>
        <w:pStyle w:val="6"/>
        <w:keepNext w:val="0"/>
        <w:keepLines w:val="0"/>
        <w:pageBreakBefore w:val="0"/>
        <w:widowControl w:val="0"/>
        <w:numPr>
          <w:ilvl w:val="0"/>
          <w:numId w:val="8"/>
        </w:numPr>
        <w:kinsoku/>
        <w:wordWrap/>
        <w:overflowPunct/>
        <w:topLinePunct w:val="0"/>
        <w:autoSpaceDE/>
        <w:autoSpaceDN/>
        <w:bidi w:val="0"/>
        <w:adjustRightInd/>
        <w:snapToGrid/>
        <w:spacing w:before="93" w:line="580" w:lineRule="exact"/>
        <w:ind w:firstLine="640"/>
        <w:textAlignment w:val="auto"/>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相关建议</w:t>
      </w:r>
    </w:p>
    <w:p>
      <w:pPr>
        <w:pStyle w:val="6"/>
        <w:keepNext w:val="0"/>
        <w:keepLines w:val="0"/>
        <w:pageBreakBefore w:val="0"/>
        <w:widowControl w:val="0"/>
        <w:kinsoku/>
        <w:wordWrap/>
        <w:overflowPunct/>
        <w:topLinePunct w:val="0"/>
        <w:autoSpaceDE/>
        <w:autoSpaceDN/>
        <w:bidi w:val="0"/>
        <w:adjustRightInd/>
        <w:snapToGrid/>
        <w:spacing w:before="93" w:line="580" w:lineRule="exact"/>
        <w:ind w:firstLine="640" w:firstLineChars="200"/>
        <w:textAlignment w:val="auto"/>
        <w:rPr>
          <w:rFonts w:hint="eastAsia" w:ascii="仿宋" w:hAnsi="仿宋" w:eastAsia="仿宋" w:cs="仿宋_GB2312"/>
          <w:color w:val="000000" w:themeColor="text1"/>
          <w:sz w:val="32"/>
          <w:szCs w:val="32"/>
          <w:lang w:eastAsia="zh-CN"/>
        </w:rPr>
      </w:pPr>
      <w:r>
        <w:rPr>
          <w:rFonts w:hint="eastAsia" w:ascii="仿宋" w:hAnsi="仿宋" w:eastAsia="仿宋" w:cs="仿宋_GB2312"/>
          <w:color w:val="000000" w:themeColor="text1"/>
          <w:sz w:val="32"/>
          <w:szCs w:val="32"/>
        </w:rPr>
        <w:t>无</w:t>
      </w:r>
      <w:r>
        <w:rPr>
          <w:rFonts w:hint="eastAsia" w:ascii="仿宋" w:hAnsi="仿宋" w:eastAsia="仿宋" w:cs="仿宋_GB2312"/>
          <w:color w:val="000000" w:themeColor="text1"/>
          <w:sz w:val="32"/>
          <w:szCs w:val="32"/>
          <w:lang w:eastAsia="zh-CN"/>
        </w:rPr>
        <w:t>。</w:t>
      </w:r>
    </w:p>
    <w:p>
      <w:pPr>
        <w:pStyle w:val="6"/>
        <w:spacing w:before="93" w:line="600" w:lineRule="exact"/>
        <w:ind w:firstLine="640" w:firstLineChars="200"/>
        <w:rPr>
          <w:rFonts w:ascii="仿宋" w:hAnsi="仿宋" w:eastAsia="仿宋" w:cs="仿宋_GB2312"/>
          <w:color w:val="000000" w:themeColor="text1"/>
          <w:sz w:val="32"/>
          <w:szCs w:val="32"/>
        </w:rPr>
      </w:pP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征地拆迁挂帐付息、过渡费项目支出</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adjustRightInd w:val="0"/>
        <w:snapToGrid w:val="0"/>
        <w:spacing w:line="600" w:lineRule="exact"/>
        <w:rPr>
          <w:rFonts w:ascii="仿宋" w:hAnsi="仿宋" w:eastAsia="仿宋"/>
          <w:sz w:val="32"/>
          <w:szCs w:val="32"/>
        </w:rPr>
      </w:pPr>
    </w:p>
    <w:p>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600" w:lineRule="exact"/>
        <w:ind w:firstLine="72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（一）项目基本情况</w:t>
      </w:r>
    </w:p>
    <w:p>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rPr>
        <w:t>1.我所主要负责开展2006-2017年期间已拆迁尚未安置的被拆迁户过渡费及存款本金、利息等资金的支付工作。</w:t>
      </w:r>
    </w:p>
    <w:p>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sz w:val="32"/>
          <w:szCs w:val="32"/>
        </w:rPr>
        <w:t>2.根据峨眉山市11-1号令及相关规定，超过一年以上安置的按实际过渡时间以9元/平米.月计发过渡费。征地范围内被拆迁建筑物及构筑物补偿款，经被拆迁人申请后可暂不领取，由市国土事务所按月息9‰（即年息10.8%）支付利息给被拆迁人。安置结束后，立即结算本金。</w:t>
      </w:r>
    </w:p>
    <w:p>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rPr>
        <w:t>3.</w:t>
      </w:r>
      <w:r>
        <w:rPr>
          <w:rFonts w:hint="eastAsia" w:ascii="仿宋" w:hAnsi="仿宋" w:eastAsia="仿宋" w:cs="仿宋_GB2312"/>
          <w:sz w:val="32"/>
          <w:szCs w:val="32"/>
          <w:lang w:val="zh-CN"/>
        </w:rPr>
        <w:t>我所资金均通过向财政申报资金，符合资金管理办法等相关规定。</w:t>
      </w:r>
    </w:p>
    <w:p>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sz w:val="32"/>
          <w:szCs w:val="32"/>
        </w:rPr>
        <w:t>4.按照“先拆迁先办理、先办理先支付”的原则，合理分配资金。</w:t>
      </w:r>
    </w:p>
    <w:p>
      <w:pPr>
        <w:adjustRightInd w:val="0"/>
        <w:snapToGrid w:val="0"/>
        <w:spacing w:line="600" w:lineRule="exact"/>
        <w:ind w:firstLine="72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（二）项目绩效目标</w:t>
      </w:r>
    </w:p>
    <w:p>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sz w:val="32"/>
          <w:szCs w:val="32"/>
        </w:rPr>
        <w:t>1.项目主要内容为过渡费及挂账本金、利息等资金的支付。</w:t>
      </w:r>
    </w:p>
    <w:p>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sz w:val="32"/>
          <w:szCs w:val="32"/>
        </w:rPr>
        <w:t>2.项目应按时办理及时支付到被拆迁户“一卡通”上。具体支付进度按照财政拨付资金情况为准，最终达到应付尽付。</w:t>
      </w:r>
    </w:p>
    <w:p>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sz w:val="32"/>
          <w:szCs w:val="32"/>
        </w:rPr>
        <w:t>3.申报内容与项目目标保持一致且合理。</w:t>
      </w:r>
    </w:p>
    <w:p>
      <w:pPr>
        <w:adjustRightInd w:val="0"/>
        <w:snapToGrid w:val="0"/>
        <w:spacing w:line="600" w:lineRule="exact"/>
        <w:ind w:firstLine="72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（三）项目自评步骤和方法</w:t>
      </w:r>
    </w:p>
    <w:p>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sz w:val="32"/>
        </w:rPr>
        <w:t>过渡费、本金、利息等费用是否及时兑付到被拆迁人“一卡通”作为自评的标准。</w:t>
      </w:r>
    </w:p>
    <w:p>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600" w:lineRule="exact"/>
        <w:ind w:firstLine="720"/>
        <w:rPr>
          <w:rFonts w:hint="eastAsia" w:ascii="楷体_GB2312" w:hAnsi="楷体_GB2312" w:eastAsia="楷体_GB2312" w:cs="楷体_GB2312"/>
          <w:sz w:val="32"/>
          <w:szCs w:val="32"/>
          <w:lang w:val="zh-CN"/>
        </w:rPr>
      </w:pPr>
      <w:r>
        <w:rPr>
          <w:rFonts w:hint="eastAsia" w:ascii="仿宋" w:hAnsi="仿宋" w:eastAsia="仿宋" w:cs="仿宋_GB2312"/>
          <w:sz w:val="32"/>
          <w:szCs w:val="32"/>
          <w:lang w:val="zh-CN"/>
        </w:rPr>
        <w:tab/>
      </w:r>
      <w:r>
        <w:rPr>
          <w:rFonts w:hint="eastAsia" w:ascii="楷体_GB2312" w:hAnsi="楷体_GB2312" w:eastAsia="楷体_GB2312" w:cs="楷体_GB2312"/>
          <w:sz w:val="32"/>
          <w:szCs w:val="32"/>
          <w:lang w:val="zh-CN"/>
        </w:rPr>
        <w:t>（一）项目资金申报及批复情况</w:t>
      </w:r>
    </w:p>
    <w:p>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以批次月份为主，紧急情况为辅的方式逐步向财政申报资金。</w:t>
      </w:r>
    </w:p>
    <w:p>
      <w:pPr>
        <w:adjustRightInd w:val="0"/>
        <w:snapToGrid w:val="0"/>
        <w:spacing w:line="600" w:lineRule="exact"/>
        <w:ind w:firstLine="72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（二）资金计划、到位及使用情况</w:t>
      </w:r>
    </w:p>
    <w:p>
      <w:pPr>
        <w:adjustRightInd w:val="0"/>
        <w:snapToGrid w:val="0"/>
        <w:spacing w:line="60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计划申报全市过渡费、挂账资金</w:t>
      </w:r>
      <w:r>
        <w:rPr>
          <w:rFonts w:hint="eastAsia" w:ascii="仿宋" w:hAnsi="仿宋" w:eastAsia="仿宋" w:cs="仿宋_GB2312"/>
          <w:sz w:val="32"/>
          <w:szCs w:val="32"/>
        </w:rPr>
        <w:t>15033.072226万元，财政分次划拨，现已支付15033.072226万元。</w:t>
      </w:r>
    </w:p>
    <w:p>
      <w:pPr>
        <w:numPr>
          <w:numId w:val="0"/>
        </w:numPr>
        <w:adjustRightInd w:val="0"/>
        <w:snapToGrid w:val="0"/>
        <w:spacing w:line="600" w:lineRule="exact"/>
        <w:ind w:left="630" w:leftChars="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（三）项目财务管理情况</w:t>
      </w:r>
    </w:p>
    <w:p>
      <w:pPr>
        <w:pStyle w:val="6"/>
        <w:spacing w:before="93"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经费严格按照财务管理制度进行管理，保证专款专用，不存在截留、滞留、挤占、挪用、套取、虚假、冒领等问题，资金发放复查由财务人员按照财务制度进行资金的审核、支付和核算，所有支出均以转账方式进行，在具体支付时，具备了资金发票、手续完善，不存在虚假会计凭证的情况，会计严格执行财务管理制度，财务处理及时，核算规范。</w:t>
      </w:r>
    </w:p>
    <w:p>
      <w:pPr>
        <w:pStyle w:val="2"/>
        <w:ind w:left="420" w:leftChars="200"/>
        <w:rPr>
          <w:rFonts w:hint="default" w:ascii="仿宋" w:hAnsi="仿宋" w:eastAsia="仿宋"/>
          <w:lang w:val="zh-CN"/>
        </w:rPr>
      </w:pPr>
    </w:p>
    <w:p>
      <w:pPr>
        <w:adjustRightInd w:val="0"/>
        <w:snapToGrid w:val="0"/>
        <w:spacing w:line="600" w:lineRule="exact"/>
        <w:ind w:firstLine="720"/>
        <w:rPr>
          <w:rFonts w:hint="eastAsia" w:ascii="黑体" w:hAnsi="黑体" w:eastAsia="黑体" w:cs="黑体"/>
          <w:sz w:val="32"/>
          <w:szCs w:val="32"/>
          <w:lang w:val="zh-CN"/>
        </w:rPr>
      </w:pPr>
      <w:r>
        <w:rPr>
          <w:rFonts w:hint="eastAsia" w:ascii="黑体" w:hAnsi="黑体" w:eastAsia="黑体" w:cs="黑体"/>
          <w:sz w:val="32"/>
          <w:szCs w:val="32"/>
        </w:rPr>
        <w:t>三、项目</w:t>
      </w:r>
      <w:r>
        <w:rPr>
          <w:rFonts w:hint="eastAsia" w:ascii="黑体" w:hAnsi="黑体" w:eastAsia="黑体" w:cs="黑体"/>
          <w:sz w:val="32"/>
          <w:szCs w:val="32"/>
          <w:lang w:val="zh-CN"/>
        </w:rPr>
        <w:t>组织实施及管理情况</w:t>
      </w:r>
    </w:p>
    <w:p>
      <w:pPr>
        <w:adjustRightInd w:val="0"/>
        <w:snapToGrid w:val="0"/>
        <w:spacing w:line="600" w:lineRule="exact"/>
        <w:ind w:firstLine="72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（一）项目组织架构及实施流程</w:t>
      </w:r>
    </w:p>
    <w:p>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rPr>
        <w:t>我所资金发放流程主要是：手续当面办理、按捺手印，金额层层审核、力保准确，资金及时支付、自行领取。以此保证过渡费、本金、利息等费用直接兑付到被拆迁人，避免中间环节的截留、挪用。</w:t>
      </w:r>
    </w:p>
    <w:p>
      <w:pPr>
        <w:adjustRightInd w:val="0"/>
        <w:snapToGrid w:val="0"/>
        <w:spacing w:line="600" w:lineRule="exact"/>
        <w:ind w:firstLine="72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（二）项目管理情况</w:t>
      </w:r>
    </w:p>
    <w:p>
      <w:pPr>
        <w:adjustRightInd w:val="0"/>
        <w:snapToGrid w:val="0"/>
        <w:spacing w:line="600" w:lineRule="exact"/>
        <w:ind w:firstLine="720"/>
        <w:rPr>
          <w:rFonts w:ascii="仿宋" w:hAnsi="仿宋" w:eastAsia="仿宋"/>
          <w:sz w:val="32"/>
          <w:szCs w:val="32"/>
        </w:rPr>
      </w:pPr>
      <w:r>
        <w:rPr>
          <w:rFonts w:hint="eastAsia" w:ascii="仿宋" w:hAnsi="仿宋" w:eastAsia="仿宋" w:cs="仿宋_GB2312"/>
          <w:sz w:val="32"/>
          <w:szCs w:val="32"/>
          <w:lang w:val="zh-CN"/>
        </w:rPr>
        <w:t>项目实施严格按照峨眉山市征地拆迁政策办理，符合相关法律法规，切实保障群众利益。</w:t>
      </w:r>
      <w:r>
        <w:rPr>
          <w:rFonts w:hint="eastAsia" w:ascii="仿宋" w:hAnsi="仿宋" w:eastAsia="仿宋"/>
          <w:sz w:val="32"/>
          <w:szCs w:val="32"/>
        </w:rPr>
        <w:t xml:space="preserve">     </w:t>
      </w:r>
    </w:p>
    <w:p>
      <w:pPr>
        <w:numPr>
          <w:ilvl w:val="0"/>
          <w:numId w:val="9"/>
        </w:num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项目绩效情况</w:t>
      </w:r>
    </w:p>
    <w:p>
      <w:pPr>
        <w:adjustRightInd w:val="0"/>
        <w:snapToGrid w:val="0"/>
        <w:spacing w:line="60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zh-CN"/>
        </w:rPr>
        <w:t>）项目完成情况</w:t>
      </w:r>
    </w:p>
    <w:p>
      <w:pPr>
        <w:adjustRightInd w:val="0"/>
        <w:snapToGrid w:val="0"/>
        <w:spacing w:line="600" w:lineRule="exact"/>
        <w:rPr>
          <w:rFonts w:ascii="仿宋" w:hAnsi="仿宋" w:eastAsia="仿宋" w:cs="仿宋_GB2312"/>
          <w:sz w:val="32"/>
          <w:szCs w:val="32"/>
        </w:rPr>
      </w:pPr>
      <w:r>
        <w:rPr>
          <w:rFonts w:hint="eastAsia" w:ascii="仿宋" w:hAnsi="仿宋" w:eastAsia="仿宋" w:cs="仿宋_GB2312"/>
          <w:sz w:val="32"/>
          <w:szCs w:val="32"/>
        </w:rPr>
        <w:t xml:space="preserve">      共支付被拆迁过渡费、本金、利息15033.072226万元；</w:t>
      </w:r>
    </w:p>
    <w:p>
      <w:pPr>
        <w:adjustRightInd w:val="0"/>
        <w:snapToGrid w:val="0"/>
        <w:spacing w:line="600" w:lineRule="exact"/>
        <w:ind w:firstLine="72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（二）项目绩效情况</w:t>
      </w:r>
    </w:p>
    <w:p>
      <w:pPr>
        <w:adjustRightInd w:val="0"/>
        <w:snapToGrid w:val="0"/>
        <w:spacing w:line="600" w:lineRule="exact"/>
        <w:ind w:firstLine="640" w:firstLineChars="200"/>
        <w:rPr>
          <w:rFonts w:ascii="仿宋" w:hAnsi="仿宋" w:eastAsia="仿宋" w:cs="黑体"/>
          <w:sz w:val="32"/>
          <w:szCs w:val="32"/>
        </w:rPr>
      </w:pPr>
      <w:r>
        <w:rPr>
          <w:rFonts w:hint="eastAsia" w:ascii="仿宋" w:hAnsi="仿宋" w:eastAsia="仿宋" w:cs="仿宋_GB2312"/>
          <w:sz w:val="32"/>
          <w:szCs w:val="32"/>
          <w:lang w:val="zh-CN"/>
        </w:rPr>
        <w:t>切实保障了群众利益，安置前顺利过渡，顺利化解因资金未及时支付引起信访问题。</w:t>
      </w:r>
    </w:p>
    <w:p>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72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（一）评价结论</w:t>
      </w:r>
    </w:p>
    <w:p>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截至目前，圆满完成已拨付过渡费、本金利息等资金的支付工作。</w:t>
      </w:r>
    </w:p>
    <w:p>
      <w:pPr>
        <w:adjustRightInd w:val="0"/>
        <w:snapToGrid w:val="0"/>
        <w:spacing w:line="600" w:lineRule="exact"/>
        <w:ind w:firstLine="72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（二）存在的问题</w:t>
      </w:r>
    </w:p>
    <w:p>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因被拆迁户在往年办理完毕手续的次月就能领取到过渡费、利息等，近两年因财政资金紧张，基本要推迟半年左右时间才能领取。特别是春节这一传统节日，村民迟迟未领导过渡费，反映特别大、信访量激增。</w:t>
      </w:r>
    </w:p>
    <w:p>
      <w:pPr>
        <w:adjustRightInd w:val="0"/>
        <w:snapToGrid w:val="0"/>
        <w:spacing w:line="600" w:lineRule="exact"/>
        <w:ind w:firstLine="72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（三）相关建议</w:t>
      </w:r>
    </w:p>
    <w:p>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财政积极筹措资金，保障费用及时到位。</w:t>
      </w:r>
    </w:p>
    <w:p>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rPr>
        <w:t xml:space="preserve">    </w:t>
      </w:r>
    </w:p>
    <w:p>
      <w:pPr>
        <w:spacing w:line="600" w:lineRule="exact"/>
        <w:rPr>
          <w:rFonts w:ascii="仿宋" w:hAnsi="仿宋" w:eastAsia="仿宋"/>
        </w:rPr>
      </w:pPr>
    </w:p>
    <w:p>
      <w:pPr>
        <w:spacing w:line="600" w:lineRule="exact"/>
        <w:jc w:val="center"/>
        <w:outlineLvl w:val="0"/>
        <w:rPr>
          <w:rFonts w:hint="eastAsia" w:ascii="仿宋" w:hAnsi="仿宋" w:eastAsia="仿宋"/>
          <w:color w:val="000000"/>
          <w:sz w:val="44"/>
          <w:szCs w:val="44"/>
        </w:rPr>
      </w:pPr>
    </w:p>
    <w:p>
      <w:pPr>
        <w:spacing w:line="600" w:lineRule="exact"/>
        <w:jc w:val="center"/>
        <w:outlineLvl w:val="0"/>
        <w:rPr>
          <w:rFonts w:hint="eastAsia" w:ascii="仿宋" w:hAnsi="仿宋" w:eastAsia="仿宋"/>
          <w:color w:val="000000"/>
          <w:sz w:val="44"/>
          <w:szCs w:val="44"/>
        </w:rPr>
      </w:pPr>
    </w:p>
    <w:p>
      <w:pPr>
        <w:spacing w:line="600" w:lineRule="exact"/>
        <w:jc w:val="center"/>
        <w:outlineLvl w:val="0"/>
        <w:rPr>
          <w:rFonts w:hint="eastAsia" w:ascii="仿宋" w:hAnsi="仿宋" w:eastAsia="仿宋"/>
          <w:color w:val="000000"/>
          <w:sz w:val="44"/>
          <w:szCs w:val="44"/>
        </w:rPr>
      </w:pPr>
    </w:p>
    <w:p>
      <w:pPr>
        <w:spacing w:line="600" w:lineRule="exact"/>
        <w:jc w:val="center"/>
        <w:outlineLvl w:val="0"/>
        <w:rPr>
          <w:rFonts w:hint="eastAsia" w:ascii="仿宋" w:hAnsi="仿宋" w:eastAsia="仿宋"/>
          <w:color w:val="000000"/>
          <w:sz w:val="44"/>
          <w:szCs w:val="44"/>
        </w:rPr>
      </w:pPr>
    </w:p>
    <w:p>
      <w:pPr>
        <w:spacing w:line="600" w:lineRule="exact"/>
        <w:jc w:val="center"/>
        <w:outlineLvl w:val="0"/>
        <w:rPr>
          <w:rFonts w:hint="eastAsia" w:ascii="仿宋" w:hAnsi="仿宋" w:eastAsia="仿宋"/>
          <w:color w:val="000000"/>
          <w:sz w:val="44"/>
          <w:szCs w:val="44"/>
        </w:rPr>
      </w:pPr>
    </w:p>
    <w:p>
      <w:pPr>
        <w:spacing w:line="600" w:lineRule="exact"/>
        <w:jc w:val="center"/>
        <w:outlineLvl w:val="0"/>
        <w:rPr>
          <w:rFonts w:hint="eastAsia" w:ascii="仿宋" w:hAnsi="仿宋" w:eastAsia="仿宋"/>
          <w:color w:val="000000"/>
          <w:sz w:val="44"/>
          <w:szCs w:val="44"/>
        </w:rPr>
      </w:pPr>
    </w:p>
    <w:p>
      <w:pPr>
        <w:spacing w:line="600" w:lineRule="exact"/>
        <w:jc w:val="center"/>
        <w:outlineLvl w:val="0"/>
        <w:rPr>
          <w:rFonts w:hint="eastAsia" w:ascii="仿宋" w:hAnsi="仿宋" w:eastAsia="仿宋"/>
          <w:color w:val="000000"/>
          <w:sz w:val="44"/>
          <w:szCs w:val="44"/>
        </w:rPr>
      </w:pPr>
    </w:p>
    <w:p>
      <w:pPr>
        <w:spacing w:line="600" w:lineRule="exact"/>
        <w:jc w:val="center"/>
        <w:outlineLvl w:val="0"/>
        <w:rPr>
          <w:rFonts w:hint="eastAsia" w:ascii="仿宋" w:hAnsi="仿宋" w:eastAsia="仿宋"/>
          <w:color w:val="000000"/>
          <w:sz w:val="44"/>
          <w:szCs w:val="44"/>
        </w:rPr>
      </w:pPr>
    </w:p>
    <w:p>
      <w:pPr>
        <w:spacing w:line="600" w:lineRule="exact"/>
        <w:jc w:val="center"/>
        <w:outlineLvl w:val="0"/>
        <w:rPr>
          <w:rFonts w:hint="eastAsia" w:ascii="仿宋" w:hAnsi="仿宋" w:eastAsia="仿宋"/>
          <w:color w:val="000000"/>
          <w:sz w:val="44"/>
          <w:szCs w:val="44"/>
        </w:rPr>
      </w:pPr>
    </w:p>
    <w:p>
      <w:pPr>
        <w:spacing w:line="600" w:lineRule="exact"/>
        <w:jc w:val="center"/>
        <w:outlineLvl w:val="0"/>
        <w:rPr>
          <w:rFonts w:hint="eastAsia" w:ascii="仿宋" w:hAnsi="仿宋" w:eastAsia="仿宋"/>
          <w:color w:val="000000"/>
          <w:sz w:val="44"/>
          <w:szCs w:val="44"/>
        </w:rPr>
      </w:pPr>
    </w:p>
    <w:p>
      <w:pPr>
        <w:spacing w:line="600" w:lineRule="exact"/>
        <w:jc w:val="center"/>
        <w:outlineLvl w:val="0"/>
        <w:rPr>
          <w:rFonts w:hint="eastAsia" w:ascii="仿宋" w:hAnsi="仿宋" w:eastAsia="仿宋"/>
          <w:color w:val="000000"/>
          <w:sz w:val="44"/>
          <w:szCs w:val="44"/>
        </w:rPr>
      </w:pPr>
    </w:p>
    <w:p>
      <w:pPr>
        <w:spacing w:line="600" w:lineRule="exact"/>
        <w:jc w:val="center"/>
        <w:outlineLvl w:val="0"/>
        <w:rPr>
          <w:rFonts w:hint="eastAsia" w:ascii="仿宋" w:hAnsi="仿宋" w:eastAsia="仿宋"/>
          <w:color w:val="000000"/>
          <w:sz w:val="44"/>
          <w:szCs w:val="44"/>
        </w:rPr>
      </w:pPr>
    </w:p>
    <w:p>
      <w:pPr>
        <w:spacing w:line="600" w:lineRule="exact"/>
        <w:jc w:val="center"/>
        <w:outlineLvl w:val="0"/>
        <w:rPr>
          <w:rFonts w:hint="eastAsia" w:ascii="仿宋" w:hAnsi="仿宋" w:eastAsia="仿宋"/>
          <w:color w:val="000000"/>
          <w:sz w:val="44"/>
          <w:szCs w:val="44"/>
        </w:rPr>
      </w:pPr>
    </w:p>
    <w:p>
      <w:pPr>
        <w:spacing w:line="600" w:lineRule="exact"/>
        <w:jc w:val="center"/>
        <w:outlineLvl w:val="0"/>
        <w:rPr>
          <w:rFonts w:hint="eastAsia" w:ascii="仿宋" w:hAnsi="仿宋" w:eastAsia="仿宋"/>
          <w:color w:val="000000"/>
          <w:sz w:val="44"/>
          <w:szCs w:val="44"/>
        </w:rPr>
      </w:pPr>
    </w:p>
    <w:p>
      <w:pPr>
        <w:spacing w:line="600" w:lineRule="exact"/>
        <w:jc w:val="center"/>
        <w:outlineLvl w:val="0"/>
        <w:rPr>
          <w:rFonts w:hint="eastAsia" w:ascii="仿宋" w:hAnsi="仿宋" w:eastAsia="仿宋"/>
          <w:color w:val="000000"/>
          <w:sz w:val="44"/>
          <w:szCs w:val="44"/>
        </w:rPr>
      </w:pPr>
    </w:p>
    <w:p>
      <w:pPr>
        <w:spacing w:line="600" w:lineRule="exact"/>
        <w:jc w:val="center"/>
        <w:outlineLvl w:val="0"/>
        <w:rPr>
          <w:rFonts w:hint="eastAsia" w:ascii="仿宋" w:hAnsi="仿宋" w:eastAsia="仿宋"/>
          <w:color w:val="000000"/>
          <w:sz w:val="44"/>
          <w:szCs w:val="44"/>
        </w:rPr>
      </w:pPr>
    </w:p>
    <w:p>
      <w:pPr>
        <w:spacing w:line="600" w:lineRule="exact"/>
        <w:jc w:val="center"/>
        <w:outlineLvl w:val="0"/>
        <w:rPr>
          <w:rStyle w:val="24"/>
          <w:rFonts w:hint="eastAsia" w:ascii="方正小标宋_GBK" w:hAnsi="方正小标宋_GBK" w:eastAsia="方正小标宋_GBK" w:cs="方正小标宋_GBK"/>
          <w:b w:val="0"/>
        </w:rPr>
      </w:pPr>
      <w:r>
        <w:rPr>
          <w:rFonts w:hint="eastAsia" w:ascii="方正小标宋_GBK" w:hAnsi="方正小标宋_GBK" w:eastAsia="方正小标宋_GBK" w:cs="方正小标宋_GBK"/>
          <w:color w:val="000000"/>
          <w:sz w:val="44"/>
          <w:szCs w:val="44"/>
        </w:rPr>
        <w:t>第</w:t>
      </w:r>
      <w:r>
        <w:rPr>
          <w:rStyle w:val="24"/>
          <w:rFonts w:hint="eastAsia" w:ascii="方正小标宋_GBK" w:hAnsi="方正小标宋_GBK" w:eastAsia="方正小标宋_GBK" w:cs="方正小标宋_GBK"/>
          <w:b w:val="0"/>
        </w:rPr>
        <w:t>五部分 附表</w:t>
      </w:r>
    </w:p>
    <w:p>
      <w:pPr>
        <w:pageBreakBefore w:val="0"/>
        <w:kinsoku/>
        <w:wordWrap/>
        <w:overflowPunct/>
        <w:topLinePunct w:val="0"/>
        <w:autoSpaceDE/>
        <w:autoSpaceDN/>
        <w:bidi w:val="0"/>
        <w:adjustRightInd/>
        <w:snapToGrid/>
        <w:spacing w:line="600" w:lineRule="exact"/>
        <w:jc w:val="center"/>
        <w:textAlignment w:val="auto"/>
        <w:outlineLvl w:val="0"/>
        <w:rPr>
          <w:rFonts w:ascii="仿宋" w:hAnsi="仿宋" w:eastAsia="仿宋"/>
          <w:b/>
          <w:color w:val="000000"/>
          <w:sz w:val="44"/>
          <w:szCs w:val="44"/>
        </w:rPr>
      </w:pPr>
    </w:p>
    <w:p>
      <w:pPr>
        <w:pStyle w:val="4"/>
        <w:pageBreakBefore w:val="0"/>
        <w:kinsoku/>
        <w:wordWrap/>
        <w:overflowPunct/>
        <w:topLinePunct w:val="0"/>
        <w:autoSpaceDE/>
        <w:autoSpaceDN/>
        <w:bidi w:val="0"/>
        <w:adjustRightInd/>
        <w:snapToGrid/>
        <w:spacing w:line="600" w:lineRule="exact"/>
        <w:textAlignment w:val="auto"/>
        <w:rPr>
          <w:rFonts w:ascii="仿宋" w:hAnsi="仿宋" w:eastAsia="仿宋"/>
          <w:color w:val="000000"/>
        </w:rPr>
      </w:pPr>
      <w:r>
        <w:rPr>
          <w:rFonts w:hint="eastAsia" w:ascii="仿宋" w:hAnsi="仿宋" w:eastAsia="仿宋"/>
          <w:b w:val="0"/>
          <w:color w:val="000000"/>
        </w:rPr>
        <w:t>一、收</w:t>
      </w:r>
      <w:r>
        <w:rPr>
          <w:rStyle w:val="25"/>
          <w:rFonts w:hint="eastAsia" w:ascii="仿宋" w:hAnsi="仿宋" w:eastAsia="仿宋"/>
          <w:b w:val="0"/>
          <w:bCs w:val="0"/>
        </w:rPr>
        <w:t>入支出决算总表</w:t>
      </w:r>
    </w:p>
    <w:p>
      <w:pPr>
        <w:pStyle w:val="4"/>
        <w:pageBreakBefore w:val="0"/>
        <w:kinsoku/>
        <w:wordWrap/>
        <w:overflowPunct/>
        <w:topLinePunct w:val="0"/>
        <w:autoSpaceDE/>
        <w:autoSpaceDN/>
        <w:bidi w:val="0"/>
        <w:adjustRightInd/>
        <w:snapToGrid/>
        <w:spacing w:line="600" w:lineRule="exact"/>
        <w:textAlignment w:val="auto"/>
        <w:rPr>
          <w:rFonts w:ascii="仿宋" w:hAnsi="仿宋" w:eastAsia="仿宋"/>
          <w:color w:val="000000"/>
        </w:rPr>
      </w:pPr>
      <w:r>
        <w:rPr>
          <w:rFonts w:hint="eastAsia" w:ascii="仿宋" w:hAnsi="仿宋" w:eastAsia="仿宋"/>
          <w:b w:val="0"/>
          <w:color w:val="000000"/>
        </w:rPr>
        <w:t>二、收</w:t>
      </w:r>
      <w:r>
        <w:rPr>
          <w:rStyle w:val="25"/>
          <w:rFonts w:hint="eastAsia" w:ascii="仿宋" w:hAnsi="仿宋" w:eastAsia="仿宋"/>
          <w:b w:val="0"/>
          <w:bCs w:val="0"/>
        </w:rPr>
        <w:t>入决算表</w:t>
      </w:r>
    </w:p>
    <w:p>
      <w:pPr>
        <w:pStyle w:val="4"/>
        <w:pageBreakBefore w:val="0"/>
        <w:kinsoku/>
        <w:wordWrap/>
        <w:overflowPunct/>
        <w:topLinePunct w:val="0"/>
        <w:autoSpaceDE/>
        <w:autoSpaceDN/>
        <w:bidi w:val="0"/>
        <w:adjustRightInd/>
        <w:snapToGrid/>
        <w:spacing w:line="600" w:lineRule="exact"/>
        <w:textAlignment w:val="auto"/>
        <w:rPr>
          <w:rFonts w:ascii="仿宋" w:hAnsi="仿宋" w:eastAsia="仿宋"/>
          <w:color w:val="000000"/>
        </w:rPr>
      </w:pPr>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p>
    <w:p>
      <w:pPr>
        <w:pStyle w:val="4"/>
        <w:pageBreakBefore w:val="0"/>
        <w:kinsoku/>
        <w:wordWrap/>
        <w:overflowPunct/>
        <w:topLinePunct w:val="0"/>
        <w:autoSpaceDE/>
        <w:autoSpaceDN/>
        <w:bidi w:val="0"/>
        <w:adjustRightInd/>
        <w:snapToGrid/>
        <w:spacing w:line="600" w:lineRule="exact"/>
        <w:textAlignment w:val="auto"/>
        <w:rPr>
          <w:rFonts w:ascii="仿宋" w:hAnsi="仿宋" w:eastAsia="仿宋"/>
          <w:b w:val="0"/>
          <w:color w:val="000000"/>
        </w:rPr>
      </w:pPr>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p>
    <w:p>
      <w:pPr>
        <w:pStyle w:val="4"/>
        <w:pageBreakBefore w:val="0"/>
        <w:kinsoku/>
        <w:wordWrap/>
        <w:overflowPunct/>
        <w:topLinePunct w:val="0"/>
        <w:autoSpaceDE/>
        <w:autoSpaceDN/>
        <w:bidi w:val="0"/>
        <w:adjustRightInd/>
        <w:snapToGrid/>
        <w:spacing w:line="600" w:lineRule="exact"/>
        <w:textAlignment w:val="auto"/>
        <w:rPr>
          <w:rStyle w:val="25"/>
          <w:rFonts w:ascii="仿宋" w:hAnsi="仿宋" w:eastAsia="仿宋"/>
          <w:b w:val="0"/>
          <w:bCs w:val="0"/>
        </w:rPr>
      </w:pPr>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p>
    <w:p>
      <w:pPr>
        <w:pStyle w:val="4"/>
        <w:pageBreakBefore w:val="0"/>
        <w:kinsoku/>
        <w:wordWrap/>
        <w:overflowPunct/>
        <w:topLinePunct w:val="0"/>
        <w:autoSpaceDE/>
        <w:autoSpaceDN/>
        <w:bidi w:val="0"/>
        <w:adjustRightInd/>
        <w:snapToGrid/>
        <w:spacing w:line="600" w:lineRule="exact"/>
        <w:textAlignment w:val="auto"/>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Start w:id="68" w:name="_GoBack"/>
      <w:bookmarkEnd w:id="68"/>
    </w:p>
    <w:p>
      <w:pPr>
        <w:pStyle w:val="4"/>
        <w:pageBreakBefore w:val="0"/>
        <w:kinsoku/>
        <w:wordWrap/>
        <w:overflowPunct/>
        <w:topLinePunct w:val="0"/>
        <w:autoSpaceDE/>
        <w:autoSpaceDN/>
        <w:bidi w:val="0"/>
        <w:adjustRightInd/>
        <w:snapToGrid/>
        <w:spacing w:line="600" w:lineRule="exact"/>
        <w:textAlignment w:val="auto"/>
        <w:rPr>
          <w:rFonts w:ascii="仿宋" w:hAnsi="仿宋" w:eastAsia="仿宋"/>
          <w:color w:val="000000"/>
        </w:rPr>
      </w:pPr>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p>
    <w:p>
      <w:pPr>
        <w:pStyle w:val="4"/>
        <w:pageBreakBefore w:val="0"/>
        <w:kinsoku/>
        <w:wordWrap/>
        <w:overflowPunct/>
        <w:topLinePunct w:val="0"/>
        <w:autoSpaceDE/>
        <w:autoSpaceDN/>
        <w:bidi w:val="0"/>
        <w:adjustRightInd/>
        <w:snapToGrid/>
        <w:spacing w:line="600" w:lineRule="exact"/>
        <w:textAlignment w:val="auto"/>
        <w:rPr>
          <w:rFonts w:ascii="仿宋" w:hAnsi="仿宋" w:eastAsia="仿宋"/>
          <w:color w:val="000000"/>
        </w:rPr>
      </w:pPr>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p>
    <w:p>
      <w:pPr>
        <w:pStyle w:val="4"/>
        <w:pageBreakBefore w:val="0"/>
        <w:kinsoku/>
        <w:wordWrap/>
        <w:overflowPunct/>
        <w:topLinePunct w:val="0"/>
        <w:autoSpaceDE/>
        <w:autoSpaceDN/>
        <w:bidi w:val="0"/>
        <w:adjustRightInd/>
        <w:snapToGrid/>
        <w:spacing w:line="600" w:lineRule="exact"/>
        <w:textAlignment w:val="auto"/>
        <w:rPr>
          <w:rFonts w:ascii="仿宋" w:hAnsi="仿宋" w:eastAsia="仿宋"/>
          <w:color w:val="000000"/>
        </w:rPr>
      </w:pPr>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p>
    <w:p>
      <w:pPr>
        <w:pStyle w:val="4"/>
        <w:pageBreakBefore w:val="0"/>
        <w:kinsoku/>
        <w:wordWrap/>
        <w:overflowPunct/>
        <w:topLinePunct w:val="0"/>
        <w:autoSpaceDE/>
        <w:autoSpaceDN/>
        <w:bidi w:val="0"/>
        <w:adjustRightInd/>
        <w:snapToGrid/>
        <w:spacing w:line="600" w:lineRule="exact"/>
        <w:textAlignment w:val="auto"/>
        <w:rPr>
          <w:rFonts w:ascii="仿宋" w:hAnsi="仿宋" w:eastAsia="仿宋"/>
          <w:color w:val="000000"/>
        </w:rPr>
      </w:pPr>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p>
    <w:p>
      <w:pPr>
        <w:pStyle w:val="4"/>
        <w:pageBreakBefore w:val="0"/>
        <w:kinsoku/>
        <w:wordWrap/>
        <w:overflowPunct/>
        <w:topLinePunct w:val="0"/>
        <w:autoSpaceDE/>
        <w:autoSpaceDN/>
        <w:bidi w:val="0"/>
        <w:adjustRightInd/>
        <w:snapToGrid/>
        <w:spacing w:line="600" w:lineRule="exact"/>
        <w:textAlignment w:val="auto"/>
        <w:rPr>
          <w:rFonts w:ascii="仿宋" w:hAnsi="仿宋" w:eastAsia="仿宋"/>
          <w:color w:val="000000"/>
        </w:rPr>
      </w:pPr>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p>
    <w:p>
      <w:pPr>
        <w:pStyle w:val="4"/>
        <w:pageBreakBefore w:val="0"/>
        <w:kinsoku/>
        <w:wordWrap/>
        <w:overflowPunct/>
        <w:topLinePunct w:val="0"/>
        <w:autoSpaceDE/>
        <w:autoSpaceDN/>
        <w:bidi w:val="0"/>
        <w:adjustRightInd/>
        <w:snapToGrid/>
        <w:spacing w:line="600" w:lineRule="exact"/>
        <w:textAlignment w:val="auto"/>
        <w:rPr>
          <w:rFonts w:ascii="仿宋" w:hAnsi="仿宋" w:eastAsia="仿宋"/>
          <w:color w:val="000000"/>
        </w:rPr>
      </w:pPr>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p>
    <w:p>
      <w:pPr>
        <w:pageBreakBefore w:val="0"/>
        <w:kinsoku/>
        <w:wordWrap/>
        <w:overflowPunct/>
        <w:topLinePunct w:val="0"/>
        <w:autoSpaceDE/>
        <w:autoSpaceDN/>
        <w:bidi w:val="0"/>
        <w:adjustRightInd/>
        <w:snapToGrid/>
        <w:spacing w:line="600" w:lineRule="exact"/>
        <w:textAlignment w:val="auto"/>
        <w:rPr>
          <w:rStyle w:val="25"/>
          <w:rFonts w:hint="eastAsia" w:ascii="仿宋" w:hAnsi="仿宋" w:eastAsia="仿宋"/>
          <w:b w:val="0"/>
          <w:bCs w:val="0"/>
          <w:lang w:val="en-US" w:eastAsia="zh-CN" w:bidi="ar-SA"/>
        </w:rPr>
      </w:pPr>
      <w:r>
        <w:rPr>
          <w:rStyle w:val="25"/>
          <w:rFonts w:hint="eastAsia" w:ascii="仿宋" w:hAnsi="仿宋" w:eastAsia="仿宋"/>
          <w:b w:val="0"/>
          <w:bCs w:val="0"/>
          <w:lang w:val="en-US" w:eastAsia="zh-CN" w:bidi="ar-SA"/>
        </w:rPr>
        <w:t>十三、国有资本经营预算财政拨款收入支出决算表(本表无数据)</w:t>
      </w:r>
    </w:p>
    <w:p>
      <w:pPr>
        <w:pStyle w:val="4"/>
        <w:pageBreakBefore w:val="0"/>
        <w:kinsoku/>
        <w:wordWrap/>
        <w:overflowPunct/>
        <w:topLinePunct w:val="0"/>
        <w:autoSpaceDE/>
        <w:autoSpaceDN/>
        <w:bidi w:val="0"/>
        <w:adjustRightInd/>
        <w:snapToGrid/>
        <w:spacing w:line="600" w:lineRule="exact"/>
        <w:textAlignment w:val="auto"/>
        <w:rPr>
          <w:rStyle w:val="25"/>
          <w:rFonts w:hint="eastAsia" w:ascii="仿宋" w:hAnsi="仿宋" w:eastAsia="仿宋"/>
          <w:b w:val="0"/>
          <w:bCs w:val="0"/>
          <w:lang w:val="en-US" w:eastAsia="zh-CN" w:bidi="ar-SA"/>
        </w:rPr>
      </w:pPr>
      <w:r>
        <w:rPr>
          <w:rStyle w:val="25"/>
          <w:rFonts w:hint="eastAsia" w:ascii="仿宋" w:hAnsi="仿宋" w:eastAsia="仿宋"/>
          <w:b w:val="0"/>
          <w:bCs w:val="0"/>
          <w:lang w:val="en-US" w:eastAsia="zh-CN" w:bidi="ar-SA"/>
        </w:rPr>
        <w:t>十四、国有资本经营预算财政拨款支出决算表(本表无数据)</w:t>
      </w:r>
    </w:p>
    <w:p>
      <w:pPr>
        <w:pageBreakBefore w:val="0"/>
        <w:widowControl/>
        <w:kinsoku/>
        <w:wordWrap/>
        <w:overflowPunct/>
        <w:topLinePunct w:val="0"/>
        <w:autoSpaceDE/>
        <w:autoSpaceDN/>
        <w:bidi w:val="0"/>
        <w:adjustRightInd/>
        <w:snapToGrid/>
        <w:spacing w:line="600" w:lineRule="exact"/>
        <w:jc w:val="left"/>
        <w:textAlignment w:val="auto"/>
        <w:rPr>
          <w:rStyle w:val="16"/>
          <w:rFonts w:ascii="黑体" w:hAnsi="黑体" w:eastAsia="黑体"/>
          <w:b w:val="0"/>
        </w:rPr>
      </w:pPr>
    </w:p>
    <w:bookmarkEnd w:id="62"/>
    <w:p>
      <w:pPr>
        <w:pageBreakBefore w:val="0"/>
        <w:kinsoku/>
        <w:wordWrap/>
        <w:overflowPunct/>
        <w:topLinePunct w:val="0"/>
        <w:autoSpaceDE/>
        <w:autoSpaceDN/>
        <w:bidi w:val="0"/>
        <w:adjustRightInd/>
        <w:snapToGrid/>
        <w:spacing w:line="600" w:lineRule="exact"/>
        <w:textAlignment w:val="auto"/>
      </w:pPr>
    </w:p>
    <w:sectPr>
      <w:footerReference r:id="rId4"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汉仪中黑 197">
    <w:panose1 w:val="00020600040101010101"/>
    <w:charset w:val="86"/>
    <w:family w:val="auto"/>
    <w:pitch w:val="default"/>
    <w:sig w:usb0="A00002BF" w:usb1="18EF7CFA" w:usb2="00000016" w:usb3="00000000" w:csb0="0004009F" w:csb1="00000000"/>
  </w:font>
  <w:font w:name="方正楷体简体">
    <w:panose1 w:val="03000509000000000000"/>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方正黑体简体">
    <w:panose1 w:val="02010601030101010101"/>
    <w:charset w:val="86"/>
    <w:family w:val="auto"/>
    <w:pitch w:val="default"/>
    <w:sig w:usb0="00000001"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1DF8A6B"/>
    <w:multiLevelType w:val="singleLevel"/>
    <w:tmpl w:val="D1DF8A6B"/>
    <w:lvl w:ilvl="0" w:tentative="0">
      <w:start w:val="5"/>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75F8A67"/>
    <w:multiLevelType w:val="singleLevel"/>
    <w:tmpl w:val="F75F8A67"/>
    <w:lvl w:ilvl="0" w:tentative="0">
      <w:start w:val="4"/>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4F85EAF"/>
    <w:multiLevelType w:val="multilevel"/>
    <w:tmpl w:val="34F85EAF"/>
    <w:lvl w:ilvl="0" w:tentative="0">
      <w:start w:val="1"/>
      <w:numFmt w:val="chineseCountingThousand"/>
      <w:pStyle w:val="22"/>
      <w:suff w:val="nothing"/>
      <w:lvlText w:val="%1、"/>
      <w:lvlJc w:val="left"/>
      <w:pPr>
        <w:ind w:left="0" w:firstLine="637"/>
      </w:pPr>
      <w:rPr>
        <w:rFonts w:hint="eastAsia"/>
      </w:rPr>
    </w:lvl>
    <w:lvl w:ilvl="1" w:tentative="0">
      <w:start w:val="1"/>
      <w:numFmt w:val="lowerLetter"/>
      <w:lvlText w:val="%2)"/>
      <w:lvlJc w:val="left"/>
      <w:pPr>
        <w:ind w:left="1477" w:hanging="420"/>
      </w:pPr>
    </w:lvl>
    <w:lvl w:ilvl="2" w:tentative="0">
      <w:start w:val="1"/>
      <w:numFmt w:val="lowerRoman"/>
      <w:lvlText w:val="%3."/>
      <w:lvlJc w:val="right"/>
      <w:pPr>
        <w:ind w:left="1897" w:hanging="420"/>
      </w:pPr>
    </w:lvl>
    <w:lvl w:ilvl="3" w:tentative="0">
      <w:start w:val="1"/>
      <w:numFmt w:val="decimal"/>
      <w:lvlText w:val="%4."/>
      <w:lvlJc w:val="left"/>
      <w:pPr>
        <w:ind w:left="2317" w:hanging="420"/>
      </w:pPr>
    </w:lvl>
    <w:lvl w:ilvl="4" w:tentative="0">
      <w:start w:val="1"/>
      <w:numFmt w:val="lowerLetter"/>
      <w:lvlText w:val="%5)"/>
      <w:lvlJc w:val="left"/>
      <w:pPr>
        <w:ind w:left="2737" w:hanging="420"/>
      </w:pPr>
    </w:lvl>
    <w:lvl w:ilvl="5" w:tentative="0">
      <w:start w:val="1"/>
      <w:numFmt w:val="lowerRoman"/>
      <w:lvlText w:val="%6."/>
      <w:lvlJc w:val="right"/>
      <w:pPr>
        <w:ind w:left="3157" w:hanging="420"/>
      </w:pPr>
    </w:lvl>
    <w:lvl w:ilvl="6" w:tentative="0">
      <w:start w:val="1"/>
      <w:numFmt w:val="decimal"/>
      <w:lvlText w:val="%7."/>
      <w:lvlJc w:val="left"/>
      <w:pPr>
        <w:ind w:left="3577" w:hanging="420"/>
      </w:pPr>
    </w:lvl>
    <w:lvl w:ilvl="7" w:tentative="0">
      <w:start w:val="1"/>
      <w:numFmt w:val="lowerLetter"/>
      <w:lvlText w:val="%8)"/>
      <w:lvlJc w:val="left"/>
      <w:pPr>
        <w:ind w:left="3997" w:hanging="420"/>
      </w:pPr>
    </w:lvl>
    <w:lvl w:ilvl="8" w:tentative="0">
      <w:start w:val="1"/>
      <w:numFmt w:val="lowerRoman"/>
      <w:lvlText w:val="%9."/>
      <w:lvlJc w:val="right"/>
      <w:pPr>
        <w:ind w:left="4417" w:hanging="420"/>
      </w:pPr>
    </w:lvl>
  </w:abstractNum>
  <w:abstractNum w:abstractNumId="6">
    <w:nsid w:val="5BD79B5B"/>
    <w:multiLevelType w:val="singleLevel"/>
    <w:tmpl w:val="5BD79B5B"/>
    <w:lvl w:ilvl="0" w:tentative="0">
      <w:start w:val="1"/>
      <w:numFmt w:val="decimal"/>
      <w:lvlText w:val="%1."/>
      <w:lvlJc w:val="left"/>
      <w:pPr>
        <w:tabs>
          <w:tab w:val="left" w:pos="312"/>
        </w:tabs>
      </w:pPr>
    </w:lvl>
  </w:abstractNum>
  <w:abstractNum w:abstractNumId="7">
    <w:nsid w:val="67175E6D"/>
    <w:multiLevelType w:val="singleLevel"/>
    <w:tmpl w:val="67175E6D"/>
    <w:lvl w:ilvl="0" w:tentative="0">
      <w:start w:val="1"/>
      <w:numFmt w:val="chineseCounting"/>
      <w:suff w:val="nothing"/>
      <w:lvlText w:val="（%1）"/>
      <w:lvlJc w:val="left"/>
      <w:pPr>
        <w:ind w:left="-10"/>
      </w:pPr>
      <w:rPr>
        <w:rFonts w:hint="eastAsia"/>
      </w:rPr>
    </w:lvl>
  </w:abstractNum>
  <w:abstractNum w:abstractNumId="8">
    <w:nsid w:val="7EE55BF3"/>
    <w:multiLevelType w:val="multilevel"/>
    <w:tmpl w:val="7EE55BF3"/>
    <w:lvl w:ilvl="0" w:tentative="0">
      <w:start w:val="1"/>
      <w:numFmt w:val="chineseCountingThousand"/>
      <w:pStyle w:val="20"/>
      <w:suff w:val="nothing"/>
      <w:lvlText w:val="（%1）"/>
      <w:lvlJc w:val="left"/>
      <w:pPr>
        <w:ind w:left="-5" w:firstLine="635"/>
      </w:pPr>
      <w:rPr>
        <w:rFonts w:hint="eastAsia"/>
      </w:rPr>
    </w:lvl>
    <w:lvl w:ilvl="1" w:tentative="0">
      <w:start w:val="1"/>
      <w:numFmt w:val="decimal"/>
      <w:lvlText w:val="%2."/>
      <w:lvlJc w:val="left"/>
      <w:pPr>
        <w:ind w:left="980" w:hanging="360"/>
      </w:pPr>
      <w:rPr>
        <w:rFonts w:hint="default"/>
      </w:r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8"/>
  </w:num>
  <w:num w:numId="2">
    <w:abstractNumId w:val="5"/>
  </w:num>
  <w:num w:numId="3">
    <w:abstractNumId w:val="4"/>
  </w:num>
  <w:num w:numId="4">
    <w:abstractNumId w:val="0"/>
  </w:num>
  <w:num w:numId="5">
    <w:abstractNumId w:val="6"/>
  </w:num>
  <w:num w:numId="6">
    <w:abstractNumId w:val="2"/>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D4BE7"/>
    <w:rsid w:val="002219C4"/>
    <w:rsid w:val="005C29FF"/>
    <w:rsid w:val="008A4625"/>
    <w:rsid w:val="008B5EEF"/>
    <w:rsid w:val="00A8625F"/>
    <w:rsid w:val="03A55F1E"/>
    <w:rsid w:val="03D9467C"/>
    <w:rsid w:val="0CC979F2"/>
    <w:rsid w:val="10393BAA"/>
    <w:rsid w:val="10B9059D"/>
    <w:rsid w:val="1417175A"/>
    <w:rsid w:val="142E5406"/>
    <w:rsid w:val="195A62FD"/>
    <w:rsid w:val="195C7E35"/>
    <w:rsid w:val="1A5A4059"/>
    <w:rsid w:val="1B5921E9"/>
    <w:rsid w:val="1D267220"/>
    <w:rsid w:val="207C4842"/>
    <w:rsid w:val="250130D6"/>
    <w:rsid w:val="2F1466CB"/>
    <w:rsid w:val="2FE20806"/>
    <w:rsid w:val="2FFC5273"/>
    <w:rsid w:val="33A173EF"/>
    <w:rsid w:val="354762E8"/>
    <w:rsid w:val="35931EE0"/>
    <w:rsid w:val="35B717F4"/>
    <w:rsid w:val="3DEA6199"/>
    <w:rsid w:val="43A3262A"/>
    <w:rsid w:val="4C3F6B8D"/>
    <w:rsid w:val="4C6D4BE7"/>
    <w:rsid w:val="4CE2692E"/>
    <w:rsid w:val="4F19629D"/>
    <w:rsid w:val="553E019A"/>
    <w:rsid w:val="56F659DA"/>
    <w:rsid w:val="5B4355C1"/>
    <w:rsid w:val="5D30755A"/>
    <w:rsid w:val="607F59E0"/>
    <w:rsid w:val="623E7113"/>
    <w:rsid w:val="64226486"/>
    <w:rsid w:val="683D5952"/>
    <w:rsid w:val="68444D29"/>
    <w:rsid w:val="6A4644FE"/>
    <w:rsid w:val="6F3C65B9"/>
    <w:rsid w:val="70302C21"/>
    <w:rsid w:val="74CE42C1"/>
    <w:rsid w:val="7C2F58BC"/>
    <w:rsid w:val="7EC26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unhideWhenUsed/>
    <w:qFormat/>
    <w:uiPriority w:val="99"/>
    <w:rPr>
      <w:rFonts w:hint="eastAsia"/>
    </w:rPr>
  </w:style>
  <w:style w:type="paragraph" w:styleId="5">
    <w:name w:val="Body Text 3"/>
    <w:basedOn w:val="1"/>
    <w:qFormat/>
    <w:uiPriority w:val="0"/>
    <w:pPr>
      <w:spacing w:after="120"/>
    </w:pPr>
    <w:rPr>
      <w:sz w:val="16"/>
      <w:szCs w:val="16"/>
    </w:rPr>
  </w:style>
  <w:style w:type="paragraph" w:styleId="6">
    <w:name w:val="Body Text"/>
    <w:basedOn w:val="1"/>
    <w:qFormat/>
    <w:uiPriority w:val="99"/>
    <w:pPr>
      <w:spacing w:beforeLines="30"/>
    </w:pPr>
    <w:rPr>
      <w:rFonts w:ascii="仿宋_GB2312" w:eastAsia="仿宋_GB2312"/>
      <w:kern w:val="0"/>
      <w:sz w:val="30"/>
    </w:rPr>
  </w:style>
  <w:style w:type="paragraph" w:styleId="7">
    <w:name w:val="Balloon Text"/>
    <w:basedOn w:val="1"/>
    <w:link w:val="26"/>
    <w:qFormat/>
    <w:uiPriority w:val="0"/>
    <w:rPr>
      <w:sz w:val="18"/>
      <w:szCs w:val="18"/>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563C1" w:themeColor="hyperlink"/>
      <w:u w:val="single"/>
    </w:rPr>
  </w:style>
  <w:style w:type="character" w:customStyle="1" w:styleId="16">
    <w:name w:val="标题 1 Char"/>
    <w:basedOn w:val="13"/>
    <w:link w:val="3"/>
    <w:qFormat/>
    <w:uiPriority w:val="9"/>
    <w:rPr>
      <w:b/>
      <w:bCs/>
      <w:kern w:val="44"/>
      <w:sz w:val="44"/>
      <w:szCs w:val="44"/>
    </w:rPr>
  </w:style>
  <w:style w:type="character" w:customStyle="1" w:styleId="17">
    <w:name w:val="标题 2 Char"/>
    <w:basedOn w:val="13"/>
    <w:link w:val="4"/>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B02〗二级标题"/>
    <w:next w:val="1"/>
    <w:qFormat/>
    <w:uiPriority w:val="0"/>
    <w:pPr>
      <w:widowControl w:val="0"/>
      <w:numPr>
        <w:ilvl w:val="0"/>
        <w:numId w:val="1"/>
      </w:numPr>
      <w:spacing w:line="600" w:lineRule="exact"/>
      <w:outlineLvl w:val="1"/>
    </w:pPr>
    <w:rPr>
      <w:rFonts w:ascii="楷体_GB2312" w:hAnsi="Calibri" w:eastAsia="楷体_GB2312" w:cs="Times New Roman"/>
      <w:kern w:val="2"/>
      <w:sz w:val="32"/>
      <w:szCs w:val="21"/>
      <w:lang w:val="zh-CN" w:eastAsia="zh-CN" w:bidi="ar-SA"/>
    </w:rPr>
  </w:style>
  <w:style w:type="paragraph" w:customStyle="1" w:styleId="21">
    <w:name w:val="〖C01〗正文"/>
    <w:qFormat/>
    <w:uiPriority w:val="0"/>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 w:type="paragraph" w:customStyle="1" w:styleId="22">
    <w:name w:val="〖B01〗一级标题"/>
    <w:next w:val="1"/>
    <w:qFormat/>
    <w:uiPriority w:val="0"/>
    <w:pPr>
      <w:numPr>
        <w:ilvl w:val="0"/>
        <w:numId w:val="2"/>
      </w:numPr>
      <w:topLinePunct/>
      <w:spacing w:line="600" w:lineRule="exact"/>
      <w:outlineLvl w:val="0"/>
    </w:pPr>
    <w:rPr>
      <w:rFonts w:ascii="黑体" w:hAnsi="Calibri" w:eastAsia="黑体" w:cs="Times New Roman"/>
      <w:kern w:val="2"/>
      <w:sz w:val="32"/>
      <w:szCs w:val="32"/>
      <w:lang w:val="en-US" w:eastAsia="zh-CN" w:bidi="ar-SA"/>
    </w:rPr>
  </w:style>
  <w:style w:type="character" w:customStyle="1" w:styleId="23">
    <w:name w:val="NormalCharacter"/>
    <w:qFormat/>
    <w:uiPriority w:val="0"/>
    <w:rPr>
      <w:kern w:val="2"/>
      <w:sz w:val="21"/>
      <w:szCs w:val="22"/>
      <w:lang w:val="en-US" w:eastAsia="zh-CN" w:bidi="ar-SA"/>
    </w:rPr>
  </w:style>
  <w:style w:type="character" w:customStyle="1" w:styleId="24">
    <w:name w:val="标题 1 Char1"/>
    <w:link w:val="3"/>
    <w:qFormat/>
    <w:locked/>
    <w:uiPriority w:val="9"/>
    <w:rPr>
      <w:rFonts w:ascii="Times New Roman" w:hAnsi="Times New Roman" w:cs="Times New Roman"/>
      <w:b/>
      <w:bCs/>
      <w:kern w:val="44"/>
      <w:sz w:val="44"/>
      <w:szCs w:val="44"/>
    </w:rPr>
  </w:style>
  <w:style w:type="character" w:customStyle="1" w:styleId="25">
    <w:name w:val="标题 2 Char1"/>
    <w:link w:val="4"/>
    <w:qFormat/>
    <w:locked/>
    <w:uiPriority w:val="9"/>
    <w:rPr>
      <w:rFonts w:ascii="Cambria" w:hAnsi="Cambria" w:eastAsia="宋体" w:cs="Times New Roman"/>
      <w:b/>
      <w:bCs/>
      <w:kern w:val="2"/>
      <w:sz w:val="32"/>
      <w:szCs w:val="32"/>
    </w:rPr>
  </w:style>
  <w:style w:type="character" w:customStyle="1" w:styleId="26">
    <w:name w:val="批注框文本 Char"/>
    <w:basedOn w:val="13"/>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：收、支决算总计变动情况图</a:t>
            </a:r>
            <a:endParaRPr altLang="en-US"/>
          </a:p>
        </c:rich>
      </c:tx>
      <c:layout>
        <c:manualLayout>
          <c:xMode val="edge"/>
          <c:yMode val="edge"/>
          <c:x val="0.207700877315137"/>
          <c:y val="0.0214648533508111"/>
        </c:manualLayout>
      </c:layout>
      <c:overlay val="0"/>
      <c:spPr>
        <a:noFill/>
        <a:ln>
          <a:noFill/>
        </a:ln>
        <a:effectLst/>
      </c:spPr>
    </c:title>
    <c:autoTitleDeleted val="0"/>
    <c:plotArea>
      <c:layout/>
      <c:barChart>
        <c:barDir val="col"/>
        <c:grouping val="stacked"/>
        <c:varyColors val="0"/>
        <c:ser>
          <c:idx val="0"/>
          <c:order val="0"/>
          <c:tx>
            <c:strRef>
              <c:f>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120241.72</c:v>
                </c:pt>
                <c:pt idx="1">
                  <c:v>172669.87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103934592"/>
        <c:axId val="120738176"/>
      </c:barChart>
      <c:catAx>
        <c:axId val="10393459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0738176"/>
        <c:crosses val="autoZero"/>
        <c:auto val="1"/>
        <c:lblAlgn val="ctr"/>
        <c:lblOffset val="100"/>
        <c:noMultiLvlLbl val="0"/>
      </c:catAx>
      <c:valAx>
        <c:axId val="1207381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3934592"/>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0.789653251636262"/>
          <c:y val="0.069310175323611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a:t>
            </a:r>
            <a:r>
              <a:t>收入决算结构图</a:t>
            </a:r>
          </a:p>
        </c:rich>
      </c:tx>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18625"/>
          <c:y val="0.1255"/>
          <c:w val="0.945"/>
          <c:h val="0.760333333333333"/>
        </c:manualLayout>
      </c:layout>
      <c:pie3DChart>
        <c:varyColors val="1"/>
        <c:ser>
          <c:idx val="0"/>
          <c:order val="0"/>
          <c:tx>
            <c:strRef>
              <c:f>Sheet1!$B$1</c:f>
              <c:strCache>
                <c:ptCount val="1"/>
                <c:pt idx="0">
                  <c:v>收入金额（万元）</c:v>
                </c:pt>
              </c:strCache>
            </c:strRef>
          </c:tx>
          <c:spPr>
            <a:solidFill>
              <a:srgbClr val="C92733"/>
            </a:solidFill>
            <a:ln w="25400">
              <a:noFill/>
            </a:ln>
            <a:scene3d>
              <a:camera prst="orthographicFront"/>
              <a:lightRig rig="threePt" dir="t"/>
            </a:scene3d>
            <a:sp3d contourW="25400"/>
          </c:spPr>
          <c:explosion val="19"/>
          <c:dPt>
            <c:idx val="0"/>
            <c:bubble3D val="0"/>
            <c:spPr>
              <a:solidFill>
                <a:srgbClr val="0070C0"/>
              </a:solidFill>
              <a:ln w="25400">
                <a:noFill/>
              </a:ln>
              <a:effectLst/>
              <a:scene3d>
                <a:camera prst="orthographicFront"/>
                <a:lightRig rig="threePt" dir="t"/>
              </a:scene3d>
              <a:sp3d contourW="25400"/>
            </c:spPr>
          </c:dPt>
          <c:dPt>
            <c:idx val="1"/>
            <c:bubble3D val="0"/>
            <c:spPr>
              <a:solidFill>
                <a:srgbClr val="C92733"/>
              </a:solidFill>
              <a:ln w="25400">
                <a:noFill/>
              </a:ln>
              <a:effectLst/>
              <a:scene3d>
                <a:camera prst="orthographicFront"/>
                <a:lightRig rig="threePt" dir="t"/>
              </a:scene3d>
              <a:sp3d contourW="25400"/>
            </c:spPr>
          </c:dPt>
          <c:dPt>
            <c:idx val="2"/>
            <c:bubble3D val="0"/>
            <c:spPr>
              <a:solidFill>
                <a:schemeClr val="accent2">
                  <a:lumMod val="75000"/>
                </a:schemeClr>
              </a:solidFill>
              <a:ln w="25400">
                <a:noFill/>
              </a:ln>
              <a:effectLst/>
              <a:scene3d>
                <a:camera prst="orthographicFront"/>
                <a:lightRig rig="threePt" dir="t"/>
              </a:scene3d>
              <a:sp3d contourW="25400"/>
            </c:spPr>
          </c:dPt>
          <c:dLbls>
            <c:dLbl>
              <c:idx val="0"/>
              <c:layout>
                <c:manualLayout>
                  <c:x val="0.19283077634004"/>
                  <c:y val="0.0283972792468568"/>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367625"/>
                      <c:h val="0.128666666666667"/>
                    </c:manualLayout>
                  </c15:layout>
                </c:ext>
              </c:extLst>
            </c:dLbl>
            <c:dLbl>
              <c:idx val="1"/>
              <c:layout>
                <c:manualLayout>
                  <c:x val="0.256515092788331"/>
                  <c:y val="0.023855658481510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60499786320613"/>
                  <c:y val="0.014868551126738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solidFill>
                      <a:prstDash val="solid"/>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#,##0.00</c:formatCode>
                <c:ptCount val="3"/>
                <c:pt idx="0">
                  <c:v>6332.24</c:v>
                </c:pt>
                <c:pt idx="1">
                  <c:v>160665.5</c:v>
                </c:pt>
                <c:pt idx="2">
                  <c:v>0.12</c:v>
                </c:pt>
              </c:numCache>
            </c:numRef>
          </c:val>
        </c:ser>
        <c:dLbls>
          <c:showLegendKey val="0"/>
          <c:showVal val="1"/>
          <c:showCatName val="1"/>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a:lstStyle/>
          <a:p>
            <a:pPr defTabSz="914400">
              <a:defRPr lang="zh-CN" sz="1800" b="1" i="0" u="none" strike="noStrike" kern="1200" cap="all" baseline="0">
                <a:solidFill>
                  <a:schemeClr val="tx1">
                    <a:lumMod val="65000"/>
                    <a:lumOff val="35000"/>
                  </a:schemeClr>
                </a:solidFill>
                <a:latin typeface="+mn-lt"/>
                <a:ea typeface="+mn-ea"/>
                <a:cs typeface="+mn-cs"/>
              </a:defRPr>
            </a:pPr>
            <a:r>
              <a:t>图3：支出决算结构图</a:t>
            </a:r>
          </a:p>
        </c:rich>
      </c:tx>
      <c:layout/>
      <c:overlay val="0"/>
      <c:spPr>
        <a:noFill/>
        <a:ln>
          <a:noFill/>
        </a:ln>
        <a:effectLst/>
      </c:spPr>
    </c:title>
    <c:autoTitleDeleted val="0"/>
    <c:view3D>
      <c:rotX val="30"/>
      <c:rotY val="9"/>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支出金额（万元）</c:v>
                </c:pt>
              </c:strCache>
            </c:strRef>
          </c:tx>
          <c:spPr>
            <a:ln w="19050">
              <a:noFill/>
            </a:ln>
          </c:spPr>
          <c:explosion val="0"/>
          <c:dPt>
            <c:idx val="0"/>
            <c:bubble3D val="0"/>
            <c:spPr>
              <a:solidFill>
                <a:srgbClr val="A84542">
                  <a:alpha val="90000"/>
                </a:srgbClr>
              </a:solidFill>
              <a:ln w="19050">
                <a:noFill/>
              </a:ln>
              <a:effectLst>
                <a:innerShdw blurRad="114300">
                  <a:schemeClr val="accent3">
                    <a:shade val="76667"/>
                    <a:lumMod val="75000"/>
                  </a:schemeClr>
                </a:innerShdw>
              </a:effectLst>
            </c:spPr>
          </c:dPt>
          <c:dPt>
            <c:idx val="1"/>
            <c:bubble3D val="0"/>
            <c:explosion val="43"/>
            <c:spPr>
              <a:solidFill>
                <a:srgbClr val="4471A5"/>
              </a:solidFill>
              <a:ln w="19050">
                <a:noFill/>
              </a:ln>
              <a:effectLst>
                <a:innerShdw blurRad="114300">
                  <a:schemeClr val="accent3">
                    <a:tint val="76667"/>
                    <a:lumMod val="75000"/>
                  </a:schemeClr>
                </a:innerShdw>
              </a:effectLst>
            </c:spPr>
          </c:dPt>
          <c:dLbls>
            <c:dLbl>
              <c:idx val="0"/>
              <c:layout>
                <c:manualLayout>
                  <c:x val="0.11675"/>
                  <c:y val="-0.0453333333333333"/>
                </c:manualLayout>
              </c:layout>
              <c:numFmt formatCode="General" sourceLinked="1"/>
              <c:spPr>
                <a:solidFill>
                  <a:schemeClr val="lt1">
                    <a:alpha val="90000"/>
                  </a:schemeClr>
                </a:solidFill>
                <a:ln w="12700" cap="flat" cmpd="sng" algn="ctr">
                  <a:no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3">
                          <a:shade val="76667"/>
                        </a:schemeClr>
                      </a:solidFill>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085"/>
                  <c:y val="0.0133333333333333"/>
                </c:manualLayout>
              </c:layout>
              <c:numFmt formatCode="General" sourceLinked="1"/>
              <c:spPr>
                <a:solidFill>
                  <a:schemeClr val="lt1">
                    <a:alpha val="90000"/>
                  </a:schemeClr>
                </a:solidFill>
                <a:ln w="12700" cap="flat" cmpd="sng" algn="ctr">
                  <a:no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3">
                          <a:tint val="76667"/>
                        </a:schemeClr>
                      </a:solidFill>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chemeClr val="lt1">
                  <a:alpha val="90000"/>
                </a:schemeClr>
              </a:solidFill>
              <a:ln w="12700" cap="flat" cmpd="sng" algn="ctr">
                <a:no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3"/>
                    </a:solidFill>
                    <a:effectLst/>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2325.98</c:v>
                </c:pt>
                <c:pt idx="1">
                  <c:v>166533.15</c:v>
                </c:pt>
              </c:numCache>
            </c:numRef>
          </c:val>
        </c:ser>
        <c:dLbls>
          <c:showLegendKey val="0"/>
          <c:showVal val="0"/>
          <c:showCatName val="1"/>
          <c:showSerName val="0"/>
          <c:showPercent val="0"/>
          <c:showBubbleSize val="0"/>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：财政拨款收、支决算总计变动情况</a:t>
            </a:r>
            <a:endParaRPr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120241.72</c:v>
                </c:pt>
                <c:pt idx="1">
                  <c:v>172669.87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30"/>
        <c:overlap val="100"/>
        <c:axId val="134458368"/>
        <c:axId val="134467968"/>
      </c:barChart>
      <c:catAx>
        <c:axId val="13445836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467968"/>
        <c:crosses val="autoZero"/>
        <c:auto val="1"/>
        <c:lblAlgn val="ctr"/>
        <c:lblOffset val="100"/>
        <c:noMultiLvlLbl val="0"/>
      </c:catAx>
      <c:valAx>
        <c:axId val="134467968"/>
        <c:scaling>
          <c:orientation val="minMax"/>
          <c:max val="200000"/>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458368"/>
        <c:crosses val="autoZero"/>
        <c:crossBetween val="between"/>
        <c:majorUnit val="2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6080.41</c:v>
                </c:pt>
                <c:pt idx="1">
                  <c:v>5400.1</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134600192"/>
        <c:axId val="136811264"/>
      </c:barChart>
      <c:catAx>
        <c:axId val="13460019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811264"/>
        <c:crosses val="autoZero"/>
        <c:auto val="1"/>
        <c:lblAlgn val="ctr"/>
        <c:lblOffset val="100"/>
        <c:noMultiLvlLbl val="0"/>
      </c:catAx>
      <c:valAx>
        <c:axId val="1368112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600192"/>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6</a:t>
            </a:r>
            <a:r>
              <a:rPr altLang="en-US"/>
              <a:t>：一般公共预算财政拨款支出决算</a:t>
            </a:r>
            <a:endParaRPr altLang="en-US"/>
          </a:p>
        </c:rich>
      </c:tx>
      <c:layout>
        <c:manualLayout>
          <c:xMode val="edge"/>
          <c:yMode val="edge"/>
          <c:x val="0.2605"/>
          <c:y val="0.0425"/>
        </c:manualLayout>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885750000000001"/>
          <c:y val="0.156011695906433"/>
          <c:w val="0.8316"/>
          <c:h val="0.624233918128655"/>
        </c:manualLayout>
      </c:layout>
      <c:pie3DChart>
        <c:varyColors val="1"/>
        <c:ser>
          <c:idx val="0"/>
          <c:order val="0"/>
          <c:tx>
            <c:strRef>
              <c:f>Sheet1!$B$1</c:f>
              <c:strCache>
                <c:ptCount val="1"/>
                <c:pt idx="0">
                  <c:v>一般公共预算财政拨款支出（万元）</c:v>
                </c:pt>
              </c:strCache>
            </c:strRef>
          </c:tx>
          <c:spPr>
            <a:ln w="25400">
              <a:noFill/>
            </a:ln>
            <a:scene3d>
              <a:camera prst="orthographicFront"/>
              <a:lightRig rig="threePt" dir="t"/>
            </a:scene3d>
            <a:sp3d contourW="25400"/>
          </c:spPr>
          <c:explosion val="0"/>
          <c:dPt>
            <c:idx val="0"/>
            <c:bubble3D val="0"/>
            <c:spPr>
              <a:solidFill>
                <a:schemeClr val="accent1"/>
              </a:solidFill>
              <a:ln w="25400">
                <a:noFill/>
              </a:ln>
              <a:effectLst/>
              <a:scene3d>
                <a:camera prst="orthographicFront"/>
                <a:lightRig rig="threePt" dir="t"/>
              </a:scene3d>
              <a:sp3d contourW="25400"/>
            </c:spPr>
          </c:dPt>
          <c:dPt>
            <c:idx val="1"/>
            <c:bubble3D val="0"/>
            <c:spPr>
              <a:solidFill>
                <a:schemeClr val="accent2"/>
              </a:solidFill>
              <a:ln w="25400">
                <a:noFill/>
              </a:ln>
              <a:effectLst/>
              <a:scene3d>
                <a:camera prst="orthographicFront"/>
                <a:lightRig rig="threePt" dir="t"/>
              </a:scene3d>
              <a:sp3d contourW="25400"/>
            </c:spPr>
          </c:dPt>
          <c:dPt>
            <c:idx val="2"/>
            <c:bubble3D val="0"/>
            <c:spPr>
              <a:solidFill>
                <a:schemeClr val="accent3"/>
              </a:solidFill>
              <a:ln w="25400">
                <a:noFill/>
              </a:ln>
              <a:effectLst/>
              <a:scene3d>
                <a:camera prst="orthographicFront"/>
                <a:lightRig rig="threePt" dir="t"/>
              </a:scene3d>
              <a:sp3d contourW="25400"/>
            </c:spPr>
          </c:dPt>
          <c:dPt>
            <c:idx val="3"/>
            <c:bubble3D val="0"/>
            <c:spPr>
              <a:solidFill>
                <a:schemeClr val="accent4"/>
              </a:solidFill>
              <a:ln w="25400">
                <a:noFill/>
              </a:ln>
              <a:effectLst/>
              <a:scene3d>
                <a:camera prst="orthographicFront"/>
                <a:lightRig rig="threePt" dir="t"/>
              </a:scene3d>
              <a:sp3d contourW="25400"/>
            </c:spPr>
          </c:dPt>
          <c:dPt>
            <c:idx val="4"/>
            <c:bubble3D val="0"/>
            <c:spPr>
              <a:solidFill>
                <a:schemeClr val="accent5"/>
              </a:solidFill>
              <a:ln w="25400">
                <a:noFill/>
              </a:ln>
              <a:effectLst/>
              <a:scene3d>
                <a:camera prst="orthographicFront"/>
                <a:lightRig rig="threePt" dir="t"/>
              </a:scene3d>
              <a:sp3d contourW="25400"/>
            </c:spPr>
          </c:dPt>
          <c:dPt>
            <c:idx val="5"/>
            <c:bubble3D val="0"/>
            <c:spPr>
              <a:solidFill>
                <a:schemeClr val="accent6"/>
              </a:solidFill>
              <a:ln w="25400">
                <a:noFill/>
              </a:ln>
              <a:effectLst/>
              <a:scene3d>
                <a:camera prst="orthographicFront"/>
                <a:lightRig rig="threePt" dir="t"/>
              </a:scene3d>
              <a:sp3d contourW="25400"/>
            </c:spPr>
          </c:dPt>
          <c:dPt>
            <c:idx val="6"/>
            <c:bubble3D val="0"/>
            <c:spPr>
              <a:solidFill>
                <a:schemeClr val="accent1">
                  <a:lumMod val="60000"/>
                </a:schemeClr>
              </a:solidFill>
              <a:ln w="25400">
                <a:noFill/>
              </a:ln>
              <a:effectLst/>
              <a:scene3d>
                <a:camera prst="orthographicFront"/>
                <a:lightRig rig="threePt" dir="t"/>
              </a:scene3d>
              <a:sp3d contourW="25400"/>
            </c:spPr>
          </c:dPt>
          <c:dPt>
            <c:idx val="7"/>
            <c:bubble3D val="0"/>
            <c:spPr>
              <a:solidFill>
                <a:schemeClr val="accent2">
                  <a:lumMod val="60000"/>
                </a:schemeClr>
              </a:solidFill>
              <a:ln w="25400">
                <a:noFill/>
              </a:ln>
              <a:effectLst/>
              <a:scene3d>
                <a:camera prst="orthographicFront"/>
                <a:lightRig rig="threePt" dir="t"/>
              </a:scene3d>
              <a:sp3d contourW="25400"/>
            </c:spPr>
          </c:dPt>
          <c:dPt>
            <c:idx val="8"/>
            <c:bubble3D val="0"/>
            <c:spPr>
              <a:solidFill>
                <a:schemeClr val="accent3">
                  <a:lumMod val="60000"/>
                </a:schemeClr>
              </a:solidFill>
              <a:ln w="25400">
                <a:noFill/>
              </a:ln>
              <a:effectLst/>
              <a:scene3d>
                <a:camera prst="orthographicFront"/>
                <a:lightRig rig="threePt" dir="t"/>
              </a:scene3d>
              <a:sp3d contourW="25400"/>
            </c:spPr>
          </c:dPt>
          <c:dLbls>
            <c:dLbl>
              <c:idx val="0"/>
              <c:layout>
                <c:manualLayout>
                  <c:x val="-0.10525"/>
                  <c:y val="-0.10628654970760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41875"/>
                  <c:y val="-0.080994152046783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58937135956696"/>
                  <c:y val="-0.074415204678362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836250000000001"/>
                  <c:y val="0.013450292397660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829512340423723"/>
                  <c:y val="0.052339181286549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13"/>
                  <c:y val="0.074269005847953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2135"/>
                  <c:y val="-0.02704678362573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063375"/>
                  <c:y val="-0.020175438596491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8"/>
              <c:layout>
                <c:manualLayout>
                  <c:x val="-0.132625"/>
                  <c:y val="-0.064035087719298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3875"/>
                      <c:h val="0.10614035087719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olidFill>
                      <a:prstDash val="solid"/>
                      <a:round/>
                    </a:ln>
                    <a:effectLst/>
                  </c:spPr>
                </c15:leaderLines>
              </c:ext>
            </c:extLst>
          </c:dLbls>
          <c:cat>
            <c:strRef>
              <c:f>Sheet1!$A$2:$A$10</c:f>
              <c:strCache>
                <c:ptCount val="9"/>
                <c:pt idx="0">
                  <c:v>一般公共服务支出</c:v>
                </c:pt>
                <c:pt idx="1">
                  <c:v>社会保障和就业</c:v>
                </c:pt>
                <c:pt idx="2">
                  <c:v>卫生健康</c:v>
                </c:pt>
                <c:pt idx="3">
                  <c:v>节能环保</c:v>
                </c:pt>
                <c:pt idx="4">
                  <c:v>城乡社区支出</c:v>
                </c:pt>
                <c:pt idx="5">
                  <c:v>农林水支出</c:v>
                </c:pt>
                <c:pt idx="6">
                  <c:v>自然资源海洋气象等支出</c:v>
                </c:pt>
                <c:pt idx="7">
                  <c:v>住房保障支出</c:v>
                </c:pt>
                <c:pt idx="8">
                  <c:v>灾害防治及应急管理</c:v>
                </c:pt>
              </c:strCache>
            </c:strRef>
          </c:cat>
          <c:val>
            <c:numRef>
              <c:f>Sheet1!$B$2:$B$10</c:f>
              <c:numCache>
                <c:formatCode>General</c:formatCode>
                <c:ptCount val="9"/>
                <c:pt idx="0">
                  <c:v>295.23</c:v>
                </c:pt>
                <c:pt idx="1">
                  <c:v>188.83</c:v>
                </c:pt>
                <c:pt idx="2">
                  <c:v>42.77</c:v>
                </c:pt>
                <c:pt idx="3">
                  <c:v>432.89</c:v>
                </c:pt>
                <c:pt idx="4">
                  <c:v>45.93</c:v>
                </c:pt>
                <c:pt idx="5">
                  <c:v>769</c:v>
                </c:pt>
                <c:pt idx="6">
                  <c:v>2476.27</c:v>
                </c:pt>
                <c:pt idx="7">
                  <c:v>416.53</c:v>
                </c:pt>
                <c:pt idx="8">
                  <c:v>732.65</c:v>
                </c:pt>
              </c:numCache>
            </c:numRef>
          </c:val>
        </c:ser>
        <c:dLbls>
          <c:showLegendKey val="0"/>
          <c:showVal val="0"/>
          <c:showCatName val="1"/>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7</a:t>
            </a:r>
            <a:r>
              <a:rPr altLang="en-US"/>
              <a:t>：</a:t>
            </a:r>
            <a:r>
              <a:t>三公经费财政拨款支出结构</a:t>
            </a:r>
          </a:p>
        </c:rich>
      </c:tx>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olidFill>
              <a:srgbClr val="0070C0"/>
            </a:solidFill>
          </c:spPr>
          <c:explosion val="23"/>
          <c:dPt>
            <c:idx val="0"/>
            <c:bubble3D val="0"/>
            <c:spPr>
              <a:solidFill>
                <a:srgbClr val="4471A5"/>
              </a:solidFill>
              <a:ln w="25400">
                <a:noFill/>
              </a:ln>
              <a:effectLst/>
            </c:spPr>
          </c:dPt>
          <c:dPt>
            <c:idx val="1"/>
            <c:bubble3D val="0"/>
            <c:spPr>
              <a:solidFill>
                <a:srgbClr val="A84542"/>
              </a:solidFill>
              <a:ln w="25400">
                <a:solidFill>
                  <a:schemeClr val="lt1"/>
                </a:solidFill>
              </a:ln>
              <a:effectLst/>
            </c:spPr>
          </c:dPt>
          <c:dLbls>
            <c:dLbl>
              <c:idx val="0"/>
              <c:layout>
                <c:manualLayout>
                  <c:x val="0.222125"/>
                  <c:y val="-0.02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9625"/>
                      <c:h val="0.118"/>
                    </c:manualLayout>
                  </c15:layout>
                </c:ext>
              </c:extLst>
            </c:dLbl>
            <c:dLbl>
              <c:idx val="1"/>
              <c:layout>
                <c:manualLayout>
                  <c:x val="-0.09075"/>
                  <c:y val="-0.040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chemeClr val="tx1"/>
                      </a:solidFill>
                      <a:prstDash val="solid"/>
                      <a:round/>
                    </a:ln>
                    <a:effectLst/>
                  </c:spPr>
                </c15:leaderLines>
              </c:ext>
            </c:extLst>
          </c:dLbls>
          <c:cat>
            <c:strRef>
              <c:f>Sheet1!$A$3:$A$4</c:f>
              <c:strCache>
                <c:ptCount val="2"/>
                <c:pt idx="0">
                  <c:v>公务用车购置及运行维护费支出</c:v>
                </c:pt>
                <c:pt idx="1">
                  <c:v>公务接待费支出</c:v>
                </c:pt>
              </c:strCache>
            </c:strRef>
          </c:cat>
          <c:val>
            <c:numRef>
              <c:f>Sheet1!$B$3:$B$4</c:f>
              <c:numCache>
                <c:formatCode>General</c:formatCode>
                <c:ptCount val="2"/>
                <c:pt idx="0">
                  <c:v>75.07</c:v>
                </c:pt>
                <c:pt idx="1">
                  <c:v>1.04</c:v>
                </c:pt>
              </c:numCache>
            </c:numRef>
          </c:val>
        </c:ser>
        <c:dLbls>
          <c:showLegendKey val="0"/>
          <c:showVal val="0"/>
          <c:showCatName val="1"/>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3569</Words>
  <Characters>3614</Characters>
  <Lines>168</Lines>
  <Paragraphs>47</Paragraphs>
  <TotalTime>83</TotalTime>
  <ScaleCrop>false</ScaleCrop>
  <LinksUpToDate>false</LinksUpToDate>
  <CharactersWithSpaces>3621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2021-10-26T07:14:00Z</dcterms:created>
  <dc:creator>Administrator</dc:creator>
  <cp:lastModifiedBy>Administrator</cp:lastModifiedBy>
  <dcterms:modified xsi:type="dcterms:W3CDTF">2025-07-10T06:07:26Z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KSOTemplateDocerSaveRecord">
    <vt:lpwstr>eyJoZGlkIjoiMDMxNDVkYjQ5ODgzNTI4NjIwNGQ3NzAzOGI0MTM2Y2UifQ==</vt:lpwstr>
  </property>
  <property fmtid="{D5CDD505-2E9C-101B-9397-08002B2CF9AE}" pid="4" name="ICV">
    <vt:lpwstr>A2D0ED89C8DE40718268E533CE9504C4</vt:lpwstr>
  </property>
</Properties>
</file>