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78441"/>
      <w:bookmarkStart w:id="2" w:name="_Toc15377193"/>
      <w:bookmarkStart w:id="3" w:name="_Toc15396475"/>
      <w:bookmarkStart w:id="4" w:name="_Toc15396597"/>
      <w:bookmarkStart w:id="5" w:name="_Toc15377425"/>
    </w:p>
    <w:p>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乐山市峨眉山市水务局（汇总）部门决算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2"/>
      </w:pPr>
      <w:r>
        <w:rPr>
          <w:rFonts w:hint="eastAsia"/>
        </w:rPr>
        <w:t>公开时间：2021年10月25日</w:t>
      </w:r>
    </w:p>
    <w:p/>
    <w:p>
      <w:pPr>
        <w:pStyle w:val="12"/>
        <w:adjustRightInd w:val="0"/>
        <w:snapToGrid w:val="0"/>
        <w:spacing w:before="0" w:line="440" w:lineRule="exact"/>
        <w:jc w:val="left"/>
        <w:rPr>
          <w:rFonts w:cstheme="minorBidi"/>
          <w:sz w:val="24"/>
          <w:szCs w:val="24"/>
        </w:rPr>
      </w:pPr>
      <w:r>
        <w:rPr>
          <w:rFonts w:hint="eastAsia"/>
          <w:sz w:val="24"/>
          <w:szCs w:val="24"/>
        </w:rPr>
        <w:t>第一部分部门概况———————————————————————  1</w:t>
      </w:r>
    </w:p>
    <w:p>
      <w:pPr>
        <w:pStyle w:val="13"/>
        <w:adjustRightInd w:val="0"/>
        <w:snapToGrid w:val="0"/>
        <w:spacing w:line="440" w:lineRule="exact"/>
        <w:jc w:val="left"/>
        <w:rPr>
          <w:rFonts w:ascii="仿宋" w:hAnsi="仿宋"/>
          <w:sz w:val="24"/>
        </w:rPr>
      </w:pPr>
      <w:r>
        <w:rPr>
          <w:rFonts w:hint="eastAsia"/>
          <w:sz w:val="24"/>
        </w:rPr>
        <w:t>一、基本职能及主要工作————————————————————1</w:t>
      </w:r>
    </w:p>
    <w:p>
      <w:pPr>
        <w:pStyle w:val="13"/>
        <w:adjustRightInd w:val="0"/>
        <w:snapToGrid w:val="0"/>
        <w:spacing w:line="440" w:lineRule="exact"/>
        <w:jc w:val="left"/>
        <w:rPr>
          <w:rFonts w:ascii="仿宋" w:hAnsi="仿宋" w:cstheme="minorBidi"/>
          <w:sz w:val="24"/>
        </w:rPr>
      </w:pPr>
      <w:r>
        <w:rPr>
          <w:rFonts w:hint="eastAsia"/>
          <w:sz w:val="24"/>
        </w:rPr>
        <w:t>二、机构设置—————————————————————————4</w:t>
      </w:r>
    </w:p>
    <w:p>
      <w:pPr>
        <w:pStyle w:val="12"/>
        <w:adjustRightInd w:val="0"/>
        <w:snapToGrid w:val="0"/>
        <w:spacing w:before="0" w:line="440" w:lineRule="exact"/>
        <w:jc w:val="left"/>
        <w:rPr>
          <w:sz w:val="24"/>
          <w:szCs w:val="24"/>
        </w:rPr>
      </w:pPr>
      <w:r>
        <w:rPr>
          <w:rFonts w:hint="eastAsia"/>
          <w:sz w:val="24"/>
          <w:szCs w:val="24"/>
        </w:rPr>
        <w:t>第二部分度部门决算情况说明————————————————————5</w:t>
      </w:r>
    </w:p>
    <w:p>
      <w:pPr>
        <w:pStyle w:val="13"/>
        <w:adjustRightInd w:val="0"/>
        <w:snapToGrid w:val="0"/>
        <w:spacing w:line="440" w:lineRule="exact"/>
        <w:jc w:val="left"/>
        <w:rPr>
          <w:rFonts w:ascii="仿宋" w:hAnsi="仿宋" w:cstheme="minorBidi"/>
          <w:sz w:val="24"/>
        </w:rPr>
      </w:pPr>
      <w:r>
        <w:rPr>
          <w:rFonts w:hint="eastAsia"/>
          <w:sz w:val="24"/>
        </w:rPr>
        <w:t>一、收入支出决算总体情况说明—————————————————5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二、收入决算情况说明—————————————————————5</w:t>
      </w:r>
    </w:p>
    <w:p>
      <w:pPr>
        <w:pStyle w:val="13"/>
        <w:adjustRightInd w:val="0"/>
        <w:snapToGrid w:val="0"/>
        <w:spacing w:line="440" w:lineRule="exact"/>
        <w:jc w:val="left"/>
        <w:rPr>
          <w:rFonts w:ascii="仿宋" w:hAnsi="仿宋" w:cstheme="minorBidi"/>
          <w:sz w:val="24"/>
        </w:rPr>
      </w:pPr>
      <w:r>
        <w:rPr>
          <w:rFonts w:hint="eastAsia"/>
          <w:sz w:val="24"/>
        </w:rPr>
        <w:t>三、支出决算情况说明—————————————————————5</w:t>
      </w:r>
    </w:p>
    <w:p>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四、财政拨款收入支出决算总体情况说明—————————————5</w:t>
      </w:r>
    </w:p>
    <w:p>
      <w:pPr>
        <w:pStyle w:val="13"/>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pPr>
        <w:pStyle w:val="13"/>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 11</w:t>
      </w:r>
    </w:p>
    <w:p>
      <w:pPr>
        <w:pStyle w:val="13"/>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pPr>
        <w:pStyle w:val="12"/>
        <w:adjustRightInd w:val="0"/>
        <w:snapToGrid w:val="0"/>
        <w:spacing w:before="0" w:line="440" w:lineRule="exact"/>
        <w:jc w:val="left"/>
        <w:rPr>
          <w:rFonts w:cstheme="minorBidi"/>
          <w:sz w:val="24"/>
          <w:szCs w:val="24"/>
        </w:rPr>
      </w:pPr>
      <w:r>
        <w:rPr>
          <w:rFonts w:hint="eastAsia"/>
          <w:sz w:val="24"/>
          <w:szCs w:val="24"/>
        </w:rPr>
        <w:t>第三部分名词解释—————————————————————————25第四部分附件———————————————————————————27第五部分附表————————————————————————--——38</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13"/>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pPr>
        <w:widowControl/>
        <w:spacing w:line="440" w:lineRule="exact"/>
        <w:ind w:firstLine="1760" w:firstLineChars="400"/>
        <w:jc w:val="left"/>
        <w:rPr>
          <w:rStyle w:val="27"/>
          <w:rFonts w:ascii="黑体" w:hAnsi="黑体" w:eastAsia="黑体"/>
          <w:bCs w:val="0"/>
        </w:rPr>
      </w:pPr>
      <w:r>
        <w:rPr>
          <w:rFonts w:hint="eastAsia" w:ascii="黑体" w:hAnsi="黑体" w:eastAsia="黑体"/>
          <w:sz w:val="44"/>
          <w:szCs w:val="44"/>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numPr>
          <w:ilvl w:val="0"/>
          <w:numId w:val="1"/>
        </w:numPr>
        <w:spacing w:line="560" w:lineRule="atLeast"/>
        <w:rPr>
          <w:rStyle w:val="28"/>
          <w:rFonts w:ascii="黑体" w:hAnsi="黑体" w:eastAsia="黑体"/>
          <w:b w:val="0"/>
          <w:bCs w:val="0"/>
        </w:rPr>
      </w:pPr>
      <w:bookmarkStart w:id="14" w:name="_Toc15396600"/>
      <w:bookmarkStart w:id="15" w:name="_Toc15377197"/>
      <w:r>
        <w:rPr>
          <w:rFonts w:hint="eastAsia" w:ascii="黑体" w:hAnsi="黑体" w:eastAsia="黑体"/>
          <w:b w:val="0"/>
          <w:color w:val="000000"/>
        </w:rPr>
        <w:t>基</w:t>
      </w:r>
      <w:r>
        <w:rPr>
          <w:rStyle w:val="28"/>
          <w:rFonts w:hint="eastAsia" w:ascii="黑体" w:hAnsi="黑体" w:eastAsia="黑体"/>
          <w:b w:val="0"/>
          <w:bCs w:val="0"/>
        </w:rPr>
        <w:t>本职能及主要工作</w:t>
      </w:r>
      <w:bookmarkEnd w:id="14"/>
      <w:bookmarkEnd w:id="15"/>
      <w:bookmarkStart w:id="16" w:name="_Toc15377198"/>
      <w:bookmarkStart w:id="17" w:name="_Toc15378445"/>
    </w:p>
    <w:p>
      <w:r>
        <w:rPr>
          <w:rFonts w:hint="eastAsia" w:ascii="仿宋" w:hAnsi="仿宋" w:eastAsia="仿宋"/>
          <w:bCs/>
          <w:color w:val="000000"/>
          <w:sz w:val="32"/>
          <w:szCs w:val="32"/>
        </w:rPr>
        <w:t>（一）主要职能。</w:t>
      </w:r>
    </w:p>
    <w:bookmarkEnd w:id="16"/>
    <w:bookmarkEnd w:id="17"/>
    <w:p>
      <w:pPr>
        <w:spacing w:line="560" w:lineRule="atLeast"/>
        <w:ind w:firstLine="600" w:firstLineChars="200"/>
        <w:rPr>
          <w:rFonts w:ascii="宋体" w:hAnsi="宋体" w:cs="宋体"/>
          <w:sz w:val="30"/>
          <w:szCs w:val="30"/>
        </w:rPr>
      </w:pPr>
      <w:bookmarkStart w:id="18" w:name="_Toc15378446"/>
      <w:bookmarkStart w:id="19" w:name="_Toc15377199"/>
      <w:r>
        <w:rPr>
          <w:rFonts w:hint="eastAsia" w:ascii="宋体" w:hAnsi="宋体" w:cs="宋体"/>
          <w:sz w:val="30"/>
          <w:szCs w:val="30"/>
        </w:rPr>
        <w:t>峨眉山市水务局及其所属单位主要工作职责：</w:t>
      </w:r>
    </w:p>
    <w:p>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pPr>
        <w:spacing w:line="560" w:lineRule="exact"/>
        <w:jc w:val="left"/>
        <w:outlineLvl w:val="1"/>
        <w:rPr>
          <w:rFonts w:ascii="宋体" w:hAnsi="宋体" w:cs="宋体"/>
          <w:sz w:val="28"/>
          <w:szCs w:val="28"/>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p>
    <w:p>
      <w:pPr>
        <w:spacing w:line="560" w:lineRule="exact"/>
        <w:ind w:firstLine="560" w:firstLineChars="200"/>
        <w:jc w:val="left"/>
        <w:outlineLvl w:val="1"/>
        <w:rPr>
          <w:rFonts w:ascii="宋体" w:hAnsi="宋体" w:cs="宋体"/>
          <w:b/>
          <w:bCs/>
          <w:sz w:val="28"/>
          <w:szCs w:val="28"/>
        </w:rPr>
      </w:pPr>
      <w:r>
        <w:rPr>
          <w:rFonts w:hint="eastAsia" w:ascii="宋体" w:hAnsi="宋体" w:cs="宋体"/>
          <w:sz w:val="28"/>
          <w:szCs w:val="28"/>
        </w:rPr>
        <w:t>稳步推进“挂图作战”项目建设</w:t>
      </w:r>
    </w:p>
    <w:p>
      <w:pPr>
        <w:spacing w:line="560" w:lineRule="exact"/>
        <w:ind w:firstLine="560" w:firstLineChars="200"/>
        <w:rPr>
          <w:rFonts w:ascii="宋体" w:hAnsi="宋体" w:cs="宋体"/>
          <w:sz w:val="28"/>
          <w:szCs w:val="28"/>
        </w:rPr>
      </w:pPr>
      <w:r>
        <w:rPr>
          <w:rFonts w:hint="eastAsia" w:ascii="宋体" w:hAnsi="宋体" w:cs="宋体"/>
          <w:sz w:val="28"/>
          <w:szCs w:val="28"/>
        </w:rPr>
        <w:t>三水厂备用水源项目，</w:t>
      </w:r>
      <w:r>
        <w:rPr>
          <w:rFonts w:hint="eastAsia" w:ascii="宋体" w:hAnsi="宋体" w:cs="宋体"/>
          <w:bCs/>
          <w:sz w:val="28"/>
          <w:szCs w:val="28"/>
        </w:rPr>
        <w:t>现</w:t>
      </w:r>
      <w:r>
        <w:rPr>
          <w:rFonts w:hint="eastAsia" w:ascii="宋体" w:hAnsi="宋体" w:cs="宋体"/>
          <w:kern w:val="0"/>
          <w:sz w:val="28"/>
          <w:szCs w:val="28"/>
        </w:rPr>
        <w:t>已敷设管道5330米、浇筑承台4个，基本完成对N30段埋设管道开挖人行道的恢复，工程进入扫尾阶段</w:t>
      </w:r>
      <w:r>
        <w:rPr>
          <w:rFonts w:hint="eastAsia" w:ascii="宋体" w:hAnsi="宋体" w:cs="宋体"/>
          <w:sz w:val="28"/>
          <w:szCs w:val="28"/>
        </w:rPr>
        <w:t>；峨眉山市生态补水项目，可研阶段工程方案设计报告修订完成并经省厅评审，基本同意工程设计报告，现正在按专家意见修改完善设计报告，并配合长征渠规划编制单位实施编规；“引青进峨”河湖库连通工程，已于2020年8月27日完工投运。</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大力实施民生水利工程</w:t>
      </w:r>
    </w:p>
    <w:p>
      <w:pPr>
        <w:pStyle w:val="8"/>
        <w:spacing w:line="560" w:lineRule="exact"/>
        <w:ind w:firstLine="560" w:firstLineChars="200"/>
        <w:rPr>
          <w:rFonts w:hAnsi="宋体" w:cs="宋体"/>
          <w:sz w:val="28"/>
          <w:szCs w:val="28"/>
        </w:rPr>
      </w:pPr>
      <w:r>
        <w:rPr>
          <w:rFonts w:hint="eastAsia" w:hAnsi="宋体" w:cs="宋体"/>
          <w:kern w:val="0"/>
          <w:sz w:val="28"/>
          <w:szCs w:val="28"/>
        </w:rPr>
        <w:t>一是推进安全饮水。</w:t>
      </w:r>
      <w:r>
        <w:rPr>
          <w:rFonts w:hint="eastAsia" w:hAnsi="宋体" w:cs="宋体"/>
          <w:sz w:val="28"/>
          <w:szCs w:val="28"/>
        </w:rPr>
        <w:t>统筹省级资金21万和2018年农村饮水安全巩固提升工程结余资金36.26万，组织实施峨眉山市绥山镇赵河村农村饮水安全工程。目前工程已完工，解决了绥山镇赵河村560名农村人口（含贫困户18户52人）的饮水安全问题。</w:t>
      </w:r>
    </w:p>
    <w:p>
      <w:pPr>
        <w:spacing w:line="560" w:lineRule="exact"/>
        <w:ind w:firstLine="560" w:firstLineChars="200"/>
        <w:rPr>
          <w:rFonts w:ascii="宋体" w:hAnsi="宋体" w:cs="宋体"/>
          <w:sz w:val="28"/>
          <w:szCs w:val="28"/>
        </w:rPr>
      </w:pPr>
      <w:r>
        <w:rPr>
          <w:rFonts w:hint="eastAsia" w:ascii="宋体" w:hAnsi="宋体" w:cs="宋体"/>
          <w:kern w:val="0"/>
          <w:sz w:val="28"/>
          <w:szCs w:val="28"/>
        </w:rPr>
        <w:t>二是推进渠系整治。</w:t>
      </w:r>
      <w:r>
        <w:rPr>
          <w:rFonts w:hint="eastAsia" w:ascii="宋体" w:hAnsi="宋体" w:cs="宋体"/>
          <w:sz w:val="28"/>
          <w:szCs w:val="28"/>
        </w:rPr>
        <w:t>全力做好春灌及岁修工作，完成各水库、塘、冬水田等蓄水保水工作；投资120万元，完成渠道清淤13万立方米，完成干、支渠道长约130公里，</w:t>
      </w:r>
      <w:r>
        <w:rPr>
          <w:rFonts w:hint="eastAsia" w:ascii="宋体" w:hAnsi="宋体" w:cs="宋体"/>
          <w:bCs/>
          <w:sz w:val="28"/>
          <w:szCs w:val="28"/>
        </w:rPr>
        <w:t>改善和恢复灌溉面积3万亩，提高节水能力80万方。</w:t>
      </w:r>
      <w:r>
        <w:rPr>
          <w:rFonts w:hint="eastAsia" w:ascii="宋体" w:hAnsi="宋体" w:cs="宋体"/>
          <w:sz w:val="28"/>
          <w:szCs w:val="28"/>
        </w:rPr>
        <w:t>确保全市19.96万亩农田适时栽插，为促进农业增产、农民增收奠定了坚实的基础。</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着力夯实水利基础设施</w:t>
      </w:r>
    </w:p>
    <w:p>
      <w:pPr>
        <w:spacing w:line="560" w:lineRule="exact"/>
        <w:ind w:firstLine="560" w:firstLineChars="200"/>
        <w:rPr>
          <w:rFonts w:ascii="宋体" w:hAnsi="宋体" w:cs="宋体"/>
          <w:sz w:val="28"/>
          <w:szCs w:val="28"/>
        </w:rPr>
      </w:pPr>
      <w:r>
        <w:rPr>
          <w:rFonts w:hint="eastAsia" w:ascii="宋体" w:hAnsi="宋体" w:cs="宋体"/>
          <w:sz w:val="28"/>
          <w:szCs w:val="28"/>
        </w:rPr>
        <w:t> 补齐短板，加快水利基础薄弱环节建设，确保水利基础设施更好地支撑经济社会发展。总投资150万，实施峨眉山市2020年小型水库维修养护项目，对工农兵水库等9座小型水库主体及附属设施进行维修养护、物业化管理服务，目前正在实施中；预计投资200万元，对我市工农兵水库主坝渗漏等问题进行整治，目前已完成施工招标，项目已于10月12日开工，预计在2021年1月上旬完工；符溪镇峨眉河防洪治理工程，投资2714.96万元，主体工程基本完工，正在抓紧开展收尾工作；基本完成2019年省级财政特大防汛资金建设项目，对峨眉河五一段、赶山河蔡沱段、朱沟塘坊段3处水毁隐患点进行修复,现主体工程已基本完工，正在抓紧开展收尾工作；完成2019年中央农业生产水利救灾资金建设项目，对沙溪河临江段、杨河蔡郎段、长滩河红山段3处水毁隐患点进行了修复。</w:t>
      </w:r>
    </w:p>
    <w:p>
      <w:pPr>
        <w:spacing w:line="560" w:lineRule="exact"/>
        <w:ind w:firstLine="560" w:firstLineChars="200"/>
        <w:outlineLvl w:val="1"/>
        <w:rPr>
          <w:rFonts w:ascii="宋体" w:hAnsi="宋体" w:cs="宋体"/>
          <w:sz w:val="28"/>
          <w:szCs w:val="28"/>
        </w:rPr>
      </w:pPr>
      <w:r>
        <w:rPr>
          <w:rFonts w:hint="eastAsia" w:ascii="宋体" w:hAnsi="宋体" w:cs="宋体"/>
          <w:kern w:val="0"/>
          <w:sz w:val="28"/>
          <w:szCs w:val="28"/>
        </w:rPr>
        <w:t>提升管理能力</w:t>
      </w:r>
      <w:r>
        <w:rPr>
          <w:rFonts w:hint="eastAsia" w:ascii="宋体" w:hAnsi="宋体" w:cs="宋体"/>
          <w:sz w:val="28"/>
          <w:szCs w:val="28"/>
        </w:rPr>
        <w:t>，加强水利依法行政</w:t>
      </w:r>
    </w:p>
    <w:p>
      <w:pPr>
        <w:spacing w:line="560" w:lineRule="exact"/>
        <w:ind w:firstLine="560" w:firstLineChars="200"/>
        <w:rPr>
          <w:rFonts w:ascii="宋体" w:hAnsi="宋体" w:cs="宋体"/>
          <w:sz w:val="28"/>
          <w:szCs w:val="28"/>
        </w:rPr>
      </w:pPr>
      <w:r>
        <w:rPr>
          <w:rFonts w:hint="eastAsia" w:ascii="宋体" w:hAnsi="宋体" w:cs="宋体"/>
          <w:sz w:val="28"/>
          <w:szCs w:val="28"/>
        </w:rPr>
        <w:t>一是全面实行最严格水资源管理制度，严控水资源管理“三条红线”，实施用水计划管理，完成2018-2019年度乐山市对峨眉山市最严格水资源管理制度考核工作，考核结果为优秀。配合行政审批局完成取水许可审批21个。二是推进长江经济带小水电清理整改工作，预计11月15日前全市45座整改类电站全面完成整改。三是开展长江经济带水土保持专项执法行动，实行“四个一批”管理方式，依托“天地一体化”强化监管，共查处涉嫌水土保持违规违法项目39个，责令限期补办水土保持手续25个，责令限期整改项目14个，全年共审批水土保持方案报告书（表）28个。</w:t>
      </w:r>
    </w:p>
    <w:p>
      <w:pPr>
        <w:spacing w:line="560" w:lineRule="exact"/>
        <w:ind w:firstLine="560" w:firstLineChars="200"/>
        <w:jc w:val="left"/>
        <w:rPr>
          <w:rFonts w:ascii="宋体" w:hAnsi="宋体" w:cs="宋体"/>
          <w:sz w:val="28"/>
          <w:szCs w:val="28"/>
        </w:rPr>
      </w:pPr>
      <w:r>
        <w:rPr>
          <w:rFonts w:hint="eastAsia" w:ascii="宋体" w:hAnsi="宋体" w:cs="宋体"/>
          <w:sz w:val="28"/>
          <w:szCs w:val="28"/>
        </w:rPr>
        <w:t>严厉打击各类水事违法活动，采取执法巡查和接受群众举报的方式，加大对全市境内16条河道和8个湖（水库）巡查力度。目前，组织巡查130余次，联合执法50余次，出动执法车辆130余辆次，人员520余人次；全年共立案查处水事违法案件10起，现场制止违法行为3起，共处予罚款31.9万元，有效遏制非法采砂行为。</w:t>
      </w:r>
    </w:p>
    <w:p>
      <w:pPr>
        <w:tabs>
          <w:tab w:val="left" w:pos="0"/>
        </w:tabs>
        <w:spacing w:line="560" w:lineRule="exact"/>
        <w:ind w:firstLine="560" w:firstLineChars="200"/>
        <w:outlineLvl w:val="1"/>
        <w:rPr>
          <w:rFonts w:ascii="宋体" w:hAnsi="宋体" w:cs="宋体"/>
          <w:sz w:val="28"/>
          <w:szCs w:val="28"/>
        </w:rPr>
      </w:pPr>
      <w:r>
        <w:rPr>
          <w:rFonts w:hint="eastAsia" w:ascii="宋体" w:hAnsi="宋体" w:cs="宋体"/>
          <w:sz w:val="28"/>
          <w:szCs w:val="28"/>
        </w:rPr>
        <w:t>提升供水管理能力，做好供水保障</w:t>
      </w:r>
    </w:p>
    <w:p>
      <w:pPr>
        <w:widowControl/>
        <w:shd w:val="clear" w:color="auto" w:fill="FFFFFF"/>
        <w:spacing w:line="560" w:lineRule="exact"/>
        <w:ind w:firstLine="640"/>
        <w:rPr>
          <w:rFonts w:ascii="宋体" w:hAnsi="宋体" w:cs="宋体"/>
          <w:sz w:val="28"/>
          <w:szCs w:val="28"/>
        </w:rPr>
      </w:pPr>
      <w:r>
        <w:rPr>
          <w:rFonts w:hint="eastAsia" w:ascii="宋体" w:hAnsi="宋体" w:cs="宋体"/>
          <w:sz w:val="28"/>
          <w:szCs w:val="28"/>
        </w:rPr>
        <w:t>一是稳步推进供水保障工程。投资约1000万元，完成了川投峨铁家属区三供一业改造；投资3000余万元，改造提升桂花桥铁路水厂，安装管道20公里、改造户表4000余户，预计于11月底完工；预计投资460万元，改造峨山加压站，目前土建工程已完工，正在进行设备采购。二是完成了全市农村集中供水工程水价核定，抓好农村集中供水工程水费收缴工作，截止目前千人以上农村集中供水工程水费收缴处数达100%、水费收缴率达95%，千人以下农村集中供水工程水费收缴处数达98%，水费收缴率达97%，通过水费收缴工作逐步促进我市农村饮水工程长效运行。三是开展全市贫困人口脱贫攻坚饮水安全达标复核工作，共发现饮水安全问题16个、达标认定不规范问题4个，共涉及贫困户18户，已于6月底全部完成整改。四是推进景城一体化建设，通过升级改造峨山加压站，整治高桥镇福田村饮用水水源地取水口，逐步实现景城互补互供，提高景区与城市供水保障率。</w:t>
      </w:r>
    </w:p>
    <w:p>
      <w:pPr>
        <w:pStyle w:val="14"/>
        <w:widowControl/>
        <w:spacing w:line="560" w:lineRule="exact"/>
        <w:ind w:firstLine="560" w:firstLineChars="200"/>
        <w:outlineLvl w:val="1"/>
        <w:rPr>
          <w:rFonts w:ascii="宋体" w:hAnsi="宋体" w:cs="宋体"/>
          <w:bCs/>
          <w:sz w:val="28"/>
          <w:szCs w:val="28"/>
        </w:rPr>
      </w:pPr>
      <w:r>
        <w:rPr>
          <w:rFonts w:hint="eastAsia" w:ascii="宋体" w:hAnsi="宋体" w:cs="宋体"/>
          <w:bCs/>
          <w:sz w:val="28"/>
          <w:szCs w:val="28"/>
        </w:rPr>
        <w:t>多举措抓好防汛抗旱工作</w:t>
      </w:r>
    </w:p>
    <w:p>
      <w:pPr>
        <w:spacing w:line="560" w:lineRule="exact"/>
        <w:ind w:firstLine="560" w:firstLineChars="200"/>
        <w:outlineLvl w:val="0"/>
        <w:rPr>
          <w:rFonts w:ascii="宋体" w:hAnsi="宋体" w:cs="宋体"/>
          <w:sz w:val="28"/>
          <w:szCs w:val="28"/>
        </w:rPr>
      </w:pPr>
      <w:r>
        <w:rPr>
          <w:rFonts w:hint="eastAsia" w:ascii="宋体" w:hAnsi="宋体" w:cs="宋体"/>
          <w:kern w:val="0"/>
          <w:sz w:val="28"/>
          <w:szCs w:val="28"/>
        </w:rPr>
        <w:t>一是健全工作机制，强化组织领导。严格实行县、镇（乡）、村（社区）、组、隐患点五级行政首长负责制，层层分解和全面落实各级行政指挥和技术保障责任</w:t>
      </w:r>
      <w:r>
        <w:rPr>
          <w:rFonts w:hint="eastAsia" w:ascii="宋体" w:hAnsi="宋体" w:cs="宋体"/>
          <w:sz w:val="28"/>
          <w:szCs w:val="28"/>
        </w:rPr>
        <w:t>。二是</w:t>
      </w:r>
      <w:r>
        <w:rPr>
          <w:rFonts w:hint="eastAsia" w:ascii="宋体" w:hAnsi="宋体" w:cs="宋体"/>
          <w:bCs/>
          <w:sz w:val="28"/>
          <w:szCs w:val="28"/>
        </w:rPr>
        <w:t>全面排查整治。</w:t>
      </w:r>
      <w:r>
        <w:rPr>
          <w:rFonts w:hint="eastAsia" w:ascii="宋体" w:hAnsi="宋体" w:cs="宋体"/>
          <w:sz w:val="28"/>
          <w:szCs w:val="28"/>
        </w:rPr>
        <w:t>重点对水库、213处山洪灾害隐患点、148处地质灾害隐患点和在建工程进行全覆盖排查，排查出各类新增隐患4个，下达整改通知书6份，</w:t>
      </w:r>
      <w:r>
        <w:rPr>
          <w:rFonts w:hint="eastAsia" w:ascii="宋体" w:hAnsi="宋体" w:cs="宋体"/>
          <w:kern w:val="0"/>
          <w:sz w:val="28"/>
          <w:szCs w:val="28"/>
        </w:rPr>
        <w:t>目前已完成乐汉高速、污水管网改造、在建工程隐患整改及22处水毁修复整治</w:t>
      </w:r>
      <w:r>
        <w:rPr>
          <w:rFonts w:hint="eastAsia" w:ascii="宋体" w:hAnsi="宋体" w:cs="宋体"/>
          <w:sz w:val="28"/>
          <w:szCs w:val="28"/>
        </w:rPr>
        <w:t>。三是完善配套监测项目，增强预警能力。进一步推进山洪灾害防治县级非工程措施项目建设，完善防汛预警系统，提升防洪抗灾能力。四是强化防汛保障，落实预案演练。</w:t>
      </w:r>
      <w:r>
        <w:rPr>
          <w:rFonts w:hint="eastAsia" w:ascii="宋体" w:hAnsi="宋体" w:cs="宋体"/>
          <w:kern w:val="0"/>
          <w:sz w:val="28"/>
          <w:szCs w:val="28"/>
        </w:rPr>
        <w:t>组建141支抢险救援队伍，投入19.2万元充实增补防汛抢险物资；编制及修订完善预案281套，6月19日举行了城市超标准洪水应急演练，全市开展各项隐患点演练共230余次</w:t>
      </w:r>
      <w:r>
        <w:rPr>
          <w:rFonts w:hint="eastAsia" w:ascii="宋体" w:hAnsi="宋体" w:cs="宋体"/>
          <w:sz w:val="28"/>
          <w:szCs w:val="28"/>
        </w:rPr>
        <w:t>，</w:t>
      </w:r>
      <w:r>
        <w:rPr>
          <w:rFonts w:hint="eastAsia" w:ascii="宋体" w:hAnsi="宋体" w:cs="宋体"/>
          <w:sz w:val="28"/>
          <w:szCs w:val="28"/>
          <w:shd w:val="clear" w:color="auto" w:fill="FFFFFF"/>
        </w:rPr>
        <w:t>进一步检验应急预案的针对性、实用性和可操作性，提升广大干部群众的应急救援、自救互救和避险能力</w:t>
      </w:r>
      <w:r>
        <w:rPr>
          <w:rFonts w:hint="eastAsia" w:ascii="宋体" w:hAnsi="宋体" w:cs="宋体"/>
          <w:kern w:val="0"/>
          <w:sz w:val="28"/>
          <w:szCs w:val="28"/>
        </w:rPr>
        <w:t>。</w:t>
      </w:r>
      <w:r>
        <w:rPr>
          <w:rFonts w:hint="eastAsia" w:ascii="宋体" w:hAnsi="宋体" w:cs="宋体"/>
          <w:sz w:val="28"/>
          <w:szCs w:val="28"/>
        </w:rPr>
        <w:t>五是强化会商调度，确保精准实策。</w:t>
      </w:r>
      <w:r>
        <w:rPr>
          <w:rFonts w:hint="eastAsia" w:ascii="宋体" w:hAnsi="宋体" w:cs="宋体"/>
          <w:kern w:val="0"/>
          <w:sz w:val="28"/>
          <w:szCs w:val="28"/>
        </w:rPr>
        <w:t>坚持执行“分管领导每天一调度、主要领导三天一调度的”会商制度，全年召开调度会商会29次</w:t>
      </w:r>
      <w:r>
        <w:rPr>
          <w:rFonts w:hint="eastAsia" w:ascii="宋体" w:hAnsi="宋体" w:cs="宋体"/>
          <w:sz w:val="28"/>
          <w:szCs w:val="28"/>
        </w:rPr>
        <w:t>，</w:t>
      </w:r>
      <w:r>
        <w:rPr>
          <w:rFonts w:hint="eastAsia" w:ascii="宋体" w:hAnsi="宋体" w:cs="宋体"/>
          <w:kern w:val="0"/>
          <w:sz w:val="28"/>
          <w:szCs w:val="28"/>
        </w:rPr>
        <w:t>通过汛情会商，我市先后整改了乐汉高速、旅博大桥、龙门乡杨璇</w:t>
      </w:r>
      <w:r>
        <w:rPr>
          <w:rFonts w:hint="eastAsia" w:ascii="宋体" w:hAnsi="宋体" w:cs="宋体"/>
          <w:color w:val="000000"/>
          <w:kern w:val="0"/>
          <w:sz w:val="28"/>
          <w:szCs w:val="28"/>
        </w:rPr>
        <w:t>村等多处防汛隐患点，成功应对</w:t>
      </w:r>
      <w:r>
        <w:rPr>
          <w:rFonts w:hint="eastAsia" w:ascii="宋体" w:hAnsi="宋体" w:cs="宋体"/>
          <w:sz w:val="28"/>
          <w:szCs w:val="28"/>
        </w:rPr>
        <w:t>“8.11”、“8.17”等多次特大暴雨，科学快速处置灾情、险情，有效保障了人民群众生命安全。</w:t>
      </w:r>
    </w:p>
    <w:p>
      <w:pPr>
        <w:pStyle w:val="37"/>
        <w:spacing w:line="560" w:lineRule="exact"/>
        <w:rPr>
          <w:rFonts w:ascii="宋体" w:hAnsi="宋体" w:cs="宋体"/>
          <w:sz w:val="28"/>
          <w:szCs w:val="28"/>
        </w:rPr>
      </w:pPr>
      <w:r>
        <w:rPr>
          <w:rFonts w:hint="eastAsia" w:ascii="宋体" w:hAnsi="宋体" w:cs="宋体"/>
          <w:b/>
          <w:bCs/>
          <w:sz w:val="28"/>
          <w:szCs w:val="28"/>
        </w:rPr>
        <w:t>多</w:t>
      </w:r>
      <w:r>
        <w:rPr>
          <w:rFonts w:hint="eastAsia" w:ascii="宋体" w:hAnsi="宋体" w:cs="宋体"/>
          <w:sz w:val="28"/>
          <w:szCs w:val="28"/>
        </w:rPr>
        <w:t>窗体顶端</w:t>
      </w:r>
    </w:p>
    <w:p>
      <w:pPr>
        <w:pStyle w:val="36"/>
        <w:spacing w:line="560" w:lineRule="exact"/>
        <w:rPr>
          <w:rFonts w:ascii="宋体" w:hAnsi="宋体" w:cs="宋体"/>
          <w:sz w:val="28"/>
          <w:szCs w:val="28"/>
        </w:rPr>
      </w:pPr>
      <w:r>
        <w:rPr>
          <w:rFonts w:hint="eastAsia" w:ascii="宋体" w:hAnsi="宋体" w:cs="宋体"/>
          <w:sz w:val="28"/>
          <w:szCs w:val="28"/>
        </w:rPr>
        <w:t>窗体底端</w:t>
      </w:r>
    </w:p>
    <w:p>
      <w:pPr>
        <w:tabs>
          <w:tab w:val="left" w:pos="0"/>
        </w:tabs>
        <w:spacing w:line="560" w:lineRule="exact"/>
        <w:ind w:left="630" w:leftChars="300"/>
        <w:outlineLvl w:val="1"/>
        <w:rPr>
          <w:rFonts w:ascii="宋体" w:hAnsi="宋体" w:cs="宋体"/>
          <w:sz w:val="28"/>
          <w:szCs w:val="28"/>
        </w:rPr>
      </w:pPr>
      <w:r>
        <w:rPr>
          <w:rFonts w:hint="eastAsia" w:ascii="宋体" w:hAnsi="宋体" w:cs="宋体"/>
          <w:sz w:val="28"/>
          <w:szCs w:val="28"/>
        </w:rPr>
        <w:t>纵深推进河（湖）长制工作</w:t>
      </w:r>
    </w:p>
    <w:p>
      <w:pPr>
        <w:adjustRightInd w:val="0"/>
        <w:snapToGrid w:val="0"/>
        <w:spacing w:line="560" w:lineRule="exact"/>
        <w:ind w:firstLine="560" w:firstLineChars="200"/>
        <w:rPr>
          <w:rFonts w:ascii="宋体" w:hAnsi="宋体" w:cs="宋体"/>
          <w:sz w:val="28"/>
          <w:szCs w:val="28"/>
        </w:rPr>
      </w:pPr>
      <w:r>
        <w:rPr>
          <w:rFonts w:hint="eastAsia" w:ascii="宋体" w:hAnsi="宋体" w:cs="宋体"/>
          <w:sz w:val="28"/>
          <w:szCs w:val="28"/>
        </w:rPr>
        <w:t>一是持续完善机制，及时调整了河湖长和联络员单位名录，明确了职能职责，配置市级河湖长64名、乡镇级河湖长158名、村组级河湖长2250名，完善了市（县）、镇（乡）、村、组四级河湖长责任体系；二是建立河湖管护治理联合机制，多部门联动开展巡查，通过查处典型案件，河湖“四乱”突出问题基本得到遏制；严格执行河湖长巡查制度积极开展巡河问河工作，各级河湖长巡河共计7840次，发现问题86个，整改到位86个，整改率达100%；三是坚持综合管护，加快推进河湖水生态涵养修复，12月全面完成流域50平方公里以上市级管理9条河流管理范围划定及2020年河（湖）长制“一张图”规模以下数据生产入库工作；实施水生态修复工程，完成了“引青进峨”水系连通工程建设任务，推进“引大进峨”工程前期工作。目前，全市重要河湖堤防边坡稳定，水生动植物多样性得到了良好恢复，河湖生态系统结构和功能愈发完善，市境内12条主要河流37个监测断面水质均达到或优于地表水III类标准。</w:t>
      </w:r>
    </w:p>
    <w:p>
      <w:pPr>
        <w:spacing w:line="560" w:lineRule="exact"/>
        <w:ind w:left="630"/>
        <w:outlineLvl w:val="1"/>
        <w:rPr>
          <w:rFonts w:ascii="宋体" w:hAnsi="宋体" w:cs="宋体"/>
          <w:sz w:val="28"/>
          <w:szCs w:val="28"/>
        </w:rPr>
      </w:pPr>
      <w:r>
        <w:rPr>
          <w:rFonts w:hint="eastAsia" w:ascii="宋体" w:hAnsi="宋体" w:cs="宋体"/>
          <w:sz w:val="28"/>
          <w:szCs w:val="28"/>
        </w:rPr>
        <w:t>科学统筹规划，助推全市发展</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立足我市旅游城市发展的重心，结合全市总体规划布局，坚持高标准对水利项目进行科学统筹规划。将水利项目建设与提升全市旅游城市品位、形象、群众生活质量紧密结合，实施连片打造，整体推进。先后完成了全市水利发展“十四五”规划、峨眉山市“十四五”农村供水保障规划、节水等规划编制，加快中小河流防洪治理，现代化灌区等项目规划设计，为全市经济和社会快速发展奠定了坚实的基础。统筹部署水利工程验收三年行动方案，启动2020年9个水利工程项目验收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春灌工作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4月底以来，我市突遇连续高温干旱天气，全市旱情严重，为保证下游镇乡的农田灌溉用水，我们结合实际调整放水时间。同时加大放水量，采用分片轮灌的方式解决用水矛盾。各镇乡及相关单位落实责任，3月30日前将水库、山坪塘全部蓄满水，充分发挥水利工程蓄水引水能力。同时坚持“水权集中，统一调度，计划用水，分级管理”的原则，按照灌区需水量，统一集中放水、必要时实行轮水制度，圆满完成春灌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峨眉山市2020年小型水库维修养护项目</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四川省财政厅、四川省水利厅以川财农[2019]184号文件下达2020年中央和省级财政水利发展资金150万元；该项目维修养护工农兵水库等9座小型水库的</w:t>
      </w:r>
      <w:r>
        <w:rPr>
          <w:rFonts w:ascii="宋体" w:hAnsi="宋体" w:cs="宋体"/>
          <w:sz w:val="28"/>
          <w:szCs w:val="28"/>
        </w:rPr>
        <w:t>水库主体工程维修养护</w:t>
      </w:r>
      <w:r>
        <w:rPr>
          <w:rFonts w:hint="eastAsia" w:ascii="宋体" w:hAnsi="宋体" w:cs="宋体"/>
          <w:sz w:val="28"/>
          <w:szCs w:val="28"/>
        </w:rPr>
        <w:t>、</w:t>
      </w:r>
      <w:r>
        <w:rPr>
          <w:rFonts w:ascii="宋体" w:hAnsi="宋体" w:cs="宋体"/>
          <w:sz w:val="28"/>
          <w:szCs w:val="28"/>
        </w:rPr>
        <w:t>机电和附属设施维修养护</w:t>
      </w:r>
      <w:r>
        <w:rPr>
          <w:rFonts w:hint="eastAsia" w:ascii="宋体" w:hAnsi="宋体" w:cs="宋体"/>
          <w:sz w:val="28"/>
          <w:szCs w:val="28"/>
        </w:rPr>
        <w:t>、</w:t>
      </w:r>
      <w:r>
        <w:rPr>
          <w:rFonts w:ascii="宋体" w:hAnsi="宋体" w:cs="宋体"/>
          <w:sz w:val="28"/>
          <w:szCs w:val="28"/>
        </w:rPr>
        <w:t>物料动力消耗</w:t>
      </w:r>
      <w:r>
        <w:rPr>
          <w:rFonts w:hint="eastAsia" w:ascii="宋体" w:hAnsi="宋体" w:cs="宋体"/>
          <w:sz w:val="28"/>
          <w:szCs w:val="28"/>
        </w:rPr>
        <w:t>、</w:t>
      </w:r>
      <w:r>
        <w:rPr>
          <w:rFonts w:ascii="宋体" w:hAnsi="宋体" w:cs="宋体"/>
          <w:sz w:val="28"/>
          <w:szCs w:val="28"/>
        </w:rPr>
        <w:t>购买物业化管理服务等</w:t>
      </w:r>
      <w:r>
        <w:rPr>
          <w:rFonts w:hint="eastAsia" w:ascii="宋体" w:hAnsi="宋体" w:cs="宋体"/>
          <w:sz w:val="28"/>
          <w:szCs w:val="28"/>
        </w:rPr>
        <w:t>，该项目正在实施中。</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峨眉山市工农兵水库整治项目</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该工程预计投资200万元，对我市工农兵水库主坝渗漏等问题进行整治。乐山水务局2020年6月19日以乐水函﹝2020﹞207号文件下达初设批复，目前已完成施工招标，项目已于10月12日开工，计划工期3个月，预计在2021年1月上旬完工。</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水库安全鉴定工作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我中心按相关程序确定设计单位对我市1座中型水库，5座小型水库开展了水库大坝安全鉴定工作。目前小型水库安全鉴定工作已完成，中型水库安全鉴定已进行现场查勘和专家评审，待取得相应批复后完成。</w:t>
      </w:r>
    </w:p>
    <w:p>
      <w:pPr>
        <w:spacing w:line="560" w:lineRule="exact"/>
        <w:ind w:firstLine="560" w:firstLineChars="200"/>
        <w:outlineLvl w:val="1"/>
        <w:rPr>
          <w:rFonts w:hint="eastAsia" w:ascii="宋体" w:hAnsi="宋体" w:cs="宋体"/>
          <w:sz w:val="28"/>
          <w:szCs w:val="28"/>
        </w:rPr>
      </w:pPr>
      <w:r>
        <w:rPr>
          <w:rFonts w:hint="eastAsia" w:ascii="宋体" w:hAnsi="宋体" w:cs="宋体"/>
          <w:sz w:val="28"/>
          <w:szCs w:val="28"/>
        </w:rPr>
        <w:t>推进渠系整治。</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全力做好春灌及岁修工作，完成各水库、塘、冬水田等蓄水保水工作；投资120万元，完成渠道清淤13万M3，完成干、支渠道岁修约130公里，改善和恢复灌溉面积3万亩，提高节水能力80万方。确保全市19.96万亩农田适时栽插，为促进农业增产、农民增收奠定了坚实的基础。</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工程蓄水保水工作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力争年底前将各塘、库等蓄水设施蓄水达正常蓄水位。各镇、乡政府已对本辖区的山坪塘、池、冬水田等进行全面囤水。</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青衣江乐山灌区2018年度续建配套与节水改造工程（峨眉山片区）工程项目</w:t>
      </w:r>
    </w:p>
    <w:p>
      <w:pPr>
        <w:spacing w:line="560" w:lineRule="exact"/>
        <w:ind w:firstLine="560" w:firstLineChars="200"/>
        <w:outlineLvl w:val="1"/>
        <w:rPr>
          <w:rFonts w:hint="eastAsia" w:ascii="宋体" w:hAnsi="宋体" w:cs="宋体"/>
          <w:sz w:val="28"/>
          <w:szCs w:val="28"/>
        </w:rPr>
      </w:pPr>
      <w:r>
        <w:rPr>
          <w:rFonts w:hint="eastAsia" w:ascii="宋体" w:hAnsi="宋体" w:cs="宋体"/>
          <w:sz w:val="28"/>
          <w:szCs w:val="28"/>
        </w:rPr>
        <w:t>该工程于2017年立项，2018年11月公开招标，中标价1075万元，工程于2018年12月开工，2019年11月完工。涉及峨眉山市四个镇、三条渠道节水改造16.034公里,改造和改善节水灌溉1.2万亩。渠道建设内容：渠道三面光、节制闸、泄洪闸、分水口、人行便桥等整治。目前正在进行工程资料完善、送审阶段。</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有序推动其它重点工作</w:t>
      </w:r>
    </w:p>
    <w:p>
      <w:pPr>
        <w:spacing w:line="560" w:lineRule="exact"/>
        <w:ind w:firstLine="560" w:firstLineChars="200"/>
        <w:outlineLvl w:val="1"/>
        <w:rPr>
          <w:rFonts w:ascii="宋体" w:hAnsi="宋体" w:cs="宋体"/>
          <w:sz w:val="28"/>
          <w:szCs w:val="28"/>
        </w:rPr>
      </w:pPr>
      <w:r>
        <w:rPr>
          <w:rFonts w:hint="eastAsia" w:ascii="宋体" w:hAnsi="宋体" w:cs="宋体"/>
          <w:sz w:val="28"/>
          <w:szCs w:val="28"/>
        </w:rPr>
        <w:t>做好信访维稳工作，接待来访 46人，受理来信来访5件，已办结5件，其中市信访局转来网上信访3件，民情交办1件，市长书记信箱2件；网络舆论8件，心连心服务热线157件，办结率均达100%，确保了稳定。精心组织，完成“大走访大服务”活动，</w:t>
      </w:r>
      <w:r>
        <w:rPr>
          <w:rStyle w:val="35"/>
          <w:rFonts w:hint="default" w:ascii="宋体" w:hAnsi="宋体" w:cs="宋体"/>
          <w:sz w:val="28"/>
          <w:szCs w:val="28"/>
        </w:rPr>
        <w:t>截至10月30日，已走访群众1000户，收集问题5个，解决问题3个，为3户群众申请落实纾难解困资金4500元，</w:t>
      </w:r>
      <w:r>
        <w:rPr>
          <w:rFonts w:hint="eastAsia" w:ascii="宋体" w:hAnsi="宋体" w:cs="宋体"/>
          <w:sz w:val="28"/>
          <w:szCs w:val="28"/>
        </w:rPr>
        <w:t>通过深入走访调研，进一步改进干部工作作风，密切党群干群关系。扎实推进农业水价综合改革工作，</w:t>
      </w:r>
      <w:r>
        <w:rPr>
          <w:rFonts w:hint="eastAsia" w:ascii="宋体" w:hAnsi="宋体" w:cs="宋体"/>
          <w:sz w:val="28"/>
          <w:szCs w:val="28"/>
          <w:shd w:val="clear" w:color="auto" w:fill="FFFFFF"/>
        </w:rPr>
        <w:t>联合发改、农业农村、财政等四部门印发了2020年农业水价综合改革工作计划，稳步推进水价改革信息平台建设</w:t>
      </w:r>
      <w:r>
        <w:rPr>
          <w:rFonts w:hint="eastAsia" w:ascii="宋体" w:hAnsi="宋体" w:cs="宋体"/>
          <w:sz w:val="28"/>
          <w:szCs w:val="28"/>
        </w:rPr>
        <w:t>。依法推进峨眉山市景区违建农房整治工作。“双创”工作下力度，落实“双创”城市测评新标准，积极参与峨眉山市全国卫生城市及四川省文明城市创建工作，水务行业新闻宣传，水文化和精神文明建设取得新成果。切实抓好党建、党风廉政建设和机关作风建设。</w:t>
      </w:r>
      <w:r>
        <w:rPr>
          <w:rFonts w:hint="eastAsia" w:ascii="宋体" w:hAnsi="宋体" w:cs="宋体"/>
          <w:bCs/>
          <w:sz w:val="28"/>
          <w:szCs w:val="28"/>
        </w:rPr>
        <w:t>扎实持续推进“不忘初心、牢记使命”主题教育制度化，持续提升政治素养，改进干部作风；严格履行党风廉政建设和反腐败工作“一岗双责”，层层压实责任，真正将党风廉政建设工作落到实处。加强廉政教育和廉政文化建设，严格</w:t>
      </w:r>
      <w:r>
        <w:rPr>
          <w:rFonts w:hint="eastAsia" w:ascii="宋体" w:hAnsi="宋体" w:cs="宋体"/>
          <w:sz w:val="28"/>
          <w:szCs w:val="28"/>
        </w:rPr>
        <w:t>执行领导干部廉洁从政各项规定，深入推进党风廉政建设和反腐败斗争。积极向上争取资金，服务全市经济社会发展，全年共争取群策群防、农村安全饮水及小型水库维修养护等项目上级补助资金191万元，完成非税收入134.57万元。完成固定资产投资31000万元。</w:t>
      </w:r>
    </w:p>
    <w:bookmarkEnd w:id="18"/>
    <w:bookmarkEnd w:id="19"/>
    <w:p>
      <w:pPr>
        <w:pStyle w:val="4"/>
        <w:spacing w:line="560" w:lineRule="atLeast"/>
        <w:rPr>
          <w:rStyle w:val="28"/>
          <w:rFonts w:ascii="宋体" w:hAnsi="宋体" w:eastAsia="宋体" w:cs="宋体"/>
          <w:b w:val="0"/>
          <w:bCs w:val="0"/>
          <w:sz w:val="30"/>
          <w:szCs w:val="30"/>
        </w:rPr>
      </w:pPr>
      <w:bookmarkStart w:id="20" w:name="_Toc15377200"/>
      <w:bookmarkStart w:id="21" w:name="_Toc15396601"/>
      <w:r>
        <w:rPr>
          <w:rFonts w:hint="eastAsia" w:ascii="宋体" w:hAnsi="宋体" w:eastAsia="宋体" w:cs="宋体"/>
          <w:b w:val="0"/>
          <w:color w:val="000000"/>
          <w:sz w:val="30"/>
          <w:szCs w:val="30"/>
        </w:rPr>
        <w:t>二、机</w:t>
      </w:r>
      <w:r>
        <w:rPr>
          <w:rStyle w:val="28"/>
          <w:rFonts w:hint="eastAsia" w:ascii="宋体" w:hAnsi="宋体" w:eastAsia="宋体" w:cs="宋体"/>
          <w:b w:val="0"/>
          <w:bCs w:val="0"/>
          <w:sz w:val="30"/>
          <w:szCs w:val="30"/>
        </w:rPr>
        <w:t>构设置</w:t>
      </w:r>
      <w:bookmarkEnd w:id="20"/>
      <w:bookmarkEnd w:id="21"/>
    </w:p>
    <w:p>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峨眉山市水务下属二级单位5个，其中行政单位1个，参照公务员法管理的事业单位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个，其他事业单位3个。</w:t>
      </w:r>
    </w:p>
    <w:p>
      <w:pPr>
        <w:pStyle w:val="6"/>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纳入峨眉山市水务局2020年度部门决算编制范围的二级预算单位包括：峨眉山市</w:t>
      </w:r>
      <w:r>
        <w:rPr>
          <w:rFonts w:hint="eastAsia" w:ascii="宋体" w:hAnsi="宋体" w:eastAsia="宋体" w:cs="宋体"/>
          <w:szCs w:val="30"/>
        </w:rPr>
        <w:t>市河湖保护中心。</w:t>
      </w:r>
      <w:bookmarkStart w:id="22" w:name="_Toc15396602"/>
      <w:bookmarkStart w:id="23" w:name="_Toc15377204"/>
    </w:p>
    <w:p>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27"/>
          <w:rFonts w:hint="eastAsia" w:ascii="黑体" w:hAnsi="黑体" w:eastAsia="黑体" w:cs="黑体"/>
          <w:b w:val="0"/>
          <w:bCs w:val="0"/>
        </w:rPr>
        <w:t>2020年度部门决算情况说明</w:t>
      </w:r>
      <w:bookmarkEnd w:id="22"/>
      <w:bookmarkEnd w:id="23"/>
    </w:p>
    <w:p>
      <w:pPr>
        <w:pStyle w:val="26"/>
        <w:numPr>
          <w:ilvl w:val="0"/>
          <w:numId w:val="2"/>
        </w:numPr>
        <w:spacing w:line="560" w:lineRule="atLeast"/>
        <w:ind w:firstLineChars="0"/>
        <w:outlineLvl w:val="1"/>
        <w:rPr>
          <w:rStyle w:val="28"/>
          <w:rFonts w:ascii="宋体" w:hAnsi="宋体" w:eastAsia="宋体" w:cs="宋体"/>
          <w:b w:val="0"/>
          <w:sz w:val="30"/>
          <w:szCs w:val="30"/>
        </w:rPr>
      </w:pPr>
      <w:bookmarkStart w:id="24" w:name="_Toc15377205"/>
      <w:bookmarkStart w:id="25" w:name="_Toc15396603"/>
      <w:r>
        <w:rPr>
          <w:rFonts w:hint="eastAsia" w:ascii="宋体" w:hAnsi="宋体" w:cs="宋体"/>
          <w:color w:val="000000"/>
          <w:sz w:val="30"/>
          <w:szCs w:val="30"/>
        </w:rPr>
        <w:t>收</w:t>
      </w:r>
      <w:r>
        <w:rPr>
          <w:rStyle w:val="28"/>
          <w:rFonts w:hint="eastAsia" w:ascii="宋体" w:hAnsi="宋体" w:eastAsia="宋体" w:cs="宋体"/>
          <w:b w:val="0"/>
          <w:sz w:val="30"/>
          <w:szCs w:val="30"/>
        </w:rPr>
        <w:t>入支出决算总体情况说明</w:t>
      </w:r>
      <w:bookmarkEnd w:id="24"/>
      <w:bookmarkEnd w:id="25"/>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2020年度收、支总计28089.13万元。与2019年相比，收、支总计增加12786.73万元，上升128.43%。主要变动原因是项目资金增减变化。</w:t>
      </w:r>
    </w:p>
    <w:p>
      <w:pPr>
        <w:pStyle w:val="26"/>
        <w:numPr>
          <w:ilvl w:val="0"/>
          <w:numId w:val="2"/>
        </w:numPr>
        <w:spacing w:line="560" w:lineRule="atLeast"/>
        <w:ind w:firstLineChars="0"/>
        <w:outlineLvl w:val="1"/>
        <w:rPr>
          <w:rStyle w:val="28"/>
          <w:rFonts w:ascii="宋体" w:hAnsi="宋体" w:eastAsia="宋体" w:cs="宋体"/>
          <w:b w:val="0"/>
          <w:sz w:val="30"/>
          <w:szCs w:val="30"/>
        </w:rPr>
      </w:pPr>
      <w:bookmarkStart w:id="26" w:name="_Toc15396604"/>
      <w:bookmarkStart w:id="27" w:name="_Toc15377206"/>
      <w:r>
        <w:rPr>
          <w:rFonts w:hint="eastAsia" w:ascii="宋体" w:hAnsi="宋体" w:cs="宋体"/>
          <w:color w:val="000000"/>
          <w:sz w:val="30"/>
          <w:szCs w:val="30"/>
        </w:rPr>
        <w:t>收</w:t>
      </w:r>
      <w:r>
        <w:rPr>
          <w:rStyle w:val="28"/>
          <w:rFonts w:hint="eastAsia" w:ascii="宋体" w:hAnsi="宋体" w:eastAsia="宋体" w:cs="宋体"/>
          <w:b w:val="0"/>
          <w:sz w:val="30"/>
          <w:szCs w:val="30"/>
        </w:rPr>
        <w:t>入决算情况说明</w:t>
      </w:r>
      <w:bookmarkEnd w:id="26"/>
      <w:bookmarkEnd w:id="27"/>
    </w:p>
    <w:p>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2020年本年收入合计22966.68万元，其中：一般公共预算财政拨款收入2187.99万元，占9.52%；政府性基金预算财政拨款收入20778.69万元，占90.47%；</w:t>
      </w:r>
      <w:r>
        <w:rPr>
          <w:rFonts w:hint="eastAsia" w:ascii="宋体" w:hAnsi="宋体" w:cs="宋体"/>
          <w:color w:val="000000" w:themeColor="text1"/>
          <w:sz w:val="30"/>
          <w:szCs w:val="30"/>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pPr>
        <w:pStyle w:val="26"/>
        <w:numPr>
          <w:ilvl w:val="0"/>
          <w:numId w:val="2"/>
        </w:numPr>
        <w:spacing w:line="560" w:lineRule="atLeast"/>
        <w:ind w:firstLineChars="0"/>
        <w:outlineLvl w:val="1"/>
        <w:rPr>
          <w:rStyle w:val="28"/>
          <w:rFonts w:ascii="宋体" w:hAnsi="宋体" w:eastAsia="宋体" w:cs="宋体"/>
          <w:b w:val="0"/>
          <w:sz w:val="30"/>
          <w:szCs w:val="30"/>
        </w:rPr>
      </w:pPr>
      <w:bookmarkStart w:id="28" w:name="_Toc15396605"/>
      <w:bookmarkStart w:id="29" w:name="_Toc15377207"/>
      <w:r>
        <w:rPr>
          <w:rFonts w:hint="eastAsia" w:ascii="宋体" w:hAnsi="宋体" w:cs="宋体"/>
          <w:color w:val="000000"/>
          <w:sz w:val="30"/>
          <w:szCs w:val="30"/>
        </w:rPr>
        <w:t>支</w:t>
      </w:r>
      <w:r>
        <w:rPr>
          <w:rStyle w:val="28"/>
          <w:rFonts w:hint="eastAsia" w:ascii="宋体" w:hAnsi="宋体" w:eastAsia="宋体" w:cs="宋体"/>
          <w:b w:val="0"/>
          <w:sz w:val="30"/>
          <w:szCs w:val="30"/>
        </w:rPr>
        <w:t>出决算情况说明</w:t>
      </w:r>
      <w:bookmarkEnd w:id="28"/>
      <w:bookmarkEnd w:id="29"/>
    </w:p>
    <w:p>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2020年本年支出合计27075.39万元，其中：基本支出1155.43万元，占4.27%；项目支出25919.96万元，占95.73%；上缴上级支出0.00万元，占0.00%；经营支出0.00万元，占0.00%；对附属单位补助支出0.00万元，占0.00%。</w:t>
      </w:r>
    </w:p>
    <w:p>
      <w:pPr>
        <w:spacing w:line="560" w:lineRule="atLeast"/>
        <w:ind w:firstLine="600" w:firstLineChars="200"/>
        <w:outlineLvl w:val="1"/>
        <w:rPr>
          <w:rStyle w:val="28"/>
          <w:rFonts w:ascii="宋体" w:hAnsi="宋体" w:eastAsia="宋体" w:cs="宋体"/>
          <w:b w:val="0"/>
          <w:sz w:val="30"/>
          <w:szCs w:val="30"/>
        </w:rPr>
      </w:pPr>
      <w:bookmarkStart w:id="30" w:name="_Toc15377208"/>
      <w:bookmarkStart w:id="31" w:name="_Toc15396606"/>
      <w:r>
        <w:rPr>
          <w:rFonts w:hint="eastAsia" w:ascii="宋体" w:hAnsi="宋体" w:cs="宋体"/>
          <w:color w:val="000000"/>
          <w:sz w:val="30"/>
          <w:szCs w:val="30"/>
        </w:rPr>
        <w:t>四、财</w:t>
      </w:r>
      <w:r>
        <w:rPr>
          <w:rStyle w:val="28"/>
          <w:rFonts w:hint="eastAsia" w:ascii="宋体" w:hAnsi="宋体" w:eastAsia="宋体" w:cs="宋体"/>
          <w:b w:val="0"/>
          <w:sz w:val="30"/>
          <w:szCs w:val="30"/>
        </w:rPr>
        <w:t>政拨款收入支出决算总体情况说明</w:t>
      </w:r>
      <w:bookmarkEnd w:id="30"/>
      <w:bookmarkEnd w:id="31"/>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2020年财政拨款收、支总计28089.13万元。与2019年相比，收、支总计增加12786.73万元，上升128.43%。主要变动原因是项目资金增减变化。</w:t>
      </w:r>
    </w:p>
    <w:p>
      <w:pPr>
        <w:spacing w:line="560" w:lineRule="atLeast"/>
        <w:ind w:firstLine="600" w:firstLineChars="200"/>
        <w:outlineLvl w:val="1"/>
        <w:rPr>
          <w:rStyle w:val="28"/>
          <w:rFonts w:ascii="宋体" w:hAnsi="宋体" w:eastAsia="宋体" w:cs="宋体"/>
          <w:b w:val="0"/>
          <w:sz w:val="30"/>
          <w:szCs w:val="30"/>
        </w:rPr>
      </w:pPr>
      <w:bookmarkStart w:id="32" w:name="_Toc15396607"/>
      <w:bookmarkStart w:id="33" w:name="_Toc15377209"/>
      <w:r>
        <w:rPr>
          <w:rFonts w:hint="eastAsia" w:ascii="宋体" w:hAnsi="宋体" w:cs="宋体"/>
          <w:color w:val="000000"/>
          <w:sz w:val="30"/>
          <w:szCs w:val="30"/>
        </w:rPr>
        <w:t>五、</w:t>
      </w:r>
      <w:r>
        <w:rPr>
          <w:rFonts w:hint="eastAsia" w:ascii="宋体" w:hAnsi="宋体" w:cs="宋体"/>
          <w:b/>
          <w:color w:val="000000"/>
          <w:sz w:val="30"/>
          <w:szCs w:val="30"/>
        </w:rPr>
        <w:t>一</w:t>
      </w:r>
      <w:r>
        <w:rPr>
          <w:rStyle w:val="28"/>
          <w:rFonts w:hint="eastAsia" w:ascii="宋体" w:hAnsi="宋体" w:eastAsia="宋体" w:cs="宋体"/>
          <w:b w:val="0"/>
          <w:sz w:val="30"/>
          <w:szCs w:val="30"/>
        </w:rPr>
        <w:t>般公共预算财政拨款支出决算情况说明</w:t>
      </w:r>
      <w:bookmarkEnd w:id="32"/>
      <w:bookmarkEnd w:id="33"/>
    </w:p>
    <w:p>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pPr>
        <w:spacing w:line="560" w:lineRule="atLeast"/>
        <w:ind w:firstLine="600" w:firstLineChars="200"/>
        <w:rPr>
          <w:rFonts w:ascii="宋体" w:hAnsi="宋体" w:cs="宋体"/>
          <w:color w:val="000000" w:themeColor="text1"/>
          <w:sz w:val="30"/>
          <w:szCs w:val="30"/>
        </w:rPr>
      </w:pPr>
      <w:r>
        <w:rPr>
          <w:rFonts w:hint="eastAsia" w:ascii="宋体" w:hAnsi="宋体" w:cs="宋体"/>
          <w:color w:val="000000"/>
          <w:sz w:val="30"/>
          <w:szCs w:val="30"/>
        </w:rPr>
        <w:t>2020年一般公共预算财政拨款支出3096.21万元，占本年支出合计的11.44%。与2019年相比，一般公共预算财政拨款减少6797.14万元，下降234.55%。主要变动原因是项目资金增减变化。</w:t>
      </w:r>
    </w:p>
    <w:p>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pPr>
        <w:spacing w:line="560" w:lineRule="atLeast"/>
        <w:ind w:firstLine="640"/>
        <w:rPr>
          <w:rFonts w:ascii="宋体" w:hAnsi="宋体" w:cs="宋体"/>
          <w:bCs/>
          <w:color w:val="000000" w:themeColor="text1"/>
          <w:sz w:val="30"/>
          <w:szCs w:val="30"/>
        </w:rPr>
      </w:pPr>
      <w:r>
        <w:rPr>
          <w:rFonts w:hint="eastAsia" w:ascii="宋体" w:hAnsi="宋体" w:cs="宋体"/>
          <w:bCs/>
          <w:color w:val="000000"/>
          <w:sz w:val="30"/>
          <w:szCs w:val="30"/>
        </w:rPr>
        <w:t>2020年一般公共预算财</w:t>
      </w:r>
      <w:r>
        <w:rPr>
          <w:rFonts w:hint="eastAsia" w:ascii="宋体" w:hAnsi="宋体" w:cs="宋体"/>
          <w:bCs/>
          <w:color w:val="000000" w:themeColor="text1"/>
          <w:sz w:val="30"/>
          <w:szCs w:val="30"/>
        </w:rPr>
        <w:t>政拨款支出</w:t>
      </w:r>
      <w:r>
        <w:rPr>
          <w:rFonts w:hint="eastAsia" w:ascii="宋体" w:hAnsi="宋体" w:cs="宋体"/>
          <w:color w:val="000000"/>
          <w:sz w:val="30"/>
          <w:szCs w:val="30"/>
        </w:rPr>
        <w:t>3096.21</w:t>
      </w:r>
      <w:r>
        <w:rPr>
          <w:rFonts w:hint="eastAsia" w:ascii="宋体" w:hAnsi="宋体" w:cs="宋体"/>
          <w:bCs/>
          <w:color w:val="000000" w:themeColor="text1"/>
          <w:sz w:val="30"/>
          <w:szCs w:val="30"/>
        </w:rPr>
        <w:t>万元，主要用于以下方面:一般公共服务支出0.00万元，占0.00%；教育支出0.00万元，占0.00%；科学技术支出0.00万元，占0.00%；文化旅游体育与传媒支出0.00万元，占0.00%；社会保障和就业支出支出145.07万元，占4.69%；</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rPr>
        <w:t>28.5万元，占0.92%；节能环保支出0.00万元，占0.00%；城乡社区支出0.00万元，占0.00%；农林水支出2838.00万元，占91.66%；交通运输支出0.00万元，占0.00%；资源勘探信息等支出0.00万元，占0.00%；商业服务业等支出0.00万元，占0.00%；金融支出0.00%；国土海洋气象等支出0.00万元，占0.00%；住房保障支出84.64万元，占2.73%；粮油物资储备支出0.00万元，占0.00%；其他支出0.00万元，占0.00%；债务还本支出）0.00万元，占0.00%；债务付息支出0.00万元，占0.00%；债务付息支出0.00万元，占0.00%。</w:t>
      </w:r>
    </w:p>
    <w:p>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pPr>
        <w:spacing w:line="560" w:lineRule="atLeast"/>
        <w:ind w:firstLine="600" w:firstLineChars="200"/>
        <w:outlineLvl w:val="2"/>
        <w:rPr>
          <w:rFonts w:ascii="宋体" w:hAnsi="宋体" w:cs="宋体"/>
          <w:bCs/>
          <w:color w:val="FF0000"/>
          <w:sz w:val="30"/>
          <w:szCs w:val="30"/>
        </w:rPr>
      </w:pPr>
      <w:bookmarkStart w:id="37" w:name="_Toc15377444"/>
      <w:bookmarkStart w:id="38" w:name="_Toc15377213"/>
      <w:bookmarkStart w:id="39" w:name="_Toc15378460"/>
      <w:r>
        <w:rPr>
          <w:rFonts w:hint="eastAsia" w:ascii="宋体" w:hAnsi="宋体" w:cs="宋体"/>
          <w:bCs/>
          <w:color w:val="000000" w:themeColor="text1"/>
          <w:sz w:val="30"/>
          <w:szCs w:val="30"/>
        </w:rPr>
        <w:t>2020年一般公共预算支出决算数为</w:t>
      </w:r>
      <w:r>
        <w:rPr>
          <w:rFonts w:hint="eastAsia" w:ascii="宋体" w:hAnsi="宋体" w:cs="宋体"/>
          <w:color w:val="000000"/>
          <w:sz w:val="30"/>
          <w:szCs w:val="30"/>
        </w:rPr>
        <w:t>3096.21</w:t>
      </w:r>
      <w:r>
        <w:rPr>
          <w:rFonts w:hint="eastAsia" w:ascii="宋体" w:hAnsi="宋体" w:cs="宋体"/>
          <w:bCs/>
          <w:color w:val="000000" w:themeColor="text1"/>
          <w:sz w:val="30"/>
          <w:szCs w:val="30"/>
        </w:rPr>
        <w:t>万元，</w:t>
      </w:r>
      <w:r>
        <w:rPr>
          <w:rStyle w:val="17"/>
          <w:rFonts w:hint="eastAsia" w:ascii="宋体" w:hAnsi="宋体" w:cs="宋体"/>
          <w:b w:val="0"/>
          <w:bCs/>
          <w:color w:val="000000" w:themeColor="text1"/>
          <w:sz w:val="30"/>
          <w:szCs w:val="30"/>
        </w:rPr>
        <w:t>完成</w:t>
      </w:r>
      <w:r>
        <w:rPr>
          <w:rStyle w:val="17"/>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7"/>
          <w:rFonts w:hint="eastAsia" w:ascii="宋体" w:hAnsi="宋体" w:cs="宋体"/>
          <w:b w:val="0"/>
          <w:bCs/>
          <w:color w:val="000000"/>
          <w:sz w:val="30"/>
          <w:szCs w:val="30"/>
        </w:rPr>
        <w:t>其中：</w:t>
      </w:r>
      <w:bookmarkEnd w:id="37"/>
      <w:bookmarkEnd w:id="38"/>
      <w:bookmarkEnd w:id="39"/>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1、社会保障和就业支出（208）2020年决算数为145.07万元，其中：</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机关事业单位基本养老保险缴费支出（2080505）2020年决算数为70.05万元，完成预算100%，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7"/>
          <w:rFonts w:hint="eastAsia" w:ascii="宋体" w:hAnsi="宋体" w:cs="宋体"/>
          <w:b w:val="0"/>
          <w:bCs/>
          <w:color w:val="000000"/>
          <w:sz w:val="30"/>
          <w:szCs w:val="30"/>
        </w:rPr>
        <w:t>）</w:t>
      </w:r>
      <w:r>
        <w:rPr>
          <w:rFonts w:hint="eastAsia" w:ascii="宋体" w:hAnsi="宋体" w:cs="宋体"/>
          <w:bCs/>
          <w:color w:val="000000"/>
          <w:sz w:val="30"/>
          <w:szCs w:val="30"/>
        </w:rPr>
        <w:t>2020年决算数为35.02万元，完成预算100%，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2020年决算数为30.46万元，年初无预算,</w:t>
      </w:r>
      <w:r>
        <w:rPr>
          <w:rFonts w:hint="eastAsia" w:ascii="宋体" w:hAnsi="宋体" w:cs="宋体"/>
          <w:bCs/>
          <w:color w:val="333333"/>
          <w:sz w:val="30"/>
          <w:szCs w:val="30"/>
        </w:rPr>
        <w:t>该经费为在职职工蒋明和退休职工丁庆平的安葬费和抚恤金。</w:t>
      </w:r>
    </w:p>
    <w:p>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其他优抚支出（2080899</w:t>
      </w:r>
      <w:r>
        <w:rPr>
          <w:rStyle w:val="17"/>
          <w:rFonts w:hint="eastAsia" w:ascii="宋体" w:hAnsi="宋体" w:cs="宋体"/>
          <w:b w:val="0"/>
          <w:bCs/>
          <w:color w:val="000000"/>
          <w:sz w:val="30"/>
          <w:szCs w:val="30"/>
        </w:rPr>
        <w:t>）</w:t>
      </w:r>
      <w:r>
        <w:rPr>
          <w:rFonts w:hint="eastAsia" w:ascii="宋体" w:hAnsi="宋体" w:cs="宋体"/>
          <w:bCs/>
          <w:color w:val="000000"/>
          <w:sz w:val="30"/>
          <w:szCs w:val="30"/>
        </w:rPr>
        <w:t>2020年决算数为5.93万元，完成预算100%，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其他社会保障和就业支出（2089901）</w:t>
      </w:r>
      <w:r>
        <w:rPr>
          <w:rFonts w:hint="eastAsia" w:ascii="宋体" w:hAnsi="宋体" w:cs="宋体"/>
          <w:bCs/>
          <w:color w:val="000000"/>
          <w:sz w:val="30"/>
          <w:szCs w:val="30"/>
        </w:rPr>
        <w:t>2020年决算数为3.61万元，完成预算100%，</w:t>
      </w:r>
      <w:r>
        <w:rPr>
          <w:rFonts w:hint="eastAsia" w:ascii="宋体" w:hAnsi="宋体" w:cs="宋体"/>
          <w:bCs/>
          <w:color w:val="333333"/>
          <w:sz w:val="30"/>
          <w:szCs w:val="30"/>
        </w:rPr>
        <w:t>与预算数持平。</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2、卫生健康支出(210)2020年决算数为28.5万元，完成预算100%，</w:t>
      </w:r>
      <w:r>
        <w:rPr>
          <w:rFonts w:hint="eastAsia" w:ascii="宋体" w:hAnsi="宋体" w:cs="宋体"/>
          <w:bCs/>
          <w:color w:val="333333"/>
          <w:sz w:val="30"/>
          <w:szCs w:val="30"/>
        </w:rPr>
        <w:t>与预算数持平。其中：</w:t>
      </w:r>
    </w:p>
    <w:p>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行政单位医疗（2101101）2020年决算数为 8.91万元，完成预算100.00%，</w:t>
      </w:r>
      <w:r>
        <w:rPr>
          <w:rFonts w:hint="eastAsia" w:ascii="宋体" w:hAnsi="宋体" w:cs="宋体"/>
          <w:bCs/>
          <w:color w:val="333333"/>
          <w:sz w:val="30"/>
          <w:szCs w:val="30"/>
        </w:rPr>
        <w:t>与预算数持平。</w:t>
      </w:r>
    </w:p>
    <w:p>
      <w:pPr>
        <w:spacing w:line="560" w:lineRule="atLeast"/>
        <w:ind w:firstLine="600" w:firstLineChars="200"/>
        <w:jc w:val="left"/>
        <w:rPr>
          <w:rStyle w:val="17"/>
          <w:rFonts w:ascii="宋体" w:hAnsi="宋体" w:cs="宋体"/>
          <w:b w:val="0"/>
          <w:bCs/>
          <w:color w:val="000000"/>
          <w:sz w:val="30"/>
          <w:szCs w:val="30"/>
        </w:rPr>
      </w:pPr>
      <w:r>
        <w:rPr>
          <w:rFonts w:hint="eastAsia" w:ascii="宋体" w:hAnsi="宋体" w:cs="宋体"/>
          <w:bCs/>
          <w:color w:val="000000"/>
          <w:sz w:val="30"/>
          <w:szCs w:val="30"/>
        </w:rPr>
        <w:t>事业单位医疗（2101102）2020年决算数为19.59万元，完成预算100.00%，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3、农林水支出(213)2020年决算数为2838.00万元，完成预算70.61%，</w:t>
      </w:r>
      <w:r>
        <w:rPr>
          <w:rStyle w:val="17"/>
          <w:rFonts w:hint="eastAsia" w:ascii="宋体" w:hAnsi="宋体" w:cs="宋体"/>
          <w:b w:val="0"/>
          <w:bCs/>
          <w:color w:val="000000"/>
          <w:sz w:val="30"/>
          <w:szCs w:val="30"/>
        </w:rPr>
        <w:t>决算数小于预算数的主要原因是项目实施缓慢而无法拨付资金。</w:t>
      </w:r>
      <w:r>
        <w:rPr>
          <w:rFonts w:hint="eastAsia" w:ascii="宋体" w:hAnsi="宋体" w:cs="宋体"/>
          <w:bCs/>
          <w:color w:val="333333"/>
          <w:sz w:val="30"/>
          <w:szCs w:val="30"/>
        </w:rPr>
        <w:t>其中：</w:t>
      </w:r>
    </w:p>
    <w:p>
      <w:pPr>
        <w:spacing w:line="560" w:lineRule="atLeast"/>
        <w:ind w:firstLine="600" w:firstLineChars="200"/>
        <w:rPr>
          <w:rFonts w:ascii="宋体" w:hAnsi="宋体" w:cs="宋体"/>
          <w:bCs/>
          <w:color w:val="333333"/>
          <w:sz w:val="30"/>
          <w:szCs w:val="30"/>
        </w:rPr>
      </w:pPr>
      <w:r>
        <w:rPr>
          <w:rStyle w:val="17"/>
          <w:rFonts w:hint="eastAsia" w:ascii="宋体" w:hAnsi="宋体" w:cs="宋体"/>
          <w:b w:val="0"/>
          <w:bCs/>
          <w:color w:val="000000"/>
          <w:sz w:val="30"/>
          <w:szCs w:val="30"/>
        </w:rPr>
        <w:t>行政运行（2130301）</w:t>
      </w:r>
      <w:r>
        <w:rPr>
          <w:rFonts w:hint="eastAsia" w:ascii="宋体" w:hAnsi="宋体" w:cs="宋体"/>
          <w:bCs/>
          <w:color w:val="000000"/>
          <w:sz w:val="30"/>
          <w:szCs w:val="30"/>
        </w:rPr>
        <w:t>2020年决算数为308.65万元，完成预算100.00%，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7"/>
          <w:rFonts w:hint="eastAsia" w:ascii="宋体" w:hAnsi="宋体" w:cs="宋体"/>
          <w:b w:val="0"/>
          <w:bCs/>
          <w:color w:val="000000"/>
          <w:sz w:val="30"/>
          <w:szCs w:val="30"/>
        </w:rPr>
        <w:t>）</w:t>
      </w:r>
      <w:r>
        <w:rPr>
          <w:rFonts w:hint="eastAsia" w:ascii="宋体" w:hAnsi="宋体" w:cs="宋体"/>
          <w:bCs/>
          <w:color w:val="000000"/>
          <w:sz w:val="30"/>
          <w:szCs w:val="30"/>
        </w:rPr>
        <w:t>2020年决算数为583.15万元，完成预算100.00%，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bCs/>
          <w:color w:val="333333"/>
          <w:sz w:val="30"/>
          <w:szCs w:val="30"/>
        </w:rPr>
      </w:pPr>
      <w:r>
        <w:rPr>
          <w:rStyle w:val="17"/>
          <w:rFonts w:hint="eastAsia" w:ascii="宋体" w:hAnsi="宋体" w:cs="宋体"/>
          <w:b w:val="0"/>
          <w:bCs/>
          <w:color w:val="000000"/>
          <w:sz w:val="30"/>
          <w:szCs w:val="30"/>
        </w:rPr>
        <w:t>防汛（2130314）</w:t>
      </w:r>
      <w:r>
        <w:rPr>
          <w:rFonts w:hint="eastAsia" w:ascii="宋体" w:hAnsi="宋体" w:cs="宋体"/>
          <w:bCs/>
          <w:color w:val="000000"/>
          <w:sz w:val="30"/>
          <w:szCs w:val="30"/>
        </w:rPr>
        <w:t>2020年决算数为107.00万元，完成预算100.00%，</w:t>
      </w:r>
      <w:r>
        <w:rPr>
          <w:rFonts w:hint="eastAsia" w:ascii="宋体" w:hAnsi="宋体" w:cs="宋体"/>
          <w:bCs/>
          <w:color w:val="333333"/>
          <w:sz w:val="30"/>
          <w:szCs w:val="30"/>
        </w:rPr>
        <w:t>与预算数持平。</w:t>
      </w:r>
    </w:p>
    <w:p>
      <w:pPr>
        <w:spacing w:line="560" w:lineRule="atLeast"/>
        <w:ind w:firstLine="600" w:firstLineChars="200"/>
        <w:rPr>
          <w:rFonts w:ascii="宋体" w:hAnsi="宋体" w:cs="宋体"/>
          <w:color w:val="333333"/>
          <w:sz w:val="30"/>
          <w:szCs w:val="30"/>
        </w:rPr>
      </w:pPr>
      <w:r>
        <w:rPr>
          <w:rStyle w:val="17"/>
          <w:rFonts w:hint="eastAsia" w:ascii="宋体" w:hAnsi="宋体" w:cs="宋体"/>
          <w:b w:val="0"/>
          <w:color w:val="000000"/>
          <w:sz w:val="30"/>
          <w:szCs w:val="30"/>
        </w:rPr>
        <w:t>农村人畜饮水（2130335）</w:t>
      </w:r>
      <w:r>
        <w:rPr>
          <w:rFonts w:hint="eastAsia" w:ascii="宋体" w:hAnsi="宋体" w:cs="宋体"/>
          <w:color w:val="000000"/>
          <w:sz w:val="30"/>
          <w:szCs w:val="30"/>
        </w:rPr>
        <w:t>2020年决算数为21.00万元，完成预算100.00%，</w:t>
      </w:r>
      <w:r>
        <w:rPr>
          <w:rFonts w:hint="eastAsia" w:ascii="宋体" w:hAnsi="宋体" w:cs="宋体"/>
          <w:color w:val="333333"/>
          <w:sz w:val="30"/>
          <w:szCs w:val="30"/>
        </w:rPr>
        <w:t>与预算数持平。</w:t>
      </w:r>
    </w:p>
    <w:p>
      <w:pPr>
        <w:spacing w:line="560" w:lineRule="atLeast"/>
        <w:ind w:firstLine="600" w:firstLineChars="200"/>
        <w:rPr>
          <w:rStyle w:val="17"/>
          <w:rFonts w:ascii="宋体" w:hAnsi="宋体" w:cs="宋体"/>
          <w:b w:val="0"/>
          <w:bCs/>
          <w:color w:val="000000"/>
          <w:sz w:val="30"/>
          <w:szCs w:val="30"/>
        </w:rPr>
      </w:pPr>
      <w:r>
        <w:rPr>
          <w:rStyle w:val="17"/>
          <w:rFonts w:hint="eastAsia" w:ascii="宋体" w:hAnsi="宋体" w:cs="宋体"/>
          <w:b w:val="0"/>
          <w:color w:val="000000"/>
          <w:sz w:val="30"/>
          <w:szCs w:val="30"/>
        </w:rPr>
        <w:t>其他水利支出（2130399）</w:t>
      </w:r>
      <w:r>
        <w:rPr>
          <w:rFonts w:hint="eastAsia" w:ascii="宋体" w:hAnsi="宋体" w:cs="宋体"/>
          <w:color w:val="000000"/>
          <w:sz w:val="30"/>
          <w:szCs w:val="30"/>
        </w:rPr>
        <w:t>2020年决算数为1815.2万元，完成预算70.61%，</w:t>
      </w:r>
      <w:r>
        <w:rPr>
          <w:rStyle w:val="17"/>
          <w:rFonts w:hint="eastAsia" w:ascii="宋体" w:hAnsi="宋体" w:cs="宋体"/>
          <w:b w:val="0"/>
          <w:bCs/>
          <w:color w:val="000000"/>
          <w:sz w:val="30"/>
          <w:szCs w:val="30"/>
        </w:rPr>
        <w:t>决算数小于预算数的主要原因是项目实施缓慢而无法拨付资金。</w:t>
      </w:r>
    </w:p>
    <w:p>
      <w:pPr>
        <w:spacing w:line="560" w:lineRule="atLeast"/>
        <w:ind w:firstLine="600" w:firstLineChars="200"/>
        <w:rPr>
          <w:rFonts w:ascii="宋体" w:hAnsi="宋体" w:cs="宋体"/>
          <w:sz w:val="30"/>
          <w:szCs w:val="30"/>
        </w:rPr>
      </w:pPr>
      <w:r>
        <w:rPr>
          <w:rStyle w:val="17"/>
          <w:rFonts w:hint="eastAsia" w:ascii="宋体" w:hAnsi="宋体" w:cs="宋体"/>
          <w:b w:val="0"/>
          <w:bCs/>
          <w:color w:val="000000"/>
          <w:sz w:val="30"/>
          <w:szCs w:val="30"/>
        </w:rPr>
        <w:t>其他扶贫支出（2130599）</w:t>
      </w:r>
      <w:r>
        <w:rPr>
          <w:rFonts w:hint="eastAsia" w:ascii="宋体" w:hAnsi="宋体" w:cs="宋体"/>
          <w:color w:val="000000"/>
          <w:sz w:val="30"/>
          <w:szCs w:val="30"/>
        </w:rPr>
        <w:t>2020年决算数为3.00万元，完成预算100.00%，</w:t>
      </w:r>
      <w:r>
        <w:rPr>
          <w:rFonts w:hint="eastAsia" w:ascii="宋体" w:hAnsi="宋体" w:cs="宋体"/>
          <w:color w:val="333333"/>
          <w:sz w:val="30"/>
          <w:szCs w:val="30"/>
        </w:rPr>
        <w:t>与预算数持平。</w:t>
      </w:r>
    </w:p>
    <w:p>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4、住房保障支出(221)2020年决算数为45.65万元，完成预算100.00%，</w:t>
      </w:r>
      <w:r>
        <w:rPr>
          <w:rFonts w:hint="eastAsia" w:ascii="宋体" w:hAnsi="宋体" w:cs="宋体"/>
          <w:color w:val="333333"/>
          <w:sz w:val="30"/>
          <w:szCs w:val="30"/>
        </w:rPr>
        <w:t>与预算数持平。其中：</w:t>
      </w:r>
    </w:p>
    <w:p>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住房公积金（2210201）2020年决算数为84.64元，完成预算100.00%，</w:t>
      </w:r>
      <w:r>
        <w:rPr>
          <w:rFonts w:hint="eastAsia" w:ascii="宋体" w:hAnsi="宋体" w:cs="宋体"/>
          <w:color w:val="333333"/>
          <w:sz w:val="30"/>
          <w:szCs w:val="30"/>
        </w:rPr>
        <w:t>与预算数持平。</w:t>
      </w:r>
    </w:p>
    <w:p>
      <w:pPr>
        <w:tabs>
          <w:tab w:val="right" w:pos="8306"/>
        </w:tabs>
        <w:spacing w:line="560" w:lineRule="atLeast"/>
        <w:ind w:firstLine="640"/>
        <w:outlineLvl w:val="1"/>
        <w:rPr>
          <w:rStyle w:val="28"/>
          <w:rFonts w:ascii="宋体" w:hAnsi="宋体" w:eastAsia="宋体" w:cs="宋体"/>
          <w:sz w:val="30"/>
          <w:szCs w:val="30"/>
        </w:rPr>
      </w:pPr>
      <w:bookmarkStart w:id="40" w:name="_Toc15396608"/>
      <w:bookmarkStart w:id="41" w:name="_Toc15377214"/>
      <w:r>
        <w:rPr>
          <w:rFonts w:hint="eastAsia" w:ascii="宋体" w:hAnsi="宋体" w:cs="宋体"/>
          <w:color w:val="000000"/>
          <w:sz w:val="30"/>
          <w:szCs w:val="30"/>
        </w:rPr>
        <w:t>六</w:t>
      </w:r>
      <w:r>
        <w:rPr>
          <w:rFonts w:hint="eastAsia" w:ascii="宋体" w:hAnsi="宋体" w:cs="宋体"/>
          <w:b/>
          <w:color w:val="000000"/>
          <w:sz w:val="30"/>
          <w:szCs w:val="30"/>
        </w:rPr>
        <w:t>、一</w:t>
      </w:r>
      <w:r>
        <w:rPr>
          <w:rStyle w:val="28"/>
          <w:rFonts w:hint="eastAsia" w:ascii="宋体" w:hAnsi="宋体" w:eastAsia="宋体" w:cs="宋体"/>
          <w:b w:val="0"/>
          <w:sz w:val="30"/>
          <w:szCs w:val="30"/>
        </w:rPr>
        <w:t>般公共预算财政拨款基本支出决算情况说明</w:t>
      </w:r>
      <w:bookmarkEnd w:id="40"/>
      <w:bookmarkEnd w:id="41"/>
      <w:r>
        <w:rPr>
          <w:rStyle w:val="28"/>
          <w:rFonts w:hint="eastAsia" w:ascii="宋体" w:hAnsi="宋体" w:eastAsia="宋体" w:cs="宋体"/>
          <w:b w:val="0"/>
          <w:sz w:val="30"/>
          <w:szCs w:val="30"/>
        </w:rPr>
        <w:tab/>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2020年一般公共预算财政拨款基本支出1155.43万元，其中：</w:t>
      </w:r>
    </w:p>
    <w:p>
      <w:pPr>
        <w:spacing w:line="560" w:lineRule="atLeast"/>
        <w:ind w:firstLine="645"/>
        <w:rPr>
          <w:rFonts w:ascii="宋体" w:hAnsi="宋体" w:cs="宋体"/>
          <w:color w:val="000000"/>
          <w:sz w:val="30"/>
          <w:szCs w:val="30"/>
        </w:rPr>
      </w:pPr>
      <w:r>
        <w:rPr>
          <w:rFonts w:hint="eastAsia" w:ascii="宋体" w:hAnsi="宋体" w:cs="宋体"/>
          <w:color w:val="000000"/>
          <w:sz w:val="30"/>
          <w:szCs w:val="30"/>
        </w:rPr>
        <w:t>人员经费1053.08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cs="宋体"/>
          <w:color w:val="000000"/>
          <w:sz w:val="30"/>
          <w:szCs w:val="30"/>
        </w:rPr>
        <w:br w:type="textWrapping"/>
      </w:r>
      <w:r>
        <w:rPr>
          <w:rFonts w:hint="eastAsia" w:ascii="宋体" w:hAnsi="宋体" w:cs="宋体"/>
          <w:color w:val="000000"/>
          <w:sz w:val="30"/>
          <w:szCs w:val="30"/>
        </w:rPr>
        <w:t>　　日常公用经费102.35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atLeast"/>
        <w:ind w:firstLine="640"/>
        <w:outlineLvl w:val="1"/>
        <w:rPr>
          <w:rStyle w:val="28"/>
          <w:rFonts w:ascii="宋体" w:hAnsi="宋体" w:eastAsia="宋体" w:cs="宋体"/>
          <w:b w:val="0"/>
          <w:bCs w:val="0"/>
          <w:sz w:val="30"/>
          <w:szCs w:val="30"/>
        </w:rPr>
      </w:pPr>
      <w:bookmarkStart w:id="42" w:name="_Toc15377215"/>
      <w:bookmarkStart w:id="43" w:name="_Toc15396609"/>
      <w:r>
        <w:rPr>
          <w:rFonts w:hint="eastAsia" w:ascii="宋体" w:hAnsi="宋体" w:cs="宋体"/>
          <w:color w:val="000000"/>
          <w:sz w:val="30"/>
          <w:szCs w:val="30"/>
        </w:rPr>
        <w:t>七、</w:t>
      </w:r>
      <w:r>
        <w:rPr>
          <w:rStyle w:val="28"/>
          <w:rFonts w:hint="eastAsia" w:ascii="宋体" w:hAnsi="宋体" w:eastAsia="宋体" w:cs="宋体"/>
          <w:b w:val="0"/>
          <w:bCs w:val="0"/>
          <w:sz w:val="30"/>
          <w:szCs w:val="30"/>
        </w:rPr>
        <w:t>“三公”经费财政拨款支出决算情况说明</w:t>
      </w:r>
      <w:bookmarkEnd w:id="42"/>
      <w:bookmarkEnd w:id="43"/>
    </w:p>
    <w:p>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2020年“三公”经费财政拨款支出决算为22.8万元，完成预算57.98%，决算数小于预算数的主要原因是厉行节俭，打紧安排。</w:t>
      </w:r>
    </w:p>
    <w:p>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2020年“三公”经费财政拨款支出决算中，因公出国（境）费支出决算0.00万元，占0.00%；公务用车购置及运行维护费支出决算12.82万元，占96.97%；公务接待费支出决算0.4万元，占3.03%。具体情况如下：</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7"/>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2.公务用车购置及运行维护费支出12.82万元,</w:t>
      </w:r>
      <w:r>
        <w:rPr>
          <w:rStyle w:val="17"/>
          <w:rFonts w:hint="eastAsia" w:ascii="宋体" w:hAnsi="宋体" w:cs="宋体"/>
          <w:b w:val="0"/>
          <w:color w:val="000000"/>
          <w:sz w:val="30"/>
          <w:szCs w:val="30"/>
        </w:rPr>
        <w:t>完成预算64.10%。</w:t>
      </w:r>
      <w:r>
        <w:rPr>
          <w:rFonts w:hint="eastAsia" w:ascii="宋体" w:hAnsi="宋体" w:cs="宋体"/>
          <w:color w:val="000000"/>
          <w:sz w:val="30"/>
          <w:szCs w:val="30"/>
        </w:rPr>
        <w:t>公务用车购置及运行维护费支出决算比2019年减少5.54万元，下降46.39%。主要原因是厉行节俭，打紧安排。</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其中：公务用车购置支出0.00万元。全年按规定更新购置公务用车0辆，金额0.00元。截至2020年12月底，单位共有公务用车3辆，其中：主要领导干部用车0辆、机要通信用车0辆、应急保障用车0辆、 执法执勤用车5辆。</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公务用车运行维护费支出12.82万元。主要用于主要用于防汛等日常公务及项目建设等所需的公务用车燃料费、维修费、过路过桥费、保险费等支出。</w:t>
      </w:r>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3.公务接待费支出0.4万元，</w:t>
      </w:r>
      <w:r>
        <w:rPr>
          <w:rStyle w:val="17"/>
          <w:rFonts w:hint="eastAsia" w:ascii="宋体" w:hAnsi="宋体" w:cs="宋体"/>
          <w:b w:val="0"/>
          <w:color w:val="000000"/>
          <w:sz w:val="30"/>
          <w:szCs w:val="30"/>
        </w:rPr>
        <w:t>完成预算14.28%。</w:t>
      </w:r>
      <w:r>
        <w:rPr>
          <w:rFonts w:hint="eastAsia" w:ascii="宋体" w:hAnsi="宋体" w:cs="宋体"/>
          <w:color w:val="000000"/>
          <w:sz w:val="30"/>
          <w:szCs w:val="30"/>
        </w:rPr>
        <w:t>公务接待费支出决算比2019年减少1.27万元，下降76.05%。主要原因是厉行节俭，打紧安排。其中：</w:t>
      </w:r>
    </w:p>
    <w:p>
      <w:pPr>
        <w:spacing w:line="600" w:lineRule="exact"/>
        <w:ind w:firstLine="640"/>
        <w:rPr>
          <w:rFonts w:ascii="宋体" w:hAnsi="宋体" w:cs="宋体"/>
          <w:color w:val="000000"/>
          <w:sz w:val="30"/>
          <w:szCs w:val="30"/>
        </w:rPr>
      </w:pPr>
      <w:r>
        <w:rPr>
          <w:rFonts w:hint="eastAsia" w:ascii="宋体" w:hAnsi="宋体" w:cs="宋体"/>
          <w:color w:val="000000"/>
          <w:sz w:val="30"/>
          <w:szCs w:val="30"/>
        </w:rPr>
        <w:t>国内公务接待支出0.4万元，主要用于执行公务、开展业务活动开支的交通费、住宿费、用餐费等。国内公务接待7批次，78人次（不包括陪同人员），共计支出0.4万元，具体内容包括：水务局机关接受省水利厅、乐山市水务局检查防汛工作用餐费0.08万元，2餐20人次；河湖保护中心接受省水利厅对“引青进峨”河湖库连通工程项目督查餐费，乐山市水务局对我单位进行防汛检查餐费、省水利厅对我单位进行防汛检查餐费，防汛演练餐费、水库除险加固督查餐费，共计0.32万元。</w:t>
      </w:r>
    </w:p>
    <w:p>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rPr>
        <w:t>，外事接待0批次，0人，共计支出0.00万元。</w:t>
      </w:r>
      <w:bookmarkStart w:id="46" w:name="_Toc15377218"/>
      <w:bookmarkStart w:id="47" w:name="_Toc15396610"/>
    </w:p>
    <w:p>
      <w:pPr>
        <w:spacing w:line="560" w:lineRule="atLeast"/>
        <w:ind w:firstLine="640"/>
        <w:outlineLvl w:val="1"/>
        <w:rPr>
          <w:rStyle w:val="28"/>
          <w:rFonts w:ascii="宋体" w:hAnsi="宋体" w:eastAsia="宋体" w:cs="宋体"/>
          <w:sz w:val="30"/>
          <w:szCs w:val="30"/>
        </w:rPr>
      </w:pPr>
      <w:r>
        <w:rPr>
          <w:rFonts w:hint="eastAsia" w:ascii="宋体" w:hAnsi="宋体" w:cs="宋体"/>
          <w:color w:val="000000"/>
          <w:sz w:val="30"/>
          <w:szCs w:val="30"/>
        </w:rPr>
        <w:t>八、</w:t>
      </w:r>
      <w:r>
        <w:rPr>
          <w:rStyle w:val="28"/>
          <w:rFonts w:hint="eastAsia" w:ascii="宋体" w:hAnsi="宋体" w:eastAsia="宋体" w:cs="宋体"/>
          <w:b w:val="0"/>
          <w:sz w:val="30"/>
          <w:szCs w:val="30"/>
        </w:rPr>
        <w:t>政府性基金预算支出决算情况说明</w:t>
      </w:r>
      <w:bookmarkEnd w:id="46"/>
      <w:bookmarkEnd w:id="47"/>
    </w:p>
    <w:p>
      <w:pPr>
        <w:spacing w:line="560" w:lineRule="atLeast"/>
        <w:ind w:firstLine="640"/>
        <w:rPr>
          <w:rFonts w:ascii="宋体" w:hAnsi="宋体" w:cs="宋体"/>
          <w:color w:val="000000"/>
          <w:sz w:val="30"/>
          <w:szCs w:val="30"/>
        </w:rPr>
      </w:pPr>
      <w:r>
        <w:rPr>
          <w:rFonts w:hint="eastAsia" w:ascii="宋体" w:hAnsi="宋体" w:cs="宋体"/>
          <w:color w:val="000000"/>
          <w:sz w:val="30"/>
          <w:szCs w:val="30"/>
        </w:rPr>
        <w:t>2020年政府性基金预算拨款支出20778.69万元。</w:t>
      </w:r>
    </w:p>
    <w:p>
      <w:pPr>
        <w:numPr>
          <w:ilvl w:val="0"/>
          <w:numId w:val="3"/>
        </w:numPr>
        <w:spacing w:line="560" w:lineRule="atLeast"/>
        <w:ind w:firstLine="640"/>
        <w:outlineLvl w:val="1"/>
        <w:rPr>
          <w:rStyle w:val="28"/>
          <w:rFonts w:ascii="宋体" w:hAnsi="宋体" w:eastAsia="宋体" w:cs="宋体"/>
          <w:b w:val="0"/>
          <w:sz w:val="30"/>
          <w:szCs w:val="30"/>
        </w:rPr>
      </w:pPr>
      <w:bookmarkStart w:id="48" w:name="_Toc15377219"/>
      <w:bookmarkStart w:id="49" w:name="_Toc15396611"/>
      <w:r>
        <w:rPr>
          <w:rStyle w:val="28"/>
          <w:rFonts w:hint="eastAsia" w:ascii="宋体" w:hAnsi="宋体" w:eastAsia="宋体" w:cs="宋体"/>
          <w:b w:val="0"/>
          <w:sz w:val="30"/>
          <w:szCs w:val="30"/>
        </w:rPr>
        <w:t>国有资本经营预算支出决算情况说明</w:t>
      </w:r>
      <w:bookmarkEnd w:id="48"/>
      <w:bookmarkEnd w:id="49"/>
    </w:p>
    <w:p>
      <w:pPr>
        <w:spacing w:line="560" w:lineRule="atLeast"/>
        <w:ind w:firstLine="640"/>
        <w:rPr>
          <w:rFonts w:ascii="宋体" w:hAnsi="宋体" w:cs="宋体"/>
          <w:sz w:val="30"/>
          <w:szCs w:val="30"/>
        </w:rPr>
      </w:pPr>
      <w:r>
        <w:rPr>
          <w:rFonts w:hint="eastAsia" w:ascii="宋体" w:hAnsi="宋体" w:cs="宋体"/>
          <w:color w:val="000000"/>
          <w:sz w:val="30"/>
          <w:szCs w:val="30"/>
        </w:rPr>
        <w:t>2020年国有资本经营预算拨款支出0.00万元。</w:t>
      </w:r>
    </w:p>
    <w:p>
      <w:pPr>
        <w:spacing w:line="560" w:lineRule="atLeast"/>
        <w:ind w:firstLine="750" w:firstLineChars="250"/>
        <w:outlineLvl w:val="1"/>
        <w:rPr>
          <w:rStyle w:val="28"/>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28"/>
          <w:rFonts w:hint="eastAsia" w:ascii="宋体" w:hAnsi="宋体" w:eastAsia="宋体" w:cs="宋体"/>
          <w:sz w:val="30"/>
          <w:szCs w:val="30"/>
        </w:rPr>
        <w:t>、</w:t>
      </w:r>
      <w:r>
        <w:rPr>
          <w:rStyle w:val="28"/>
          <w:rFonts w:hint="eastAsia" w:ascii="宋体" w:hAnsi="宋体" w:eastAsia="宋体" w:cs="宋体"/>
          <w:b w:val="0"/>
          <w:sz w:val="30"/>
          <w:szCs w:val="30"/>
        </w:rPr>
        <w:t>其他重要事项的情况说明</w:t>
      </w:r>
      <w:bookmarkEnd w:id="50"/>
      <w:bookmarkEnd w:id="51"/>
    </w:p>
    <w:p>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pPr>
        <w:spacing w:line="560" w:lineRule="atLeast"/>
        <w:ind w:firstLine="600" w:firstLineChars="200"/>
        <w:rPr>
          <w:rFonts w:ascii="宋体" w:hAnsi="宋体" w:cs="宋体"/>
          <w:bCs/>
          <w:color w:val="FF0000"/>
          <w:sz w:val="30"/>
          <w:szCs w:val="30"/>
        </w:rPr>
      </w:pPr>
      <w:r>
        <w:rPr>
          <w:rFonts w:hint="eastAsia" w:ascii="宋体" w:hAnsi="宋体" w:cs="宋体"/>
          <w:bCs/>
          <w:color w:val="000000"/>
          <w:sz w:val="30"/>
          <w:szCs w:val="30"/>
        </w:rPr>
        <w:t>2020年，水务局机关运行经费支出102.34万元，比2019年减少0.63万元，减少0.23%。</w:t>
      </w:r>
      <w:r>
        <w:rPr>
          <w:rFonts w:hint="eastAsia" w:ascii="宋体" w:hAnsi="宋体" w:cs="宋体"/>
          <w:bCs/>
          <w:color w:val="000000" w:themeColor="text1"/>
          <w:sz w:val="30"/>
          <w:szCs w:val="30"/>
        </w:rPr>
        <w:t>主要原因是人员减少定额公用经费减少。</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3" w:name="_Toc15377223"/>
      <w:r>
        <w:rPr>
          <w:rFonts w:hint="eastAsia" w:ascii="宋体" w:hAnsi="宋体" w:cs="宋体"/>
          <w:bCs/>
          <w:color w:val="000000"/>
          <w:sz w:val="30"/>
          <w:szCs w:val="30"/>
        </w:rPr>
        <w:t>（二）政府采购支出情况</w:t>
      </w:r>
      <w:bookmarkEnd w:id="53"/>
    </w:p>
    <w:p>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2020年，水务局政府采购支出总额0.00万元，其中：政府采购货物支出0.00万元、政府采购工程支出0.00万元、政府采购服务支出0.00万元。</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截至2020年12月31日，水务局共有车辆5辆，其中：主要领导干部用车0辆、机要通信用车0辆、应急保障用车0辆、其他用车3辆，</w:t>
      </w:r>
      <w:r>
        <w:rPr>
          <w:rFonts w:hint="eastAsia" w:ascii="宋体" w:hAnsi="宋体" w:cs="宋体"/>
          <w:bCs/>
          <w:color w:val="000000" w:themeColor="text1"/>
          <w:sz w:val="30"/>
          <w:szCs w:val="30"/>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rPr>
        <w:t>单价50万元以上通用设备0台（套），单价100</w:t>
      </w:r>
      <w:r>
        <w:rPr>
          <w:rFonts w:hint="eastAsia" w:ascii="宋体" w:hAnsi="宋体" w:cs="宋体"/>
          <w:bCs/>
          <w:color w:val="000000"/>
          <w:sz w:val="30"/>
          <w:szCs w:val="30"/>
        </w:rPr>
        <w:t>万元以上专用设备0台（套）。</w:t>
      </w:r>
    </w:p>
    <w:p>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根据预算绩效管理要求，本部门（单位）在年初预算编制阶段，组织对2020年高桥镇电站效益补差经费、2020年河长制办公室工作经费、2020年取消农业水费补助跃进渠经费、2020年全市防汛工作经费、2020年全市河道管理工作经费、2020年山洪灾害预警系统运行经费、2020年石面堰发电厂财政补差经费、2020年防汛工作经费、峨眉山市饮用水源地规范化建设项目、双创工作经费、自来水公司消防栓维护经费、峨眉河清淤工程、2020年春灌岁修、2020年观音岩水库船舶运行经费、2020年峨眉河大坝运行费、2020年观音岩水库土地租金、青衣江跃进渠罐区2018续建配套（峨眉山市片区）青苗补偿等相关经费开展了预算事前绩效评估等17个项目开展了预算事前绩效评估，对17个项目编制了绩效目标，预算执行过程中，选取5个项目开展绩效监控，年终执行完毕后，对1个项目开展了绩效目标完成情况自评。</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2020年部门整体支出开展绩效自评，从评价情况来看整体执行较好。本部门还自行组织了1个项目支出绩效评价，本部门未组织开展其他项目支出绩效评价，因为本部门重要项目均已进入市财政绩效监控中。</w:t>
      </w:r>
    </w:p>
    <w:p>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本部门在2019年度部门决算中反映“</w:t>
      </w:r>
      <w:r>
        <w:rPr>
          <w:rFonts w:hint="eastAsia" w:ascii="宋体" w:hAnsi="宋体" w:cs="宋体"/>
          <w:bCs/>
          <w:color w:val="000000"/>
          <w:sz w:val="30"/>
          <w:szCs w:val="30"/>
        </w:rPr>
        <w:t>2019年山洪灾害预警系统运行经费</w:t>
      </w:r>
      <w:r>
        <w:rPr>
          <w:rFonts w:hint="eastAsia" w:ascii="宋体" w:hAnsi="宋体" w:cs="宋体"/>
          <w:bCs/>
          <w:sz w:val="30"/>
          <w:szCs w:val="30"/>
        </w:rPr>
        <w:t>”、“</w:t>
      </w:r>
      <w:r>
        <w:rPr>
          <w:rFonts w:hint="eastAsia" w:ascii="宋体" w:hAnsi="宋体" w:cs="宋体"/>
          <w:bCs/>
          <w:color w:val="000000"/>
          <w:sz w:val="30"/>
          <w:szCs w:val="30"/>
        </w:rPr>
        <w:t>2019年石面堰发电厂财政补差经费</w:t>
      </w:r>
      <w:r>
        <w:rPr>
          <w:rFonts w:hint="eastAsia" w:ascii="宋体" w:hAnsi="宋体" w:cs="宋体"/>
          <w:bCs/>
          <w:sz w:val="30"/>
          <w:szCs w:val="30"/>
        </w:rPr>
        <w:t>”、“</w:t>
      </w:r>
      <w:r>
        <w:rPr>
          <w:rFonts w:hint="eastAsia" w:ascii="宋体" w:hAnsi="宋体" w:cs="宋体"/>
          <w:bCs/>
          <w:color w:val="000000"/>
          <w:sz w:val="30"/>
          <w:szCs w:val="30"/>
        </w:rPr>
        <w:t>2019年取消农业水费补助跃进渠经费</w:t>
      </w:r>
      <w:r>
        <w:rPr>
          <w:rFonts w:hint="eastAsia" w:ascii="宋体" w:hAnsi="宋体" w:cs="宋体"/>
          <w:bCs/>
          <w:sz w:val="30"/>
          <w:szCs w:val="30"/>
        </w:rPr>
        <w:t>”、“</w:t>
      </w:r>
      <w:r>
        <w:rPr>
          <w:rFonts w:hint="eastAsia" w:ascii="宋体" w:hAnsi="宋体" w:cs="宋体"/>
          <w:bCs/>
          <w:color w:val="000000"/>
          <w:sz w:val="30"/>
          <w:szCs w:val="30"/>
        </w:rPr>
        <w:t>2019年高桥镇电站效益补差经费”、</w:t>
      </w:r>
      <w:r>
        <w:rPr>
          <w:rFonts w:hint="eastAsia" w:ascii="宋体" w:hAnsi="宋体" w:cs="宋体"/>
          <w:bCs/>
          <w:sz w:val="30"/>
          <w:szCs w:val="30"/>
        </w:rPr>
        <w:t>“</w:t>
      </w:r>
      <w:r>
        <w:rPr>
          <w:rFonts w:hint="eastAsia" w:ascii="宋体" w:hAnsi="宋体" w:cs="宋体"/>
          <w:sz w:val="30"/>
          <w:szCs w:val="30"/>
        </w:rPr>
        <w:t>峨眉山市2020年全市防汛工作经费</w:t>
      </w:r>
      <w:r>
        <w:rPr>
          <w:rFonts w:hint="eastAsia" w:ascii="宋体" w:hAnsi="宋体" w:cs="宋体"/>
          <w:bCs/>
          <w:sz w:val="30"/>
          <w:szCs w:val="30"/>
        </w:rPr>
        <w:t>”等5个项目绩效目标实际完成情况</w:t>
      </w:r>
      <w:r>
        <w:rPr>
          <w:rFonts w:hint="eastAsia" w:ascii="宋体" w:hAnsi="宋体" w:cs="宋体"/>
          <w:sz w:val="32"/>
          <w:szCs w:val="32"/>
        </w:rPr>
        <w:t>。</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（1）“</w:t>
      </w:r>
      <w:r>
        <w:rPr>
          <w:rFonts w:hint="eastAsia" w:ascii="宋体" w:hAnsi="宋体" w:cs="宋体"/>
          <w:bCs/>
          <w:color w:val="000000"/>
          <w:sz w:val="30"/>
          <w:szCs w:val="30"/>
        </w:rPr>
        <w:t>2020年山洪灾害预警系统运行经费</w:t>
      </w:r>
      <w:r>
        <w:rPr>
          <w:rFonts w:hint="eastAsia" w:ascii="宋体" w:hAnsi="宋体" w:cs="宋体"/>
          <w:bCs/>
          <w:sz w:val="30"/>
          <w:szCs w:val="30"/>
        </w:rPr>
        <w:t>”项目绩效目标完成情况项目全年预算数100.00万元，执行数为100.00万元，完成预算的100.00%。通过项目实施，保障山洪灾害预警系统正常运行，确保全市人民群众生命财产安全。发现的主要问题：无。下一步改进措施：无。</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（2）“</w:t>
      </w:r>
      <w:r>
        <w:rPr>
          <w:rFonts w:hint="eastAsia" w:ascii="宋体" w:hAnsi="宋体" w:cs="宋体"/>
          <w:bCs/>
          <w:color w:val="000000"/>
          <w:sz w:val="30"/>
          <w:szCs w:val="30"/>
        </w:rPr>
        <w:t>2020年石面堰发电厂财政补差经费</w:t>
      </w:r>
      <w:r>
        <w:rPr>
          <w:rFonts w:hint="eastAsia" w:ascii="宋体" w:hAnsi="宋体" w:cs="宋体"/>
          <w:bCs/>
          <w:sz w:val="30"/>
          <w:szCs w:val="30"/>
        </w:rPr>
        <w:t>”项目绩效目标完成情况项目全年预算数145.00万元，执行数为145.00万元，完成预算的100%。通过项目实施，确保该企业安全生产、职工生活稳定。发现的主要问题：无。下一步改进措施：无。</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（3）“</w:t>
      </w:r>
      <w:r>
        <w:rPr>
          <w:rFonts w:hint="eastAsia" w:ascii="宋体" w:hAnsi="宋体" w:cs="宋体"/>
          <w:bCs/>
          <w:color w:val="000000"/>
          <w:sz w:val="30"/>
          <w:szCs w:val="30"/>
        </w:rPr>
        <w:t>2020年高桥镇电站效益补差经费</w:t>
      </w:r>
      <w:r>
        <w:rPr>
          <w:rFonts w:hint="eastAsia" w:ascii="宋体" w:hAnsi="宋体" w:cs="宋体"/>
          <w:bCs/>
          <w:sz w:val="30"/>
          <w:szCs w:val="30"/>
        </w:rPr>
        <w:t>”项目绩效目标完成情况项目全年预算数60.00万元，执行数为60.00万元，完成预算的100%。通过项目</w:t>
      </w:r>
      <w:r>
        <w:rPr>
          <w:rFonts w:hint="eastAsia" w:ascii="宋体" w:hAnsi="宋体" w:cs="宋体"/>
          <w:sz w:val="30"/>
          <w:szCs w:val="30"/>
        </w:rPr>
        <w:t>实施，对高桥镇张沟、土堰子及黑湾电站实行电量差额补差补偿，确保为确保农夫山泉公司正常运行。发现的主要问题：无。下一步改进措施：无。</w:t>
      </w:r>
    </w:p>
    <w:p>
      <w:pPr>
        <w:spacing w:line="560" w:lineRule="atLeast"/>
        <w:ind w:firstLine="600" w:firstLineChars="200"/>
        <w:rPr>
          <w:rFonts w:ascii="宋体" w:hAnsi="宋体" w:cs="宋体"/>
          <w:bCs/>
          <w:sz w:val="30"/>
          <w:szCs w:val="30"/>
        </w:rPr>
      </w:pPr>
      <w:r>
        <w:rPr>
          <w:rFonts w:hint="eastAsia" w:ascii="宋体" w:hAnsi="宋体" w:cs="宋体"/>
          <w:bCs/>
          <w:sz w:val="30"/>
          <w:szCs w:val="30"/>
        </w:rPr>
        <w:t>（4）“</w:t>
      </w:r>
      <w:r>
        <w:rPr>
          <w:rFonts w:hint="eastAsia" w:ascii="宋体" w:hAnsi="宋体" w:cs="宋体"/>
          <w:bCs/>
          <w:color w:val="000000"/>
          <w:sz w:val="30"/>
          <w:szCs w:val="30"/>
        </w:rPr>
        <w:t>2020年取消农业水费补助跃进渠经费</w:t>
      </w:r>
      <w:r>
        <w:rPr>
          <w:rFonts w:hint="eastAsia" w:ascii="宋体" w:hAnsi="宋体" w:cs="宋体"/>
          <w:bCs/>
          <w:sz w:val="30"/>
          <w:szCs w:val="30"/>
        </w:rPr>
        <w:t>”项目绩效目标完成情况项目全年预算数70.00万元，执行数为70.00万元，完成预算的100%。通过项目实施，确保2019年全市农田灌溉，保障农业生产稳定发展。发现的主要问题：无。下一步改进措施：无。</w:t>
      </w:r>
    </w:p>
    <w:p>
      <w:pPr>
        <w:spacing w:line="560" w:lineRule="atLeast"/>
        <w:ind w:firstLine="600" w:firstLineChars="200"/>
        <w:rPr>
          <w:rFonts w:ascii="宋体" w:hAnsi="宋体" w:cs="宋体"/>
          <w:sz w:val="30"/>
          <w:szCs w:val="30"/>
        </w:rPr>
      </w:pPr>
      <w:r>
        <w:rPr>
          <w:rFonts w:hint="eastAsia" w:ascii="宋体" w:hAnsi="宋体" w:cs="宋体"/>
          <w:bCs/>
          <w:sz w:val="30"/>
          <w:szCs w:val="30"/>
        </w:rPr>
        <w:t>（5）“</w:t>
      </w:r>
      <w:r>
        <w:rPr>
          <w:rFonts w:hint="eastAsia" w:ascii="宋体" w:hAnsi="宋体" w:cs="宋体"/>
          <w:sz w:val="30"/>
          <w:szCs w:val="30"/>
        </w:rPr>
        <w:t>峨眉山市2020年全市防汛工作经费</w:t>
      </w:r>
      <w:r>
        <w:rPr>
          <w:rFonts w:hint="eastAsia" w:ascii="宋体" w:hAnsi="宋体" w:cs="宋体"/>
          <w:bCs/>
          <w:sz w:val="30"/>
          <w:szCs w:val="30"/>
        </w:rPr>
        <w:t>” 项目绩效目标完成情况项目全年预算数10.00万元，执行数为10.00万元，完成预算的100%。通过项目</w:t>
      </w:r>
      <w:r>
        <w:rPr>
          <w:rFonts w:hint="eastAsia" w:ascii="宋体" w:hAnsi="宋体" w:cs="宋体"/>
          <w:sz w:val="30"/>
          <w:szCs w:val="30"/>
        </w:rPr>
        <w:t>实施，</w:t>
      </w:r>
      <w:r>
        <w:rPr>
          <w:rFonts w:hint="eastAsia" w:ascii="宋体" w:hAnsi="宋体" w:cs="宋体"/>
          <w:bCs/>
          <w:sz w:val="30"/>
          <w:szCs w:val="30"/>
        </w:rPr>
        <w:t>保证防汛工作正常进行，确保全市人民生命财产安全。</w:t>
      </w:r>
      <w:r>
        <w:rPr>
          <w:rFonts w:hint="eastAsia" w:ascii="宋体" w:hAnsi="宋体" w:cs="宋体"/>
          <w:sz w:val="30"/>
          <w:szCs w:val="30"/>
        </w:rPr>
        <w:t>发现的主要问题：无。下一步改进措施：无。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80" w:lineRule="exact"/>
        <w:rPr>
          <w:rFonts w:ascii="仿宋_GB2312" w:hAnsi="仿宋_GB2312" w:eastAsia="仿宋_GB2312" w:cs="仿宋_GB2312"/>
          <w:sz w:val="32"/>
          <w:szCs w:val="32"/>
        </w:rPr>
      </w:pPr>
    </w:p>
    <w:tbl>
      <w:tblPr>
        <w:tblStyle w:val="15"/>
        <w:tblW w:w="9960" w:type="dxa"/>
        <w:jc w:val="center"/>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textAlignment w:val="center"/>
              <w:rPr>
                <w:rFonts w:ascii="宋体" w:hAnsi="宋体"/>
                <w:b/>
                <w:bCs/>
                <w:color w:val="000000"/>
                <w:kern w:val="0"/>
                <w:sz w:val="32"/>
                <w:szCs w:val="32"/>
              </w:rPr>
            </w:pPr>
          </w:p>
          <w:p>
            <w:pPr>
              <w:widowControl/>
              <w:ind w:left="3856" w:leftChars="1454" w:hanging="803" w:hangingChars="250"/>
              <w:textAlignment w:val="center"/>
              <w:rPr>
                <w:rFonts w:ascii="宋体" w:hAnsi="宋体"/>
                <w:color w:val="000000"/>
                <w:sz w:val="32"/>
                <w:szCs w:val="32"/>
              </w:rPr>
            </w:pPr>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(2020年度)</w:t>
            </w:r>
          </w:p>
        </w:tc>
      </w:tr>
      <w:tr>
        <w:tblPrEx>
          <w:tblCellMar>
            <w:top w:w="0" w:type="dxa"/>
            <w:left w:w="0" w:type="dxa"/>
            <w:bottom w:w="0" w:type="dxa"/>
            <w:right w:w="0" w:type="dxa"/>
          </w:tblCellMar>
        </w:tblPrEx>
        <w:trPr>
          <w:trHeight w:val="276"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2020年山洪灾害预警系统运行经费</w:t>
            </w:r>
          </w:p>
        </w:tc>
      </w:tr>
      <w:tr>
        <w:tblPrEx>
          <w:tblCellMar>
            <w:top w:w="0" w:type="dxa"/>
            <w:left w:w="0" w:type="dxa"/>
            <w:bottom w:w="0" w:type="dxa"/>
            <w:right w:w="0" w:type="dxa"/>
          </w:tblCellMar>
        </w:tblPrEx>
        <w:trPr>
          <w:trHeight w:val="276"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276"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276"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480"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276"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r>
      <w:tr>
        <w:tblPrEx>
          <w:tblCellMar>
            <w:top w:w="0" w:type="dxa"/>
            <w:left w:w="0" w:type="dxa"/>
            <w:bottom w:w="0" w:type="dxa"/>
            <w:right w:w="0" w:type="dxa"/>
          </w:tblCellMar>
        </w:tblPrEx>
        <w:trPr>
          <w:trHeight w:val="689"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61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298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维护自动站点30处、视频站4处、简易雨量站80处、简易水位站10处、无线预警广播41套、户外预警大屏18套、会商会议系统1套、监测预警平台1套、指挥中心机房1间，移动光纤24条次，发放213个山洪灾害危险区巡查责任人补助、147个站点看护，设备更换5套。</w:t>
            </w:r>
          </w:p>
        </w:tc>
      </w:tr>
      <w:tr>
        <w:tblPrEx>
          <w:tblCellMar>
            <w:top w:w="0" w:type="dxa"/>
            <w:left w:w="0" w:type="dxa"/>
            <w:bottom w:w="0" w:type="dxa"/>
            <w:right w:w="0" w:type="dxa"/>
          </w:tblCellMar>
        </w:tblPrEx>
        <w:trPr>
          <w:trHeight w:val="20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确保山洪灾害监测预警系统正常运行，保障所有危险区巡查责任落实到位，做好人员提前转移安置，确保17832个受威胁人民群众生命财产安全。</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确保山洪灾害监测预警系统正常运行，保障所有危险区巡查责任落实到位，做好人员提前转移安置，确保17832个受威胁人民群众生命财产安全。</w:t>
            </w:r>
          </w:p>
        </w:tc>
      </w:tr>
      <w:tr>
        <w:tblPrEx>
          <w:tblCellMar>
            <w:top w:w="0" w:type="dxa"/>
            <w:left w:w="0" w:type="dxa"/>
            <w:bottom w:w="0" w:type="dxa"/>
            <w:right w:w="0" w:type="dxa"/>
          </w:tblCellMar>
        </w:tblPrEx>
        <w:trPr>
          <w:trHeight w:val="80"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85"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709" w:hRule="atLeast"/>
          <w:jc w:val="center"/>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72" w:leftChars="1271" w:hanging="803" w:hangingChars="250"/>
              <w:textAlignment w:val="center"/>
              <w:rPr>
                <w:rFonts w:ascii="宋体" w:hAnsi="宋体"/>
                <w:color w:val="000000"/>
                <w:sz w:val="36"/>
                <w:szCs w:val="36"/>
              </w:rPr>
            </w:pPr>
            <w:r>
              <w:rPr>
                <w:rFonts w:hint="eastAsia" w:ascii="宋体" w:hAnsi="宋体"/>
                <w:b/>
                <w:bCs/>
                <w:color w:val="000000"/>
                <w:kern w:val="0"/>
                <w:sz w:val="32"/>
                <w:szCs w:val="32"/>
              </w:rPr>
              <w:t>项目绩效目标完成情况表</w:t>
            </w:r>
            <w:r>
              <w:rPr>
                <w:rFonts w:hint="eastAsia" w:ascii="宋体" w:hAnsi="宋体"/>
                <w:b/>
                <w:bCs/>
                <w:color w:val="000000"/>
                <w:kern w:val="0"/>
                <w:sz w:val="32"/>
                <w:szCs w:val="32"/>
              </w:rPr>
              <w:br w:type="textWrapping"/>
            </w:r>
            <w:r>
              <w:rPr>
                <w:rFonts w:hint="eastAsia" w:ascii="宋体" w:hAnsi="宋体"/>
                <w:color w:val="000000"/>
                <w:kern w:val="0"/>
                <w:sz w:val="32"/>
                <w:szCs w:val="32"/>
              </w:rPr>
              <w:t>(2020年度)</w:t>
            </w:r>
          </w:p>
        </w:tc>
      </w:tr>
      <w:tr>
        <w:tblPrEx>
          <w:tblCellMar>
            <w:top w:w="0" w:type="dxa"/>
            <w:left w:w="0" w:type="dxa"/>
            <w:bottom w:w="0" w:type="dxa"/>
            <w:right w:w="0" w:type="dxa"/>
          </w:tblCellMar>
        </w:tblPrEx>
        <w:trPr>
          <w:trHeight w:val="560"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2020年石面堰发电厂财政补差经费</w:t>
            </w:r>
          </w:p>
        </w:tc>
      </w:tr>
      <w:tr>
        <w:tblPrEx>
          <w:tblCellMar>
            <w:top w:w="0" w:type="dxa"/>
            <w:left w:w="0" w:type="dxa"/>
            <w:bottom w:w="0" w:type="dxa"/>
            <w:right w:w="0" w:type="dxa"/>
          </w:tblCellMar>
        </w:tblPrEx>
        <w:trPr>
          <w:trHeight w:val="494"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554"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145</w:t>
            </w:r>
          </w:p>
        </w:tc>
      </w:tr>
      <w:tr>
        <w:tblPrEx>
          <w:tblCellMar>
            <w:top w:w="0" w:type="dxa"/>
            <w:left w:w="0" w:type="dxa"/>
            <w:bottom w:w="0" w:type="dxa"/>
            <w:right w:w="0" w:type="dxa"/>
          </w:tblCellMar>
        </w:tblPrEx>
        <w:trPr>
          <w:trHeight w:val="480"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2019年度职工19人，根据峨府办发（2009）35号文精神，对该电厂经费不足部分财政补差，确保请企业安全生产、职工生活稳定。</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689"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148万元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148万元</w:t>
            </w:r>
          </w:p>
        </w:tc>
      </w:tr>
      <w:tr>
        <w:tblPrEx>
          <w:tblCellMar>
            <w:top w:w="0" w:type="dxa"/>
            <w:left w:w="0" w:type="dxa"/>
            <w:bottom w:w="0" w:type="dxa"/>
            <w:right w:w="0" w:type="dxa"/>
          </w:tblCellMar>
        </w:tblPrEx>
        <w:trPr>
          <w:trHeight w:val="1200"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成本指标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保障职工工资正常发放</w:t>
            </w:r>
          </w:p>
        </w:tc>
      </w:tr>
      <w:tr>
        <w:tblPrEx>
          <w:tblCellMar>
            <w:top w:w="0" w:type="dxa"/>
            <w:left w:w="0" w:type="dxa"/>
            <w:bottom w:w="0" w:type="dxa"/>
            <w:right w:w="0" w:type="dxa"/>
          </w:tblCellMar>
        </w:tblPrEx>
        <w:trPr>
          <w:trHeight w:val="821"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39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确对该电厂经费不足部分财政补差，确保请企业安全生产、职工生活稳定。</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对该电厂经费不足部分财政补差，确保请企业安全生产、职工生活稳定。</w:t>
            </w:r>
          </w:p>
        </w:tc>
      </w:tr>
      <w:tr>
        <w:tblPrEx>
          <w:tblCellMar>
            <w:top w:w="0" w:type="dxa"/>
            <w:left w:w="0" w:type="dxa"/>
            <w:bottom w:w="0" w:type="dxa"/>
            <w:right w:w="0" w:type="dxa"/>
          </w:tblCellMar>
        </w:tblPrEx>
        <w:trPr>
          <w:trHeight w:val="80"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394" w:hRule="atLeast"/>
          <w:jc w:val="center"/>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332" w:leftChars="1300" w:hanging="602" w:hangingChars="2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(2020年度)</w:t>
            </w:r>
          </w:p>
        </w:tc>
      </w:tr>
      <w:tr>
        <w:tblPrEx>
          <w:tblCellMar>
            <w:top w:w="0" w:type="dxa"/>
            <w:left w:w="0" w:type="dxa"/>
            <w:bottom w:w="0" w:type="dxa"/>
            <w:right w:w="0" w:type="dxa"/>
          </w:tblCellMar>
        </w:tblPrEx>
        <w:trPr>
          <w:trHeight w:val="560"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2020年高桥镇电站效益补差经费</w:t>
            </w:r>
          </w:p>
        </w:tc>
      </w:tr>
      <w:tr>
        <w:tblPrEx>
          <w:tblCellMar>
            <w:top w:w="0" w:type="dxa"/>
            <w:left w:w="0" w:type="dxa"/>
            <w:bottom w:w="0" w:type="dxa"/>
            <w:right w:w="0" w:type="dxa"/>
          </w:tblCellMar>
        </w:tblPrEx>
        <w:trPr>
          <w:trHeight w:val="494"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w:t>
            </w:r>
          </w:p>
        </w:tc>
      </w:tr>
      <w:tr>
        <w:tblPrEx>
          <w:tblCellMar>
            <w:top w:w="0" w:type="dxa"/>
            <w:left w:w="0" w:type="dxa"/>
            <w:bottom w:w="0" w:type="dxa"/>
            <w:right w:w="0" w:type="dxa"/>
          </w:tblCellMar>
        </w:tblPrEx>
        <w:trPr>
          <w:trHeight w:val="554"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w:t>
            </w:r>
          </w:p>
        </w:tc>
      </w:tr>
      <w:tr>
        <w:tblPrEx>
          <w:tblCellMar>
            <w:top w:w="0" w:type="dxa"/>
            <w:left w:w="0" w:type="dxa"/>
            <w:bottom w:w="0" w:type="dxa"/>
            <w:right w:w="0" w:type="dxa"/>
          </w:tblCellMar>
        </w:tblPrEx>
        <w:trPr>
          <w:trHeight w:val="480"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为确保农夫山泉公司正常运行，根据峨府定（2017）4号对高桥镇张沟、土堰子及黑湾电站实行电量差额补差补偿，每年60万元，直至收储为止。</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jc w:val="left"/>
              <w:textAlignment w:val="center"/>
              <w:rPr>
                <w:rFonts w:ascii="宋体" w:hAnsi="宋体"/>
                <w:color w:val="000000"/>
                <w:sz w:val="18"/>
                <w:szCs w:val="18"/>
              </w:rPr>
            </w:pPr>
            <w:r>
              <w:rPr>
                <w:rFonts w:hint="eastAsia" w:ascii="宋体" w:hAnsi="宋体"/>
                <w:color w:val="000000"/>
                <w:sz w:val="18"/>
                <w:szCs w:val="18"/>
              </w:rPr>
              <w:t>为确保农夫山泉公司正常运行，根据峨府定（2017）4号对高桥镇张沟、土堰子及黑湾电站实行电量差额补差补偿，每年60万元，直至收储为止。</w:t>
            </w:r>
          </w:p>
        </w:tc>
      </w:tr>
      <w:tr>
        <w:tblPrEx>
          <w:tblCellMar>
            <w:top w:w="0" w:type="dxa"/>
            <w:left w:w="0" w:type="dxa"/>
            <w:bottom w:w="0" w:type="dxa"/>
            <w:right w:w="0" w:type="dxa"/>
          </w:tblCellMar>
        </w:tblPrEx>
        <w:trPr>
          <w:trHeight w:val="689"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财政补差经费</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60万元</w:t>
            </w:r>
          </w:p>
        </w:tc>
      </w:tr>
      <w:tr>
        <w:tblPrEx>
          <w:tblCellMar>
            <w:top w:w="0" w:type="dxa"/>
            <w:left w:w="0" w:type="dxa"/>
            <w:bottom w:w="0" w:type="dxa"/>
            <w:right w:w="0" w:type="dxa"/>
          </w:tblCellMar>
        </w:tblPrEx>
        <w:trPr>
          <w:trHeight w:val="1200"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及时完成3个电站效益补差</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r>
      <w:tr>
        <w:tblPrEx>
          <w:tblCellMar>
            <w:top w:w="0" w:type="dxa"/>
            <w:left w:w="0" w:type="dxa"/>
            <w:bottom w:w="0" w:type="dxa"/>
            <w:right w:w="0" w:type="dxa"/>
          </w:tblCellMar>
        </w:tblPrEx>
        <w:trPr>
          <w:trHeight w:val="821"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为确保农夫山泉公司正常运行</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为确保农夫山泉公司正常运行</w:t>
            </w:r>
          </w:p>
        </w:tc>
      </w:tr>
      <w:tr>
        <w:tblPrEx>
          <w:tblCellMar>
            <w:top w:w="0" w:type="dxa"/>
            <w:left w:w="0" w:type="dxa"/>
            <w:bottom w:w="0" w:type="dxa"/>
            <w:right w:w="0" w:type="dxa"/>
          </w:tblCellMar>
        </w:tblPrEx>
        <w:trPr>
          <w:trHeight w:val="80"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jc w:val="center"/>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tbl>
      <w:tblPr>
        <w:tblStyle w:val="15"/>
        <w:tblW w:w="9960" w:type="dxa"/>
        <w:jc w:val="center"/>
        <w:tblLayout w:type="fixed"/>
        <w:tblCellMar>
          <w:top w:w="0" w:type="dxa"/>
          <w:left w:w="0" w:type="dxa"/>
          <w:bottom w:w="0" w:type="dxa"/>
          <w:right w:w="0" w:type="dxa"/>
        </w:tblCellMar>
      </w:tblPr>
      <w:tblGrid>
        <w:gridCol w:w="685"/>
        <w:gridCol w:w="1276"/>
        <w:gridCol w:w="1134"/>
        <w:gridCol w:w="1560"/>
        <w:gridCol w:w="2693"/>
        <w:gridCol w:w="261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630" w:leftChars="1442" w:hanging="602" w:hangingChars="2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(2020年度)</w:t>
            </w:r>
          </w:p>
        </w:tc>
      </w:tr>
      <w:tr>
        <w:tblPrEx>
          <w:tblCellMar>
            <w:top w:w="0" w:type="dxa"/>
            <w:left w:w="0" w:type="dxa"/>
            <w:bottom w:w="0" w:type="dxa"/>
            <w:right w:w="0" w:type="dxa"/>
          </w:tblCellMar>
        </w:tblPrEx>
        <w:trPr>
          <w:trHeight w:val="560"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2020年取消农业水费补助跃进渠经费</w:t>
            </w:r>
          </w:p>
        </w:tc>
      </w:tr>
      <w:tr>
        <w:tblPrEx>
          <w:tblCellMar>
            <w:top w:w="0" w:type="dxa"/>
            <w:left w:w="0" w:type="dxa"/>
            <w:bottom w:w="0" w:type="dxa"/>
            <w:right w:w="0" w:type="dxa"/>
          </w:tblCellMar>
        </w:tblPrEx>
        <w:trPr>
          <w:trHeight w:val="494"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w:t>
            </w:r>
          </w:p>
        </w:tc>
      </w:tr>
      <w:tr>
        <w:tblPrEx>
          <w:tblCellMar>
            <w:top w:w="0" w:type="dxa"/>
            <w:left w:w="0" w:type="dxa"/>
            <w:bottom w:w="0" w:type="dxa"/>
            <w:right w:w="0" w:type="dxa"/>
          </w:tblCellMar>
        </w:tblPrEx>
        <w:trPr>
          <w:trHeight w:val="554"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w:t>
            </w:r>
          </w:p>
        </w:tc>
      </w:tr>
      <w:tr>
        <w:tblPrEx>
          <w:tblCellMar>
            <w:top w:w="0" w:type="dxa"/>
            <w:left w:w="0" w:type="dxa"/>
            <w:bottom w:w="0" w:type="dxa"/>
            <w:right w:w="0" w:type="dxa"/>
          </w:tblCellMar>
        </w:tblPrEx>
        <w:trPr>
          <w:trHeight w:val="480"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跃进渠在峨眉山市境内35公里，灌溉面积7.6万亩。根据上级部门的有关政策及市政府的指示，每年取消农业后补助乐山市跃进渠保护中心70万元。</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跃进渠在峨眉山市境内35公里，灌溉面积7.6万亩。根据上级部门的有关政策及市政府的指示，每年取消农业后补助乐山市跃进渠保护中心70万元。</w:t>
            </w:r>
          </w:p>
        </w:tc>
      </w:tr>
      <w:tr>
        <w:tblPrEx>
          <w:tblCellMar>
            <w:top w:w="0" w:type="dxa"/>
            <w:left w:w="0" w:type="dxa"/>
            <w:bottom w:w="0" w:type="dxa"/>
            <w:right w:w="0" w:type="dxa"/>
          </w:tblCellMar>
        </w:tblPrEx>
        <w:trPr>
          <w:trHeight w:val="689"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70万元</w:t>
            </w:r>
          </w:p>
        </w:tc>
      </w:tr>
      <w:tr>
        <w:tblPrEx>
          <w:tblCellMar>
            <w:top w:w="0" w:type="dxa"/>
            <w:left w:w="0" w:type="dxa"/>
            <w:bottom w:w="0" w:type="dxa"/>
            <w:right w:w="0" w:type="dxa"/>
          </w:tblCellMar>
        </w:tblPrEx>
        <w:trPr>
          <w:trHeight w:val="1200"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2020年全市农田灌溉</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r>
      <w:tr>
        <w:tblPrEx>
          <w:tblCellMar>
            <w:top w:w="0" w:type="dxa"/>
            <w:left w:w="0" w:type="dxa"/>
            <w:bottom w:w="0" w:type="dxa"/>
            <w:right w:w="0" w:type="dxa"/>
          </w:tblCellMar>
        </w:tblPrEx>
        <w:trPr>
          <w:trHeight w:val="821"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农业生产稳定发展</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农业生产稳定发展</w:t>
            </w:r>
          </w:p>
        </w:tc>
      </w:tr>
      <w:tr>
        <w:tblPrEx>
          <w:tblCellMar>
            <w:top w:w="0" w:type="dxa"/>
            <w:left w:w="0" w:type="dxa"/>
            <w:bottom w:w="0" w:type="dxa"/>
            <w:right w:w="0" w:type="dxa"/>
          </w:tblCellMar>
        </w:tblPrEx>
        <w:trPr>
          <w:trHeight w:val="80"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jc w:val="center"/>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bottom w:w="0" w:type="dxa"/>
              <w:right w:w="15" w:type="dxa"/>
            </w:tcMar>
            <w:vAlign w:val="center"/>
          </w:tcPr>
          <w:p>
            <w:pPr>
              <w:widowControl/>
              <w:ind w:left="3453" w:leftChars="1300" w:hanging="723" w:hangingChars="200"/>
              <w:textAlignment w:val="center"/>
              <w:rPr>
                <w:rFonts w:ascii="宋体" w:hAnsi="宋体"/>
                <w:b/>
                <w:bCs/>
                <w:color w:val="000000"/>
                <w:kern w:val="0"/>
                <w:sz w:val="36"/>
                <w:szCs w:val="36"/>
              </w:rPr>
            </w:pPr>
          </w:p>
          <w:p>
            <w:pPr>
              <w:widowControl/>
              <w:ind w:left="3932" w:leftChars="1442" w:hanging="904" w:hangingChars="300"/>
              <w:textAlignment w:val="center"/>
              <w:rPr>
                <w:rFonts w:ascii="宋体" w:hAnsi="宋体"/>
                <w:color w:val="000000"/>
                <w:sz w:val="36"/>
                <w:szCs w:val="36"/>
              </w:rPr>
            </w:pPr>
            <w:r>
              <w:rPr>
                <w:rFonts w:hint="eastAsia" w:ascii="宋体" w:hAnsi="宋体"/>
                <w:b/>
                <w:bCs/>
                <w:color w:val="000000"/>
                <w:kern w:val="0"/>
                <w:sz w:val="30"/>
                <w:szCs w:val="30"/>
              </w:rPr>
              <w:t>项目绩效目标完成情况表</w:t>
            </w:r>
            <w:r>
              <w:rPr>
                <w:rFonts w:hint="eastAsia" w:ascii="宋体" w:hAnsi="宋体"/>
                <w:b/>
                <w:bCs/>
                <w:color w:val="000000"/>
                <w:kern w:val="0"/>
                <w:sz w:val="30"/>
                <w:szCs w:val="30"/>
              </w:rPr>
              <w:br w:type="textWrapping"/>
            </w:r>
            <w:r>
              <w:rPr>
                <w:rFonts w:hint="eastAsia" w:ascii="宋体" w:hAnsi="宋体"/>
                <w:color w:val="000000"/>
                <w:kern w:val="0"/>
                <w:sz w:val="30"/>
                <w:szCs w:val="30"/>
              </w:rPr>
              <w:t>(2020年度)</w:t>
            </w:r>
          </w:p>
        </w:tc>
      </w:tr>
      <w:tr>
        <w:tblPrEx>
          <w:tblCellMar>
            <w:top w:w="0" w:type="dxa"/>
            <w:left w:w="0" w:type="dxa"/>
            <w:bottom w:w="0" w:type="dxa"/>
            <w:right w:w="0" w:type="dxa"/>
          </w:tblCellMar>
        </w:tblPrEx>
        <w:trPr>
          <w:trHeight w:val="560"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项目名称</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峨眉山市2020年全市防汛工作经费</w:t>
            </w:r>
          </w:p>
        </w:tc>
      </w:tr>
      <w:tr>
        <w:tblPrEx>
          <w:tblCellMar>
            <w:top w:w="0" w:type="dxa"/>
            <w:left w:w="0" w:type="dxa"/>
            <w:bottom w:w="0" w:type="dxa"/>
            <w:right w:w="0" w:type="dxa"/>
          </w:tblCellMar>
        </w:tblPrEx>
        <w:trPr>
          <w:trHeight w:val="494" w:hRule="atLeast"/>
          <w:jc w:val="center"/>
        </w:trPr>
        <w:tc>
          <w:tcPr>
            <w:tcW w:w="30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预算单位</w:t>
            </w:r>
          </w:p>
        </w:tc>
        <w:tc>
          <w:tcPr>
            <w:tcW w:w="6865"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峨眉山市水务局</w:t>
            </w:r>
          </w:p>
        </w:tc>
      </w:tr>
      <w:tr>
        <w:tblPrEx>
          <w:tblCellMar>
            <w:top w:w="0" w:type="dxa"/>
            <w:left w:w="0" w:type="dxa"/>
            <w:bottom w:w="0" w:type="dxa"/>
            <w:right w:w="0" w:type="dxa"/>
          </w:tblCellMar>
        </w:tblPrEx>
        <w:trPr>
          <w:trHeight w:val="43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预算执行情况(万元)</w:t>
            </w: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执行数: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w:t>
            </w:r>
          </w:p>
        </w:tc>
      </w:tr>
      <w:tr>
        <w:tblPrEx>
          <w:tblCellMar>
            <w:top w:w="0" w:type="dxa"/>
            <w:left w:w="0" w:type="dxa"/>
            <w:bottom w:w="0" w:type="dxa"/>
            <w:right w:w="0" w:type="dxa"/>
          </w:tblCellMar>
        </w:tblPrEx>
        <w:trPr>
          <w:trHeight w:val="554"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其中-财政拨款:</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w:t>
            </w:r>
          </w:p>
        </w:tc>
      </w:tr>
      <w:tr>
        <w:tblPrEx>
          <w:tblCellMar>
            <w:top w:w="0" w:type="dxa"/>
            <w:left w:w="0" w:type="dxa"/>
            <w:bottom w:w="0" w:type="dxa"/>
            <w:right w:w="0" w:type="dxa"/>
          </w:tblCellMar>
        </w:tblPrEx>
        <w:trPr>
          <w:trHeight w:val="480"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1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0</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其它资金:</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0</w:t>
            </w:r>
          </w:p>
        </w:tc>
      </w:tr>
      <w:tr>
        <w:tblPrEx>
          <w:tblCellMar>
            <w:top w:w="0" w:type="dxa"/>
            <w:left w:w="0" w:type="dxa"/>
            <w:bottom w:w="0" w:type="dxa"/>
            <w:right w:w="0" w:type="dxa"/>
          </w:tblCellMar>
        </w:tblPrEx>
        <w:trPr>
          <w:trHeight w:val="543"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年度目标完成情况</w:t>
            </w: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预期目标</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实际完成目标</w:t>
            </w:r>
          </w:p>
        </w:tc>
      </w:tr>
      <w:tr>
        <w:tblPrEx>
          <w:tblCellMar>
            <w:top w:w="0" w:type="dxa"/>
            <w:left w:w="0" w:type="dxa"/>
            <w:bottom w:w="0" w:type="dxa"/>
            <w:right w:w="0" w:type="dxa"/>
          </w:tblCellMar>
        </w:tblPrEx>
        <w:trPr>
          <w:trHeight w:val="1909" w:hRule="atLeast"/>
          <w:jc w:val="center"/>
        </w:trPr>
        <w:tc>
          <w:tcPr>
            <w:tcW w:w="68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olor w:val="000000"/>
                <w:sz w:val="18"/>
                <w:szCs w:val="18"/>
              </w:rPr>
            </w:pPr>
          </w:p>
        </w:tc>
        <w:tc>
          <w:tcPr>
            <w:tcW w:w="397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5305"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tcPr>
          <w:p>
            <w:pPr>
              <w:widowControl/>
              <w:ind w:firstLine="360" w:firstLineChars="200"/>
              <w:jc w:val="left"/>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r>
      <w:tr>
        <w:tblPrEx>
          <w:tblCellMar>
            <w:top w:w="0" w:type="dxa"/>
            <w:left w:w="0" w:type="dxa"/>
            <w:bottom w:w="0" w:type="dxa"/>
            <w:right w:w="0" w:type="dxa"/>
          </w:tblCellMar>
        </w:tblPrEx>
        <w:trPr>
          <w:trHeight w:val="689"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一级指标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二级指标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三级指标</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预期指标值(包含数字及文字描述)</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实际完成指标值(包含数字及文字描述)</w:t>
            </w:r>
          </w:p>
        </w:tc>
      </w:tr>
      <w:tr>
        <w:tblPrEx>
          <w:tblCellMar>
            <w:top w:w="0" w:type="dxa"/>
            <w:left w:w="0" w:type="dxa"/>
            <w:bottom w:w="0" w:type="dxa"/>
            <w:right w:w="0" w:type="dxa"/>
          </w:tblCellMar>
        </w:tblPrEx>
        <w:trPr>
          <w:trHeight w:val="581"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项目完成指标</w:t>
            </w:r>
          </w:p>
          <w:p>
            <w:pPr>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数量指标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10万元</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10万元</w:t>
            </w:r>
          </w:p>
        </w:tc>
      </w:tr>
      <w:tr>
        <w:tblPrEx>
          <w:tblCellMar>
            <w:top w:w="0" w:type="dxa"/>
            <w:left w:w="0" w:type="dxa"/>
            <w:bottom w:w="0" w:type="dxa"/>
            <w:right w:w="0" w:type="dxa"/>
          </w:tblCellMar>
        </w:tblPrEx>
        <w:trPr>
          <w:trHeight w:val="1200" w:hRule="atLeast"/>
          <w:jc w:val="center"/>
        </w:trPr>
        <w:tc>
          <w:tcPr>
            <w:tcW w:w="685"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时效指标</w:t>
            </w:r>
          </w:p>
        </w:tc>
        <w:tc>
          <w:tcPr>
            <w:tcW w:w="1560"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2020年度防汛期间。</w:t>
            </w:r>
          </w:p>
        </w:tc>
        <w:tc>
          <w:tcPr>
            <w:tcW w:w="2693"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c>
          <w:tcPr>
            <w:tcW w:w="2612" w:type="dxa"/>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2020年度</w:t>
            </w:r>
          </w:p>
        </w:tc>
      </w:tr>
      <w:tr>
        <w:tblPrEx>
          <w:tblCellMar>
            <w:top w:w="0" w:type="dxa"/>
            <w:left w:w="0" w:type="dxa"/>
            <w:bottom w:w="0" w:type="dxa"/>
            <w:right w:w="0" w:type="dxa"/>
          </w:tblCellMar>
        </w:tblPrEx>
        <w:trPr>
          <w:trHeight w:val="821"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78"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效益指标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社会效益指标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保证防汛工作正常进行，确保全市人民生命财产安全。</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80"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绩效指标完成情况</w:t>
            </w:r>
          </w:p>
        </w:tc>
        <w:tc>
          <w:tcPr>
            <w:tcW w:w="1276" w:type="dxa"/>
            <w:vMerge w:val="continue"/>
            <w:tcBorders>
              <w:left w:val="nil"/>
              <w:right w:val="single" w:color="000000" w:sz="4" w:space="0"/>
            </w:tcBorders>
            <w:tcMar>
              <w:top w:w="15" w:type="dxa"/>
              <w:left w:w="15" w:type="dxa"/>
              <w:bottom w:w="0" w:type="dxa"/>
              <w:right w:w="15" w:type="dxa"/>
            </w:tcMar>
            <w:vAlign w:val="center"/>
          </w:tcPr>
          <w:p>
            <w:pPr>
              <w:jc w:val="center"/>
              <w:textAlignment w:val="center"/>
              <w:rPr>
                <w:rFonts w:ascii="宋体" w:hAnsi="宋体"/>
                <w:color w:val="000000"/>
                <w:sz w:val="18"/>
                <w:szCs w:val="18"/>
              </w:rPr>
            </w:pPr>
          </w:p>
        </w:tc>
        <w:tc>
          <w:tcPr>
            <w:tcW w:w="1134"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r>
              <w:rPr>
                <w:rFonts w:hint="eastAsia" w:ascii="宋体" w:hAnsi="宋体"/>
                <w:color w:val="000000"/>
                <w:sz w:val="18"/>
                <w:szCs w:val="18"/>
              </w:rPr>
              <w:t>可持续影响</w:t>
            </w:r>
          </w:p>
          <w:p>
            <w:pPr>
              <w:widowControl/>
              <w:textAlignment w:val="center"/>
              <w:rPr>
                <w:rFonts w:ascii="宋体" w:hAnsi="宋体"/>
                <w:color w:val="000000"/>
                <w:sz w:val="18"/>
                <w:szCs w:val="18"/>
              </w:rPr>
            </w:pPr>
            <w:r>
              <w:rPr>
                <w:rFonts w:hint="eastAsia" w:ascii="宋体" w:hAnsi="宋体"/>
                <w:color w:val="000000"/>
                <w:sz w:val="18"/>
                <w:szCs w:val="18"/>
              </w:rPr>
              <w:t>指标</w:t>
            </w:r>
          </w:p>
        </w:tc>
        <w:tc>
          <w:tcPr>
            <w:tcW w:w="1560"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textAlignment w:val="center"/>
              <w:rPr>
                <w:rFonts w:ascii="宋体" w:hAnsi="宋体"/>
                <w:color w:val="000000"/>
                <w:sz w:val="18"/>
                <w:szCs w:val="18"/>
              </w:rPr>
            </w:pPr>
          </w:p>
        </w:tc>
        <w:tc>
          <w:tcPr>
            <w:tcW w:w="2693"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restart"/>
            <w:tcBorders>
              <w:top w:val="single" w:color="000000" w:sz="4" w:space="0"/>
              <w:left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65" w:hRule="atLeast"/>
          <w:jc w:val="center"/>
        </w:trPr>
        <w:tc>
          <w:tcPr>
            <w:tcW w:w="685" w:type="dxa"/>
            <w:tcBorders>
              <w:top w:val="nil"/>
              <w:left w:val="single" w:color="000000" w:sz="4" w:space="0"/>
              <w:bottom w:val="nil"/>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kern w:val="0"/>
                <w:sz w:val="18"/>
                <w:szCs w:val="18"/>
              </w:rPr>
            </w:pPr>
          </w:p>
        </w:tc>
        <w:tc>
          <w:tcPr>
            <w:tcW w:w="113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560"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93"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2612"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r>
      <w:tr>
        <w:tblPrEx>
          <w:tblCellMar>
            <w:top w:w="0" w:type="dxa"/>
            <w:left w:w="0" w:type="dxa"/>
            <w:bottom w:w="0" w:type="dxa"/>
            <w:right w:w="0" w:type="dxa"/>
          </w:tblCellMar>
        </w:tblPrEx>
        <w:trPr>
          <w:trHeight w:val="1050" w:hRule="atLeast"/>
          <w:jc w:val="center"/>
        </w:trPr>
        <w:tc>
          <w:tcPr>
            <w:tcW w:w="6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p>
        </w:tc>
        <w:tc>
          <w:tcPr>
            <w:tcW w:w="127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13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满意度指标</w:t>
            </w:r>
          </w:p>
        </w:tc>
        <w:tc>
          <w:tcPr>
            <w:tcW w:w="156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满意</w:t>
            </w:r>
          </w:p>
        </w:tc>
        <w:tc>
          <w:tcPr>
            <w:tcW w:w="26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c>
          <w:tcPr>
            <w:tcW w:w="261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100%</w:t>
            </w:r>
          </w:p>
        </w:tc>
      </w:tr>
    </w:tbl>
    <w:p>
      <w:pPr>
        <w:spacing w:line="580" w:lineRule="exact"/>
        <w:rPr>
          <w:rFonts w:ascii="仿宋_GB2312" w:hAnsi="仿宋_GB2312" w:eastAsia="仿宋_GB2312" w:cs="仿宋_GB2312"/>
          <w:sz w:val="32"/>
          <w:szCs w:val="32"/>
        </w:rPr>
      </w:pPr>
    </w:p>
    <w:p>
      <w:pPr>
        <w:spacing w:line="580" w:lineRule="exact"/>
        <w:ind w:left="630"/>
        <w:rPr>
          <w:rFonts w:ascii="宋体" w:hAnsi="宋体" w:cs="宋体"/>
          <w:sz w:val="30"/>
          <w:szCs w:val="30"/>
        </w:rPr>
      </w:pPr>
      <w:r>
        <w:rPr>
          <w:rFonts w:hint="eastAsia" w:ascii="宋体" w:hAnsi="宋体" w:cs="宋体"/>
          <w:sz w:val="30"/>
          <w:szCs w:val="30"/>
        </w:rPr>
        <w:t>2.部门绩效评价结果。</w:t>
      </w:r>
    </w:p>
    <w:p>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本部门按要求对2020年部门整体支出绩效评价情况开展自评，《峨眉山市水务局2020年部门整体支出绩效评价报告》见附件（附件1）。</w:t>
      </w:r>
    </w:p>
    <w:p>
      <w:pPr>
        <w:spacing w:line="580" w:lineRule="exact"/>
        <w:ind w:firstLine="600" w:firstLineChars="200"/>
        <w:rPr>
          <w:rFonts w:ascii="宋体" w:hAnsi="宋体" w:cs="宋体"/>
          <w:color w:val="000000"/>
          <w:sz w:val="30"/>
          <w:szCs w:val="30"/>
        </w:rPr>
      </w:pPr>
      <w:r>
        <w:rPr>
          <w:rFonts w:hint="eastAsia" w:ascii="宋体" w:hAnsi="宋体" w:cs="宋体"/>
          <w:sz w:val="30"/>
          <w:szCs w:val="30"/>
        </w:rPr>
        <w:t>本部门自行组织对2018年特大暴雨抢险救灾工程整治项目开展了绩效评价，《2018年特大暴雨抢险救灾工程整治项目2019年绩效评价报告》见附件（附件2）。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7"/>
          <w:rFonts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27"/>
          <w:rFonts w:hint="eastAsia" w:ascii="仿宋" w:hAnsi="仿宋" w:eastAsia="仿宋" w:cs="仿宋"/>
          <w:b w:val="0"/>
        </w:rPr>
        <w:t>词解释</w:t>
      </w:r>
      <w:bookmarkEnd w:id="55"/>
      <w:bookmarkEnd w:id="56"/>
    </w:p>
    <w:p>
      <w:pPr>
        <w:spacing w:line="600" w:lineRule="exact"/>
        <w:jc w:val="left"/>
        <w:rPr>
          <w:rFonts w:ascii="仿宋" w:hAnsi="仿宋" w:eastAsia="仿宋" w:cs="仿宋"/>
          <w:b/>
          <w:color w:val="000000"/>
          <w:sz w:val="44"/>
          <w:szCs w:val="44"/>
        </w:rPr>
      </w:pPr>
    </w:p>
    <w:p>
      <w:pPr>
        <w:pStyle w:val="25"/>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25"/>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pPr>
        <w:pStyle w:val="25"/>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5"/>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pPr>
        <w:pStyle w:val="25"/>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pPr>
        <w:pStyle w:val="25"/>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pPr>
        <w:pStyle w:val="25"/>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pPr>
        <w:spacing w:line="600" w:lineRule="exact"/>
        <w:ind w:firstLine="600" w:firstLineChars="200"/>
        <w:rPr>
          <w:rStyle w:val="17"/>
          <w:rFonts w:ascii="仿宋" w:hAnsi="仿宋" w:eastAsia="仿宋" w:cs="仿宋"/>
          <w:b w:val="0"/>
          <w:color w:val="000000"/>
          <w:sz w:val="30"/>
          <w:szCs w:val="30"/>
        </w:rPr>
      </w:pPr>
      <w:r>
        <w:rPr>
          <w:rStyle w:val="17"/>
          <w:rFonts w:hint="eastAsia" w:ascii="仿宋" w:hAnsi="仿宋" w:eastAsia="仿宋" w:cs="仿宋"/>
          <w:b w:val="0"/>
          <w:color w:val="000000"/>
          <w:sz w:val="30"/>
          <w:szCs w:val="30"/>
        </w:rPr>
        <w:t>农村人畜饮水2130335：指用于农村人畜饮水工程建设等方面的支出。</w:t>
      </w:r>
    </w:p>
    <w:p>
      <w:pPr>
        <w:spacing w:line="600" w:lineRule="exact"/>
        <w:ind w:firstLine="600" w:firstLineChars="200"/>
        <w:rPr>
          <w:rStyle w:val="17"/>
          <w:rFonts w:ascii="仿宋" w:hAnsi="仿宋" w:eastAsia="仿宋" w:cs="仿宋"/>
          <w:b w:val="0"/>
          <w:color w:val="000000"/>
          <w:sz w:val="30"/>
          <w:szCs w:val="30"/>
        </w:rPr>
      </w:pPr>
      <w:r>
        <w:rPr>
          <w:rStyle w:val="17"/>
          <w:rFonts w:hint="eastAsia" w:ascii="仿宋" w:hAnsi="仿宋" w:eastAsia="仿宋" w:cs="仿宋"/>
          <w:b w:val="0"/>
          <w:color w:val="000000"/>
          <w:sz w:val="30"/>
          <w:szCs w:val="30"/>
        </w:rPr>
        <w:t>其他水利支出2130399：指2130301-22、21303031-35类款项以外的用于水利方面的支出。</w:t>
      </w:r>
    </w:p>
    <w:p>
      <w:pPr>
        <w:spacing w:line="600" w:lineRule="exact"/>
        <w:ind w:firstLine="600" w:firstLineChars="200"/>
        <w:rPr>
          <w:rFonts w:ascii="仿宋" w:hAnsi="仿宋" w:eastAsia="仿宋" w:cs="仿宋"/>
        </w:rPr>
      </w:pPr>
      <w:r>
        <w:rPr>
          <w:rStyle w:val="17"/>
          <w:rFonts w:hint="eastAsia" w:ascii="仿宋" w:hAnsi="仿宋" w:eastAsia="仿宋" w:cs="仿宋"/>
          <w:b w:val="0"/>
          <w:color w:val="000000"/>
          <w:sz w:val="30"/>
          <w:szCs w:val="30"/>
        </w:rPr>
        <w:t>其他扶贫支出2130599：指除上述项目以外其他用于扶贫方面的支出。</w:t>
      </w:r>
    </w:p>
    <w:p>
      <w:pPr>
        <w:spacing w:line="600" w:lineRule="exact"/>
        <w:ind w:firstLine="600" w:firstLineChars="200"/>
        <w:rPr>
          <w:rStyle w:val="17"/>
          <w:rFonts w:ascii="仿宋" w:hAnsi="仿宋" w:eastAsia="仿宋" w:cs="仿宋"/>
          <w:b w:val="0"/>
          <w:color w:val="000000"/>
          <w:sz w:val="30"/>
          <w:szCs w:val="30"/>
        </w:rPr>
      </w:pPr>
      <w:r>
        <w:rPr>
          <w:rStyle w:val="17"/>
          <w:rFonts w:hint="eastAsia" w:ascii="仿宋" w:hAnsi="仿宋" w:eastAsia="仿宋" w:cs="仿宋"/>
          <w:b w:val="0"/>
          <w:color w:val="000000"/>
          <w:sz w:val="30"/>
          <w:szCs w:val="30"/>
        </w:rPr>
        <w:t>12、住房保障支出</w:t>
      </w:r>
    </w:p>
    <w:p>
      <w:pPr>
        <w:spacing w:line="600" w:lineRule="exact"/>
        <w:ind w:firstLine="600" w:firstLineChars="200"/>
        <w:rPr>
          <w:rStyle w:val="17"/>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7"/>
          <w:rFonts w:hint="eastAsia" w:ascii="仿宋" w:hAnsi="仿宋" w:eastAsia="仿宋" w:cs="仿宋"/>
          <w:b w:val="0"/>
          <w:color w:val="000000"/>
          <w:sz w:val="30"/>
          <w:szCs w:val="30"/>
        </w:rPr>
        <w:t>:指行政事业单位按人社部、财政部规定的基本工资、津贴补贴以及规定比例为职工缴纳的住房公积金。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pPr>
        <w:pStyle w:val="25"/>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cs="仿宋"/>
          <w:b/>
          <w:color w:val="000000"/>
          <w:sz w:val="32"/>
          <w:szCs w:val="32"/>
        </w:rPr>
      </w:pPr>
    </w:p>
    <w:p>
      <w:pPr>
        <w:spacing w:line="600" w:lineRule="exact"/>
        <w:jc w:val="center"/>
        <w:outlineLvl w:val="0"/>
        <w:rPr>
          <w:rStyle w:val="27"/>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7"/>
          <w:rFonts w:hint="eastAsia" w:ascii="仿宋" w:hAnsi="仿宋" w:eastAsia="仿宋" w:cs="仿宋"/>
          <w:b w:val="0"/>
        </w:rPr>
        <w:t>四部分 附件</w:t>
      </w:r>
      <w:bookmarkEnd w:id="58"/>
    </w:p>
    <w:p>
      <w:pPr>
        <w:spacing w:line="600" w:lineRule="exact"/>
        <w:jc w:val="left"/>
        <w:outlineLvl w:val="0"/>
        <w:rPr>
          <w:rFonts w:ascii="仿宋" w:hAnsi="仿宋" w:eastAsia="仿宋" w:cs="仿宋"/>
          <w:sz w:val="32"/>
          <w:szCs w:val="32"/>
        </w:rPr>
      </w:pPr>
      <w:r>
        <w:rPr>
          <w:rFonts w:hint="eastAsia" w:ascii="仿宋" w:hAnsi="仿宋" w:eastAsia="仿宋" w:cs="仿宋"/>
          <w:sz w:val="32"/>
          <w:szCs w:val="32"/>
        </w:rPr>
        <w:t>附件1</w:t>
      </w:r>
    </w:p>
    <w:p>
      <w:pPr>
        <w:spacing w:line="580" w:lineRule="exact"/>
        <w:jc w:val="center"/>
        <w:rPr>
          <w:rFonts w:ascii="仿宋" w:hAnsi="仿宋" w:eastAsia="仿宋" w:cs="仿宋"/>
          <w:sz w:val="44"/>
          <w:szCs w:val="44"/>
        </w:rPr>
      </w:pPr>
    </w:p>
    <w:p>
      <w:pPr>
        <w:spacing w:line="600" w:lineRule="exact"/>
        <w:jc w:val="center"/>
        <w:rPr>
          <w:rFonts w:ascii="仿宋" w:hAnsi="仿宋" w:eastAsia="仿宋" w:cs="仿宋"/>
          <w:b/>
          <w:bCs/>
          <w:color w:val="000000"/>
          <w:kern w:val="0"/>
          <w:sz w:val="40"/>
          <w:szCs w:val="44"/>
        </w:rPr>
      </w:pPr>
      <w:r>
        <w:rPr>
          <w:rFonts w:hint="eastAsia" w:ascii="仿宋" w:hAnsi="仿宋" w:eastAsia="仿宋" w:cs="仿宋"/>
          <w:b/>
          <w:bCs/>
          <w:color w:val="000000"/>
          <w:kern w:val="0"/>
          <w:sz w:val="40"/>
          <w:szCs w:val="44"/>
        </w:rPr>
        <w:t>峨眉山市水务局</w:t>
      </w:r>
    </w:p>
    <w:p>
      <w:pPr>
        <w:spacing w:line="560" w:lineRule="atLeast"/>
        <w:jc w:val="center"/>
        <w:rPr>
          <w:rFonts w:ascii="仿宋" w:hAnsi="仿宋" w:eastAsia="仿宋" w:cs="仿宋"/>
          <w:color w:val="000000"/>
          <w:kern w:val="0"/>
          <w:sz w:val="40"/>
          <w:szCs w:val="44"/>
          <w:lang w:val="zh-CN"/>
        </w:rPr>
      </w:pPr>
      <w:r>
        <w:rPr>
          <w:rFonts w:hint="eastAsia" w:ascii="仿宋" w:hAnsi="仿宋" w:eastAsia="仿宋" w:cs="仿宋"/>
          <w:b/>
          <w:bCs/>
          <w:color w:val="000000"/>
          <w:kern w:val="0"/>
          <w:sz w:val="40"/>
          <w:szCs w:val="44"/>
        </w:rPr>
        <w:t>2020年部门</w:t>
      </w:r>
      <w:r>
        <w:rPr>
          <w:rFonts w:hint="eastAsia" w:ascii="仿宋" w:hAnsi="仿宋" w:eastAsia="仿宋" w:cs="仿宋"/>
          <w:b/>
          <w:bCs/>
          <w:color w:val="000000"/>
          <w:kern w:val="0"/>
          <w:sz w:val="40"/>
          <w:szCs w:val="44"/>
          <w:lang w:val="zh-CN"/>
        </w:rPr>
        <w:t>整体支出绩效评价报告</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一、</w:t>
      </w:r>
      <w:r>
        <w:rPr>
          <w:rFonts w:hint="eastAsia" w:ascii="仿宋" w:hAnsi="仿宋" w:eastAsia="仿宋" w:cs="仿宋"/>
          <w:color w:val="000000"/>
          <w:kern w:val="0"/>
          <w:sz w:val="28"/>
          <w:szCs w:val="28"/>
          <w:shd w:val="clear" w:color="auto" w:fill="FFFFFF"/>
          <w:lang w:val="zh-CN"/>
        </w:rPr>
        <w:t>部门（单位）概况</w:t>
      </w:r>
    </w:p>
    <w:p>
      <w:pPr>
        <w:spacing w:line="560" w:lineRule="atLeast"/>
        <w:ind w:firstLine="840" w:firstLineChars="3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（一）机构组成</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峨眉山市水务局系主管水行政工作的市政府工作部门，内设3个行政职能股室，即办公室、水保水资股、规建河湖管理股。4个议事机构（市实行最严格水资源管理制度考核工作领导小组、市水土保持委员会、市总河长办公室、市推进城乡供水安全保障工作领导小组），负责市政府防汛抗旱指挥部办公室日常工作。所属事业单位4个都为全额拨款事业单位（市水务综合执法大队、市水利服务中心、市水利工程质量与安全监督站、市河湖保护中心）。其中：市河湖保护中心系独立核算单位，二级预算单位。</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（二）机构职能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贯彻执行水利工作的法律、法规和方针政策，开展市水利行政工作。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负责编制全市水利行业建设项目；负责全市水利工程质量、运行管理、病险整治、综合利用和安全监督管理工作；加强对水利资金的使用进行调节、管理和监督；负责水利行业国有资产的管理。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制定农村水利发展规划；组织协调全市农田水利基本建设；组织指导全市农村水利工程建设和管理工作；负责水利工程蓄水、灌溉工作，按分级管理原则，负责市级水库、渠道的安全管理运行工作。</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编制水土保持规划并组织实施。</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负责组织编制全市水能资源开发利用规划并监督实施；负责全市河道、水库、滩涂的综合治理与开发；负责河道采砂管理。</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负责市政府防汛抗旱指挥部的日常工作。</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sz w:val="28"/>
          <w:szCs w:val="28"/>
        </w:rPr>
        <w:t>承办市政府交办的其它事项。</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（三）人员概况</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峨眉山市水务局属全额拨款单位总编制数87人，其中：行政机关14人，工勤2人；参公4人；事业20人；河湖保护中心47人。</w:t>
      </w:r>
    </w:p>
    <w:p>
      <w:pPr>
        <w:spacing w:line="560" w:lineRule="atLeast"/>
        <w:ind w:firstLine="700" w:firstLineChars="250"/>
        <w:rPr>
          <w:rFonts w:ascii="仿宋" w:hAnsi="仿宋" w:eastAsia="仿宋" w:cs="仿宋"/>
          <w:sz w:val="28"/>
          <w:szCs w:val="28"/>
        </w:rPr>
      </w:pPr>
      <w:r>
        <w:rPr>
          <w:rFonts w:hint="eastAsia" w:ascii="仿宋" w:hAnsi="仿宋" w:eastAsia="仿宋" w:cs="仿宋"/>
          <w:sz w:val="28"/>
          <w:szCs w:val="28"/>
        </w:rPr>
        <w:t>实有人数61人，其中：水务局31人（其中：劳务派遣人员5人），河湖保护中心30人。</w:t>
      </w:r>
    </w:p>
    <w:p>
      <w:pPr>
        <w:spacing w:line="56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与上年相比，水务局年末在职人数与上年相比减少6人，其中：水务局机关退休3人，死亡1人；市河湖保护中心退休2人。</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二、部门财政资金收支情况</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（一）部门财政资金收入情况</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峨眉山市水务局2020年收入为</w:t>
      </w:r>
      <w:r>
        <w:rPr>
          <w:rFonts w:hint="eastAsia" w:ascii="仿宋" w:hAnsi="仿宋" w:eastAsia="仿宋" w:cs="仿宋"/>
          <w:color w:val="000000"/>
          <w:kern w:val="0"/>
          <w:sz w:val="28"/>
          <w:szCs w:val="28"/>
        </w:rPr>
        <w:t>22966.68</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rPr>
        <w:t>22966.68</w:t>
      </w:r>
      <w:r>
        <w:rPr>
          <w:rFonts w:hint="eastAsia" w:ascii="仿宋" w:hAnsi="仿宋" w:eastAsia="仿宋" w:cs="仿宋"/>
          <w:sz w:val="28"/>
          <w:szCs w:val="28"/>
        </w:rPr>
        <w:t>万元，其他收入0.00万元。其中：</w:t>
      </w:r>
      <w:r>
        <w:rPr>
          <w:rFonts w:hint="eastAsia" w:ascii="仿宋" w:hAnsi="仿宋" w:eastAsia="仿宋" w:cs="仿宋"/>
          <w:color w:val="000000"/>
          <w:kern w:val="0"/>
          <w:sz w:val="28"/>
          <w:szCs w:val="28"/>
          <w:shd w:val="clear" w:color="auto" w:fill="FFFFFF"/>
          <w:lang w:val="zh-CN"/>
        </w:rPr>
        <w:t xml:space="preserve">水务局机关 </w:t>
      </w:r>
      <w:r>
        <w:rPr>
          <w:rFonts w:hint="eastAsia" w:ascii="仿宋" w:hAnsi="仿宋" w:eastAsia="仿宋" w:cs="仿宋"/>
          <w:sz w:val="28"/>
          <w:szCs w:val="28"/>
        </w:rPr>
        <w:t>2020年收入为</w:t>
      </w:r>
      <w:r>
        <w:rPr>
          <w:rFonts w:hint="eastAsia" w:ascii="仿宋" w:hAnsi="仿宋" w:eastAsia="仿宋" w:cs="仿宋"/>
          <w:color w:val="000000"/>
          <w:kern w:val="0"/>
          <w:sz w:val="28"/>
          <w:szCs w:val="28"/>
        </w:rPr>
        <w:t>20505.37</w:t>
      </w:r>
      <w:r>
        <w:rPr>
          <w:rFonts w:hint="eastAsia" w:ascii="仿宋" w:hAnsi="仿宋" w:eastAsia="仿宋" w:cs="仿宋"/>
          <w:sz w:val="28"/>
          <w:szCs w:val="28"/>
        </w:rPr>
        <w:t>万元，同比增长180.93%，其中：财政拨款</w:t>
      </w:r>
      <w:r>
        <w:rPr>
          <w:rFonts w:hint="eastAsia" w:ascii="仿宋" w:hAnsi="仿宋" w:eastAsia="仿宋" w:cs="仿宋"/>
          <w:color w:val="000000"/>
          <w:kern w:val="0"/>
          <w:sz w:val="28"/>
          <w:szCs w:val="28"/>
        </w:rPr>
        <w:t>20505.37</w:t>
      </w:r>
      <w:r>
        <w:rPr>
          <w:rFonts w:hint="eastAsia" w:ascii="仿宋" w:hAnsi="仿宋" w:eastAsia="仿宋" w:cs="仿宋"/>
          <w:sz w:val="28"/>
          <w:szCs w:val="28"/>
        </w:rPr>
        <w:t>万元，同比增长180.93%，2020年其他收入0.00万元；</w:t>
      </w:r>
      <w:r>
        <w:rPr>
          <w:rFonts w:hint="eastAsia" w:ascii="仿宋" w:hAnsi="仿宋" w:eastAsia="仿宋" w:cs="仿宋"/>
          <w:color w:val="000000"/>
          <w:kern w:val="0"/>
          <w:sz w:val="28"/>
          <w:szCs w:val="28"/>
        </w:rPr>
        <w:t>河湖保护中心</w:t>
      </w:r>
      <w:r>
        <w:rPr>
          <w:rFonts w:hint="eastAsia" w:ascii="仿宋" w:hAnsi="仿宋" w:eastAsia="仿宋" w:cs="仿宋"/>
          <w:sz w:val="28"/>
          <w:szCs w:val="28"/>
        </w:rPr>
        <w:t>2020年收入为</w:t>
      </w:r>
      <w:r>
        <w:rPr>
          <w:rFonts w:hint="eastAsia" w:ascii="仿宋" w:hAnsi="仿宋" w:eastAsia="仿宋" w:cs="仿宋"/>
          <w:color w:val="000000"/>
          <w:kern w:val="0"/>
          <w:sz w:val="28"/>
          <w:szCs w:val="28"/>
        </w:rPr>
        <w:t>2461.31</w:t>
      </w:r>
      <w:r>
        <w:rPr>
          <w:rFonts w:hint="eastAsia" w:ascii="仿宋" w:hAnsi="仿宋" w:eastAsia="仿宋" w:cs="仿宋"/>
          <w:sz w:val="28"/>
          <w:szCs w:val="28"/>
        </w:rPr>
        <w:t>万元，同比增长27.49%，其中：财政拨款</w:t>
      </w:r>
      <w:r>
        <w:rPr>
          <w:rFonts w:hint="eastAsia" w:ascii="仿宋" w:hAnsi="仿宋" w:eastAsia="仿宋" w:cs="仿宋"/>
          <w:color w:val="000000"/>
          <w:kern w:val="0"/>
          <w:sz w:val="28"/>
          <w:szCs w:val="28"/>
        </w:rPr>
        <w:t>2461.31</w:t>
      </w:r>
      <w:r>
        <w:rPr>
          <w:rFonts w:hint="eastAsia" w:ascii="仿宋" w:hAnsi="仿宋" w:eastAsia="仿宋" w:cs="仿宋"/>
          <w:sz w:val="28"/>
          <w:szCs w:val="28"/>
        </w:rPr>
        <w:t>万元，同比增长27.49%，2020年其他收入0.00万元。</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（二）部门财政资金支出情况</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sz w:val="28"/>
          <w:szCs w:val="28"/>
        </w:rPr>
        <w:t>峨眉山市水务局2020年支出为</w:t>
      </w:r>
      <w:r>
        <w:rPr>
          <w:rFonts w:hint="eastAsia" w:ascii="仿宋" w:hAnsi="仿宋" w:eastAsia="仿宋" w:cs="仿宋"/>
          <w:color w:val="000000"/>
          <w:kern w:val="0"/>
          <w:sz w:val="28"/>
          <w:szCs w:val="28"/>
        </w:rPr>
        <w:t>27075.39</w:t>
      </w:r>
      <w:r>
        <w:rPr>
          <w:rFonts w:hint="eastAsia" w:ascii="仿宋" w:hAnsi="仿宋" w:eastAsia="仿宋" w:cs="仿宋"/>
          <w:sz w:val="28"/>
          <w:szCs w:val="28"/>
        </w:rPr>
        <w:t>万元，其中：财政拨款</w:t>
      </w:r>
      <w:r>
        <w:rPr>
          <w:rFonts w:hint="eastAsia" w:ascii="仿宋" w:hAnsi="仿宋" w:eastAsia="仿宋" w:cs="仿宋"/>
          <w:color w:val="000000"/>
          <w:kern w:val="0"/>
          <w:sz w:val="28"/>
          <w:szCs w:val="28"/>
        </w:rPr>
        <w:t>27075.39</w:t>
      </w:r>
      <w:r>
        <w:rPr>
          <w:rFonts w:hint="eastAsia" w:ascii="仿宋" w:hAnsi="仿宋" w:eastAsia="仿宋" w:cs="仿宋"/>
          <w:sz w:val="28"/>
          <w:szCs w:val="28"/>
        </w:rPr>
        <w:t>万元。</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val="zh-CN"/>
        </w:rPr>
        <w:t xml:space="preserve">水务局机关 </w:t>
      </w:r>
      <w:r>
        <w:rPr>
          <w:rFonts w:hint="eastAsia" w:ascii="仿宋" w:hAnsi="仿宋" w:eastAsia="仿宋" w:cs="仿宋"/>
          <w:sz w:val="28"/>
          <w:szCs w:val="28"/>
        </w:rPr>
        <w:t>2020年支出为</w:t>
      </w:r>
      <w:r>
        <w:rPr>
          <w:rFonts w:hint="eastAsia" w:ascii="仿宋" w:hAnsi="仿宋" w:eastAsia="仿宋" w:cs="仿宋"/>
          <w:color w:val="000000"/>
          <w:kern w:val="0"/>
          <w:sz w:val="28"/>
          <w:szCs w:val="28"/>
        </w:rPr>
        <w:t>24634.04</w:t>
      </w:r>
      <w:r>
        <w:rPr>
          <w:rFonts w:hint="eastAsia" w:ascii="仿宋" w:hAnsi="仿宋" w:eastAsia="仿宋" w:cs="仿宋"/>
          <w:sz w:val="28"/>
          <w:szCs w:val="28"/>
        </w:rPr>
        <w:t>万元，同比增长213.91%，其中财政拨款</w:t>
      </w:r>
      <w:r>
        <w:rPr>
          <w:rFonts w:hint="eastAsia" w:ascii="仿宋" w:hAnsi="仿宋" w:eastAsia="仿宋" w:cs="仿宋"/>
          <w:color w:val="000000"/>
          <w:kern w:val="0"/>
          <w:sz w:val="28"/>
          <w:szCs w:val="28"/>
        </w:rPr>
        <w:t>24634.04</w:t>
      </w:r>
      <w:r>
        <w:rPr>
          <w:rFonts w:hint="eastAsia" w:ascii="仿宋" w:hAnsi="仿宋" w:eastAsia="仿宋" w:cs="仿宋"/>
          <w:sz w:val="28"/>
          <w:szCs w:val="28"/>
        </w:rPr>
        <w:t>万元，同比增长213.91%。其中:基本支出618.43万元，同比增长-5.92%。项目支出</w:t>
      </w:r>
      <w:r>
        <w:rPr>
          <w:rFonts w:hint="eastAsia" w:ascii="仿宋" w:hAnsi="仿宋" w:eastAsia="仿宋" w:cs="仿宋"/>
          <w:color w:val="000000"/>
          <w:kern w:val="0"/>
          <w:sz w:val="28"/>
          <w:szCs w:val="28"/>
        </w:rPr>
        <w:t>24015.61万</w:t>
      </w:r>
      <w:r>
        <w:rPr>
          <w:rFonts w:hint="eastAsia" w:ascii="仿宋" w:hAnsi="仿宋" w:eastAsia="仿宋" w:cs="仿宋"/>
          <w:sz w:val="28"/>
          <w:szCs w:val="28"/>
        </w:rPr>
        <w:t>元，同比增长234.01%。</w:t>
      </w:r>
    </w:p>
    <w:p>
      <w:pPr>
        <w:widowControl/>
        <w:adjustRightInd w:val="0"/>
        <w:snapToGrid w:val="0"/>
        <w:spacing w:line="560" w:lineRule="atLeast"/>
        <w:ind w:firstLine="560" w:firstLineChars="200"/>
        <w:jc w:val="left"/>
        <w:outlineLvl w:val="0"/>
        <w:rPr>
          <w:rFonts w:ascii="仿宋" w:hAnsi="仿宋" w:eastAsia="仿宋" w:cs="仿宋"/>
          <w:sz w:val="28"/>
          <w:szCs w:val="28"/>
        </w:rPr>
      </w:pPr>
      <w:r>
        <w:rPr>
          <w:rFonts w:hint="eastAsia" w:ascii="仿宋" w:hAnsi="仿宋" w:eastAsia="仿宋" w:cs="仿宋"/>
          <w:color w:val="000000"/>
          <w:kern w:val="0"/>
          <w:sz w:val="28"/>
          <w:szCs w:val="28"/>
        </w:rPr>
        <w:t>河湖保护中心</w:t>
      </w:r>
      <w:r>
        <w:rPr>
          <w:rFonts w:hint="eastAsia" w:ascii="仿宋" w:hAnsi="仿宋" w:eastAsia="仿宋" w:cs="仿宋"/>
          <w:sz w:val="28"/>
          <w:szCs w:val="28"/>
        </w:rPr>
        <w:t>2020年支出为</w:t>
      </w:r>
      <w:r>
        <w:rPr>
          <w:rFonts w:hint="eastAsia" w:ascii="仿宋" w:hAnsi="仿宋" w:eastAsia="仿宋" w:cs="仿宋"/>
          <w:color w:val="000000"/>
          <w:kern w:val="0"/>
          <w:sz w:val="28"/>
          <w:szCs w:val="28"/>
        </w:rPr>
        <w:t>2441.35</w:t>
      </w:r>
      <w:r>
        <w:rPr>
          <w:rFonts w:hint="eastAsia" w:ascii="仿宋" w:hAnsi="仿宋" w:eastAsia="仿宋" w:cs="仿宋"/>
          <w:sz w:val="28"/>
          <w:szCs w:val="28"/>
        </w:rPr>
        <w:t>万元，同比增长-45.32%，其中财政拨款</w:t>
      </w:r>
      <w:r>
        <w:rPr>
          <w:rFonts w:hint="eastAsia" w:ascii="仿宋" w:hAnsi="仿宋" w:eastAsia="仿宋" w:cs="仿宋"/>
          <w:color w:val="000000"/>
          <w:kern w:val="0"/>
          <w:sz w:val="28"/>
          <w:szCs w:val="28"/>
        </w:rPr>
        <w:t>2441.35</w:t>
      </w:r>
      <w:r>
        <w:rPr>
          <w:rFonts w:hint="eastAsia" w:ascii="仿宋" w:hAnsi="仿宋" w:eastAsia="仿宋" w:cs="仿宋"/>
          <w:sz w:val="28"/>
          <w:szCs w:val="28"/>
        </w:rPr>
        <w:t>万元，同比增长-45.32%。其中:基本支出537万元，同比增长-7.76%。项目支出</w:t>
      </w:r>
      <w:r>
        <w:rPr>
          <w:rFonts w:hint="eastAsia" w:ascii="仿宋" w:hAnsi="仿宋" w:eastAsia="仿宋" w:cs="仿宋"/>
          <w:color w:val="000000"/>
          <w:kern w:val="0"/>
          <w:sz w:val="28"/>
          <w:szCs w:val="28"/>
        </w:rPr>
        <w:t>1904.35万</w:t>
      </w:r>
      <w:r>
        <w:rPr>
          <w:rFonts w:hint="eastAsia" w:ascii="仿宋" w:hAnsi="仿宋" w:eastAsia="仿宋" w:cs="仿宋"/>
          <w:sz w:val="28"/>
          <w:szCs w:val="28"/>
        </w:rPr>
        <w:t>元，同比增长-50.95%。</w:t>
      </w:r>
    </w:p>
    <w:p>
      <w:pPr>
        <w:widowControl/>
        <w:tabs>
          <w:tab w:val="left" w:pos="8415"/>
        </w:tabs>
        <w:adjustRightInd w:val="0"/>
        <w:snapToGrid w:val="0"/>
        <w:spacing w:line="560" w:lineRule="atLeast"/>
        <w:ind w:left="420" w:leftChars="200"/>
        <w:jc w:val="left"/>
        <w:outlineLvl w:val="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w:t>
      </w:r>
      <w:r>
        <w:rPr>
          <w:rFonts w:hint="eastAsia" w:ascii="仿宋" w:hAnsi="仿宋" w:eastAsia="仿宋" w:cs="仿宋"/>
          <w:color w:val="000000"/>
          <w:kern w:val="0"/>
          <w:sz w:val="28"/>
          <w:szCs w:val="28"/>
          <w:shd w:val="clear" w:color="auto" w:fill="FFFFFF"/>
          <w:lang w:val="zh-CN"/>
        </w:rPr>
        <w:t>部门</w:t>
      </w:r>
      <w:r>
        <w:rPr>
          <w:rFonts w:hint="eastAsia" w:ascii="仿宋" w:hAnsi="仿宋" w:eastAsia="仿宋" w:cs="仿宋"/>
          <w:color w:val="000000"/>
          <w:kern w:val="0"/>
          <w:sz w:val="28"/>
          <w:szCs w:val="28"/>
          <w:shd w:val="clear" w:color="auto" w:fill="FFFFFF"/>
        </w:rPr>
        <w:t>结余结转情况</w:t>
      </w:r>
    </w:p>
    <w:p>
      <w:pPr>
        <w:pStyle w:val="8"/>
        <w:spacing w:line="560" w:lineRule="atLeast"/>
        <w:ind w:firstLine="560" w:firstLineChars="200"/>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rPr>
        <w:t>水务局2020年末结余结转1003.70万元，其中：水务局机关860.98万元，比上年减少1516.41万元，下降63.78%；河湖保护中心142.72万元，比上年减少459.97万元，下降76.31%。</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三、部门整体预算绩效管理情况</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（一）部门预算管理</w:t>
      </w:r>
    </w:p>
    <w:p>
      <w:pPr>
        <w:widowControl/>
        <w:adjustRightInd w:val="0"/>
        <w:snapToGrid w:val="0"/>
        <w:spacing w:line="560" w:lineRule="atLeast"/>
        <w:ind w:firstLine="720"/>
        <w:jc w:val="left"/>
        <w:outlineLvl w:val="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zh-CN"/>
        </w:rPr>
        <w:t>预决算编制及执行情况。</w:t>
      </w:r>
    </w:p>
    <w:p>
      <w:pPr>
        <w:widowControl/>
        <w:adjustRightInd w:val="0"/>
        <w:snapToGrid w:val="0"/>
        <w:spacing w:line="560" w:lineRule="atLeast"/>
        <w:ind w:firstLine="72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zh-CN"/>
        </w:rPr>
        <w:t>水务局</w:t>
      </w:r>
      <w:r>
        <w:rPr>
          <w:rFonts w:hint="eastAsia" w:ascii="仿宋" w:hAnsi="仿宋" w:eastAsia="仿宋" w:cs="仿宋"/>
          <w:color w:val="000000"/>
          <w:kern w:val="0"/>
          <w:sz w:val="28"/>
          <w:szCs w:val="28"/>
          <w:shd w:val="clear" w:color="auto" w:fill="FFFFFF"/>
        </w:rPr>
        <w:t>2020年度预算数2422.55万元，其中：基本支出848.85万元；项目支出1573.70万元，涉及项目15个。</w:t>
      </w:r>
    </w:p>
    <w:p>
      <w:pPr>
        <w:widowControl/>
        <w:numPr>
          <w:ilvl w:val="0"/>
          <w:numId w:val="6"/>
        </w:numPr>
        <w:adjustRightInd w:val="0"/>
        <w:snapToGrid w:val="0"/>
        <w:spacing w:line="560" w:lineRule="atLeast"/>
        <w:ind w:firstLine="720"/>
        <w:jc w:val="left"/>
        <w:rPr>
          <w:rFonts w:ascii="仿宋" w:hAnsi="仿宋" w:eastAsia="仿宋" w:cs="仿宋"/>
          <w:sz w:val="28"/>
          <w:szCs w:val="28"/>
        </w:rPr>
      </w:pPr>
      <w:r>
        <w:rPr>
          <w:rFonts w:hint="eastAsia" w:ascii="仿宋" w:hAnsi="仿宋" w:eastAsia="仿宋" w:cs="仿宋"/>
          <w:color w:val="000000"/>
          <w:kern w:val="0"/>
          <w:sz w:val="28"/>
          <w:szCs w:val="28"/>
          <w:shd w:val="clear" w:color="auto" w:fill="FFFFFF"/>
        </w:rPr>
        <w:t>基本支出预算编制848.85万元，执行数1155.43万元执行数为预算数的136.12%。</w:t>
      </w:r>
    </w:p>
    <w:p>
      <w:pPr>
        <w:pStyle w:val="8"/>
        <w:numPr>
          <w:ilvl w:val="0"/>
          <w:numId w:val="6"/>
        </w:numPr>
        <w:spacing w:line="560" w:lineRule="atLeast"/>
        <w:ind w:firstLine="72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项目支出预算编制1573.70万元，涉及项目15个。完成预算编制金额2,387.91万元，占预算编制的28.07%。其中：</w:t>
      </w:r>
    </w:p>
    <w:p>
      <w:pPr>
        <w:pStyle w:val="8"/>
        <w:spacing w:line="560" w:lineRule="atLeas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执行完成预算编制项目9个，涉及资金603.00万元，其中：2020年高桥镇电站效益补差经费60.00万元；2020年河长制办公室工作经费20万元；2020年取消农业水费补助跃进渠经费70.00万元；2020年全市防汛工作经费10.00万元； 2020年山洪灾害预警系统运行经费83万元；2020年石面堰发电厂财政补差经费148.00万元；2020年观音岩水库船舶运行费16.00万元；峨眉河大坝运行费15.00万元；观音岩水库土地租金31.00万元；2020年春灌岁修150万元。</w:t>
      </w:r>
    </w:p>
    <w:p>
      <w:pPr>
        <w:pStyle w:val="8"/>
        <w:spacing w:line="560" w:lineRule="atLeas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未完成预算编制项目5个，预算编制949.00万元，实际完成421.56万元，其中：2016年节水型社会项目建设经费（续建）预算180万，实际完成0万元；2017年节水型社会项目建设经费（续建）预算420.00万，实际完成334.00万元；2017年山洪灾害非工程措施项目（续建）预算115.00万，实际完成0万元；2018年农业生产救灾及特大防汛抗旱项目（续建）预算118.00万，实际完成0万元；青衣江跃进渠罐区2018续建配套（峨眉山市片区）青苗补偿等相关经费预算116.00万，实际完成87.56万元。</w:t>
      </w:r>
    </w:p>
    <w:p>
      <w:pPr>
        <w:widowControl/>
        <w:adjustRightInd w:val="0"/>
        <w:snapToGrid w:val="0"/>
        <w:spacing w:line="560" w:lineRule="atLeast"/>
        <w:ind w:firstLine="720"/>
        <w:jc w:val="left"/>
        <w:outlineLvl w:val="0"/>
        <w:rPr>
          <w:rFonts w:ascii="仿宋" w:hAnsi="仿宋" w:eastAsia="仿宋" w:cs="仿宋"/>
          <w:sz w:val="28"/>
          <w:szCs w:val="28"/>
        </w:rPr>
      </w:pPr>
      <w:r>
        <w:rPr>
          <w:rFonts w:hint="eastAsia" w:ascii="仿宋" w:hAnsi="仿宋" w:eastAsia="仿宋" w:cs="仿宋"/>
          <w:color w:val="000000"/>
          <w:kern w:val="0"/>
          <w:sz w:val="28"/>
          <w:szCs w:val="28"/>
          <w:shd w:val="clear" w:color="auto" w:fill="FFFFFF"/>
          <w:lang w:val="zh-CN"/>
        </w:rPr>
        <w:t>项目专项资金均按照《四川省省级财政专项资金绩效分配管理暂行办法》执行，遵循科学规范、分类管理、协助制衡的原则，采取直接划拨、规划分配、竞争力项等方式分配。</w:t>
      </w:r>
      <w:r>
        <w:rPr>
          <w:rFonts w:hint="eastAsia" w:ascii="仿宋" w:hAnsi="仿宋" w:eastAsia="仿宋" w:cs="仿宋"/>
          <w:color w:val="000000"/>
          <w:kern w:val="0"/>
          <w:sz w:val="28"/>
          <w:szCs w:val="28"/>
          <w:shd w:val="clear" w:color="auto" w:fill="FFFFFF"/>
        </w:rPr>
        <w:t>逐步完善项目资金管理办法，加强项目资金管理。</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（二）结果应用情况：无。</w:t>
      </w:r>
    </w:p>
    <w:p>
      <w:pPr>
        <w:widowControl/>
        <w:adjustRightInd w:val="0"/>
        <w:snapToGrid w:val="0"/>
        <w:spacing w:line="560" w:lineRule="atLeast"/>
        <w:ind w:firstLine="560" w:firstLineChars="200"/>
        <w:contextualSpacing/>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四、评价结论及建议</w:t>
      </w:r>
    </w:p>
    <w:p>
      <w:pPr>
        <w:widowControl/>
        <w:adjustRightInd w:val="0"/>
        <w:snapToGrid w:val="0"/>
        <w:spacing w:line="560" w:lineRule="atLeast"/>
        <w:ind w:firstLine="560" w:firstLineChars="200"/>
        <w:contextualSpacing/>
        <w:jc w:val="left"/>
        <w:rPr>
          <w:rFonts w:ascii="仿宋" w:hAnsi="仿宋" w:eastAsia="仿宋" w:cs="仿宋"/>
          <w:sz w:val="28"/>
          <w:szCs w:val="28"/>
          <w:lang w:val="zh-CN"/>
        </w:rPr>
      </w:pPr>
      <w:r>
        <w:rPr>
          <w:rFonts w:hint="eastAsia" w:ascii="仿宋" w:hAnsi="仿宋" w:eastAsia="仿宋" w:cs="仿宋"/>
          <w:color w:val="000000"/>
          <w:kern w:val="0"/>
          <w:sz w:val="28"/>
          <w:szCs w:val="28"/>
          <w:shd w:val="clear" w:color="auto" w:fill="FFFFFF"/>
          <w:lang w:val="zh-CN"/>
        </w:rPr>
        <w:t>（一）评价结论</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zh-CN"/>
        </w:rPr>
        <w:t>自评分值9</w:t>
      </w:r>
      <w:r>
        <w:rPr>
          <w:rFonts w:hint="eastAsia" w:ascii="仿宋" w:hAnsi="仿宋" w:eastAsia="仿宋" w:cs="仿宋"/>
          <w:color w:val="000000"/>
          <w:kern w:val="0"/>
          <w:sz w:val="28"/>
          <w:szCs w:val="28"/>
          <w:shd w:val="clear" w:color="auto" w:fill="FFFFFF"/>
        </w:rPr>
        <w:t>8</w:t>
      </w:r>
      <w:r>
        <w:rPr>
          <w:rFonts w:hint="eastAsia" w:ascii="仿宋" w:hAnsi="仿宋" w:eastAsia="仿宋" w:cs="仿宋"/>
          <w:color w:val="000000"/>
          <w:kern w:val="0"/>
          <w:sz w:val="28"/>
          <w:szCs w:val="28"/>
          <w:shd w:val="clear" w:color="auto" w:fill="FFFFFF"/>
          <w:lang w:val="zh-CN"/>
        </w:rPr>
        <w:t>分。</w:t>
      </w:r>
    </w:p>
    <w:p>
      <w:pPr>
        <w:spacing w:line="560" w:lineRule="atLeast"/>
        <w:ind w:firstLine="560" w:firstLineChars="200"/>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（二）存在问题</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1、存在项目有“重建设，轻管理”的现象。</w:t>
      </w:r>
    </w:p>
    <w:p>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2、会计机构人员配置不能满足目前业务工作的需要。</w:t>
      </w:r>
    </w:p>
    <w:p>
      <w:pPr>
        <w:widowControl/>
        <w:adjustRightInd w:val="0"/>
        <w:snapToGrid w:val="0"/>
        <w:spacing w:line="560" w:lineRule="atLeast"/>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 xml:space="preserve">    3、财务部门在项目实施部门协作不够。在事前、事中监督管理缺失。</w:t>
      </w:r>
    </w:p>
    <w:p>
      <w:pPr>
        <w:widowControl/>
        <w:adjustRightInd w:val="0"/>
        <w:snapToGrid w:val="0"/>
        <w:spacing w:line="560" w:lineRule="atLeast"/>
        <w:ind w:left="420" w:left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（三）改进建议</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1、加强财务人员队伍建设，提高业务水平。</w:t>
      </w:r>
    </w:p>
    <w:p>
      <w:pPr>
        <w:widowControl/>
        <w:adjustRightInd w:val="0"/>
        <w:snapToGrid w:val="0"/>
        <w:spacing w:line="560" w:lineRule="atLeast"/>
        <w:ind w:firstLine="560" w:firstLineChars="200"/>
        <w:jc w:val="left"/>
        <w:rPr>
          <w:rFonts w:ascii="仿宋" w:hAnsi="仿宋" w:eastAsia="仿宋" w:cs="仿宋"/>
          <w:sz w:val="32"/>
          <w:szCs w:val="32"/>
        </w:rPr>
      </w:pPr>
      <w:r>
        <w:rPr>
          <w:rFonts w:hint="eastAsia" w:ascii="仿宋" w:hAnsi="仿宋" w:eastAsia="仿宋" w:cs="仿宋"/>
          <w:color w:val="000000"/>
          <w:kern w:val="0"/>
          <w:sz w:val="28"/>
          <w:szCs w:val="28"/>
          <w:shd w:val="clear" w:color="auto" w:fill="FFFFFF"/>
          <w:lang w:val="zh-CN"/>
        </w:rPr>
        <w:t>2、完善财务管理制度。</w:t>
      </w: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附件2</w:t>
      </w:r>
    </w:p>
    <w:p>
      <w:pPr>
        <w:spacing w:line="580" w:lineRule="exact"/>
        <w:ind w:firstLine="640" w:firstLineChars="200"/>
        <w:rPr>
          <w:rFonts w:ascii="仿宋" w:hAnsi="仿宋" w:eastAsia="仿宋" w:cs="仿宋"/>
          <w:sz w:val="32"/>
          <w:szCs w:val="32"/>
        </w:rPr>
      </w:pPr>
    </w:p>
    <w:p>
      <w:pPr>
        <w:widowControl/>
        <w:adjustRightInd w:val="0"/>
        <w:snapToGrid w:val="0"/>
        <w:spacing w:line="560" w:lineRule="atLeast"/>
        <w:ind w:firstLine="883" w:firstLineChars="200"/>
        <w:jc w:val="center"/>
        <w:rPr>
          <w:rFonts w:ascii="仿宋" w:hAnsi="仿宋" w:eastAsia="仿宋" w:cs="仿宋"/>
          <w:b/>
          <w:color w:val="000000"/>
          <w:kern w:val="0"/>
          <w:sz w:val="44"/>
          <w:szCs w:val="44"/>
          <w:shd w:val="clear" w:color="auto" w:fill="FFFFFF"/>
          <w:lang w:val="zh-CN"/>
        </w:rPr>
      </w:pPr>
      <w:r>
        <w:rPr>
          <w:rFonts w:hint="eastAsia" w:ascii="仿宋" w:hAnsi="仿宋" w:eastAsia="仿宋" w:cs="仿宋"/>
          <w:b/>
          <w:color w:val="000000"/>
          <w:kern w:val="0"/>
          <w:sz w:val="44"/>
          <w:szCs w:val="44"/>
          <w:shd w:val="clear" w:color="auto" w:fill="FFFFFF"/>
          <w:lang w:val="zh-CN"/>
        </w:rPr>
        <w:t>高桥镇电站效益补差经费</w:t>
      </w:r>
    </w:p>
    <w:p>
      <w:pPr>
        <w:widowControl/>
        <w:adjustRightInd w:val="0"/>
        <w:snapToGrid w:val="0"/>
        <w:spacing w:line="560" w:lineRule="atLeast"/>
        <w:ind w:firstLine="883" w:firstLineChars="200"/>
        <w:jc w:val="center"/>
        <w:rPr>
          <w:rFonts w:ascii="仿宋" w:hAnsi="仿宋" w:eastAsia="仿宋" w:cs="仿宋"/>
          <w:b/>
          <w:color w:val="000000"/>
          <w:kern w:val="0"/>
          <w:sz w:val="44"/>
          <w:szCs w:val="44"/>
          <w:shd w:val="clear" w:color="auto" w:fill="FFFFFF"/>
          <w:lang w:val="zh-CN"/>
        </w:rPr>
      </w:pPr>
      <w:r>
        <w:rPr>
          <w:rFonts w:hint="eastAsia" w:ascii="仿宋" w:hAnsi="仿宋" w:eastAsia="仿宋" w:cs="仿宋"/>
          <w:b/>
          <w:color w:val="000000"/>
          <w:kern w:val="0"/>
          <w:sz w:val="44"/>
          <w:szCs w:val="44"/>
          <w:shd w:val="clear" w:color="auto" w:fill="FFFFFF"/>
          <w:lang w:val="zh-CN"/>
        </w:rPr>
        <w:t>2020年绩效评价报告</w:t>
      </w:r>
    </w:p>
    <w:p>
      <w:pPr>
        <w:jc w:val="center"/>
        <w:rPr>
          <w:rFonts w:ascii="仿宋_GB2312"/>
          <w:color w:val="000000"/>
          <w:szCs w:val="30"/>
        </w:rPr>
      </w:pP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一、基本情况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（一）项目概况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据峨府定（2014）187号、峨府定（2017）号精神，分别对张沟电站30.80万元、土堰子电站25.00万元、黑湾电站4.20万元合计60.00万元的三个电站进行效益差额补助，直至政府收储为止。2020年全市共安排高桥镇电站效益补差经费项目资金60万元，已落实到位资金60万。资金由市财政全额拨付。2020年度该项目共支出资金60万元，资金拨付流程根据单位提出申请，通过审核后，由财政直接将资金拨付至单位。</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（二）项目绩效目标</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峨眉山市水务局在市政府的支持下，积极推进项目工作，在保障质量的基础上，不断完善，努力做到“想群众所想、急群众所急、办群众所需”。峨眉山市水务局坚持“应救尽救、好事办好”的理念，把高桥镇电站效益补差经费项目工作作为一项重要的惠民工程来抓，较好发挥了我局的作用，确保农夫山泉有限公司用水安全，保障企业稳定发展。</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2020年阶段性目标为：全面落实相关政策，严格按照相关文件规定开展相关工作，确保执行项目相关补贴费用能够准确、按时、足额发放。具体实施目标如下：</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数量目标：高桥镇电站效益补差电站3个。</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质量目标：全年无安全事故发生。</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时效目标：目标任务及时完成。</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效益目标：确保了农夫山泉有限公司用水安全，保障企业稳定发展。</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二、绩效评价工作开展情况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（一）绩效评价目的、对象和范围</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根据《中华人民共和国预算法》和《中共中央 国务院关于全面实施预算绩效管理的意见》（中发〔2018〕34号）、《中共四川省委 四川省人民政府关于全面实施预算绩效管理的实施意见》（川委发〔2019〕8 号）的指导思想，本次绩效评价的目的是为强化我局绩效预算管理，提高预算精细化、科学化管理水平，合理配置公共资源，发挥财政资金使用效益和引导作用，通过科学合理的方法，客观公正地评价我局2020年度高桥镇电站效益补差经费项目的总体执行情况和资金使用情况，并总结经验、发现问题，为今后完善项目的管理提供意见和建议。</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（二）绩效评价原则和指标体系、评价方法、评价标准</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本次评价标准以政府、主管部门颁布的国家、地方规范、行业标准及政策文件为首要评价标准，通过定量为主的评分方式进行评价，对于无法定量评价的指标采用定性分析的方法进行评价。</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定量指标得分按照以下方法评定：与设定的指标值相比，完成指标值的，记该指标所赋全部分值；对完成值高于指标值较多的，要分析原因，如果是由于原指标值设定明显偏低造成的，要按照偏离度适度调减分值；未完成指标值的，按照完成值与指标值的比例记分。</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定性指标得分按照以下方法评定：根据指标完成情况分为达成指标、部分达成指标并具有一定效果、未达成指标且效果较差三档，分别按照该指标对应分值区间合理确定分值。</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（三）绩效评价工作过程</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通过查阅项目涉及的政策文件、申请资料、财务资料及其他档案资料等，收集项目相关统计数据，对高桥镇电站效益补差经费项目的管理、发放工作的完成情况进行客观评价。</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三、综合评价情况及评价结论</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根据定量分析及定性分析，我局高桥镇电站效益补差经费项目支出综合绩效评价为99分，评价结论继续执行（相关得分情况附相关评分表）。</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四、绩效评价指标分析</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（一）项目决策情况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市财政局依据根据峨府定（2014）187号、峨府定（2017）号文件精神。高桥镇电站效益补差经费项目纳入财政预算金额为60万。</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（二）项目过程情况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我局严格按照项目相关制度规定执行，为充分保障农夫山泉公司为对象的权益，项目程序按照告知、申请、审核、审批、发放等5个程序。所有程序合法合规，资金支付依据合法，不存在虚报项目套取财政资金及不符合申报条件的情况，高桥镇电站效益补差经费项目发放合规性为100%。</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（三）项目产出情况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2020年高桥镇电站效益补差经费项目分别对张沟电站30.80万元、土堰子电站25.00万元、黑湾电站4.20万元合计60.00万元的三个电站进行效益差额补助。</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（四）项目效益情况</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我局的高桥镇电站效益补差经费项目确保了农夫山泉有限公司用水安全，保障企业稳定发展。</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五、主要经验及做法、存在的问题及原因分析</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无。</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六、有关建议</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无。</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七、其他需要说明的问题</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无其他需要说明的问题。</w:t>
      </w: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p>
    <w:p>
      <w:pPr>
        <w:widowControl/>
        <w:adjustRightInd w:val="0"/>
        <w:snapToGrid w:val="0"/>
        <w:spacing w:line="560" w:lineRule="atLeast"/>
        <w:ind w:firstLine="560" w:firstLineChars="200"/>
        <w:jc w:val="left"/>
        <w:rPr>
          <w:rFonts w:ascii="仿宋" w:hAnsi="仿宋" w:eastAsia="仿宋" w:cs="仿宋"/>
          <w:color w:val="000000"/>
          <w:kern w:val="0"/>
          <w:sz w:val="28"/>
          <w:szCs w:val="28"/>
          <w:shd w:val="clear" w:color="auto" w:fill="FFFFFF"/>
          <w:lang w:val="zh-CN"/>
        </w:rPr>
      </w:pPr>
    </w:p>
    <w:p>
      <w:pPr>
        <w:widowControl/>
        <w:jc w:val="left"/>
        <w:rPr>
          <w:rStyle w:val="27"/>
          <w:rFonts w:ascii="仿宋" w:hAnsi="仿宋" w:eastAsia="仿宋" w:cs="仿宋"/>
          <w:b w:val="0"/>
          <w:sz w:val="30"/>
          <w:szCs w:val="30"/>
        </w:rPr>
      </w:pPr>
    </w:p>
    <w:p>
      <w:pPr>
        <w:widowControl/>
        <w:jc w:val="left"/>
        <w:rPr>
          <w:rStyle w:val="27"/>
          <w:rFonts w:ascii="仿宋" w:hAnsi="仿宋" w:eastAsia="仿宋" w:cs="仿宋"/>
          <w:b w:val="0"/>
        </w:rPr>
      </w:pPr>
      <w:r>
        <w:rPr>
          <w:rStyle w:val="27"/>
          <w:rFonts w:hint="eastAsia" w:ascii="仿宋" w:hAnsi="仿宋" w:eastAsia="仿宋" w:cs="仿宋"/>
          <w:b w:val="0"/>
        </w:rPr>
        <w:br w:type="page"/>
      </w:r>
    </w:p>
    <w:p>
      <w:pPr>
        <w:spacing w:line="600" w:lineRule="exact"/>
        <w:jc w:val="center"/>
        <w:outlineLvl w:val="0"/>
        <w:rPr>
          <w:rStyle w:val="27"/>
          <w:rFonts w:ascii="仿宋" w:hAnsi="仿宋" w:eastAsia="仿宋" w:cs="仿宋"/>
          <w:b w:val="0"/>
        </w:rPr>
      </w:pPr>
    </w:p>
    <w:p>
      <w:pPr>
        <w:spacing w:line="600" w:lineRule="exact"/>
        <w:jc w:val="center"/>
        <w:outlineLvl w:val="0"/>
        <w:rPr>
          <w:rStyle w:val="27"/>
          <w:rFonts w:ascii="仿宋" w:hAnsi="仿宋" w:eastAsia="仿宋" w:cs="仿宋"/>
          <w:b w:val="0"/>
        </w:rPr>
      </w:pPr>
      <w:bookmarkStart w:id="59" w:name="_Toc15396618"/>
      <w:r>
        <w:rPr>
          <w:rFonts w:hint="eastAsia" w:ascii="仿宋" w:hAnsi="仿宋" w:eastAsia="仿宋" w:cs="仿宋"/>
          <w:color w:val="000000"/>
          <w:sz w:val="44"/>
          <w:szCs w:val="44"/>
        </w:rPr>
        <w:t>第</w:t>
      </w:r>
      <w:r>
        <w:rPr>
          <w:rStyle w:val="27"/>
          <w:rFonts w:hint="eastAsia" w:ascii="仿宋" w:hAnsi="仿宋" w:eastAsia="仿宋" w:cs="仿宋"/>
          <w:b w:val="0"/>
        </w:rPr>
        <w:t>五部分 附表</w:t>
      </w:r>
      <w:bookmarkEnd w:id="57"/>
      <w:bookmarkEnd w:id="59"/>
    </w:p>
    <w:p>
      <w:pPr>
        <w:spacing w:line="600" w:lineRule="exact"/>
        <w:jc w:val="center"/>
        <w:outlineLvl w:val="0"/>
        <w:rPr>
          <w:rFonts w:ascii="仿宋" w:hAnsi="仿宋" w:eastAsia="仿宋" w:cs="仿宋"/>
          <w:b/>
          <w:color w:val="000000"/>
          <w:sz w:val="44"/>
          <w:szCs w:val="44"/>
        </w:rPr>
      </w:pPr>
    </w:p>
    <w:p>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28"/>
          <w:rFonts w:hint="eastAsia" w:ascii="仿宋" w:hAnsi="仿宋" w:eastAsia="仿宋" w:cs="仿宋"/>
          <w:b w:val="0"/>
          <w:bCs w:val="0"/>
        </w:rPr>
        <w:t>入支出决算总表</w:t>
      </w:r>
      <w:bookmarkEnd w:id="60"/>
    </w:p>
    <w:p>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28"/>
          <w:rFonts w:hint="eastAsia" w:ascii="仿宋" w:hAnsi="仿宋" w:eastAsia="仿宋" w:cs="仿宋"/>
          <w:b w:val="0"/>
          <w:bCs w:val="0"/>
        </w:rPr>
        <w:t>入决算表</w:t>
      </w:r>
      <w:bookmarkEnd w:id="61"/>
    </w:p>
    <w:p>
      <w:pPr>
        <w:pStyle w:val="4"/>
        <w:rPr>
          <w:rFonts w:ascii="仿宋" w:hAnsi="仿宋" w:eastAsia="仿宋" w:cs="仿宋"/>
          <w:color w:val="000000"/>
        </w:rPr>
      </w:pPr>
      <w:bookmarkStart w:id="62" w:name="_Toc15396621"/>
      <w:r>
        <w:rPr>
          <w:rStyle w:val="28"/>
          <w:rFonts w:hint="eastAsia" w:ascii="仿宋" w:hAnsi="仿宋" w:eastAsia="仿宋" w:cs="仿宋"/>
          <w:b w:val="0"/>
          <w:bCs w:val="0"/>
        </w:rPr>
        <w:t>三、</w:t>
      </w:r>
      <w:r>
        <w:rPr>
          <w:rFonts w:hint="eastAsia" w:ascii="仿宋" w:hAnsi="仿宋" w:eastAsia="仿宋" w:cs="仿宋"/>
          <w:b w:val="0"/>
          <w:color w:val="000000"/>
        </w:rPr>
        <w:t>支</w:t>
      </w:r>
      <w:r>
        <w:rPr>
          <w:rStyle w:val="28"/>
          <w:rFonts w:hint="eastAsia" w:ascii="仿宋" w:hAnsi="仿宋" w:eastAsia="仿宋" w:cs="仿宋"/>
          <w:b w:val="0"/>
          <w:bCs w:val="0"/>
        </w:rPr>
        <w:t>出决算表</w:t>
      </w:r>
      <w:bookmarkEnd w:id="62"/>
    </w:p>
    <w:p>
      <w:pPr>
        <w:pStyle w:val="4"/>
        <w:rPr>
          <w:rFonts w:ascii="仿宋" w:hAnsi="仿宋" w:eastAsia="仿宋" w:cs="仿宋"/>
          <w:b w:val="0"/>
          <w:color w:val="000000"/>
        </w:rPr>
      </w:pPr>
      <w:bookmarkStart w:id="63" w:name="_Toc15396622"/>
      <w:r>
        <w:rPr>
          <w:rStyle w:val="28"/>
          <w:rFonts w:hint="eastAsia" w:ascii="仿宋" w:hAnsi="仿宋" w:eastAsia="仿宋" w:cs="仿宋"/>
          <w:b w:val="0"/>
          <w:bCs w:val="0"/>
        </w:rPr>
        <w:t>四、</w:t>
      </w:r>
      <w:r>
        <w:rPr>
          <w:rFonts w:hint="eastAsia" w:ascii="仿宋" w:hAnsi="仿宋" w:eastAsia="仿宋" w:cs="仿宋"/>
          <w:b w:val="0"/>
          <w:color w:val="000000"/>
        </w:rPr>
        <w:t>财</w:t>
      </w:r>
      <w:r>
        <w:rPr>
          <w:rStyle w:val="28"/>
          <w:rFonts w:hint="eastAsia" w:ascii="仿宋" w:hAnsi="仿宋" w:eastAsia="仿宋" w:cs="仿宋"/>
          <w:b w:val="0"/>
          <w:bCs w:val="0"/>
        </w:rPr>
        <w:t>政拨款收入支出决算总表</w:t>
      </w:r>
      <w:bookmarkEnd w:id="63"/>
    </w:p>
    <w:p>
      <w:pPr>
        <w:pStyle w:val="4"/>
        <w:rPr>
          <w:rStyle w:val="28"/>
          <w:rFonts w:ascii="仿宋" w:hAnsi="仿宋" w:eastAsia="仿宋" w:cs="仿宋"/>
          <w:b w:val="0"/>
          <w:bCs w:val="0"/>
        </w:rPr>
      </w:pPr>
      <w:bookmarkStart w:id="64" w:name="_Toc15396623"/>
      <w:r>
        <w:rPr>
          <w:rStyle w:val="28"/>
          <w:rFonts w:hint="eastAsia" w:ascii="仿宋" w:hAnsi="仿宋" w:eastAsia="仿宋" w:cs="仿宋"/>
          <w:b w:val="0"/>
          <w:bCs w:val="0"/>
        </w:rPr>
        <w:t>五、</w:t>
      </w:r>
      <w:r>
        <w:rPr>
          <w:rFonts w:hint="eastAsia" w:ascii="仿宋" w:hAnsi="仿宋" w:eastAsia="仿宋" w:cs="仿宋"/>
          <w:b w:val="0"/>
          <w:color w:val="000000"/>
        </w:rPr>
        <w:t>财</w:t>
      </w:r>
      <w:r>
        <w:rPr>
          <w:rStyle w:val="28"/>
          <w:rFonts w:hint="eastAsia" w:ascii="仿宋" w:hAnsi="仿宋" w:eastAsia="仿宋" w:cs="仿宋"/>
          <w:b w:val="0"/>
          <w:bCs w:val="0"/>
        </w:rPr>
        <w:t>政拨款支出决算明细表</w:t>
      </w:r>
      <w:bookmarkEnd w:id="64"/>
      <w:bookmarkStart w:id="65" w:name="_Toc15396624"/>
    </w:p>
    <w:p>
      <w:pPr>
        <w:pStyle w:val="4"/>
        <w:rPr>
          <w:rFonts w:ascii="仿宋" w:hAnsi="仿宋" w:eastAsia="仿宋" w:cs="仿宋"/>
          <w:color w:val="000000"/>
        </w:rPr>
      </w:pPr>
      <w:r>
        <w:rPr>
          <w:rStyle w:val="28"/>
          <w:rFonts w:hint="eastAsia" w:ascii="仿宋" w:hAnsi="仿宋" w:eastAsia="仿宋" w:cs="仿宋"/>
          <w:b w:val="0"/>
          <w:bCs w:val="0"/>
        </w:rPr>
        <w:t>六、</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般公共预算财政拨款支出决算表</w:t>
      </w:r>
      <w:bookmarkEnd w:id="65"/>
    </w:p>
    <w:p>
      <w:pPr>
        <w:pStyle w:val="4"/>
        <w:rPr>
          <w:rFonts w:ascii="仿宋" w:hAnsi="仿宋" w:eastAsia="仿宋" w:cs="仿宋"/>
          <w:color w:val="000000"/>
        </w:rPr>
      </w:pPr>
      <w:bookmarkStart w:id="66" w:name="_Toc15396625"/>
      <w:r>
        <w:rPr>
          <w:rStyle w:val="28"/>
          <w:rFonts w:hint="eastAsia" w:ascii="仿宋" w:hAnsi="仿宋" w:eastAsia="仿宋" w:cs="仿宋"/>
          <w:b w:val="0"/>
          <w:bCs w:val="0"/>
        </w:rPr>
        <w:t>七、</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般公共预算财政拨款支出决算明细表</w:t>
      </w:r>
      <w:bookmarkEnd w:id="66"/>
    </w:p>
    <w:p>
      <w:pPr>
        <w:pStyle w:val="4"/>
        <w:rPr>
          <w:rFonts w:ascii="仿宋" w:hAnsi="仿宋" w:eastAsia="仿宋" w:cs="仿宋"/>
          <w:color w:val="000000"/>
        </w:rPr>
      </w:pPr>
      <w:bookmarkStart w:id="67" w:name="_Toc15396626"/>
      <w:r>
        <w:rPr>
          <w:rStyle w:val="28"/>
          <w:rFonts w:hint="eastAsia" w:ascii="仿宋" w:hAnsi="仿宋" w:eastAsia="仿宋" w:cs="仿宋"/>
          <w:b w:val="0"/>
          <w:bCs w:val="0"/>
        </w:rPr>
        <w:t>八、</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般公共预算财政拨款基本支出决算表</w:t>
      </w:r>
      <w:bookmarkEnd w:id="67"/>
    </w:p>
    <w:p>
      <w:pPr>
        <w:pStyle w:val="4"/>
        <w:rPr>
          <w:rFonts w:ascii="仿宋" w:hAnsi="仿宋" w:eastAsia="仿宋" w:cs="仿宋"/>
          <w:color w:val="000000"/>
        </w:rPr>
      </w:pPr>
      <w:bookmarkStart w:id="68" w:name="_Toc15396627"/>
      <w:r>
        <w:rPr>
          <w:rStyle w:val="28"/>
          <w:rFonts w:hint="eastAsia" w:ascii="仿宋" w:hAnsi="仿宋" w:eastAsia="仿宋" w:cs="仿宋"/>
          <w:b w:val="0"/>
          <w:bCs w:val="0"/>
        </w:rPr>
        <w:t>九、</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般公共预算财政拨款项目支出决算表</w:t>
      </w:r>
      <w:bookmarkEnd w:id="68"/>
    </w:p>
    <w:p>
      <w:pPr>
        <w:pStyle w:val="4"/>
        <w:rPr>
          <w:rFonts w:ascii="仿宋" w:hAnsi="仿宋" w:eastAsia="仿宋" w:cs="仿宋"/>
          <w:color w:val="000000"/>
        </w:rPr>
      </w:pPr>
      <w:bookmarkStart w:id="69" w:name="_Toc15396628"/>
      <w:r>
        <w:rPr>
          <w:rStyle w:val="28"/>
          <w:rFonts w:hint="eastAsia" w:ascii="仿宋" w:hAnsi="仿宋" w:eastAsia="仿宋" w:cs="仿宋"/>
          <w:b w:val="0"/>
          <w:bCs w:val="0"/>
        </w:rPr>
        <w:t>十、</w:t>
      </w:r>
      <w:r>
        <w:rPr>
          <w:rFonts w:hint="eastAsia" w:ascii="仿宋" w:hAnsi="仿宋" w:eastAsia="仿宋" w:cs="仿宋"/>
          <w:b w:val="0"/>
          <w:color w:val="000000"/>
        </w:rPr>
        <w:t>一</w:t>
      </w:r>
      <w:r>
        <w:rPr>
          <w:rStyle w:val="28"/>
          <w:rFonts w:hint="eastAsia" w:ascii="仿宋" w:hAnsi="仿宋" w:eastAsia="仿宋" w:cs="仿宋"/>
          <w:b w:val="0"/>
          <w:bCs w:val="0"/>
        </w:rPr>
        <w:t>般公共预算财政拨款“三公”经费支出决算表</w:t>
      </w:r>
      <w:bookmarkEnd w:id="69"/>
    </w:p>
    <w:p>
      <w:pPr>
        <w:pStyle w:val="4"/>
        <w:rPr>
          <w:rFonts w:ascii="仿宋" w:hAnsi="仿宋" w:eastAsia="仿宋" w:cs="仿宋"/>
          <w:color w:val="000000"/>
        </w:rPr>
      </w:pPr>
      <w:bookmarkStart w:id="70" w:name="_Toc15396629"/>
      <w:r>
        <w:rPr>
          <w:rStyle w:val="28"/>
          <w:rFonts w:hint="eastAsia" w:ascii="仿宋" w:hAnsi="仿宋" w:eastAsia="仿宋" w:cs="仿宋"/>
          <w:b w:val="0"/>
          <w:bCs w:val="0"/>
        </w:rPr>
        <w:t>十一、</w:t>
      </w:r>
      <w:r>
        <w:rPr>
          <w:rFonts w:hint="eastAsia" w:ascii="仿宋" w:hAnsi="仿宋" w:eastAsia="仿宋" w:cs="仿宋"/>
          <w:b w:val="0"/>
          <w:color w:val="000000"/>
        </w:rPr>
        <w:t>政</w:t>
      </w:r>
      <w:r>
        <w:rPr>
          <w:rStyle w:val="28"/>
          <w:rFonts w:hint="eastAsia" w:ascii="仿宋" w:hAnsi="仿宋" w:eastAsia="仿宋" w:cs="仿宋"/>
          <w:b w:val="0"/>
          <w:bCs w:val="0"/>
        </w:rPr>
        <w:t>府性基金预算财政拨款收入支出决算表</w:t>
      </w:r>
      <w:bookmarkEnd w:id="70"/>
    </w:p>
    <w:p>
      <w:pPr>
        <w:pStyle w:val="4"/>
        <w:rPr>
          <w:rFonts w:ascii="仿宋" w:hAnsi="仿宋" w:eastAsia="仿宋" w:cs="仿宋"/>
          <w:color w:val="000000"/>
        </w:rPr>
      </w:pPr>
      <w:bookmarkStart w:id="71" w:name="_Toc15396630"/>
      <w:r>
        <w:rPr>
          <w:rStyle w:val="28"/>
          <w:rFonts w:hint="eastAsia" w:ascii="仿宋" w:hAnsi="仿宋" w:eastAsia="仿宋" w:cs="仿宋"/>
          <w:b w:val="0"/>
          <w:bCs w:val="0"/>
        </w:rPr>
        <w:t>十二、</w:t>
      </w:r>
      <w:r>
        <w:rPr>
          <w:rFonts w:hint="eastAsia" w:ascii="仿宋" w:hAnsi="仿宋" w:eastAsia="仿宋" w:cs="仿宋"/>
          <w:b w:val="0"/>
          <w:color w:val="000000"/>
        </w:rPr>
        <w:t>政</w:t>
      </w:r>
      <w:r>
        <w:rPr>
          <w:rStyle w:val="28"/>
          <w:rFonts w:hint="eastAsia" w:ascii="仿宋" w:hAnsi="仿宋" w:eastAsia="仿宋" w:cs="仿宋"/>
          <w:b w:val="0"/>
          <w:bCs w:val="0"/>
        </w:rPr>
        <w:t>府性基金预算财政拨款“三公”经费支出决算表</w:t>
      </w:r>
      <w:bookmarkEnd w:id="71"/>
    </w:p>
    <w:p>
      <w:pPr>
        <w:pStyle w:val="4"/>
        <w:rPr>
          <w:rFonts w:ascii="仿宋" w:hAnsi="仿宋" w:eastAsia="仿宋" w:cs="仿宋"/>
          <w:color w:val="000000" w:themeColor="text1"/>
        </w:rPr>
      </w:pPr>
      <w:bookmarkStart w:id="72" w:name="_Toc15396631"/>
      <w:r>
        <w:rPr>
          <w:rStyle w:val="28"/>
          <w:rFonts w:hint="eastAsia" w:ascii="仿宋" w:hAnsi="仿宋" w:eastAsia="仿宋" w:cs="仿宋"/>
          <w:b w:val="0"/>
          <w:bCs w:val="0"/>
        </w:rPr>
        <w:t>十三、</w:t>
      </w:r>
      <w:r>
        <w:rPr>
          <w:rFonts w:hint="eastAsia" w:ascii="仿宋" w:hAnsi="仿宋" w:eastAsia="仿宋" w:cs="仿宋"/>
          <w:b w:val="0"/>
          <w:color w:val="000000"/>
        </w:rPr>
        <w:t>国</w:t>
      </w:r>
      <w:r>
        <w:rPr>
          <w:rStyle w:val="28"/>
          <w:rFonts w:hint="eastAsia" w:ascii="仿宋" w:hAnsi="仿宋" w:eastAsia="仿宋" w:cs="仿宋"/>
          <w:b w:val="0"/>
          <w:bCs w:val="0"/>
        </w:rPr>
        <w:t>有资本经营预算支出决算表</w:t>
      </w:r>
      <w:bookmarkEnd w:id="72"/>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abstractNum w:abstractNumId="5">
    <w:nsid w:val="5EA2E35A"/>
    <w:multiLevelType w:val="singleLevel"/>
    <w:tmpl w:val="5EA2E35A"/>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C7B"/>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4A09"/>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279F0"/>
    <w:rsid w:val="003303C2"/>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32737"/>
    <w:rsid w:val="00543881"/>
    <w:rsid w:val="00546C0F"/>
    <w:rsid w:val="005664BB"/>
    <w:rsid w:val="00566FFA"/>
    <w:rsid w:val="005716A9"/>
    <w:rsid w:val="0057481D"/>
    <w:rsid w:val="00575F0B"/>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64806"/>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A5CB7"/>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1D5F"/>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8325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96D7E2C"/>
    <w:rsid w:val="0B59258A"/>
    <w:rsid w:val="0D3849D9"/>
    <w:rsid w:val="10C055FF"/>
    <w:rsid w:val="158617B7"/>
    <w:rsid w:val="16BB723D"/>
    <w:rsid w:val="1B8F63CF"/>
    <w:rsid w:val="1EE02E1A"/>
    <w:rsid w:val="240371BF"/>
    <w:rsid w:val="28766A38"/>
    <w:rsid w:val="29FD04D3"/>
    <w:rsid w:val="2B50433E"/>
    <w:rsid w:val="319F7F4E"/>
    <w:rsid w:val="34DA66D1"/>
    <w:rsid w:val="370C5CB6"/>
    <w:rsid w:val="39796711"/>
    <w:rsid w:val="47436A71"/>
    <w:rsid w:val="4D365C75"/>
    <w:rsid w:val="4ECE2238"/>
    <w:rsid w:val="586871C6"/>
    <w:rsid w:val="65E27CDC"/>
    <w:rsid w:val="67967ACA"/>
    <w:rsid w:val="6D730A4B"/>
    <w:rsid w:val="72734D90"/>
    <w:rsid w:val="73FB5EC0"/>
    <w:rsid w:val="7E204414"/>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next w:val="1"/>
    <w:qFormat/>
    <w:uiPriority w:val="0"/>
    <w:rPr>
      <w:rFonts w:ascii="宋体"/>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style21"/>
    <w:basedOn w:val="16"/>
    <w:qFormat/>
    <w:uiPriority w:val="0"/>
    <w:rPr>
      <w:rFonts w:hint="eastAsia" w:ascii="仿宋_GB2312" w:eastAsia="仿宋_GB2312"/>
      <w:color w:val="000000"/>
      <w:sz w:val="32"/>
      <w:szCs w:val="32"/>
    </w:rPr>
  </w:style>
  <w:style w:type="paragraph" w:customStyle="1" w:styleId="36">
    <w:name w:val="_Style 6"/>
    <w:basedOn w:val="1"/>
    <w:next w:val="1"/>
    <w:qFormat/>
    <w:uiPriority w:val="0"/>
    <w:pPr>
      <w:pBdr>
        <w:top w:val="single" w:color="auto" w:sz="6" w:space="1"/>
      </w:pBdr>
      <w:jc w:val="center"/>
    </w:pPr>
    <w:rPr>
      <w:rFonts w:ascii="Arial"/>
      <w:vanish/>
      <w:sz w:val="16"/>
    </w:rPr>
  </w:style>
  <w:style w:type="paragraph" w:customStyle="1" w:styleId="37">
    <w:name w:val="_Style 5"/>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2987</Words>
  <Characters>17028</Characters>
  <Lines>141</Lines>
  <Paragraphs>39</Paragraphs>
  <TotalTime>237</TotalTime>
  <ScaleCrop>false</ScaleCrop>
  <LinksUpToDate>false</LinksUpToDate>
  <CharactersWithSpaces>19976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Administrator</cp:lastModifiedBy>
  <cp:lastPrinted>2020-10-29T03:02:00Z</cp:lastPrinted>
  <dcterms:modified xsi:type="dcterms:W3CDTF">2021-10-25T08:26:45Z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