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color w:val="000000"/>
          <w:sz w:val="72"/>
          <w:szCs w:val="72"/>
        </w:rPr>
      </w:pPr>
      <w:bookmarkStart w:id="73" w:name="_GoBack"/>
      <w:bookmarkEnd w:id="73"/>
      <w:bookmarkStart w:id="0" w:name="_Toc15306267"/>
    </w:p>
    <w:p>
      <w:pPr>
        <w:spacing w:line="360" w:lineRule="auto"/>
        <w:jc w:val="center"/>
        <w:outlineLvl w:val="0"/>
        <w:rPr>
          <w:rFonts w:asciiTheme="minorEastAsia" w:hAnsiTheme="minorEastAsia" w:eastAsiaTheme="minorEastAsia"/>
          <w:color w:val="000000"/>
          <w:sz w:val="72"/>
          <w:szCs w:val="72"/>
        </w:rPr>
      </w:pPr>
    </w:p>
    <w:p>
      <w:pPr>
        <w:spacing w:line="360" w:lineRule="auto"/>
        <w:jc w:val="center"/>
        <w:outlineLvl w:val="0"/>
        <w:rPr>
          <w:rFonts w:asciiTheme="minorEastAsia" w:hAnsiTheme="minorEastAsia" w:eastAsiaTheme="minorEastAsia"/>
          <w:color w:val="000000"/>
          <w:sz w:val="72"/>
          <w:szCs w:val="72"/>
        </w:rPr>
      </w:pPr>
    </w:p>
    <w:p>
      <w:pPr>
        <w:spacing w:line="360" w:lineRule="auto"/>
        <w:jc w:val="center"/>
        <w:outlineLvl w:val="0"/>
        <w:rPr>
          <w:rFonts w:asciiTheme="minorEastAsia" w:hAnsiTheme="minorEastAsia" w:eastAsiaTheme="minorEastAsia"/>
          <w:color w:val="000000"/>
          <w:sz w:val="72"/>
          <w:szCs w:val="72"/>
        </w:rPr>
      </w:pPr>
    </w:p>
    <w:p>
      <w:pPr>
        <w:adjustRightInd w:val="0"/>
        <w:snapToGrid w:val="0"/>
        <w:spacing w:line="360" w:lineRule="auto"/>
        <w:jc w:val="center"/>
        <w:outlineLvl w:val="0"/>
        <w:rPr>
          <w:rFonts w:asciiTheme="minorEastAsia" w:hAnsiTheme="minorEastAsia" w:eastAsiaTheme="minorEastAsia"/>
          <w:b/>
          <w:color w:val="000000"/>
          <w:sz w:val="72"/>
          <w:szCs w:val="72"/>
        </w:rPr>
      </w:pPr>
      <w:bookmarkStart w:id="1" w:name="_Toc15396597"/>
      <w:bookmarkStart w:id="2" w:name="_Toc15377425"/>
      <w:bookmarkStart w:id="3" w:name="_Toc15377193"/>
      <w:bookmarkStart w:id="4" w:name="_Toc15396475"/>
      <w:bookmarkStart w:id="5" w:name="_Toc15378441"/>
      <w:r>
        <w:rPr>
          <w:rFonts w:asciiTheme="minorEastAsia" w:hAnsiTheme="minorEastAsia" w:eastAsiaTheme="minorEastAsia"/>
          <w:b/>
          <w:color w:val="000000"/>
          <w:sz w:val="72"/>
          <w:szCs w:val="72"/>
        </w:rPr>
        <w:t>2020</w:t>
      </w:r>
      <w:r>
        <w:rPr>
          <w:rFonts w:hint="eastAsia" w:asciiTheme="minorEastAsia" w:hAnsiTheme="minorEastAsia" w:eastAsiaTheme="minorEastAsia"/>
          <w:b/>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Theme="minorEastAsia" w:hAnsiTheme="minorEastAsia" w:eastAsiaTheme="minorEastAsia"/>
          <w:color w:val="000000"/>
          <w:sz w:val="72"/>
          <w:szCs w:val="72"/>
        </w:rPr>
      </w:pPr>
      <w:bookmarkStart w:id="6" w:name="_Toc15377194"/>
      <w:bookmarkStart w:id="7" w:name="_Toc15378442"/>
      <w:bookmarkStart w:id="8" w:name="_Toc15396476"/>
      <w:bookmarkStart w:id="9" w:name="_Toc15377426"/>
      <w:bookmarkStart w:id="10" w:name="_Toc15396598"/>
      <w:r>
        <w:rPr>
          <w:rFonts w:hint="eastAsia" w:asciiTheme="minorEastAsia" w:hAnsiTheme="minorEastAsia" w:eastAsiaTheme="minorEastAsia"/>
          <w:b/>
          <w:color w:val="000000"/>
          <w:sz w:val="72"/>
          <w:szCs w:val="72"/>
        </w:rPr>
        <w:t>四川省</w:t>
      </w:r>
      <w:bookmarkEnd w:id="0"/>
      <w:bookmarkStart w:id="11" w:name="_Toc15306268"/>
      <w:r>
        <w:rPr>
          <w:rFonts w:hint="eastAsia" w:asciiTheme="minorEastAsia" w:hAnsiTheme="minorEastAsia" w:eastAsiaTheme="minorEastAsia"/>
          <w:b/>
          <w:color w:val="000000"/>
          <w:sz w:val="72"/>
          <w:szCs w:val="72"/>
        </w:rPr>
        <w:t>乐山市峨眉山市九里镇欣隆小学校部门决算</w:t>
      </w:r>
      <w:bookmarkEnd w:id="6"/>
      <w:bookmarkEnd w:id="7"/>
      <w:bookmarkEnd w:id="8"/>
      <w:bookmarkEnd w:id="9"/>
      <w:bookmarkEnd w:id="10"/>
      <w:bookmarkEnd w:id="11"/>
    </w:p>
    <w:p>
      <w:pPr>
        <w:widowControl/>
        <w:spacing w:line="360" w:lineRule="auto"/>
        <w:jc w:val="center"/>
        <w:rPr>
          <w:rFonts w:asciiTheme="minorEastAsia" w:hAnsiTheme="minorEastAsia" w:eastAsiaTheme="minorEastAsia"/>
          <w:color w:val="000000"/>
          <w:sz w:val="48"/>
          <w:szCs w:val="48"/>
        </w:rPr>
      </w:pPr>
      <w:r>
        <w:rPr>
          <w:rFonts w:asciiTheme="minorEastAsia" w:hAnsiTheme="minorEastAsia" w:eastAsiaTheme="minorEastAsia"/>
          <w:color w:val="000000"/>
          <w:sz w:val="36"/>
          <w:szCs w:val="36"/>
        </w:rPr>
        <w:br w:type="page"/>
      </w:r>
      <w:r>
        <w:rPr>
          <w:rFonts w:hint="eastAsia" w:asciiTheme="minorEastAsia" w:hAnsiTheme="minorEastAsia" w:eastAsiaTheme="minorEastAsia"/>
          <w:color w:val="000000"/>
          <w:sz w:val="48"/>
          <w:szCs w:val="48"/>
        </w:rPr>
        <w:t>目录</w:t>
      </w:r>
    </w:p>
    <w:p>
      <w:pPr>
        <w:widowControl/>
        <w:spacing w:line="360" w:lineRule="auto"/>
        <w:jc w:val="center"/>
        <w:rPr>
          <w:rFonts w:asciiTheme="minorEastAsia" w:hAnsiTheme="minorEastAsia" w:eastAsiaTheme="minorEastAsia" w:cstheme="minorBidi"/>
          <w:sz w:val="28"/>
          <w:szCs w:val="28"/>
        </w:rPr>
      </w:pPr>
    </w:p>
    <w:p>
      <w:pPr>
        <w:pStyle w:val="10"/>
        <w:spacing w:before="0" w:line="360" w:lineRule="auto"/>
        <w:rPr>
          <w:rFonts w:asciiTheme="minorEastAsia" w:hAnsiTheme="minorEastAsia" w:eastAsiaTheme="minorEastAsia"/>
        </w:rPr>
      </w:pPr>
      <w:r>
        <w:rPr>
          <w:rFonts w:hint="eastAsia" w:asciiTheme="minorEastAsia" w:hAnsiTheme="minorEastAsia" w:eastAsiaTheme="minorEastAsia"/>
        </w:rPr>
        <w:t xml:space="preserve">公开时间：2021年10月 </w:t>
      </w:r>
      <w:r>
        <w:rPr>
          <w:rFonts w:hint="eastAsia" w:asciiTheme="minorEastAsia" w:hAnsiTheme="minorEastAsia" w:eastAsiaTheme="minorEastAsia"/>
          <w:lang w:val="en-US" w:eastAsia="zh-CN"/>
        </w:rPr>
        <w:t>25</w:t>
      </w:r>
      <w:r>
        <w:rPr>
          <w:rFonts w:hint="eastAsia" w:asciiTheme="minorEastAsia" w:hAnsiTheme="minorEastAsia" w:eastAsiaTheme="minorEastAsia"/>
        </w:rPr>
        <w:t>日</w:t>
      </w:r>
    </w:p>
    <w:p>
      <w:pPr>
        <w:spacing w:line="360" w:lineRule="auto"/>
        <w:rPr>
          <w:rFonts w:asciiTheme="minorEastAsia" w:hAnsiTheme="minorEastAsia" w:eastAsiaTheme="minorEastAsia"/>
        </w:rPr>
      </w:pPr>
    </w:p>
    <w:p>
      <w:pPr>
        <w:pStyle w:val="10"/>
        <w:adjustRightInd w:val="0"/>
        <w:snapToGrid w:val="0"/>
        <w:spacing w:before="0" w:line="360" w:lineRule="auto"/>
        <w:jc w:val="left"/>
        <w:rPr>
          <w:rFonts w:asciiTheme="minorEastAsia" w:hAnsiTheme="minorEastAsia" w:eastAsiaTheme="minorEastAsia" w:cstheme="minorBidi"/>
          <w:sz w:val="24"/>
          <w:szCs w:val="24"/>
        </w:rPr>
      </w:pPr>
      <w:r>
        <w:rPr>
          <w:rFonts w:hint="eastAsia" w:asciiTheme="minorEastAsia" w:hAnsiTheme="minorEastAsia" w:eastAsiaTheme="minorEastAsia"/>
          <w:sz w:val="24"/>
        </w:rPr>
        <w:t>第一部分</w:t>
      </w:r>
      <w:r>
        <w:rPr>
          <w:rFonts w:asciiTheme="minorEastAsia" w:hAnsiTheme="minorEastAsia" w:eastAsiaTheme="minorEastAsia"/>
          <w:sz w:val="24"/>
        </w:rPr>
        <w:t xml:space="preserve"> </w:t>
      </w:r>
      <w:r>
        <w:rPr>
          <w:rFonts w:hint="eastAsia" w:asciiTheme="minorEastAsia" w:hAnsiTheme="minorEastAsia" w:eastAsiaTheme="minorEastAsia"/>
          <w:sz w:val="24"/>
        </w:rPr>
        <w:t>部门概况                                              4</w:t>
      </w:r>
    </w:p>
    <w:p>
      <w:pPr>
        <w:pStyle w:val="11"/>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一、基本职能及主要工作                                      4</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二、机构设置                                                5</w:t>
      </w:r>
    </w:p>
    <w:p>
      <w:pPr>
        <w:pStyle w:val="10"/>
        <w:adjustRightInd w:val="0"/>
        <w:snapToGrid w:val="0"/>
        <w:spacing w:before="0"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rPr>
        <w:t>第二部分度部门决算情况说明                                     6</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一、收入支出决算总体情况说明                                6</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二、收入决算情况说明                                        6</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三、支出决算情况说明                                        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四、财政拨款收入支出决算总体情况说明                        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五、一般公共预算财政拨款支出决算情况说明                    8</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六、一般公共预算财政拨款基本支出决算情况说明                10</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七、</w:t>
      </w:r>
      <w:r>
        <w:rPr>
          <w:rFonts w:asciiTheme="minorEastAsia" w:hAnsiTheme="minorEastAsia" w:eastAsiaTheme="minorEastAsia"/>
          <w:sz w:val="24"/>
        </w:rPr>
        <w:t>“</w:t>
      </w:r>
      <w:r>
        <w:rPr>
          <w:rFonts w:hint="eastAsia" w:asciiTheme="minorEastAsia" w:hAnsiTheme="minorEastAsia" w:eastAsiaTheme="minorEastAsia"/>
          <w:sz w:val="24"/>
        </w:rPr>
        <w:t>三公”经费财政拨款支出决算情况说明                    11</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八、政府性基金预算支出决算情况说明                          11</w:t>
      </w:r>
    </w:p>
    <w:p>
      <w:pPr>
        <w:pStyle w:val="11"/>
        <w:adjustRightInd w:val="0"/>
        <w:snapToGrid w:val="0"/>
        <w:spacing w:line="360" w:lineRule="auto"/>
        <w:ind w:leftChars="0"/>
        <w:jc w:val="left"/>
        <w:rPr>
          <w:rFonts w:asciiTheme="minorEastAsia" w:hAnsiTheme="minorEastAsia" w:eastAsiaTheme="minorEastAsia"/>
          <w:sz w:val="24"/>
        </w:rPr>
      </w:pPr>
      <w:r>
        <w:rPr>
          <w:rFonts w:hint="eastAsia" w:asciiTheme="minorEastAsia" w:hAnsiTheme="minorEastAsia" w:eastAsiaTheme="minorEastAsia"/>
          <w:sz w:val="24"/>
        </w:rPr>
        <w:t>九、</w:t>
      </w:r>
      <w:r>
        <w:rPr>
          <w:rFonts w:asciiTheme="minorEastAsia" w:hAnsiTheme="minorEastAsia" w:eastAsiaTheme="minorEastAsia"/>
          <w:sz w:val="24"/>
        </w:rPr>
        <w:t xml:space="preserve"> 国</w:t>
      </w:r>
      <w:r>
        <w:rPr>
          <w:rFonts w:hint="eastAsia" w:asciiTheme="minorEastAsia" w:hAnsiTheme="minorEastAsia" w:eastAsiaTheme="minorEastAsia"/>
          <w:sz w:val="24"/>
        </w:rPr>
        <w:t>有资本经营预算支出决算情况说明                       12</w:t>
      </w:r>
    </w:p>
    <w:p>
      <w:pPr>
        <w:adjustRightInd w:val="0"/>
        <w:snapToGrid w:val="0"/>
        <w:spacing w:line="360" w:lineRule="auto"/>
        <w:ind w:firstLine="480" w:firstLineChars="200"/>
        <w:jc w:val="left"/>
        <w:rPr>
          <w:rFonts w:asciiTheme="minorEastAsia" w:hAnsiTheme="minorEastAsia" w:eastAsiaTheme="minorEastAsia" w:cstheme="minorBidi"/>
          <w:sz w:val="24"/>
        </w:rPr>
      </w:pPr>
      <w:r>
        <w:rPr>
          <w:rStyle w:val="15"/>
          <w:rFonts w:hint="eastAsia" w:asciiTheme="minorEastAsia" w:hAnsiTheme="minorEastAsia" w:eastAsiaTheme="minorEastAsia"/>
          <w:color w:val="000000" w:themeColor="text1"/>
          <w:sz w:val="24"/>
          <w:u w:val="none"/>
          <w14:textFill>
            <w14:solidFill>
              <w14:schemeClr w14:val="tx1"/>
            </w14:solidFill>
          </w14:textFill>
        </w:rPr>
        <w:t>十、</w:t>
      </w:r>
      <w:r>
        <w:rPr>
          <w:rFonts w:hint="eastAsia" w:asciiTheme="minorEastAsia" w:hAnsiTheme="minorEastAsia" w:eastAsiaTheme="minorEastAsia"/>
          <w:sz w:val="24"/>
        </w:rPr>
        <w:t>其他重要事项的情况说明</w:t>
      </w:r>
      <w:r>
        <w:rPr>
          <w:rFonts w:asciiTheme="minorEastAsia" w:hAnsiTheme="minorEastAsia" w:eastAsiaTheme="minorEastAsia"/>
          <w:sz w:val="24"/>
        </w:rPr>
        <w:tab/>
      </w:r>
      <w:r>
        <w:rPr>
          <w:rFonts w:hint="eastAsia" w:asciiTheme="minorEastAsia" w:hAnsiTheme="minorEastAsia" w:eastAsiaTheme="minorEastAsia"/>
          <w:sz w:val="24"/>
        </w:rPr>
        <w:t xml:space="preserve">                                12</w:t>
      </w:r>
    </w:p>
    <w:p>
      <w:pPr>
        <w:pStyle w:val="10"/>
        <w:adjustRightInd w:val="0"/>
        <w:snapToGrid w:val="0"/>
        <w:spacing w:before="0" w:line="360" w:lineRule="auto"/>
        <w:jc w:val="left"/>
        <w:rPr>
          <w:rFonts w:asciiTheme="minorEastAsia" w:hAnsiTheme="minorEastAsia" w:eastAsiaTheme="minorEastAsia" w:cstheme="minorBidi"/>
          <w:sz w:val="24"/>
          <w:szCs w:val="24"/>
        </w:rPr>
      </w:pPr>
      <w:r>
        <w:rPr>
          <w:rFonts w:hint="eastAsia" w:asciiTheme="minorEastAsia" w:hAnsiTheme="minorEastAsia" w:eastAsiaTheme="minorEastAsia"/>
          <w:sz w:val="24"/>
        </w:rPr>
        <w:t>第三部分</w:t>
      </w:r>
      <w:r>
        <w:rPr>
          <w:rFonts w:asciiTheme="minorEastAsia" w:hAnsiTheme="minorEastAsia" w:eastAsiaTheme="minorEastAsia"/>
          <w:sz w:val="24"/>
        </w:rPr>
        <w:t xml:space="preserve"> </w:t>
      </w:r>
      <w:r>
        <w:rPr>
          <w:rFonts w:hint="eastAsia" w:asciiTheme="minorEastAsia" w:hAnsiTheme="minorEastAsia" w:eastAsiaTheme="minorEastAsia"/>
          <w:sz w:val="24"/>
        </w:rPr>
        <w:t>名词解释                                              18</w:t>
      </w:r>
    </w:p>
    <w:p>
      <w:pPr>
        <w:pStyle w:val="10"/>
        <w:adjustRightInd w:val="0"/>
        <w:snapToGrid w:val="0"/>
        <w:spacing w:before="0" w:line="360" w:lineRule="auto"/>
        <w:jc w:val="left"/>
        <w:rPr>
          <w:rFonts w:asciiTheme="minorEastAsia" w:hAnsiTheme="minorEastAsia" w:eastAsiaTheme="minorEastAsia" w:cstheme="minorBidi"/>
          <w:sz w:val="24"/>
          <w:szCs w:val="24"/>
        </w:rPr>
      </w:pPr>
      <w:r>
        <w:rPr>
          <w:rFonts w:hint="eastAsia" w:asciiTheme="minorEastAsia" w:hAnsiTheme="minorEastAsia" w:eastAsiaTheme="minorEastAsia"/>
          <w:sz w:val="24"/>
        </w:rPr>
        <w:t>第四部分</w:t>
      </w:r>
      <w:r>
        <w:rPr>
          <w:rFonts w:asciiTheme="minorEastAsia" w:hAnsiTheme="minorEastAsia" w:eastAsiaTheme="minorEastAsia"/>
          <w:sz w:val="24"/>
        </w:rPr>
        <w:t xml:space="preserve"> </w:t>
      </w:r>
      <w:r>
        <w:rPr>
          <w:rFonts w:hint="eastAsia" w:asciiTheme="minorEastAsia" w:hAnsiTheme="minorEastAsia" w:eastAsiaTheme="minorEastAsia"/>
          <w:sz w:val="24"/>
        </w:rPr>
        <w:t>附件                                                  25</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附件</w:t>
      </w:r>
      <w:r>
        <w:rPr>
          <w:rFonts w:asciiTheme="minorEastAsia" w:hAnsiTheme="minorEastAsia" w:eastAsiaTheme="minorEastAsia"/>
          <w:sz w:val="24"/>
        </w:rPr>
        <w:t>1</w:t>
      </w:r>
      <w:r>
        <w:rPr>
          <w:rFonts w:hint="eastAsia" w:asciiTheme="minorEastAsia" w:hAnsiTheme="minorEastAsia" w:eastAsiaTheme="minorEastAsia"/>
          <w:sz w:val="24"/>
        </w:rPr>
        <w:t xml:space="preserve">                                                      25</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附件</w:t>
      </w:r>
      <w:r>
        <w:rPr>
          <w:rFonts w:asciiTheme="minorEastAsia" w:hAnsiTheme="minorEastAsia" w:eastAsiaTheme="minorEastAsia"/>
          <w:sz w:val="24"/>
        </w:rPr>
        <w:t>2</w:t>
      </w:r>
      <w:r>
        <w:rPr>
          <w:rFonts w:hint="eastAsia" w:asciiTheme="minorEastAsia" w:hAnsiTheme="minorEastAsia" w:eastAsiaTheme="minorEastAsia"/>
          <w:sz w:val="24"/>
        </w:rPr>
        <w:t xml:space="preserve">                                                      33</w:t>
      </w:r>
    </w:p>
    <w:p>
      <w:pPr>
        <w:pStyle w:val="10"/>
        <w:adjustRightInd w:val="0"/>
        <w:snapToGrid w:val="0"/>
        <w:spacing w:before="0" w:line="360" w:lineRule="auto"/>
        <w:jc w:val="left"/>
        <w:rPr>
          <w:rFonts w:asciiTheme="minorEastAsia" w:hAnsiTheme="minorEastAsia" w:eastAsiaTheme="minorEastAsia" w:cstheme="minorBidi"/>
          <w:sz w:val="24"/>
          <w:szCs w:val="24"/>
        </w:rPr>
      </w:pPr>
      <w:r>
        <w:rPr>
          <w:rFonts w:hint="eastAsia" w:asciiTheme="minorEastAsia" w:hAnsiTheme="minorEastAsia" w:eastAsiaTheme="minorEastAsia"/>
          <w:sz w:val="24"/>
        </w:rPr>
        <w:t>第五部分</w:t>
      </w:r>
      <w:r>
        <w:rPr>
          <w:rFonts w:asciiTheme="minorEastAsia" w:hAnsiTheme="minorEastAsia" w:eastAsiaTheme="minorEastAsia"/>
          <w:sz w:val="24"/>
        </w:rPr>
        <w:t xml:space="preserve"> </w:t>
      </w:r>
      <w:r>
        <w:rPr>
          <w:rFonts w:hint="eastAsia" w:asciiTheme="minorEastAsia" w:hAnsiTheme="minorEastAsia" w:eastAsiaTheme="minorEastAsia"/>
          <w:sz w:val="24"/>
        </w:rPr>
        <w:t>附表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一、收入支出决算总表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二、收入决算表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三、支出决算表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四、财政拨款收入支出决算总表                               37</w:t>
      </w:r>
    </w:p>
    <w:p>
      <w:pPr>
        <w:pStyle w:val="11"/>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五、财政拨款支出决算明细表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六、一般公共预算财政拨款支出决算表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七、一般公共预算财政拨款支出决算明细表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八、一般公共预算财政拨款基本支出决算表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九、一般公共预算财政拨款项目支出决算表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十、一般公共预算财政拨款“三公”经费支出决算表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十一、政府性基金预算财政拨款收入支出决算表                 37</w:t>
      </w:r>
    </w:p>
    <w:p>
      <w:pPr>
        <w:pStyle w:val="11"/>
        <w:adjustRightInd w:val="0"/>
        <w:snapToGrid w:val="0"/>
        <w:spacing w:line="360" w:lineRule="auto"/>
        <w:jc w:val="left"/>
        <w:rPr>
          <w:rFonts w:asciiTheme="minorEastAsia" w:hAnsiTheme="minorEastAsia" w:eastAsiaTheme="minorEastAsia" w:cstheme="minorBidi"/>
          <w:sz w:val="24"/>
        </w:rPr>
      </w:pPr>
      <w:r>
        <w:rPr>
          <w:rFonts w:hint="eastAsia" w:asciiTheme="minorEastAsia" w:hAnsiTheme="minorEastAsia" w:eastAsiaTheme="minorEastAsia"/>
          <w:sz w:val="24"/>
        </w:rPr>
        <w:t>十二、政府性基金预算财政拨款“三公”经费支出决算表         37</w:t>
      </w:r>
    </w:p>
    <w:p>
      <w:pPr>
        <w:pStyle w:val="11"/>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十三、国有资本经营预算支出决算表                           37</w:t>
      </w:r>
    </w:p>
    <w:p>
      <w:pPr>
        <w:pStyle w:val="11"/>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十四、国有资本经营预算财政拨款支出决算表                   37</w:t>
      </w:r>
    </w:p>
    <w:p>
      <w:pPr>
        <w:spacing w:line="360" w:lineRule="auto"/>
        <w:rPr>
          <w:rFonts w:asciiTheme="minorEastAsia" w:hAnsiTheme="minorEastAsia" w:eastAsiaTheme="minorEastAsia"/>
        </w:rPr>
      </w:pPr>
    </w:p>
    <w:p>
      <w:pPr>
        <w:widowControl/>
        <w:spacing w:line="360" w:lineRule="auto"/>
        <w:jc w:val="left"/>
        <w:rPr>
          <w:rFonts w:asciiTheme="minorEastAsia" w:hAnsiTheme="minorEastAsia" w:eastAsiaTheme="minorEastAsia"/>
          <w:bCs/>
          <w:kern w:val="44"/>
          <w:sz w:val="24"/>
        </w:rPr>
      </w:pPr>
      <w:bookmarkStart w:id="12" w:name="_Toc15377196"/>
      <w:bookmarkStart w:id="13" w:name="_Toc15396599"/>
      <w:r>
        <w:rPr>
          <w:rFonts w:asciiTheme="minorEastAsia" w:hAnsiTheme="minorEastAsia" w:eastAsiaTheme="minorEastAsia"/>
          <w:b/>
          <w:sz w:val="24"/>
        </w:rPr>
        <w:br w:type="page"/>
      </w:r>
    </w:p>
    <w:p>
      <w:pPr>
        <w:pStyle w:val="2"/>
        <w:spacing w:before="0" w:after="0" w:line="360" w:lineRule="auto"/>
        <w:jc w:val="center"/>
        <w:rPr>
          <w:rFonts w:asciiTheme="minorEastAsia" w:hAnsiTheme="minorEastAsia" w:eastAsiaTheme="minorEastAsia"/>
          <w:bCs w:val="0"/>
        </w:rPr>
      </w:pPr>
      <w:r>
        <w:rPr>
          <w:rFonts w:hint="eastAsia" w:asciiTheme="minorEastAsia" w:hAnsiTheme="minorEastAsia" w:eastAsiaTheme="minorEastAsia"/>
          <w:b w:val="0"/>
        </w:rPr>
        <w:t xml:space="preserve">第一部分 </w:t>
      </w:r>
      <w:r>
        <w:rPr>
          <w:rStyle w:val="24"/>
          <w:rFonts w:hint="eastAsia" w:asciiTheme="minorEastAsia" w:hAnsiTheme="minorEastAsia" w:eastAsiaTheme="minorEastAsia"/>
          <w:b w:val="0"/>
          <w:bCs w:val="0"/>
        </w:rPr>
        <w:t>部门概况</w:t>
      </w:r>
      <w:bookmarkEnd w:id="12"/>
      <w:bookmarkEnd w:id="13"/>
    </w:p>
    <w:p>
      <w:pPr>
        <w:pStyle w:val="3"/>
        <w:spacing w:before="0" w:after="0" w:line="360" w:lineRule="auto"/>
        <w:rPr>
          <w:rStyle w:val="25"/>
          <w:rFonts w:asciiTheme="minorEastAsia" w:hAnsiTheme="minorEastAsia" w:eastAsiaTheme="minorEastAsia"/>
          <w:b w:val="0"/>
          <w:bCs w:val="0"/>
        </w:rPr>
      </w:pPr>
      <w:bookmarkStart w:id="14" w:name="_Toc15396600"/>
      <w:bookmarkStart w:id="15" w:name="_Toc15377197"/>
      <w:r>
        <w:rPr>
          <w:rFonts w:hint="eastAsia" w:asciiTheme="minorEastAsia" w:hAnsiTheme="minorEastAsia" w:eastAsiaTheme="minorEastAsia"/>
          <w:b w:val="0"/>
          <w:color w:val="000000"/>
        </w:rPr>
        <w:t>一、基</w:t>
      </w:r>
      <w:r>
        <w:rPr>
          <w:rStyle w:val="25"/>
          <w:rFonts w:hint="eastAsia" w:asciiTheme="minorEastAsia" w:hAnsiTheme="minorEastAsia" w:eastAsiaTheme="minorEastAsia"/>
          <w:b w:val="0"/>
          <w:bCs w:val="0"/>
        </w:rPr>
        <w:t>本职能及主要工作</w:t>
      </w:r>
      <w:bookmarkEnd w:id="14"/>
      <w:bookmarkEnd w:id="15"/>
    </w:p>
    <w:p>
      <w:pPr>
        <w:adjustRightInd w:val="0"/>
        <w:snapToGrid w:val="0"/>
        <w:spacing w:line="360" w:lineRule="auto"/>
        <w:ind w:firstLine="672" w:firstLineChars="210"/>
        <w:outlineLvl w:val="2"/>
        <w:rPr>
          <w:rFonts w:asciiTheme="minorEastAsia" w:hAnsiTheme="minorEastAsia" w:eastAsiaTheme="minorEastAsia"/>
          <w:bCs/>
          <w:color w:val="000000"/>
          <w:kern w:val="0"/>
          <w:sz w:val="32"/>
          <w:szCs w:val="32"/>
        </w:rPr>
      </w:pPr>
      <w:bookmarkStart w:id="16" w:name="_Toc15377198"/>
      <w:bookmarkStart w:id="17" w:name="_Toc15378445"/>
      <w:bookmarkStart w:id="18" w:name="_Toc15396601"/>
      <w:bookmarkStart w:id="19" w:name="_Toc15377200"/>
      <w:r>
        <w:rPr>
          <w:rFonts w:hint="eastAsia" w:asciiTheme="minorEastAsia" w:hAnsiTheme="minorEastAsia" w:eastAsiaTheme="minorEastAsia"/>
          <w:bCs/>
          <w:color w:val="000000"/>
          <w:kern w:val="0"/>
          <w:sz w:val="32"/>
          <w:szCs w:val="32"/>
        </w:rPr>
        <w:t>（一）主要职能</w:t>
      </w:r>
      <w:bookmarkEnd w:id="16"/>
      <w:bookmarkEnd w:id="17"/>
      <w:r>
        <w:rPr>
          <w:rFonts w:hint="eastAsia" w:asciiTheme="minorEastAsia" w:hAnsiTheme="minorEastAsia" w:eastAsiaTheme="minorEastAsia"/>
          <w:bCs/>
          <w:color w:val="000000"/>
          <w:kern w:val="0"/>
          <w:sz w:val="32"/>
          <w:szCs w:val="32"/>
        </w:rPr>
        <w:t xml:space="preserve"> 实施小学义务教育，促进基础教育发展，小学学历教育。</w:t>
      </w:r>
    </w:p>
    <w:p>
      <w:pPr>
        <w:adjustRightInd w:val="0"/>
        <w:snapToGrid w:val="0"/>
        <w:spacing w:line="360" w:lineRule="auto"/>
        <w:ind w:firstLine="672" w:firstLineChars="210"/>
        <w:outlineLvl w:val="2"/>
        <w:rPr>
          <w:rFonts w:asciiTheme="minorEastAsia" w:hAnsiTheme="minorEastAsia" w:eastAsiaTheme="minorEastAsia"/>
          <w:bCs/>
          <w:color w:val="000000"/>
          <w:kern w:val="0"/>
          <w:sz w:val="32"/>
          <w:szCs w:val="32"/>
        </w:rPr>
      </w:pPr>
      <w:bookmarkStart w:id="20" w:name="_Toc15377199"/>
      <w:bookmarkStart w:id="21" w:name="_Toc15378446"/>
      <w:r>
        <w:rPr>
          <w:rFonts w:hint="eastAsia" w:asciiTheme="minorEastAsia" w:hAnsiTheme="minorEastAsia" w:eastAsiaTheme="minorEastAsia"/>
          <w:bCs/>
          <w:color w:val="000000"/>
          <w:kern w:val="0"/>
          <w:sz w:val="32"/>
          <w:szCs w:val="32"/>
        </w:rPr>
        <w:t>（二）</w:t>
      </w:r>
      <w:r>
        <w:rPr>
          <w:rFonts w:asciiTheme="minorEastAsia" w:hAnsiTheme="minorEastAsia" w:eastAsiaTheme="minorEastAsia"/>
          <w:bCs/>
          <w:color w:val="000000"/>
          <w:kern w:val="0"/>
          <w:sz w:val="32"/>
          <w:szCs w:val="32"/>
        </w:rPr>
        <w:t>2020</w:t>
      </w:r>
      <w:r>
        <w:rPr>
          <w:rFonts w:hint="eastAsia" w:asciiTheme="minorEastAsia" w:hAnsiTheme="minorEastAsia" w:eastAsiaTheme="minorEastAsia"/>
          <w:bCs/>
          <w:color w:val="000000"/>
          <w:kern w:val="0"/>
          <w:sz w:val="32"/>
          <w:szCs w:val="32"/>
        </w:rPr>
        <w:t>年重点工作完成情况</w:t>
      </w:r>
      <w:bookmarkEnd w:id="20"/>
      <w:bookmarkEnd w:id="21"/>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1、2020年学校工作正常运转，年终综合评估优秀。绩效一等奖。</w:t>
      </w:r>
    </w:p>
    <w:p>
      <w:pPr>
        <w:numPr>
          <w:ilvl w:val="0"/>
          <w:numId w:val="1"/>
        </w:num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教学工作有声有色，2020年－2021学年度教学质量一等奖。</w:t>
      </w:r>
    </w:p>
    <w:p>
      <w:pPr>
        <w:numPr>
          <w:ilvl w:val="0"/>
          <w:numId w:val="1"/>
        </w:num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音体美抽考合格。开设艺术特色课“葫芦丝”，效果突出，</w:t>
      </w:r>
      <w:r>
        <w:rPr>
          <w:rFonts w:cs="宋体" w:asciiTheme="minorEastAsia" w:hAnsiTheme="minorEastAsia" w:eastAsiaTheme="minorEastAsia"/>
          <w:kern w:val="0"/>
          <w:sz w:val="32"/>
          <w:szCs w:val="32"/>
          <w:lang w:bidi="ar"/>
        </w:rPr>
        <w:t xml:space="preserve">参加四川省首届班级合唱合奏录像评比活动荣获省级一等奖（乐山市6个获奖中唯一一个一等奖） </w:t>
      </w:r>
      <w:r>
        <w:rPr>
          <w:rFonts w:hint="eastAsia" w:asciiTheme="minorEastAsia" w:hAnsiTheme="minorEastAsia" w:eastAsiaTheme="minorEastAsia"/>
          <w:sz w:val="32"/>
          <w:szCs w:val="32"/>
        </w:rPr>
        <w:t>。</w:t>
      </w:r>
    </w:p>
    <w:p>
      <w:pPr>
        <w:widowControl/>
        <w:spacing w:line="360" w:lineRule="auto"/>
        <w:ind w:firstLine="560" w:firstLineChars="175"/>
        <w:jc w:val="left"/>
        <w:rPr>
          <w:rFonts w:asciiTheme="minorEastAsia" w:hAnsiTheme="minorEastAsia" w:eastAsiaTheme="minorEastAsia"/>
          <w:sz w:val="32"/>
          <w:szCs w:val="32"/>
        </w:rPr>
      </w:pPr>
      <w:r>
        <w:rPr>
          <w:rFonts w:hint="eastAsia" w:asciiTheme="minorEastAsia" w:hAnsiTheme="minorEastAsia" w:eastAsiaTheme="minorEastAsia"/>
          <w:sz w:val="32"/>
          <w:szCs w:val="32"/>
        </w:rPr>
        <w:t>4、参加市级运动会，获乙组第六名。</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5、参加文艺汇演、朗读比赛等，效果良好。</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6、注重教师能力提升，学校教师外出听课达到人均2次。</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7、主动承担市级教研课，全年共4次。效果良好。</w:t>
      </w:r>
    </w:p>
    <w:p>
      <w:pPr>
        <w:adjustRightInd w:val="0"/>
        <w:snapToGrid w:val="0"/>
        <w:spacing w:line="360" w:lineRule="auto"/>
        <w:ind w:firstLine="672" w:firstLineChars="210"/>
        <w:outlineLvl w:val="2"/>
        <w:rPr>
          <w:rFonts w:cs="仿宋_GB2312" w:asciiTheme="minorEastAsia" w:hAnsiTheme="minorEastAsia" w:eastAsiaTheme="minorEastAsia"/>
          <w:kern w:val="0"/>
          <w:sz w:val="32"/>
          <w:szCs w:val="32"/>
        </w:rPr>
      </w:pPr>
      <w:r>
        <w:rPr>
          <w:rFonts w:hint="eastAsia" w:asciiTheme="minorEastAsia" w:hAnsiTheme="minorEastAsia" w:eastAsiaTheme="minorEastAsia"/>
          <w:sz w:val="32"/>
          <w:szCs w:val="32"/>
        </w:rPr>
        <w:t>8、完成学校足球场新建工作，篮球场改建立项成功。</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9、开展“乡村少年宫”活动，丰富学生课余生活，获得全校师生、家长一致好评。</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10、做好学校人才队伍建设工作，加强学校骨干教师培养，促进全校教师业务能力提升，提高全校教育教学质量。</w:t>
      </w:r>
    </w:p>
    <w:p>
      <w:pPr>
        <w:adjustRightInd w:val="0"/>
        <w:snapToGrid w:val="0"/>
        <w:spacing w:line="360" w:lineRule="auto"/>
        <w:ind w:firstLine="672" w:firstLineChars="210"/>
        <w:outlineLvl w:val="2"/>
        <w:rPr>
          <w:rFonts w:cs="仿宋_GB2312" w:asciiTheme="minorEastAsia" w:hAnsiTheme="minorEastAsia" w:eastAsiaTheme="minorEastAsia"/>
          <w:kern w:val="0"/>
          <w:sz w:val="32"/>
          <w:szCs w:val="32"/>
        </w:rPr>
      </w:pPr>
      <w:r>
        <w:rPr>
          <w:rFonts w:hint="eastAsia" w:asciiTheme="minorEastAsia" w:hAnsiTheme="minorEastAsia" w:eastAsiaTheme="minorEastAsia"/>
          <w:sz w:val="32"/>
          <w:szCs w:val="32"/>
        </w:rPr>
        <w:t>11、加强学校安全保卫工作，聘任两名保安，确保学校教育教学秩序正常。</w:t>
      </w:r>
    </w:p>
    <w:p>
      <w:pPr>
        <w:adjustRightInd w:val="0"/>
        <w:snapToGrid w:val="0"/>
        <w:spacing w:line="360" w:lineRule="auto"/>
        <w:ind w:firstLine="672" w:firstLineChars="21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12、注重退休教师慰问工作，参加退协活动，春节慰问高龄退休教师，及时慰问生病退休教师及死亡退休教师家属。</w:t>
      </w:r>
    </w:p>
    <w:p>
      <w:pPr>
        <w:adjustRightInd w:val="0"/>
        <w:snapToGrid w:val="0"/>
        <w:spacing w:line="360" w:lineRule="auto"/>
        <w:ind w:firstLine="672" w:firstLineChars="210"/>
        <w:outlineLvl w:val="2"/>
        <w:rPr>
          <w:rFonts w:ascii="仿宋" w:hAnsi="仿宋" w:eastAsia="仿宋"/>
          <w:sz w:val="32"/>
          <w:szCs w:val="32"/>
        </w:rPr>
      </w:pPr>
      <w:r>
        <w:rPr>
          <w:rFonts w:hint="eastAsia" w:asciiTheme="minorEastAsia" w:hAnsiTheme="minorEastAsia" w:eastAsiaTheme="minorEastAsia"/>
          <w:sz w:val="32"/>
          <w:szCs w:val="32"/>
        </w:rPr>
        <w:t>13、注重学校德育工作开展，开展了“爱国主义教育”“庆六一”、 “少先队建队节”、“学校艺术节”、“健康、安全教育”、“贫困儿童爱心资助”等活动。</w:t>
      </w:r>
    </w:p>
    <w:p>
      <w:pPr>
        <w:pStyle w:val="3"/>
        <w:spacing w:before="0" w:after="0" w:line="360" w:lineRule="auto"/>
        <w:rPr>
          <w:rStyle w:val="25"/>
          <w:rFonts w:asciiTheme="minorEastAsia" w:hAnsiTheme="minorEastAsia" w:eastAsiaTheme="minorEastAsia"/>
          <w:b w:val="0"/>
          <w:bCs w:val="0"/>
        </w:rPr>
      </w:pPr>
      <w:r>
        <w:rPr>
          <w:rFonts w:hint="eastAsia" w:asciiTheme="minorEastAsia" w:hAnsiTheme="minorEastAsia" w:eastAsiaTheme="minorEastAsia"/>
          <w:b w:val="0"/>
          <w:color w:val="000000"/>
        </w:rPr>
        <w:t>二、机</w:t>
      </w:r>
      <w:r>
        <w:rPr>
          <w:rStyle w:val="25"/>
          <w:rFonts w:hint="eastAsia" w:asciiTheme="minorEastAsia" w:hAnsiTheme="minorEastAsia" w:eastAsiaTheme="minorEastAsia"/>
          <w:b w:val="0"/>
          <w:bCs w:val="0"/>
        </w:rPr>
        <w:t>构设置</w:t>
      </w:r>
      <w:bookmarkEnd w:id="18"/>
      <w:bookmarkEnd w:id="19"/>
    </w:p>
    <w:p>
      <w:pPr>
        <w:spacing w:line="360" w:lineRule="auto"/>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峨眉山市九里镇欣隆小学校下属二级单位0个，其中行政单位0个，参照公务员法管理的事业单位</w:t>
      </w:r>
      <w:r>
        <w:rPr>
          <w:rFonts w:hint="eastAsia" w:asciiTheme="minorEastAsia" w:hAnsiTheme="minorEastAsia" w:eastAsiaTheme="minorEastAsia"/>
          <w:bCs/>
          <w:sz w:val="32"/>
          <w:szCs w:val="32"/>
        </w:rPr>
        <w:t>0</w:t>
      </w:r>
      <w:r>
        <w:rPr>
          <w:rFonts w:hint="eastAsia" w:asciiTheme="minorEastAsia" w:hAnsiTheme="minorEastAsia" w:eastAsiaTheme="minorEastAsia"/>
          <w:sz w:val="32"/>
          <w:szCs w:val="32"/>
        </w:rPr>
        <w:t>个，其他事业单位1个。</w:t>
      </w:r>
    </w:p>
    <w:p>
      <w:pPr>
        <w:widowControl/>
        <w:spacing w:line="360" w:lineRule="auto"/>
        <w:jc w:val="left"/>
        <w:rPr>
          <w:rFonts w:asciiTheme="minorEastAsia" w:hAnsiTheme="minorEastAsia" w:eastAsiaTheme="minorEastAsia"/>
          <w:color w:val="000000"/>
          <w:kern w:val="0"/>
          <w:sz w:val="32"/>
          <w:szCs w:val="32"/>
        </w:rPr>
      </w:pPr>
      <w:r>
        <w:rPr>
          <w:rFonts w:asciiTheme="minorEastAsia" w:hAnsiTheme="minorEastAsia" w:eastAsiaTheme="minorEastAsia"/>
          <w:color w:val="000000"/>
          <w:sz w:val="32"/>
          <w:szCs w:val="32"/>
        </w:rPr>
        <w:br w:type="page"/>
      </w:r>
    </w:p>
    <w:p>
      <w:pPr>
        <w:pStyle w:val="2"/>
        <w:spacing w:before="0" w:after="0" w:line="360" w:lineRule="auto"/>
        <w:ind w:right="440"/>
        <w:jc w:val="right"/>
        <w:rPr>
          <w:rStyle w:val="24"/>
          <w:rFonts w:asciiTheme="minorEastAsia" w:hAnsiTheme="minorEastAsia" w:eastAsiaTheme="minorEastAsia"/>
          <w:b w:val="0"/>
          <w:bCs w:val="0"/>
        </w:rPr>
      </w:pPr>
      <w:bookmarkStart w:id="22" w:name="_Toc15396602"/>
      <w:bookmarkStart w:id="23" w:name="_Toc15377204"/>
      <w:r>
        <w:rPr>
          <w:rFonts w:hint="eastAsia" w:asciiTheme="minorEastAsia" w:hAnsiTheme="minorEastAsia" w:eastAsiaTheme="minorEastAsia"/>
          <w:b w:val="0"/>
          <w:color w:val="000000"/>
        </w:rPr>
        <w:t>第二部分</w:t>
      </w:r>
      <w:r>
        <w:rPr>
          <w:rFonts w:hint="eastAsia" w:asciiTheme="minorEastAsia" w:hAnsiTheme="minorEastAsia" w:eastAsiaTheme="minorEastAsia"/>
          <w:color w:val="000000"/>
        </w:rPr>
        <w:t xml:space="preserve"> </w:t>
      </w:r>
      <w:r>
        <w:rPr>
          <w:rStyle w:val="24"/>
          <w:rFonts w:hint="eastAsia" w:asciiTheme="minorEastAsia" w:hAnsiTheme="minorEastAsia" w:eastAsiaTheme="minorEastAsia"/>
          <w:b w:val="0"/>
          <w:bCs w:val="0"/>
        </w:rPr>
        <w:t>2020年度部门决算情况说明</w:t>
      </w:r>
      <w:bookmarkEnd w:id="22"/>
      <w:bookmarkEnd w:id="23"/>
    </w:p>
    <w:p>
      <w:pPr>
        <w:spacing w:line="360" w:lineRule="auto"/>
        <w:rPr>
          <w:rFonts w:asciiTheme="minorEastAsia" w:hAnsiTheme="minorEastAsia" w:eastAsiaTheme="minorEastAsia"/>
        </w:rPr>
      </w:pPr>
    </w:p>
    <w:p>
      <w:pPr>
        <w:pStyle w:val="3"/>
        <w:spacing w:before="0" w:after="0" w:line="360" w:lineRule="auto"/>
        <w:rPr>
          <w:rStyle w:val="25"/>
          <w:rFonts w:asciiTheme="minorEastAsia" w:hAnsiTheme="minorEastAsia" w:eastAsiaTheme="minorEastAsia"/>
          <w:b/>
          <w:bCs w:val="0"/>
        </w:rPr>
      </w:pPr>
      <w:bookmarkStart w:id="24" w:name="_Toc15396603"/>
      <w:bookmarkStart w:id="25" w:name="_Toc15377205"/>
      <w:r>
        <w:rPr>
          <w:rStyle w:val="25"/>
          <w:rFonts w:hint="eastAsia" w:asciiTheme="minorEastAsia" w:hAnsiTheme="minorEastAsia" w:eastAsiaTheme="minorEastAsia"/>
          <w:b w:val="0"/>
          <w:bCs w:val="0"/>
        </w:rPr>
        <w:t>一、收入支出决算总体情况说明</w:t>
      </w:r>
      <w:bookmarkEnd w:id="24"/>
      <w:bookmarkEnd w:id="25"/>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2020年度收、支总计484.75万元。与2019年相比，收、支总计各增加8.29万元，上长1.74</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。主要变动原因是：日常公用经费开支增加，人员经费开支增加。</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（图</w:t>
      </w:r>
      <w:r>
        <w:rPr>
          <w:rFonts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14:textFill>
            <w14:solidFill>
              <w14:schemeClr w14:val="tx1"/>
            </w14:solidFill>
          </w14:textFill>
        </w:rPr>
        <w:t>：收、支决算总计变动情况图）（柱状图）</w:t>
      </w:r>
    </w:p>
    <w:p>
      <w:pPr>
        <w:spacing w:line="360" w:lineRule="auto"/>
        <w:ind w:firstLine="945" w:firstLineChars="450"/>
        <w:rPr>
          <w:rFonts w:asciiTheme="minorEastAsia" w:hAnsiTheme="minorEastAsia" w:eastAsiaTheme="minorEastAsia"/>
        </w:rPr>
      </w:pPr>
      <w:r>
        <w:rPr>
          <w:rFonts w:asciiTheme="minorEastAsia" w:hAnsiTheme="minorEastAsia" w:eastAsiaTheme="minorEastAsia"/>
        </w:rPr>
        <w:drawing>
          <wp:inline distT="0" distB="0" distL="0" distR="0">
            <wp:extent cx="4011295" cy="2755900"/>
            <wp:effectExtent l="0" t="0" r="825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11295" cy="2755900"/>
                    </a:xfrm>
                    <a:prstGeom prst="rect">
                      <a:avLst/>
                    </a:prstGeom>
                    <a:noFill/>
                  </pic:spPr>
                </pic:pic>
              </a:graphicData>
            </a:graphic>
          </wp:inline>
        </w:drawing>
      </w:r>
    </w:p>
    <w:p>
      <w:pPr>
        <w:pStyle w:val="3"/>
        <w:spacing w:before="0" w:after="0" w:line="360" w:lineRule="auto"/>
        <w:rPr>
          <w:rStyle w:val="25"/>
          <w:rFonts w:asciiTheme="minorEastAsia" w:hAnsiTheme="minorEastAsia" w:eastAsiaTheme="minorEastAsia"/>
          <w:b w:val="0"/>
          <w:bCs w:val="0"/>
        </w:rPr>
      </w:pPr>
      <w:bookmarkStart w:id="26" w:name="_Toc15396604"/>
      <w:bookmarkStart w:id="27" w:name="_Toc15377206"/>
      <w:r>
        <w:rPr>
          <w:rFonts w:hint="eastAsia" w:asciiTheme="minorEastAsia" w:hAnsiTheme="minorEastAsia" w:eastAsiaTheme="minorEastAsia"/>
          <w:color w:val="000000"/>
        </w:rPr>
        <w:t>二、收</w:t>
      </w:r>
      <w:r>
        <w:rPr>
          <w:rStyle w:val="25"/>
          <w:rFonts w:hint="eastAsia" w:asciiTheme="minorEastAsia" w:hAnsiTheme="minorEastAsia" w:eastAsiaTheme="minorEastAsia"/>
          <w:b w:val="0"/>
          <w:bCs w:val="0"/>
        </w:rPr>
        <w:t>入决算情况说明</w:t>
      </w:r>
      <w:bookmarkEnd w:id="26"/>
      <w:bookmarkEnd w:id="27"/>
    </w:p>
    <w:p>
      <w:pPr>
        <w:spacing w:line="360" w:lineRule="auto"/>
        <w:ind w:firstLine="640" w:firstLineChars="200"/>
        <w:outlineLvl w:val="1"/>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年本年收入合计474.02万元，其中：一般公共预算财政拨款收入471.02万元，占99.37</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；政府性基金预算财政拨款收入3.00万元，占0.63</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r>
        <w:rPr>
          <w:rFonts w:hint="eastAsia" w:asciiTheme="minorEastAsia" w:hAnsiTheme="minorEastAsia" w:eastAsiaTheme="minorEastAsia"/>
          <w:color w:val="000000" w:themeColor="text1"/>
          <w:sz w:val="32"/>
          <w:szCs w:val="32"/>
          <w14:textFill>
            <w14:solidFill>
              <w14:schemeClr w14:val="tx1"/>
            </w14:solidFill>
          </w14:textFill>
        </w:rPr>
        <w:t>上级补助收入0</w:t>
      </w:r>
      <w:r>
        <w:rPr>
          <w:rFonts w:hint="eastAsia" w:asciiTheme="minorEastAsia" w:hAnsiTheme="minorEastAsia" w:eastAsiaTheme="minorEastAsia"/>
          <w:color w:val="000000"/>
          <w:sz w:val="32"/>
          <w:szCs w:val="32"/>
        </w:rPr>
        <w:t>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；事业收入0.00万元，占0.00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；经营收入0万元，占0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；附属单位上缴收入0万元，占0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；其他收入0万元，占0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（图2：收入决算结构图）（饼状图）</w:t>
      </w:r>
    </w:p>
    <w:p>
      <w:pPr>
        <w:spacing w:line="360" w:lineRule="auto"/>
        <w:ind w:firstLine="735" w:firstLineChars="350"/>
        <w:rPr>
          <w:rFonts w:asciiTheme="minorEastAsia" w:hAnsiTheme="minorEastAsia" w:eastAsiaTheme="minorEastAsia"/>
        </w:rPr>
      </w:pPr>
      <w:r>
        <w:rPr>
          <w:rFonts w:asciiTheme="minorEastAsia" w:hAnsiTheme="minorEastAsia" w:eastAsiaTheme="minorEastAsia"/>
        </w:rPr>
        <w:drawing>
          <wp:inline distT="0" distB="0" distL="0" distR="0">
            <wp:extent cx="4620895" cy="2048510"/>
            <wp:effectExtent l="0" t="0" r="825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20895" cy="2048510"/>
                    </a:xfrm>
                    <a:prstGeom prst="rect">
                      <a:avLst/>
                    </a:prstGeom>
                    <a:noFill/>
                  </pic:spPr>
                </pic:pic>
              </a:graphicData>
            </a:graphic>
          </wp:inline>
        </w:drawing>
      </w:r>
    </w:p>
    <w:p>
      <w:pPr>
        <w:pStyle w:val="3"/>
        <w:spacing w:before="0" w:after="0" w:line="360" w:lineRule="auto"/>
        <w:rPr>
          <w:rStyle w:val="25"/>
          <w:rFonts w:asciiTheme="minorEastAsia" w:hAnsiTheme="minorEastAsia" w:eastAsiaTheme="minorEastAsia"/>
          <w:b w:val="0"/>
          <w:bCs w:val="0"/>
        </w:rPr>
      </w:pPr>
      <w:bookmarkStart w:id="28" w:name="_Toc15396605"/>
      <w:bookmarkStart w:id="29" w:name="_Toc15377207"/>
      <w:r>
        <w:rPr>
          <w:rFonts w:hint="eastAsia" w:asciiTheme="minorEastAsia" w:hAnsiTheme="minorEastAsia" w:eastAsiaTheme="minorEastAsia"/>
          <w:color w:val="000000"/>
        </w:rPr>
        <w:t>三、支</w:t>
      </w:r>
      <w:r>
        <w:rPr>
          <w:rStyle w:val="25"/>
          <w:rFonts w:hint="eastAsia" w:asciiTheme="minorEastAsia" w:hAnsiTheme="minorEastAsia" w:eastAsiaTheme="minorEastAsia"/>
          <w:b w:val="0"/>
          <w:bCs w:val="0"/>
        </w:rPr>
        <w:t>出决算情况说明</w:t>
      </w:r>
      <w:bookmarkEnd w:id="28"/>
      <w:bookmarkEnd w:id="29"/>
    </w:p>
    <w:p>
      <w:pPr>
        <w:spacing w:line="360" w:lineRule="auto"/>
        <w:ind w:firstLine="640" w:firstLineChars="200"/>
        <w:outlineLvl w:val="1"/>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年本年支出合计476.92万元，其中：基本支出466.21万元，占97.75</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；项目支出10.71万元，占2.25</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；上缴上级支出0万元，占0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；经营支出0万元，占0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；对附属单位补助支出0万元，占0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（图3：支出决算结构图）（饼状图）</w:t>
      </w:r>
    </w:p>
    <w:p>
      <w:pPr>
        <w:spacing w:line="360" w:lineRule="auto"/>
        <w:ind w:firstLine="735" w:firstLineChars="350"/>
        <w:rPr>
          <w:rFonts w:asciiTheme="minorEastAsia" w:hAnsiTheme="minorEastAsia" w:eastAsiaTheme="minorEastAsia"/>
        </w:rPr>
      </w:pPr>
      <w:r>
        <w:rPr>
          <w:rFonts w:asciiTheme="minorEastAsia" w:hAnsiTheme="minorEastAsia" w:eastAsiaTheme="minorEastAsia"/>
        </w:rPr>
        <w:drawing>
          <wp:inline distT="0" distB="0" distL="0" distR="0">
            <wp:extent cx="4742815" cy="228600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42815" cy="2286000"/>
                    </a:xfrm>
                    <a:prstGeom prst="rect">
                      <a:avLst/>
                    </a:prstGeom>
                    <a:noFill/>
                  </pic:spPr>
                </pic:pic>
              </a:graphicData>
            </a:graphic>
          </wp:inline>
        </w:drawing>
      </w:r>
    </w:p>
    <w:p>
      <w:pPr>
        <w:pStyle w:val="3"/>
        <w:spacing w:before="0" w:after="0" w:line="360" w:lineRule="auto"/>
        <w:rPr>
          <w:rStyle w:val="25"/>
          <w:rFonts w:asciiTheme="minorEastAsia" w:hAnsiTheme="minorEastAsia" w:eastAsiaTheme="minorEastAsia"/>
          <w:b/>
          <w:bCs w:val="0"/>
        </w:rPr>
      </w:pPr>
      <w:bookmarkStart w:id="30" w:name="_Toc15396606"/>
      <w:bookmarkStart w:id="31" w:name="_Toc15377208"/>
      <w:r>
        <w:rPr>
          <w:rFonts w:hint="eastAsia" w:asciiTheme="minorEastAsia" w:hAnsiTheme="minorEastAsia" w:eastAsiaTheme="minorEastAsia"/>
          <w:color w:val="000000"/>
        </w:rPr>
        <w:t>四、财</w:t>
      </w:r>
      <w:r>
        <w:rPr>
          <w:rStyle w:val="25"/>
          <w:rFonts w:hint="eastAsia" w:asciiTheme="minorEastAsia" w:hAnsiTheme="minorEastAsia" w:eastAsiaTheme="minorEastAsia"/>
          <w:b w:val="0"/>
          <w:bCs w:val="0"/>
        </w:rPr>
        <w:t>政拨款收入支出决算总体情况说明</w:t>
      </w:r>
      <w:bookmarkEnd w:id="30"/>
      <w:bookmarkEnd w:id="31"/>
    </w:p>
    <w:p>
      <w:pPr>
        <w:spacing w:line="360" w:lineRule="auto"/>
        <w:ind w:firstLine="64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年财政拨款收、支总计484.75万元。与</w:t>
      </w:r>
      <w:r>
        <w:rPr>
          <w:rFonts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rPr>
        <w:t>9年相比，财政拨款收、支总计各减少11.29万元，上长2.38</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。主要变动原因是：日常公用经费开支增加，人员经费开支增加。</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（图4：财政拨款收、支决算总计变动情况）（柱状图）</w:t>
      </w:r>
    </w:p>
    <w:p>
      <w:pPr>
        <w:spacing w:line="360" w:lineRule="auto"/>
        <w:ind w:firstLine="735" w:firstLineChars="350"/>
        <w:rPr>
          <w:rFonts w:asciiTheme="minorEastAsia" w:hAnsiTheme="minorEastAsia" w:eastAsiaTheme="minorEastAsia"/>
        </w:rPr>
      </w:pPr>
      <w:r>
        <w:rPr>
          <w:rFonts w:asciiTheme="minorEastAsia" w:hAnsiTheme="minorEastAsia" w:eastAsiaTheme="minorEastAsia"/>
        </w:rPr>
        <w:drawing>
          <wp:inline distT="0" distB="0" distL="0" distR="0">
            <wp:extent cx="4011295" cy="2755900"/>
            <wp:effectExtent l="0" t="0" r="8255"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11295" cy="2755900"/>
                    </a:xfrm>
                    <a:prstGeom prst="rect">
                      <a:avLst/>
                    </a:prstGeom>
                    <a:noFill/>
                  </pic:spPr>
                </pic:pic>
              </a:graphicData>
            </a:graphic>
          </wp:inline>
        </w:drawing>
      </w:r>
    </w:p>
    <w:p>
      <w:pPr>
        <w:pStyle w:val="3"/>
        <w:spacing w:before="0" w:after="0" w:line="360" w:lineRule="auto"/>
        <w:rPr>
          <w:rStyle w:val="25"/>
          <w:rFonts w:asciiTheme="minorEastAsia" w:hAnsiTheme="minorEastAsia" w:eastAsiaTheme="minorEastAsia"/>
          <w:b/>
          <w:bCs w:val="0"/>
        </w:rPr>
      </w:pPr>
      <w:bookmarkStart w:id="32" w:name="_Toc15377209"/>
      <w:bookmarkStart w:id="33" w:name="_Toc15396607"/>
      <w:r>
        <w:rPr>
          <w:rFonts w:hint="eastAsia" w:asciiTheme="minorEastAsia" w:hAnsiTheme="minorEastAsia" w:eastAsiaTheme="minorEastAsia"/>
          <w:color w:val="000000"/>
        </w:rPr>
        <w:t>五、一</w:t>
      </w:r>
      <w:r>
        <w:rPr>
          <w:rStyle w:val="25"/>
          <w:rFonts w:hint="eastAsia" w:asciiTheme="minorEastAsia" w:hAnsiTheme="minorEastAsia" w:eastAsiaTheme="minorEastAsia"/>
          <w:b w:val="0"/>
          <w:bCs w:val="0"/>
        </w:rPr>
        <w:t>般公共预算财政拨款支出决算情况说明</w:t>
      </w:r>
      <w:bookmarkEnd w:id="32"/>
      <w:bookmarkEnd w:id="33"/>
    </w:p>
    <w:p>
      <w:pPr>
        <w:spacing w:line="360" w:lineRule="auto"/>
        <w:ind w:firstLine="643" w:firstLineChars="200"/>
        <w:outlineLvl w:val="2"/>
        <w:rPr>
          <w:rFonts w:asciiTheme="minorEastAsia" w:hAnsiTheme="minorEastAsia" w:eastAsiaTheme="minorEastAsia"/>
          <w:b/>
          <w:color w:val="000000"/>
          <w:sz w:val="32"/>
          <w:szCs w:val="32"/>
        </w:rPr>
      </w:pPr>
      <w:bookmarkStart w:id="34" w:name="_Toc15377210"/>
      <w:r>
        <w:rPr>
          <w:rFonts w:hint="eastAsia" w:asciiTheme="minorEastAsia" w:hAnsiTheme="minorEastAsia" w:eastAsiaTheme="minorEastAsia"/>
          <w:b/>
          <w:color w:val="000000"/>
          <w:sz w:val="32"/>
          <w:szCs w:val="32"/>
        </w:rPr>
        <w:t>（一）一般公共预算财政拨款支出决算总体情况</w:t>
      </w:r>
      <w:bookmarkEnd w:id="34"/>
    </w:p>
    <w:p>
      <w:pPr>
        <w:spacing w:line="360" w:lineRule="auto"/>
        <w:ind w:firstLine="640" w:firstLineChars="20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年一般公共预算财政拨款支出473.92万元，占本年支出合计的99.37</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。与</w:t>
      </w:r>
      <w:r>
        <w:rPr>
          <w:rFonts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rPr>
        <w:t>9年相比，一般公共预算财政拨款增加11.68万元，上长2.53</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。主要变动原因是：日常公用经费开支增加，人员经费开支增加。</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（图5：一般公共预算财政拨款支出决算变动情况）（柱状图）</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drawing>
          <wp:inline distT="0" distB="0" distL="0" distR="0">
            <wp:extent cx="4742815" cy="1694815"/>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42815" cy="1694815"/>
                    </a:xfrm>
                    <a:prstGeom prst="rect">
                      <a:avLst/>
                    </a:prstGeom>
                    <a:noFill/>
                  </pic:spPr>
                </pic:pic>
              </a:graphicData>
            </a:graphic>
          </wp:inline>
        </w:drawing>
      </w:r>
    </w:p>
    <w:p>
      <w:pPr>
        <w:spacing w:line="360" w:lineRule="auto"/>
        <w:ind w:firstLine="643" w:firstLineChars="200"/>
        <w:outlineLvl w:val="2"/>
        <w:rPr>
          <w:rFonts w:asciiTheme="minorEastAsia" w:hAnsiTheme="minorEastAsia" w:eastAsiaTheme="minorEastAsia"/>
          <w:b/>
          <w:color w:val="000000"/>
          <w:sz w:val="32"/>
          <w:szCs w:val="32"/>
        </w:rPr>
      </w:pPr>
      <w:bookmarkStart w:id="35" w:name="_Toc15377211"/>
      <w:r>
        <w:rPr>
          <w:rFonts w:hint="eastAsia" w:asciiTheme="minorEastAsia" w:hAnsiTheme="minorEastAsia" w:eastAsiaTheme="minorEastAsia"/>
          <w:b/>
          <w:color w:val="000000"/>
          <w:sz w:val="32"/>
          <w:szCs w:val="32"/>
        </w:rPr>
        <w:t>（二）一般公共预算财政拨款支出决算结构情况</w:t>
      </w:r>
      <w:bookmarkEnd w:id="35"/>
    </w:p>
    <w:p>
      <w:pPr>
        <w:spacing w:line="36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年一般公共预算财</w:t>
      </w:r>
      <w:r>
        <w:rPr>
          <w:rFonts w:hint="eastAsia" w:asciiTheme="minorEastAsia" w:hAnsiTheme="minorEastAsia" w:eastAsiaTheme="minorEastAsia"/>
          <w:color w:val="000000" w:themeColor="text1"/>
          <w:sz w:val="32"/>
          <w:szCs w:val="32"/>
          <w14:textFill>
            <w14:solidFill>
              <w14:schemeClr w14:val="tx1"/>
            </w14:solidFill>
          </w14:textFill>
        </w:rPr>
        <w:t>政拨款支出473.92万元，主要用于以下方面</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一般公共服务</w:t>
      </w:r>
      <w:r>
        <w:rPr>
          <w:rFonts w:hint="eastAsia" w:asciiTheme="minorEastAsia" w:hAnsiTheme="minorEastAsia" w:eastAsiaTheme="minorEastAsia"/>
          <w:color w:val="000000" w:themeColor="text1"/>
          <w:sz w:val="32"/>
          <w:szCs w:val="32"/>
          <w14:textFill>
            <w14:solidFill>
              <w14:schemeClr w14:val="tx1"/>
            </w14:solidFill>
          </w14:textFill>
        </w:rPr>
        <w:t>支出0万元，占0</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教育（2050202）支出</w:t>
      </w:r>
      <w:r>
        <w:rPr>
          <w:rFonts w:hint="eastAsia" w:asciiTheme="minorEastAsia" w:hAnsiTheme="minorEastAsia" w:eastAsiaTheme="minorEastAsia"/>
          <w:color w:val="000000" w:themeColor="text1"/>
          <w:sz w:val="32"/>
          <w:szCs w:val="32"/>
          <w14:textFill>
            <w14:solidFill>
              <w14:schemeClr w14:val="tx1"/>
            </w14:solidFill>
          </w14:textFill>
        </w:rPr>
        <w:t>357.89万元，占75.52</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教育</w:t>
      </w:r>
      <w:r>
        <w:rPr>
          <w:rFonts w:hint="eastAsia" w:asciiTheme="minorEastAsia" w:hAnsiTheme="minorEastAsia" w:eastAsiaTheme="minorEastAsia"/>
          <w:color w:val="000000" w:themeColor="text1"/>
          <w:sz w:val="32"/>
          <w:szCs w:val="32"/>
          <w14:textFill>
            <w14:solidFill>
              <w14:schemeClr w14:val="tx1"/>
            </w14:solidFill>
          </w14:textFill>
        </w:rPr>
        <w:t>(2050299)支出0万元，占0</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科学技术（类）</w:t>
      </w:r>
      <w:r>
        <w:rPr>
          <w:rFonts w:hint="eastAsia" w:asciiTheme="minorEastAsia" w:hAnsiTheme="minorEastAsia" w:eastAsiaTheme="minorEastAsia"/>
          <w:color w:val="000000" w:themeColor="text1"/>
          <w:sz w:val="32"/>
          <w:szCs w:val="32"/>
          <w14:textFill>
            <w14:solidFill>
              <w14:schemeClr w14:val="tx1"/>
            </w14:solidFill>
          </w14:textFill>
        </w:rPr>
        <w:t>支出0万元，占0</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bCs/>
          <w:color w:val="000000" w:themeColor="text1"/>
          <w:sz w:val="32"/>
          <w:szCs w:val="32"/>
          <w14:textFill>
            <w14:solidFill>
              <w14:schemeClr w14:val="tx1"/>
            </w14:solidFill>
          </w14:textFill>
        </w:rPr>
        <w:t>文化旅游体育与传媒（类）支出0万元，占0</w:t>
      </w:r>
      <w:r>
        <w:rPr>
          <w:rFonts w:asciiTheme="minorEastAsia" w:hAnsiTheme="minorEastAsia" w:eastAsia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社会保障和就业（2080505）</w:t>
      </w:r>
      <w:r>
        <w:rPr>
          <w:rFonts w:hint="eastAsia" w:asciiTheme="minorEastAsia" w:hAnsiTheme="minorEastAsia" w:eastAsiaTheme="minorEastAsia"/>
          <w:color w:val="000000" w:themeColor="text1"/>
          <w:sz w:val="32"/>
          <w:szCs w:val="32"/>
          <w14:textFill>
            <w14:solidFill>
              <w14:schemeClr w14:val="tx1"/>
            </w14:solidFill>
          </w14:textFill>
        </w:rPr>
        <w:t>支出37.24万元，占7.86</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社会保障和就业</w:t>
      </w:r>
      <w:r>
        <w:rPr>
          <w:rFonts w:hint="eastAsia" w:asciiTheme="minorEastAsia" w:hAnsiTheme="minorEastAsia" w:eastAsiaTheme="minorEastAsia"/>
          <w:color w:val="000000" w:themeColor="text1"/>
          <w:sz w:val="32"/>
          <w:szCs w:val="32"/>
          <w14:textFill>
            <w14:solidFill>
              <w14:schemeClr w14:val="tx1"/>
            </w14:solidFill>
          </w14:textFill>
        </w:rPr>
        <w:t>(2080506)支出</w:t>
      </w:r>
      <w:r>
        <w:rPr>
          <w:rFonts w:hint="eastAsia" w:asciiTheme="minorEastAsia" w:hAnsiTheme="minorEastAsia" w:eastAsiaTheme="minorEastAsia"/>
          <w:b/>
          <w:bCs/>
          <w:color w:val="000000" w:themeColor="text1"/>
          <w:sz w:val="32"/>
          <w:szCs w:val="32"/>
          <w14:textFill>
            <w14:solidFill>
              <w14:schemeClr w14:val="tx1"/>
            </w14:solidFill>
          </w14:textFill>
        </w:rPr>
        <w:t xml:space="preserve"> 21.43万元，占4.52</w:t>
      </w:r>
      <w:r>
        <w:rPr>
          <w:rFonts w:asciiTheme="minorEastAsia" w:hAnsiTheme="minorEastAsia" w:eastAsia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社会保障和就业（2080899）</w:t>
      </w:r>
      <w:r>
        <w:rPr>
          <w:rFonts w:hint="eastAsia" w:asciiTheme="minorEastAsia" w:hAnsiTheme="minorEastAsia" w:eastAsiaTheme="minorEastAsia"/>
          <w:color w:val="000000" w:themeColor="text1"/>
          <w:sz w:val="32"/>
          <w:szCs w:val="32"/>
          <w14:textFill>
            <w14:solidFill>
              <w14:schemeClr w14:val="tx1"/>
            </w14:solidFill>
          </w14:textFill>
        </w:rPr>
        <w:t>支出0.93万元，占0.2</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社会保障和就业（2089901）</w:t>
      </w:r>
      <w:r>
        <w:rPr>
          <w:rFonts w:hint="eastAsia" w:asciiTheme="minorEastAsia" w:hAnsiTheme="minorEastAsia" w:eastAsiaTheme="minorEastAsia"/>
          <w:color w:val="000000" w:themeColor="text1"/>
          <w:sz w:val="32"/>
          <w:szCs w:val="32"/>
          <w14:textFill>
            <w14:solidFill>
              <w14:schemeClr w14:val="tx1"/>
            </w14:solidFill>
          </w14:textFill>
        </w:rPr>
        <w:t>支出2.18万元，占0.46</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bCs/>
          <w:color w:val="000000" w:themeColor="text1"/>
          <w:sz w:val="32"/>
          <w:szCs w:val="32"/>
          <w14:textFill>
            <w14:solidFill>
              <w14:schemeClr w14:val="tx1"/>
            </w14:solidFill>
          </w14:textFill>
        </w:rPr>
        <w:t>卫生健康 (2101102) 支出</w:t>
      </w:r>
      <w:r>
        <w:rPr>
          <w:rFonts w:hint="eastAsia" w:asciiTheme="minorEastAsia" w:hAnsiTheme="minorEastAsia" w:eastAsiaTheme="minorEastAsia"/>
          <w:color w:val="000000" w:themeColor="text1"/>
          <w:sz w:val="32"/>
          <w:szCs w:val="32"/>
          <w14:textFill>
            <w14:solidFill>
              <w14:schemeClr w14:val="tx1"/>
            </w14:solidFill>
          </w14:textFill>
        </w:rPr>
        <w:t>14.78万元，占3.12</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；住房保障 (2210201) 支出39.47万元，占8.33</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w:t>
      </w:r>
      <w:r>
        <w:rPr>
          <w:rFonts w:asciiTheme="minorEastAsia" w:hAnsiTheme="minorEastAsia" w:eastAsiaTheme="minorEastAsia"/>
          <w:color w:val="000000" w:themeColor="text1"/>
          <w:sz w:val="32"/>
          <w:szCs w:val="32"/>
          <w14:textFill>
            <w14:solidFill>
              <w14:schemeClr w14:val="tx1"/>
            </w14:solidFill>
          </w14:textFill>
        </w:rPr>
        <w:t xml:space="preserve">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（图6：一般公共预算财政拨款支出决算结构）（饼状图）</w:t>
      </w:r>
    </w:p>
    <w:p>
      <w:pPr>
        <w:spacing w:line="360" w:lineRule="auto"/>
        <w:ind w:firstLine="525" w:firstLineChars="250"/>
        <w:rPr>
          <w:rFonts w:asciiTheme="minorEastAsia" w:hAnsiTheme="minorEastAsia" w:eastAsiaTheme="minorEastAsia"/>
        </w:rPr>
      </w:pPr>
      <w:r>
        <w:rPr>
          <w:rFonts w:asciiTheme="minorEastAsia" w:hAnsiTheme="minorEastAsia" w:eastAsiaTheme="minorEastAsia"/>
        </w:rPr>
        <w:drawing>
          <wp:inline distT="0" distB="0" distL="0" distR="0">
            <wp:extent cx="4786630" cy="2130425"/>
            <wp:effectExtent l="0" t="0" r="0" b="317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85995" cy="2130653"/>
                    </a:xfrm>
                    <a:prstGeom prst="rect">
                      <a:avLst/>
                    </a:prstGeom>
                    <a:noFill/>
                  </pic:spPr>
                </pic:pic>
              </a:graphicData>
            </a:graphic>
          </wp:inline>
        </w:drawing>
      </w:r>
    </w:p>
    <w:p>
      <w:pPr>
        <w:spacing w:line="360" w:lineRule="auto"/>
        <w:ind w:firstLine="643" w:firstLineChars="200"/>
        <w:outlineLvl w:val="2"/>
        <w:rPr>
          <w:rFonts w:asciiTheme="minorEastAsia" w:hAnsiTheme="minorEastAsia" w:eastAsiaTheme="minorEastAsia"/>
          <w:b/>
          <w:color w:val="000000"/>
          <w:sz w:val="32"/>
          <w:szCs w:val="32"/>
        </w:rPr>
      </w:pPr>
      <w:bookmarkStart w:id="36" w:name="_Toc15377212"/>
      <w:r>
        <w:rPr>
          <w:rFonts w:hint="eastAsia" w:asciiTheme="minorEastAsia" w:hAnsiTheme="minorEastAsia" w:eastAsiaTheme="minorEastAsia"/>
          <w:b/>
          <w:color w:val="000000"/>
          <w:sz w:val="32"/>
          <w:szCs w:val="32"/>
        </w:rPr>
        <w:t>（三）一般公共预算财政拨款支出决算具体情况</w:t>
      </w:r>
      <w:bookmarkEnd w:id="36"/>
    </w:p>
    <w:p>
      <w:pPr>
        <w:spacing w:line="360" w:lineRule="auto"/>
        <w:ind w:firstLine="643" w:firstLineChars="200"/>
        <w:outlineLvl w:val="2"/>
        <w:rPr>
          <w:rFonts w:asciiTheme="minorEastAsia" w:hAnsiTheme="minorEastAsia" w:eastAsiaTheme="minorEastAsia"/>
          <w:color w:val="FF0000"/>
          <w:sz w:val="32"/>
          <w:szCs w:val="32"/>
        </w:rPr>
      </w:pPr>
      <w:bookmarkStart w:id="37" w:name="_Toc15377444"/>
      <w:bookmarkStart w:id="38" w:name="_Toc15378460"/>
      <w:bookmarkStart w:id="39" w:name="_Toc15377213"/>
      <w:r>
        <w:rPr>
          <w:rFonts w:hint="eastAsia" w:asciiTheme="minorEastAsia" w:hAnsiTheme="minorEastAsia" w:eastAsiaTheme="minorEastAsia"/>
          <w:b/>
          <w:color w:val="000000" w:themeColor="text1"/>
          <w:sz w:val="32"/>
          <w:szCs w:val="32"/>
          <w14:textFill>
            <w14:solidFill>
              <w14:schemeClr w14:val="tx1"/>
            </w14:solidFill>
          </w14:textFill>
        </w:rPr>
        <w:t>2020年一般公共预算支出决算数为473.92</w:t>
      </w:r>
      <w:r>
        <w:rPr>
          <w:rFonts w:hint="eastAsia" w:asciiTheme="minorEastAsia" w:hAnsiTheme="minorEastAsia" w:eastAsiaTheme="minorEastAsia"/>
          <w:color w:val="000000" w:themeColor="text1"/>
          <w:sz w:val="32"/>
          <w:szCs w:val="32"/>
          <w14:textFill>
            <w14:solidFill>
              <w14:schemeClr w14:val="tx1"/>
            </w14:solidFill>
          </w14:textFill>
        </w:rPr>
        <w:t>，</w:t>
      </w:r>
      <w:r>
        <w:rPr>
          <w:rStyle w:val="14"/>
          <w:rFonts w:hint="eastAsia" w:asciiTheme="minorEastAsia" w:hAnsiTheme="minorEastAsia" w:eastAsiaTheme="minorEastAsia"/>
          <w:bCs/>
          <w:color w:val="000000" w:themeColor="text1"/>
          <w:sz w:val="32"/>
          <w:szCs w:val="32"/>
          <w14:textFill>
            <w14:solidFill>
              <w14:schemeClr w14:val="tx1"/>
            </w14:solidFill>
          </w14:textFill>
        </w:rPr>
        <w:t>完成</w:t>
      </w:r>
      <w:r>
        <w:rPr>
          <w:rStyle w:val="14"/>
          <w:rFonts w:hint="eastAsia" w:asciiTheme="minorEastAsia" w:hAnsiTheme="minorEastAsia" w:eastAsiaTheme="minorEastAsia"/>
          <w:bCs/>
          <w:color w:val="000000"/>
          <w:sz w:val="32"/>
          <w:szCs w:val="32"/>
        </w:rPr>
        <w:t>预算98.80</w:t>
      </w:r>
      <w:r>
        <w:rPr>
          <w:rStyle w:val="14"/>
          <w:rFonts w:asciiTheme="minorEastAsia" w:hAnsiTheme="minorEastAsia" w:eastAsiaTheme="minorEastAsia"/>
          <w:bCs/>
          <w:color w:val="000000"/>
          <w:sz w:val="32"/>
          <w:szCs w:val="32"/>
        </w:rPr>
        <w:t>%</w:t>
      </w:r>
      <w:r>
        <w:rPr>
          <w:rStyle w:val="14"/>
          <w:rFonts w:hint="eastAsia" w:asciiTheme="minorEastAsia" w:hAnsiTheme="minorEastAsia" w:eastAsiaTheme="minorEastAsia"/>
          <w:bCs/>
          <w:color w:val="000000"/>
          <w:sz w:val="32"/>
          <w:szCs w:val="32"/>
        </w:rPr>
        <w:t>。其中：</w:t>
      </w:r>
      <w:bookmarkEnd w:id="37"/>
      <w:bookmarkEnd w:id="38"/>
      <w:bookmarkEnd w:id="39"/>
    </w:p>
    <w:p>
      <w:pPr>
        <w:spacing w:line="360" w:lineRule="auto"/>
        <w:ind w:firstLine="643" w:firstLineChars="200"/>
        <w:rPr>
          <w:rFonts w:asciiTheme="minorEastAsia" w:hAnsiTheme="minorEastAsia" w:eastAsiaTheme="minorEastAsia"/>
          <w:b/>
          <w:color w:val="000000"/>
          <w:sz w:val="32"/>
          <w:szCs w:val="32"/>
        </w:rPr>
      </w:pPr>
      <w:r>
        <w:rPr>
          <w:rStyle w:val="14"/>
          <w:rFonts w:asciiTheme="minorEastAsia" w:hAnsiTheme="minorEastAsia" w:eastAsiaTheme="minorEastAsia"/>
          <w:bCs/>
          <w:color w:val="000000"/>
          <w:sz w:val="32"/>
          <w:szCs w:val="32"/>
        </w:rPr>
        <w:t>1.</w:t>
      </w:r>
      <w:r>
        <w:rPr>
          <w:rStyle w:val="14"/>
          <w:rFonts w:hint="eastAsia" w:asciiTheme="minorEastAsia" w:hAnsiTheme="minorEastAsia" w:eastAsiaTheme="minorEastAsia"/>
          <w:bCs/>
          <w:color w:val="000000"/>
          <w:sz w:val="32"/>
          <w:szCs w:val="32"/>
        </w:rPr>
        <w:t>一般公共服务（类）0（款）0（项）</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支出决算为0万元，完成预算0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spacing w:line="360" w:lineRule="auto"/>
        <w:ind w:firstLine="643" w:firstLineChars="200"/>
        <w:rPr>
          <w:rStyle w:val="14"/>
          <w:rFonts w:asciiTheme="minorEastAsia" w:hAnsiTheme="minorEastAsia" w:eastAsiaTheme="minorEastAsia"/>
          <w:b w:val="0"/>
          <w:bCs/>
          <w:color w:val="000000"/>
          <w:sz w:val="32"/>
          <w:szCs w:val="32"/>
        </w:rPr>
      </w:pPr>
      <w:r>
        <w:rPr>
          <w:rStyle w:val="14"/>
          <w:rFonts w:asciiTheme="minorEastAsia" w:hAnsiTheme="minorEastAsia" w:eastAsiaTheme="minorEastAsia"/>
          <w:bCs/>
          <w:color w:val="000000"/>
          <w:sz w:val="32"/>
          <w:szCs w:val="32"/>
        </w:rPr>
        <w:t>2.</w:t>
      </w:r>
      <w:r>
        <w:rPr>
          <w:rStyle w:val="14"/>
          <w:rFonts w:hint="eastAsia" w:asciiTheme="minorEastAsia" w:hAnsiTheme="minorEastAsia" w:eastAsiaTheme="minorEastAsia"/>
          <w:bCs/>
          <w:color w:val="000000"/>
          <w:sz w:val="32"/>
          <w:szCs w:val="32"/>
        </w:rPr>
        <w:t>教育（2050202）</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支出决算为357.89万元，完成预算98.67</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spacing w:line="360" w:lineRule="auto"/>
        <w:ind w:firstLine="643" w:firstLineChars="200"/>
        <w:rPr>
          <w:rFonts w:asciiTheme="minorEastAsia" w:hAnsiTheme="minorEastAsia" w:eastAsiaTheme="minorEastAsia"/>
          <w:b/>
          <w:color w:val="000000"/>
          <w:sz w:val="32"/>
          <w:szCs w:val="32"/>
        </w:rPr>
      </w:pPr>
      <w:r>
        <w:rPr>
          <w:rStyle w:val="14"/>
          <w:rFonts w:asciiTheme="minorEastAsia" w:hAnsiTheme="minorEastAsia" w:eastAsiaTheme="minorEastAsia"/>
          <w:bCs/>
          <w:color w:val="000000"/>
          <w:sz w:val="32"/>
          <w:szCs w:val="32"/>
        </w:rPr>
        <w:t xml:space="preserve"> 3.</w:t>
      </w:r>
      <w:r>
        <w:rPr>
          <w:rStyle w:val="14"/>
          <w:rFonts w:hint="eastAsia" w:asciiTheme="minorEastAsia" w:hAnsiTheme="minorEastAsia" w:eastAsiaTheme="minorEastAsia"/>
          <w:bCs/>
          <w:color w:val="000000"/>
          <w:sz w:val="32"/>
          <w:szCs w:val="32"/>
        </w:rPr>
        <w:t>科学技术0（类）0（款）0（项）</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支出决算为0万元，完成预算0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spacing w:line="360" w:lineRule="auto"/>
        <w:ind w:firstLine="643" w:firstLineChars="200"/>
        <w:rPr>
          <w:rStyle w:val="14"/>
          <w:rFonts w:asciiTheme="minorEastAsia" w:hAnsiTheme="minorEastAsia" w:eastAsiaTheme="minorEastAsia"/>
          <w:bCs/>
          <w:color w:val="000000"/>
          <w:sz w:val="32"/>
          <w:szCs w:val="32"/>
        </w:rPr>
      </w:pPr>
      <w:r>
        <w:rPr>
          <w:rStyle w:val="14"/>
          <w:rFonts w:asciiTheme="minorEastAsia" w:hAnsiTheme="minorEastAsia" w:eastAsiaTheme="minorEastAsia"/>
          <w:bCs/>
          <w:color w:val="000000"/>
          <w:sz w:val="32"/>
          <w:szCs w:val="32"/>
        </w:rPr>
        <w:t>4.</w:t>
      </w:r>
      <w:r>
        <w:rPr>
          <w:rStyle w:val="14"/>
          <w:rFonts w:hint="eastAsia" w:asciiTheme="minorEastAsia" w:hAnsiTheme="minorEastAsia" w:eastAsiaTheme="minorEastAsia"/>
          <w:bCs/>
          <w:color w:val="000000"/>
          <w:sz w:val="32"/>
          <w:szCs w:val="32"/>
        </w:rPr>
        <w:t>文化旅游体育与传媒0（类）0（款）0（项）</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支出决算为0万元，完成预算0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r>
        <w:rPr>
          <w:rStyle w:val="14"/>
          <w:rFonts w:asciiTheme="minorEastAsia" w:hAnsiTheme="minorEastAsia" w:eastAsiaTheme="minorEastAsia"/>
          <w:bCs/>
          <w:color w:val="000000"/>
          <w:sz w:val="32"/>
          <w:szCs w:val="32"/>
        </w:rPr>
        <w:t xml:space="preserve"> </w:t>
      </w:r>
    </w:p>
    <w:p>
      <w:pPr>
        <w:spacing w:line="360" w:lineRule="auto"/>
        <w:ind w:firstLine="643" w:firstLineChars="200"/>
        <w:rPr>
          <w:rStyle w:val="14"/>
          <w:rFonts w:asciiTheme="minorEastAsia" w:hAnsiTheme="minorEastAsia" w:eastAsiaTheme="minorEastAsia"/>
          <w:b w:val="0"/>
          <w:bCs/>
          <w:color w:val="000000"/>
          <w:sz w:val="32"/>
          <w:szCs w:val="32"/>
        </w:rPr>
      </w:pPr>
      <w:r>
        <w:rPr>
          <w:rStyle w:val="14"/>
          <w:rFonts w:asciiTheme="minorEastAsia" w:hAnsiTheme="minorEastAsia" w:eastAsiaTheme="minorEastAsia"/>
          <w:bCs/>
          <w:color w:val="000000"/>
          <w:sz w:val="32"/>
          <w:szCs w:val="32"/>
        </w:rPr>
        <w:t>5.</w:t>
      </w:r>
      <w:r>
        <w:rPr>
          <w:rStyle w:val="14"/>
          <w:rFonts w:hint="eastAsia" w:asciiTheme="minorEastAsia" w:hAnsiTheme="minorEastAsia" w:eastAsiaTheme="minorEastAsia"/>
          <w:bCs/>
          <w:color w:val="000000"/>
          <w:sz w:val="32"/>
          <w:szCs w:val="32"/>
        </w:rPr>
        <w:t>社会保障和就业（2080505）</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支出决算为37.24万元，完成预算100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r>
        <w:rPr>
          <w:rStyle w:val="14"/>
          <w:rFonts w:hint="eastAsia" w:asciiTheme="minorEastAsia" w:hAnsiTheme="minorEastAsia" w:eastAsiaTheme="minorEastAsia"/>
          <w:bCs/>
          <w:color w:val="000000"/>
          <w:sz w:val="32"/>
          <w:szCs w:val="32"/>
        </w:rPr>
        <w:t>社会保障和就业（2080506）</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支出决算为21.43万元，完成预算100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r>
        <w:rPr>
          <w:rStyle w:val="14"/>
          <w:rFonts w:hint="eastAsia" w:asciiTheme="minorEastAsia" w:hAnsiTheme="minorEastAsia" w:eastAsiaTheme="minorEastAsia"/>
          <w:bCs/>
          <w:color w:val="000000"/>
          <w:sz w:val="32"/>
          <w:szCs w:val="32"/>
        </w:rPr>
        <w:t>社会保障和就业（2080899）</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支出决算为0.93万元，完成预算100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r>
        <w:rPr>
          <w:rStyle w:val="14"/>
          <w:rFonts w:hint="eastAsia" w:asciiTheme="minorEastAsia" w:hAnsiTheme="minorEastAsia" w:eastAsiaTheme="minorEastAsia"/>
          <w:bCs/>
          <w:color w:val="000000"/>
          <w:sz w:val="32"/>
          <w:szCs w:val="32"/>
        </w:rPr>
        <w:t>社会保障和就业（2089901）</w:t>
      </w:r>
      <w:r>
        <w:rPr>
          <w:rStyle w:val="14"/>
          <w:rFonts w:asciiTheme="minorEastAsia" w:hAnsiTheme="minorEastAsia" w:eastAsiaTheme="minorEastAsia"/>
          <w:bCs/>
          <w:color w:val="000000"/>
          <w:sz w:val="32"/>
          <w:szCs w:val="32"/>
        </w:rPr>
        <w:t>:</w:t>
      </w:r>
      <w:r>
        <w:rPr>
          <w:rStyle w:val="14"/>
          <w:rFonts w:asciiTheme="minorEastAsia" w:hAnsiTheme="minorEastAsia" w:eastAsiaTheme="minorEastAsia"/>
          <w:b w:val="0"/>
          <w:bCs/>
          <w:color w:val="000000"/>
          <w:sz w:val="32"/>
          <w:szCs w:val="32"/>
        </w:rPr>
        <w:t xml:space="preserve"> </w:t>
      </w:r>
      <w:r>
        <w:rPr>
          <w:rStyle w:val="14"/>
          <w:rFonts w:hint="eastAsia" w:asciiTheme="minorEastAsia" w:hAnsiTheme="minorEastAsia" w:eastAsiaTheme="minorEastAsia"/>
          <w:b w:val="0"/>
          <w:bCs/>
          <w:color w:val="000000"/>
          <w:sz w:val="32"/>
          <w:szCs w:val="32"/>
        </w:rPr>
        <w:t>支出决算为2.18万元，完成预算100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spacing w:line="360" w:lineRule="auto"/>
        <w:ind w:firstLine="643" w:firstLineChars="200"/>
        <w:rPr>
          <w:rStyle w:val="14"/>
          <w:rFonts w:asciiTheme="minorEastAsia" w:hAnsiTheme="minorEastAsia" w:eastAsiaTheme="minorEastAsia"/>
          <w:b w:val="0"/>
          <w:bCs/>
          <w:color w:val="000000"/>
          <w:sz w:val="32"/>
          <w:szCs w:val="32"/>
        </w:rPr>
      </w:pPr>
      <w:r>
        <w:rPr>
          <w:rStyle w:val="14"/>
          <w:rFonts w:asciiTheme="minorEastAsia" w:hAnsiTheme="minorEastAsia" w:eastAsiaTheme="minorEastAsia"/>
          <w:bCs/>
          <w:color w:val="000000"/>
          <w:sz w:val="32"/>
          <w:szCs w:val="32"/>
        </w:rPr>
        <w:t>6.</w:t>
      </w:r>
      <w:r>
        <w:rPr>
          <w:rFonts w:hint="eastAsia" w:asciiTheme="minorEastAsia" w:hAnsiTheme="minorEastAsia" w:eastAsiaTheme="minorEastAsia"/>
          <w:b/>
          <w:bCs/>
          <w:color w:val="000000" w:themeColor="text1"/>
          <w:sz w:val="32"/>
          <w:szCs w:val="32"/>
          <w14:textFill>
            <w14:solidFill>
              <w14:schemeClr w14:val="tx1"/>
            </w14:solidFill>
          </w14:textFill>
        </w:rPr>
        <w:t>卫生健康</w:t>
      </w:r>
      <w:r>
        <w:rPr>
          <w:rStyle w:val="14"/>
          <w:rFonts w:hint="eastAsia" w:asciiTheme="minorEastAsia" w:hAnsiTheme="minorEastAsia" w:eastAsiaTheme="minorEastAsia"/>
          <w:bCs/>
          <w:color w:val="000000"/>
          <w:sz w:val="32"/>
          <w:szCs w:val="32"/>
        </w:rPr>
        <w:t>（2101102）</w:t>
      </w:r>
      <w:r>
        <w:rPr>
          <w:rStyle w:val="14"/>
          <w:rFonts w:asciiTheme="minorEastAsia" w:hAnsiTheme="minorEastAsia" w:eastAsiaTheme="minorEastAsia"/>
          <w:bCs/>
          <w:color w:val="000000"/>
          <w:sz w:val="32"/>
          <w:szCs w:val="32"/>
        </w:rPr>
        <w:t>:</w:t>
      </w:r>
      <w:r>
        <w:rPr>
          <w:rStyle w:val="14"/>
          <w:rFonts w:hint="eastAsia" w:asciiTheme="minorEastAsia" w:hAnsiTheme="minorEastAsia" w:eastAsiaTheme="minorEastAsia"/>
          <w:b w:val="0"/>
          <w:bCs/>
          <w:color w:val="000000"/>
          <w:sz w:val="32"/>
          <w:szCs w:val="32"/>
        </w:rPr>
        <w:t>支出决算为14.78万元，完成预算100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spacing w:line="360" w:lineRule="auto"/>
        <w:ind w:firstLine="643" w:firstLineChars="200"/>
        <w:rPr>
          <w:rFonts w:asciiTheme="minorEastAsia" w:hAnsiTheme="minorEastAsia" w:eastAsiaTheme="minorEastAsia"/>
          <w:b/>
          <w:color w:val="000000"/>
          <w:sz w:val="32"/>
          <w:szCs w:val="32"/>
        </w:rPr>
      </w:pPr>
      <w:r>
        <w:rPr>
          <w:rStyle w:val="14"/>
          <w:rFonts w:hint="eastAsia" w:asciiTheme="minorEastAsia" w:hAnsiTheme="minorEastAsia" w:eastAsiaTheme="minorEastAsia"/>
          <w:bCs/>
          <w:color w:val="000000"/>
          <w:sz w:val="32"/>
          <w:szCs w:val="32"/>
        </w:rPr>
        <w:t>7</w:t>
      </w:r>
      <w:r>
        <w:rPr>
          <w:rStyle w:val="14"/>
          <w:rFonts w:asciiTheme="minorEastAsia" w:hAnsiTheme="minorEastAsia" w:eastAsiaTheme="minorEastAsia"/>
          <w:bCs/>
          <w:color w:val="000000"/>
          <w:sz w:val="32"/>
          <w:szCs w:val="32"/>
        </w:rPr>
        <w:t>.</w:t>
      </w:r>
      <w:r>
        <w:rPr>
          <w:rFonts w:hint="eastAsia" w:asciiTheme="minorEastAsia" w:hAnsiTheme="minorEastAsia" w:eastAsiaTheme="minorEastAsia"/>
          <w:b/>
          <w:bCs/>
          <w:color w:val="000000" w:themeColor="text1"/>
          <w:sz w:val="32"/>
          <w:szCs w:val="32"/>
          <w14:textFill>
            <w14:solidFill>
              <w14:schemeClr w14:val="tx1"/>
            </w14:solidFill>
          </w14:textFill>
        </w:rPr>
        <w:t>住房保障支出</w:t>
      </w:r>
      <w:r>
        <w:rPr>
          <w:rStyle w:val="14"/>
          <w:rFonts w:hint="eastAsia" w:asciiTheme="minorEastAsia" w:hAnsiTheme="minorEastAsia" w:eastAsiaTheme="minorEastAsia"/>
          <w:bCs/>
          <w:color w:val="000000"/>
          <w:sz w:val="32"/>
          <w:szCs w:val="32"/>
        </w:rPr>
        <w:t>（2210201）</w:t>
      </w:r>
      <w:r>
        <w:rPr>
          <w:rStyle w:val="14"/>
          <w:rFonts w:asciiTheme="minorEastAsia" w:hAnsiTheme="minorEastAsia" w:eastAsiaTheme="minorEastAsia"/>
          <w:bCs/>
          <w:color w:val="000000"/>
          <w:sz w:val="32"/>
          <w:szCs w:val="32"/>
        </w:rPr>
        <w:t>:</w:t>
      </w:r>
      <w:r>
        <w:rPr>
          <w:rStyle w:val="14"/>
          <w:rFonts w:hint="eastAsia" w:asciiTheme="minorEastAsia" w:hAnsiTheme="minorEastAsia" w:eastAsiaTheme="minorEastAsia"/>
          <w:b w:val="0"/>
          <w:bCs/>
          <w:color w:val="000000"/>
          <w:sz w:val="32"/>
          <w:szCs w:val="32"/>
        </w:rPr>
        <w:t>支出决算为39.47万元，完成预算100</w:t>
      </w:r>
      <w:r>
        <w:rPr>
          <w:rStyle w:val="14"/>
          <w:rFonts w:asciiTheme="minorEastAsia" w:hAnsiTheme="minorEastAsia" w:eastAsiaTheme="minorEastAsia"/>
          <w:b w:val="0"/>
          <w:bCs/>
          <w:color w:val="000000"/>
          <w:sz w:val="32"/>
          <w:szCs w:val="32"/>
        </w:rPr>
        <w:t>%</w:t>
      </w:r>
      <w:r>
        <w:rPr>
          <w:rStyle w:val="14"/>
          <w:rFonts w:hint="eastAsia" w:asciiTheme="minorEastAsia" w:hAnsiTheme="minorEastAsia" w:eastAsiaTheme="minorEastAsia"/>
          <w:b w:val="0"/>
          <w:bCs/>
          <w:color w:val="000000"/>
          <w:sz w:val="32"/>
          <w:szCs w:val="32"/>
        </w:rPr>
        <w:t>。</w:t>
      </w:r>
    </w:p>
    <w:p>
      <w:pPr>
        <w:pStyle w:val="3"/>
        <w:spacing w:before="0" w:after="0" w:line="360" w:lineRule="auto"/>
        <w:rPr>
          <w:rStyle w:val="25"/>
          <w:rFonts w:asciiTheme="minorEastAsia" w:hAnsiTheme="minorEastAsia" w:eastAsiaTheme="minorEastAsia"/>
          <w:b w:val="0"/>
          <w:bCs w:val="0"/>
        </w:rPr>
      </w:pPr>
      <w:bookmarkStart w:id="40" w:name="_Toc15396608"/>
      <w:bookmarkStart w:id="41" w:name="_Toc15377214"/>
      <w:r>
        <w:rPr>
          <w:rFonts w:hint="eastAsia" w:asciiTheme="minorEastAsia" w:hAnsiTheme="minorEastAsia" w:eastAsiaTheme="minorEastAsia"/>
          <w:color w:val="000000"/>
        </w:rPr>
        <w:t>六、一</w:t>
      </w:r>
      <w:r>
        <w:rPr>
          <w:rStyle w:val="25"/>
          <w:rFonts w:hint="eastAsia" w:asciiTheme="minorEastAsia" w:hAnsiTheme="minorEastAsia" w:eastAsiaTheme="minorEastAsia"/>
          <w:b w:val="0"/>
          <w:bCs w:val="0"/>
        </w:rPr>
        <w:t>般公共预算财政拨款基本支出决算情况说明</w:t>
      </w:r>
      <w:bookmarkEnd w:id="40"/>
      <w:bookmarkEnd w:id="41"/>
      <w:r>
        <w:rPr>
          <w:rStyle w:val="25"/>
          <w:rFonts w:asciiTheme="minorEastAsia" w:hAnsiTheme="minorEastAsia" w:eastAsiaTheme="minorEastAsia"/>
          <w:b w:val="0"/>
          <w:bCs w:val="0"/>
        </w:rPr>
        <w:tab/>
      </w:r>
    </w:p>
    <w:p>
      <w:pPr>
        <w:spacing w:line="360" w:lineRule="auto"/>
        <w:ind w:firstLine="645"/>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年一般公共预算财政拨款基本支出466.19万元，其中：</w:t>
      </w:r>
    </w:p>
    <w:p>
      <w:pPr>
        <w:spacing w:line="360" w:lineRule="auto"/>
        <w:ind w:firstLine="645"/>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人员经费447.72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Theme="minorEastAsia" w:hAnsiTheme="minorEastAsia" w:eastAsiaTheme="minorEastAsia"/>
          <w:color w:val="000000"/>
          <w:sz w:val="32"/>
          <w:szCs w:val="32"/>
        </w:rPr>
        <w:br w:type="textWrapping"/>
      </w:r>
      <w:r>
        <w:rPr>
          <w:rFonts w:hint="eastAsia" w:asciiTheme="minorEastAsia" w:hAnsiTheme="minorEastAsia" w:eastAsiaTheme="minorEastAsia"/>
          <w:color w:val="000000"/>
          <w:sz w:val="32"/>
          <w:szCs w:val="32"/>
        </w:rPr>
        <w:t>　　日常公用经费18.47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3"/>
        <w:spacing w:before="0" w:after="0" w:line="360" w:lineRule="auto"/>
        <w:rPr>
          <w:rStyle w:val="25"/>
          <w:rFonts w:asciiTheme="minorEastAsia" w:hAnsiTheme="minorEastAsia" w:eastAsiaTheme="minorEastAsia"/>
          <w:b/>
          <w:bCs w:val="0"/>
        </w:rPr>
      </w:pPr>
      <w:bookmarkStart w:id="42" w:name="_Toc15396609"/>
      <w:bookmarkStart w:id="43" w:name="_Toc15377215"/>
      <w:r>
        <w:rPr>
          <w:rFonts w:hint="eastAsia" w:asciiTheme="minorEastAsia" w:hAnsiTheme="minorEastAsia" w:eastAsiaTheme="minorEastAsia"/>
          <w:color w:val="000000"/>
        </w:rPr>
        <w:t>七、</w:t>
      </w:r>
      <w:r>
        <w:rPr>
          <w:rStyle w:val="25"/>
          <w:rFonts w:hint="eastAsia" w:asciiTheme="minorEastAsia" w:hAnsiTheme="minorEastAsia" w:eastAsiaTheme="minorEastAsia"/>
          <w:b w:val="0"/>
          <w:bCs w:val="0"/>
        </w:rPr>
        <w:t>“三公”经费财政拨款支出决算情况说明</w:t>
      </w:r>
      <w:bookmarkEnd w:id="42"/>
      <w:bookmarkEnd w:id="43"/>
    </w:p>
    <w:p>
      <w:pPr>
        <w:spacing w:line="360" w:lineRule="auto"/>
        <w:ind w:firstLine="640"/>
        <w:outlineLvl w:val="2"/>
        <w:rPr>
          <w:rFonts w:asciiTheme="minorEastAsia" w:hAnsiTheme="minorEastAsia" w:eastAsiaTheme="minorEastAsia"/>
          <w:b/>
          <w:color w:val="000000"/>
          <w:sz w:val="32"/>
          <w:szCs w:val="32"/>
        </w:rPr>
      </w:pPr>
      <w:bookmarkStart w:id="44" w:name="_Toc15377216"/>
      <w:r>
        <w:rPr>
          <w:rFonts w:hint="eastAsia" w:asciiTheme="minorEastAsia" w:hAnsiTheme="minorEastAsia" w:eastAsiaTheme="minorEastAsia"/>
          <w:b/>
          <w:color w:val="000000"/>
          <w:sz w:val="32"/>
          <w:szCs w:val="32"/>
        </w:rPr>
        <w:t>（一）“三公”经费财政拨款支出决算总体情况说明</w:t>
      </w:r>
      <w:bookmarkEnd w:id="44"/>
    </w:p>
    <w:p>
      <w:pPr>
        <w:spacing w:line="360" w:lineRule="auto"/>
        <w:ind w:firstLine="640"/>
        <w:rPr>
          <w:rFonts w:asciiTheme="minorEastAsia" w:hAnsiTheme="minorEastAsia" w:eastAsiaTheme="minorEastAsia"/>
          <w:b/>
          <w:color w:val="FF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年“三公”经费财政拨款支出决算为0万元，完成预算0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p>
    <w:p>
      <w:pPr>
        <w:spacing w:line="360" w:lineRule="auto"/>
        <w:ind w:firstLine="640"/>
        <w:outlineLvl w:val="2"/>
        <w:rPr>
          <w:rFonts w:asciiTheme="minorEastAsia" w:hAnsiTheme="minorEastAsia" w:eastAsiaTheme="minorEastAsia"/>
          <w:b/>
          <w:color w:val="000000"/>
          <w:sz w:val="32"/>
          <w:szCs w:val="32"/>
        </w:rPr>
      </w:pPr>
      <w:bookmarkStart w:id="45" w:name="_Toc15377217"/>
      <w:r>
        <w:rPr>
          <w:rFonts w:hint="eastAsia" w:asciiTheme="minorEastAsia" w:hAnsiTheme="minorEastAsia" w:eastAsiaTheme="minorEastAsia"/>
          <w:b/>
          <w:color w:val="000000"/>
          <w:sz w:val="32"/>
          <w:szCs w:val="32"/>
        </w:rPr>
        <w:t>（二）“三公”经费财政拨款支出决算具体情况说明</w:t>
      </w:r>
      <w:bookmarkEnd w:id="45"/>
    </w:p>
    <w:p>
      <w:pPr>
        <w:spacing w:line="360" w:lineRule="auto"/>
        <w:ind w:firstLine="64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年“三公”经费财政拨款支出决算中，因公出国（境）费支出决算0万元，占0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；公务用车购置及运行维护费支出决算0万元，占0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；公务接待费支出决算0万元，占0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。具体情况如下：</w:t>
      </w:r>
    </w:p>
    <w:p>
      <w:pPr>
        <w:spacing w:line="360" w:lineRule="auto"/>
        <w:ind w:firstLine="64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（图7：“三公”经费财政拨款支出结构）（饼状图）</w:t>
      </w:r>
    </w:p>
    <w:p>
      <w:pPr>
        <w:spacing w:line="360" w:lineRule="auto"/>
        <w:rPr>
          <w:rFonts w:asciiTheme="minorEastAsia" w:hAnsiTheme="minorEastAsia" w:eastAsiaTheme="minorEastAsia"/>
        </w:rPr>
      </w:pPr>
    </w:p>
    <w:p>
      <w:pPr>
        <w:pStyle w:val="3"/>
        <w:spacing w:before="0" w:after="0" w:line="360" w:lineRule="auto"/>
        <w:rPr>
          <w:rStyle w:val="25"/>
          <w:rFonts w:asciiTheme="minorEastAsia" w:hAnsiTheme="minorEastAsia" w:eastAsiaTheme="minorEastAsia"/>
          <w:b w:val="0"/>
          <w:bCs w:val="0"/>
        </w:rPr>
      </w:pPr>
      <w:bookmarkStart w:id="46" w:name="_Toc15377218"/>
      <w:bookmarkStart w:id="47" w:name="_Toc15396610"/>
      <w:r>
        <w:rPr>
          <w:rFonts w:hint="eastAsia" w:asciiTheme="minorEastAsia" w:hAnsiTheme="minorEastAsia" w:eastAsiaTheme="minorEastAsia"/>
          <w:color w:val="000000"/>
        </w:rPr>
        <w:t>八、</w:t>
      </w:r>
      <w:r>
        <w:rPr>
          <w:rStyle w:val="25"/>
          <w:rFonts w:hint="eastAsia" w:asciiTheme="minorEastAsia" w:hAnsiTheme="minorEastAsia" w:eastAsiaTheme="minorEastAsia"/>
          <w:b w:val="0"/>
          <w:bCs w:val="0"/>
        </w:rPr>
        <w:t>政府性基金预算支出决算情况说明</w:t>
      </w:r>
      <w:bookmarkEnd w:id="46"/>
      <w:bookmarkEnd w:id="47"/>
    </w:p>
    <w:p>
      <w:pPr>
        <w:spacing w:line="360" w:lineRule="auto"/>
        <w:ind w:firstLine="64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年政府性基金预算拨款支出3万元。</w:t>
      </w:r>
    </w:p>
    <w:p>
      <w:pPr>
        <w:spacing w:line="360" w:lineRule="auto"/>
        <w:ind w:firstLine="640"/>
        <w:rPr>
          <w:rFonts w:asciiTheme="minorEastAsia" w:hAnsiTheme="minorEastAsia" w:eastAsiaTheme="minorEastAsia"/>
          <w:color w:val="000000"/>
          <w:sz w:val="32"/>
          <w:szCs w:val="32"/>
        </w:rPr>
      </w:pPr>
    </w:p>
    <w:p>
      <w:pPr>
        <w:pStyle w:val="3"/>
        <w:spacing w:before="0" w:after="0" w:line="360" w:lineRule="auto"/>
        <w:rPr>
          <w:rStyle w:val="25"/>
          <w:rFonts w:asciiTheme="minorEastAsia" w:hAnsiTheme="minorEastAsia" w:eastAsiaTheme="minorEastAsia"/>
          <w:b w:val="0"/>
          <w:bCs w:val="0"/>
        </w:rPr>
      </w:pPr>
      <w:bookmarkStart w:id="48" w:name="_Toc15377219"/>
      <w:bookmarkStart w:id="49" w:name="_Toc15396611"/>
      <w:r>
        <w:rPr>
          <w:rStyle w:val="25"/>
          <w:rFonts w:hint="eastAsia" w:asciiTheme="minorEastAsia" w:hAnsiTheme="minorEastAsia" w:eastAsiaTheme="minorEastAsia"/>
          <w:b w:val="0"/>
          <w:bCs w:val="0"/>
        </w:rPr>
        <w:t>九、国有资本经营预算支出决算情况说明</w:t>
      </w:r>
      <w:bookmarkEnd w:id="48"/>
      <w:bookmarkEnd w:id="49"/>
    </w:p>
    <w:p>
      <w:pPr>
        <w:spacing w:line="360" w:lineRule="auto"/>
        <w:ind w:firstLine="64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年国有资本经营预算拨款支出0万元。</w:t>
      </w:r>
    </w:p>
    <w:p>
      <w:pPr>
        <w:spacing w:line="360" w:lineRule="auto"/>
        <w:jc w:val="center"/>
        <w:rPr>
          <w:rFonts w:cs="方正小标宋简体" w:asciiTheme="minorEastAsia" w:hAnsiTheme="minorEastAsia" w:eastAsiaTheme="minorEastAsia"/>
          <w:sz w:val="44"/>
          <w:szCs w:val="44"/>
        </w:rPr>
      </w:pPr>
    </w:p>
    <w:p>
      <w:pPr>
        <w:pStyle w:val="3"/>
        <w:spacing w:before="0" w:after="0" w:line="360" w:lineRule="auto"/>
        <w:rPr>
          <w:rStyle w:val="25"/>
          <w:rFonts w:asciiTheme="minorEastAsia" w:hAnsiTheme="minorEastAsia" w:eastAsiaTheme="minorEastAsia"/>
          <w:b w:val="0"/>
          <w:bCs w:val="0"/>
        </w:rPr>
      </w:pPr>
      <w:bookmarkStart w:id="50" w:name="_Toc15396612"/>
      <w:bookmarkStart w:id="51" w:name="_Toc15377221"/>
      <w:r>
        <w:rPr>
          <w:rFonts w:hint="eastAsia" w:asciiTheme="minorEastAsia" w:hAnsiTheme="minorEastAsia" w:eastAsiaTheme="minorEastAsia"/>
          <w:color w:val="000000"/>
        </w:rPr>
        <w:t>十</w:t>
      </w:r>
      <w:r>
        <w:rPr>
          <w:rStyle w:val="25"/>
          <w:rFonts w:hint="eastAsia" w:asciiTheme="minorEastAsia" w:hAnsiTheme="minorEastAsia" w:eastAsiaTheme="minorEastAsia"/>
          <w:b w:val="0"/>
          <w:bCs w:val="0"/>
        </w:rPr>
        <w:t>、其他重要事项的情况说明</w:t>
      </w:r>
      <w:bookmarkEnd w:id="50"/>
      <w:bookmarkEnd w:id="51"/>
    </w:p>
    <w:p>
      <w:pPr>
        <w:spacing w:line="360" w:lineRule="auto"/>
        <w:ind w:firstLine="643" w:firstLineChars="200"/>
        <w:outlineLvl w:val="2"/>
        <w:rPr>
          <w:rFonts w:asciiTheme="minorEastAsia" w:hAnsiTheme="minorEastAsia" w:eastAsiaTheme="minorEastAsia"/>
          <w:color w:val="000000"/>
          <w:sz w:val="32"/>
          <w:szCs w:val="32"/>
        </w:rPr>
      </w:pPr>
      <w:bookmarkStart w:id="52" w:name="_Toc15377222"/>
      <w:r>
        <w:rPr>
          <w:rFonts w:hint="eastAsia" w:asciiTheme="minorEastAsia" w:hAnsiTheme="minorEastAsia" w:eastAsiaTheme="minorEastAsia"/>
          <w:b/>
          <w:color w:val="000000"/>
          <w:sz w:val="32"/>
          <w:szCs w:val="32"/>
        </w:rPr>
        <w:t>（一）机关运行经费支出情况</w:t>
      </w:r>
      <w:bookmarkEnd w:id="52"/>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年，峨眉山市九里镇欣隆小学校机关运行经费支出18.47万元，比</w:t>
      </w:r>
      <w:r>
        <w:rPr>
          <w:rFonts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rPr>
        <w:t>9年增加0.87万元，增加4.94</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r>
        <w:rPr>
          <w:rFonts w:hint="eastAsia" w:asciiTheme="minorEastAsia" w:hAnsiTheme="minorEastAsia" w:eastAsiaTheme="minorEastAsia"/>
          <w:color w:val="000000" w:themeColor="text1"/>
          <w:sz w:val="32"/>
          <w:szCs w:val="32"/>
          <w14:textFill>
            <w14:solidFill>
              <w14:schemeClr w14:val="tx1"/>
            </w14:solidFill>
          </w14:textFill>
        </w:rPr>
        <w:t>主要原因是日常办公经费支出增加。</w:t>
      </w:r>
    </w:p>
    <w:p>
      <w:pPr>
        <w:autoSpaceDE w:val="0"/>
        <w:autoSpaceDN w:val="0"/>
        <w:adjustRightInd w:val="0"/>
        <w:spacing w:line="360" w:lineRule="auto"/>
        <w:ind w:firstLine="643" w:firstLineChars="200"/>
        <w:jc w:val="left"/>
        <w:outlineLvl w:val="2"/>
        <w:rPr>
          <w:rFonts w:asciiTheme="minorEastAsia" w:hAnsiTheme="minorEastAsia" w:eastAsiaTheme="minorEastAsia"/>
          <w:b/>
          <w:color w:val="000000"/>
          <w:sz w:val="32"/>
          <w:szCs w:val="32"/>
        </w:rPr>
      </w:pPr>
      <w:bookmarkStart w:id="53" w:name="_Toc15377223"/>
      <w:r>
        <w:rPr>
          <w:rFonts w:hint="eastAsia" w:asciiTheme="minorEastAsia" w:hAnsiTheme="minorEastAsia" w:eastAsiaTheme="minorEastAsia"/>
          <w:b/>
          <w:color w:val="000000"/>
          <w:sz w:val="32"/>
          <w:szCs w:val="32"/>
        </w:rPr>
        <w:t>（二）政府采购支出情况</w:t>
      </w:r>
      <w:bookmarkEnd w:id="53"/>
    </w:p>
    <w:p>
      <w:pPr>
        <w:spacing w:line="360" w:lineRule="auto"/>
        <w:ind w:firstLine="640" w:firstLineChars="20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年，峨眉山市九里镇欣隆小学校政府采购支出总额0万元，其中：政府采购货物支出0万元、政府采购工程支出0万元、政府采购服务支出0万元。</w:t>
      </w:r>
    </w:p>
    <w:p>
      <w:pPr>
        <w:autoSpaceDE w:val="0"/>
        <w:autoSpaceDN w:val="0"/>
        <w:adjustRightInd w:val="0"/>
        <w:spacing w:line="360" w:lineRule="auto"/>
        <w:ind w:firstLine="643" w:firstLineChars="200"/>
        <w:jc w:val="left"/>
        <w:outlineLvl w:val="2"/>
        <w:rPr>
          <w:rFonts w:asciiTheme="minorEastAsia" w:hAnsiTheme="minorEastAsia" w:eastAsiaTheme="minorEastAsia"/>
          <w:b/>
          <w:color w:val="000000"/>
          <w:sz w:val="32"/>
          <w:szCs w:val="32"/>
        </w:rPr>
      </w:pPr>
      <w:bookmarkStart w:id="54" w:name="_Toc15377224"/>
      <w:r>
        <w:rPr>
          <w:rFonts w:hint="eastAsia" w:asciiTheme="minorEastAsia" w:hAnsiTheme="minorEastAsia" w:eastAsiaTheme="minorEastAsia"/>
          <w:b/>
          <w:color w:val="000000"/>
          <w:sz w:val="32"/>
          <w:szCs w:val="32"/>
        </w:rPr>
        <w:t>（三）国有资产占有使用情况</w:t>
      </w:r>
      <w:bookmarkEnd w:id="54"/>
    </w:p>
    <w:p>
      <w:pPr>
        <w:autoSpaceDE w:val="0"/>
        <w:autoSpaceDN w:val="0"/>
        <w:adjustRightInd w:val="0"/>
        <w:spacing w:line="360" w:lineRule="auto"/>
        <w:ind w:firstLine="640" w:firstLineChars="200"/>
        <w:jc w:val="left"/>
        <w:rPr>
          <w:rFonts w:asciiTheme="minorEastAsia" w:hAnsiTheme="minorEastAsia" w:eastAsiaTheme="minorEastAsia"/>
          <w:b/>
          <w:color w:val="FF0000"/>
          <w:sz w:val="32"/>
          <w:szCs w:val="32"/>
        </w:rPr>
      </w:pPr>
      <w:r>
        <w:rPr>
          <w:rFonts w:hint="eastAsia" w:asciiTheme="minorEastAsia" w:hAnsiTheme="minorEastAsia" w:eastAsiaTheme="minorEastAsia"/>
          <w:color w:val="000000"/>
          <w:sz w:val="32"/>
          <w:szCs w:val="32"/>
        </w:rPr>
        <w:t>截至</w:t>
      </w:r>
      <w:r>
        <w:rPr>
          <w:rFonts w:asciiTheme="minorEastAsia" w:hAnsiTheme="minorEastAsia" w:eastAsiaTheme="minorEastAsia"/>
          <w:color w:val="000000"/>
          <w:sz w:val="32"/>
          <w:szCs w:val="32"/>
        </w:rPr>
        <w:t>2020</w:t>
      </w:r>
      <w:r>
        <w:rPr>
          <w:rFonts w:hint="eastAsia" w:asciiTheme="minorEastAsia" w:hAnsiTheme="minorEastAsia" w:eastAsiaTheme="minorEastAsia"/>
          <w:color w:val="000000"/>
          <w:sz w:val="32"/>
          <w:szCs w:val="32"/>
        </w:rPr>
        <w:t>年</w:t>
      </w:r>
      <w:r>
        <w:rPr>
          <w:rFonts w:asciiTheme="minorEastAsia" w:hAnsiTheme="minorEastAsia" w:eastAsiaTheme="minorEastAsia"/>
          <w:color w:val="000000"/>
          <w:sz w:val="32"/>
          <w:szCs w:val="32"/>
        </w:rPr>
        <w:t>12</w:t>
      </w:r>
      <w:r>
        <w:rPr>
          <w:rFonts w:hint="eastAsia" w:asciiTheme="minorEastAsia" w:hAnsiTheme="minorEastAsia" w:eastAsiaTheme="minorEastAsia"/>
          <w:color w:val="000000"/>
          <w:sz w:val="32"/>
          <w:szCs w:val="32"/>
        </w:rPr>
        <w:t>月</w:t>
      </w:r>
      <w:r>
        <w:rPr>
          <w:rFonts w:asciiTheme="minorEastAsia" w:hAnsiTheme="minorEastAsia" w:eastAsiaTheme="minorEastAsia"/>
          <w:color w:val="000000"/>
          <w:sz w:val="32"/>
          <w:szCs w:val="32"/>
        </w:rPr>
        <w:t>31</w:t>
      </w:r>
      <w:r>
        <w:rPr>
          <w:rFonts w:hint="eastAsia" w:asciiTheme="minorEastAsia" w:hAnsiTheme="minorEastAsia" w:eastAsiaTheme="minorEastAsia"/>
          <w:color w:val="000000"/>
          <w:sz w:val="32"/>
          <w:szCs w:val="32"/>
        </w:rPr>
        <w:t>日，峨眉山市九里镇欣隆小学校共有车辆0辆，其中：主要领导干部用车0辆、机要通信用车0辆、应急保障用车0辆、其他用车0辆……</w:t>
      </w:r>
      <w:r>
        <w:rPr>
          <w:rFonts w:hint="eastAsia" w:asciiTheme="minorEastAsia" w:hAnsiTheme="minorEastAsia" w:eastAsiaTheme="minorEastAsia"/>
          <w:color w:val="000000" w:themeColor="text1"/>
          <w:sz w:val="32"/>
          <w:szCs w:val="32"/>
          <w14:textFill>
            <w14:solidFill>
              <w14:schemeClr w14:val="tx1"/>
            </w14:solidFill>
          </w14:textFill>
        </w:rPr>
        <w:t>其他用车主要是用于……单价</w:t>
      </w:r>
      <w:r>
        <w:rPr>
          <w:rFonts w:asciiTheme="minorEastAsia" w:hAnsiTheme="minorEastAsia" w:eastAsiaTheme="minorEastAsia"/>
          <w:color w:val="000000" w:themeColor="text1"/>
          <w:sz w:val="32"/>
          <w:szCs w:val="32"/>
          <w14:textFill>
            <w14:solidFill>
              <w14:schemeClr w14:val="tx1"/>
            </w14:solidFill>
          </w14:textFill>
        </w:rPr>
        <w:t>50</w:t>
      </w:r>
      <w:r>
        <w:rPr>
          <w:rFonts w:hint="eastAsia" w:asciiTheme="minorEastAsia" w:hAnsiTheme="minorEastAsia" w:eastAsiaTheme="minorEastAsia"/>
          <w:color w:val="000000" w:themeColor="text1"/>
          <w:sz w:val="32"/>
          <w:szCs w:val="32"/>
          <w14:textFill>
            <w14:solidFill>
              <w14:schemeClr w14:val="tx1"/>
            </w14:solidFill>
          </w14:textFill>
        </w:rPr>
        <w:t>万元以上通用设备0台（套），单价</w:t>
      </w:r>
      <w:r>
        <w:rPr>
          <w:rFonts w:asciiTheme="minorEastAsia" w:hAnsiTheme="minorEastAsia" w:eastAsiaTheme="minorEastAsia"/>
          <w:color w:val="000000" w:themeColor="text1"/>
          <w:sz w:val="32"/>
          <w:szCs w:val="32"/>
          <w14:textFill>
            <w14:solidFill>
              <w14:schemeClr w14:val="tx1"/>
            </w14:solidFill>
          </w14:textFill>
        </w:rPr>
        <w:t>100</w:t>
      </w:r>
      <w:r>
        <w:rPr>
          <w:rFonts w:hint="eastAsia" w:asciiTheme="minorEastAsia" w:hAnsiTheme="minorEastAsia" w:eastAsiaTheme="minorEastAsia"/>
          <w:color w:val="000000"/>
          <w:sz w:val="32"/>
          <w:szCs w:val="32"/>
        </w:rPr>
        <w:t>万元以上专用设备0台（套）。</w:t>
      </w:r>
    </w:p>
    <w:p>
      <w:pPr>
        <w:autoSpaceDE w:val="0"/>
        <w:autoSpaceDN w:val="0"/>
        <w:adjustRightInd w:val="0"/>
        <w:spacing w:line="360" w:lineRule="auto"/>
        <w:ind w:firstLine="643" w:firstLineChars="200"/>
        <w:jc w:val="left"/>
        <w:outlineLvl w:val="2"/>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（四）预算绩效管理情况。</w:t>
      </w:r>
    </w:p>
    <w:p>
      <w:pPr>
        <w:spacing w:line="360" w:lineRule="auto"/>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根据预算绩效管理要求，本部门峨眉山市九里镇欣隆小学校在年初预算编制阶段，组织对 “学校安保经费”、“人才队伍建设经费”、“义务教育学生免作业本费”开展了预算事前绩效评估，对学校安保经费、人才队伍建设经费、义务教育学生免作业本费3个项目编制了绩效目标，预算执行过程中，选取学校安保经费1个项目开展绩效监控，年终执行完毕后，对学校安保经费1个项目开展了绩效目标完成情况自评。</w:t>
      </w:r>
    </w:p>
    <w:p>
      <w:pPr>
        <w:spacing w:line="360" w:lineRule="auto"/>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本部门峨眉山市九里镇欣隆小学校按要求对2020年部门整体支出开展绩效自评，从评价情况来看：全面完成绩效目标，完成情况良好。本部门还自行组织了1个项目支出绩效评价，从评价情况来看：全面完成绩效目标，完成情况良好。</w:t>
      </w:r>
    </w:p>
    <w:p>
      <w:pPr>
        <w:spacing w:line="360" w:lineRule="auto"/>
        <w:ind w:firstLine="640" w:firstLineChars="200"/>
        <w:rPr>
          <w:rFonts w:cs="仿宋_GB2312" w:asciiTheme="minorEastAsia" w:hAnsiTheme="minorEastAsia" w:eastAsiaTheme="minorEastAsia"/>
          <w:sz w:val="32"/>
          <w:szCs w:val="32"/>
        </w:rPr>
      </w:pPr>
      <w:r>
        <w:rPr>
          <w:rFonts w:hint="eastAsia" w:cs="楷体_GB2312" w:asciiTheme="minorEastAsia" w:hAnsiTheme="minorEastAsia" w:eastAsiaTheme="minorEastAsia"/>
          <w:sz w:val="32"/>
          <w:szCs w:val="32"/>
        </w:rPr>
        <w:t>1.项目绩效目标完成情况。</w:t>
      </w:r>
      <w:r>
        <w:rPr>
          <w:rFonts w:hint="eastAsia" w:cs="楷体_GB2312" w:asciiTheme="minorEastAsia" w:hAnsiTheme="minorEastAsia" w:eastAsiaTheme="minorEastAsia"/>
          <w:sz w:val="32"/>
          <w:szCs w:val="32"/>
        </w:rPr>
        <w:br w:type="textWrapping"/>
      </w:r>
      <w:r>
        <w:rPr>
          <w:rFonts w:hint="eastAsia" w:cs="仿宋_GB2312" w:asciiTheme="minorEastAsia" w:hAnsiTheme="minorEastAsia" w:eastAsiaTheme="minorEastAsia"/>
          <w:sz w:val="32"/>
          <w:szCs w:val="32"/>
        </w:rPr>
        <w:t xml:space="preserve">    本部门在2020年度部门决算中反映 “学校安保经费”、“人才队伍建设经费”、“义务教育学生免作业本费”等3个项目绩效目标实际完成情况。</w:t>
      </w:r>
    </w:p>
    <w:p>
      <w:pPr>
        <w:spacing w:line="360" w:lineRule="auto"/>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1）“学校安保经费”项目绩效目标完成情况综述。项目全年预算数7.17万元，执行数为7.17万元，完成预算的100%。通过项目实施，保障了学校安保工作的正常开展，维护校园安全稳定，为学校教育教学工作正常秩序提供保证。</w:t>
      </w:r>
    </w:p>
    <w:tbl>
      <w:tblPr>
        <w:tblStyle w:val="12"/>
        <w:tblpPr w:leftFromText="180" w:rightFromText="180" w:vertAnchor="text" w:horzAnchor="page" w:tblpXSpec="center" w:tblpY="423"/>
        <w:tblOverlap w:val="never"/>
        <w:tblW w:w="9787" w:type="dxa"/>
        <w:jc w:val="center"/>
        <w:tblLayout w:type="fixed"/>
        <w:tblCellMar>
          <w:top w:w="0" w:type="dxa"/>
          <w:left w:w="0" w:type="dxa"/>
          <w:bottom w:w="0" w:type="dxa"/>
          <w:right w:w="0" w:type="dxa"/>
        </w:tblCellMar>
      </w:tblPr>
      <w:tblGrid>
        <w:gridCol w:w="384"/>
        <w:gridCol w:w="1342"/>
        <w:gridCol w:w="1009"/>
        <w:gridCol w:w="2350"/>
        <w:gridCol w:w="2352"/>
        <w:gridCol w:w="2350"/>
      </w:tblGrid>
      <w:tr>
        <w:tblPrEx>
          <w:tblCellMar>
            <w:top w:w="0" w:type="dxa"/>
            <w:left w:w="0" w:type="dxa"/>
            <w:bottom w:w="0" w:type="dxa"/>
            <w:right w:w="0" w:type="dxa"/>
          </w:tblCellMar>
        </w:tblPrEx>
        <w:trPr>
          <w:trHeight w:val="1144" w:hRule="atLeast"/>
          <w:jc w:val="center"/>
        </w:trPr>
        <w:tc>
          <w:tcPr>
            <w:tcW w:w="9785" w:type="dxa"/>
            <w:gridSpan w:val="6"/>
            <w:tcBorders>
              <w:top w:val="nil"/>
              <w:left w:val="nil"/>
              <w:bottom w:val="nil"/>
              <w:right w:val="nil"/>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rPr>
              <w:t>项目绩效目标完成情况表</w:t>
            </w:r>
            <w:r>
              <w:rPr>
                <w:rFonts w:hint="eastAsia" w:cs="宋体" w:asciiTheme="minorEastAsia" w:hAnsiTheme="minorEastAsia" w:eastAsiaTheme="minorEastAsia"/>
                <w:b/>
                <w:bCs/>
                <w:color w:val="000000"/>
                <w:kern w:val="0"/>
                <w:sz w:val="36"/>
                <w:szCs w:val="36"/>
              </w:rPr>
              <w:br w:type="textWrapping"/>
            </w:r>
            <w:r>
              <w:rPr>
                <w:rFonts w:hint="eastAsia" w:cs="宋体" w:asciiTheme="minorEastAsia" w:hAnsiTheme="minorEastAsia" w:eastAsiaTheme="minorEastAsia"/>
                <w:color w:val="000000"/>
                <w:kern w:val="0"/>
                <w:sz w:val="36"/>
                <w:szCs w:val="36"/>
              </w:rPr>
              <w:t>(2020 年度)</w:t>
            </w:r>
          </w:p>
        </w:tc>
      </w:tr>
      <w:tr>
        <w:tblPrEx>
          <w:tblCellMar>
            <w:top w:w="0" w:type="dxa"/>
            <w:left w:w="0" w:type="dxa"/>
            <w:bottom w:w="0" w:type="dxa"/>
            <w:right w:w="0" w:type="dxa"/>
          </w:tblCellMar>
        </w:tblPrEx>
        <w:trPr>
          <w:trHeight w:val="304" w:hRule="atLeast"/>
          <w:jc w:val="center"/>
        </w:trPr>
        <w:tc>
          <w:tcPr>
            <w:tcW w:w="2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峨眉山市九里镇欣隆小学校</w:t>
            </w:r>
          </w:p>
        </w:tc>
      </w:tr>
      <w:tr>
        <w:tblPrEx>
          <w:tblCellMar>
            <w:top w:w="0" w:type="dxa"/>
            <w:left w:w="0" w:type="dxa"/>
            <w:bottom w:w="0" w:type="dxa"/>
            <w:right w:w="0" w:type="dxa"/>
          </w:tblCellMar>
        </w:tblPrEx>
        <w:trPr>
          <w:trHeight w:val="304"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7.17万元</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7.17万元</w:t>
            </w:r>
          </w:p>
        </w:tc>
      </w:tr>
      <w:tr>
        <w:tblPrEx>
          <w:tblCellMar>
            <w:top w:w="0" w:type="dxa"/>
            <w:left w:w="0" w:type="dxa"/>
            <w:bottom w:w="0" w:type="dxa"/>
            <w:right w:w="0" w:type="dxa"/>
          </w:tblCellMar>
        </w:tblPrEx>
        <w:trPr>
          <w:trHeight w:val="304"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7.17万元</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7.17万元</w:t>
            </w:r>
          </w:p>
        </w:tc>
      </w:tr>
      <w:tr>
        <w:tblPrEx>
          <w:tblCellMar>
            <w:top w:w="0" w:type="dxa"/>
            <w:left w:w="0" w:type="dxa"/>
            <w:bottom w:w="0" w:type="dxa"/>
            <w:right w:w="0" w:type="dxa"/>
          </w:tblCellMar>
        </w:tblPrEx>
        <w:trPr>
          <w:trHeight w:val="1671"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84"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04"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693"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84"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0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3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3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3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9785" w:type="dxa"/>
            <w:gridSpan w:val="6"/>
            <w:tcBorders>
              <w:top w:val="nil"/>
              <w:left w:val="nil"/>
              <w:bottom w:val="nil"/>
              <w:right w:val="nil"/>
            </w:tcBorders>
            <w:tcMar>
              <w:top w:w="15" w:type="dxa"/>
              <w:left w:w="15" w:type="dxa"/>
              <w:right w:w="15" w:type="dxa"/>
            </w:tcMar>
            <w:vAlign w:val="center"/>
          </w:tcPr>
          <w:p>
            <w:pPr>
              <w:spacing w:line="360" w:lineRule="auto"/>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（2）“义务教育免作业本费”项目绩效目标完成情况综述。项目全年预算数0.61万元，执行数为0.61万元，完成预算的100%。通过项目实施，保障了贫困学生的就学，减轻了学生家庭负担。</w:t>
            </w:r>
          </w:p>
          <w:p>
            <w:pPr>
              <w:widowControl/>
              <w:spacing w:line="360" w:lineRule="auto"/>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rPr>
              <w:t>项目绩效目标完成情况表</w:t>
            </w:r>
            <w:r>
              <w:rPr>
                <w:rFonts w:hint="eastAsia" w:cs="宋体" w:asciiTheme="minorEastAsia" w:hAnsiTheme="minorEastAsia" w:eastAsiaTheme="minorEastAsia"/>
                <w:b/>
                <w:bCs/>
                <w:color w:val="000000"/>
                <w:kern w:val="0"/>
                <w:sz w:val="36"/>
                <w:szCs w:val="36"/>
              </w:rPr>
              <w:br w:type="textWrapping"/>
            </w:r>
            <w:r>
              <w:rPr>
                <w:rFonts w:hint="eastAsia" w:cs="宋体" w:asciiTheme="minorEastAsia" w:hAnsiTheme="minorEastAsia" w:eastAsiaTheme="minorEastAsia"/>
                <w:color w:val="000000"/>
                <w:kern w:val="0"/>
                <w:sz w:val="36"/>
                <w:szCs w:val="36"/>
              </w:rPr>
              <w:t>(2020 年度)</w:t>
            </w:r>
          </w:p>
        </w:tc>
      </w:tr>
      <w:tr>
        <w:tblPrEx>
          <w:tblCellMar>
            <w:top w:w="0" w:type="dxa"/>
            <w:left w:w="0" w:type="dxa"/>
            <w:bottom w:w="0" w:type="dxa"/>
            <w:right w:w="0" w:type="dxa"/>
          </w:tblCellMar>
        </w:tblPrEx>
        <w:trPr>
          <w:trHeight w:val="304" w:hRule="atLeast"/>
          <w:jc w:val="center"/>
        </w:trPr>
        <w:tc>
          <w:tcPr>
            <w:tcW w:w="2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峨眉山市九里镇欣隆小学校</w:t>
            </w:r>
          </w:p>
        </w:tc>
      </w:tr>
      <w:tr>
        <w:tblPrEx>
          <w:tblCellMar>
            <w:top w:w="0" w:type="dxa"/>
            <w:left w:w="0" w:type="dxa"/>
            <w:bottom w:w="0" w:type="dxa"/>
            <w:right w:w="0" w:type="dxa"/>
          </w:tblCellMar>
        </w:tblPrEx>
        <w:trPr>
          <w:trHeight w:val="304"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0.61万元</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0.61万元</w:t>
            </w:r>
          </w:p>
        </w:tc>
      </w:tr>
      <w:tr>
        <w:tblPrEx>
          <w:tblCellMar>
            <w:top w:w="0" w:type="dxa"/>
            <w:left w:w="0" w:type="dxa"/>
            <w:bottom w:w="0" w:type="dxa"/>
            <w:right w:w="0" w:type="dxa"/>
          </w:tblCellMar>
        </w:tblPrEx>
        <w:trPr>
          <w:trHeight w:val="304"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0.61万元</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0.61万元</w:t>
            </w:r>
          </w:p>
        </w:tc>
      </w:tr>
      <w:tr>
        <w:tblPrEx>
          <w:tblCellMar>
            <w:top w:w="0" w:type="dxa"/>
            <w:left w:w="0" w:type="dxa"/>
            <w:bottom w:w="0" w:type="dxa"/>
            <w:right w:w="0" w:type="dxa"/>
          </w:tblCellMar>
        </w:tblPrEx>
        <w:trPr>
          <w:trHeight w:val="1671"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3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84"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203人</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203人</w:t>
            </w:r>
          </w:p>
        </w:tc>
      </w:tr>
      <w:tr>
        <w:tblPrEx>
          <w:tblCellMar>
            <w:top w:w="0" w:type="dxa"/>
            <w:left w:w="0" w:type="dxa"/>
            <w:bottom w:w="0" w:type="dxa"/>
            <w:right w:w="0" w:type="dxa"/>
          </w:tblCellMar>
        </w:tblPrEx>
        <w:trPr>
          <w:trHeight w:val="1204"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84"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84"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0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3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3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3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360" w:lineRule="auto"/>
        <w:jc w:val="left"/>
        <w:rPr>
          <w:rFonts w:cs="仿宋_GB2312" w:asciiTheme="minorEastAsia" w:hAnsiTheme="minorEastAsia" w:eastAsiaTheme="minorEastAsia"/>
          <w:sz w:val="32"/>
          <w:szCs w:val="32"/>
        </w:rPr>
      </w:pPr>
    </w:p>
    <w:p>
      <w:pPr>
        <w:spacing w:line="360" w:lineRule="auto"/>
        <w:ind w:firstLine="480" w:firstLineChars="15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3）“人才队伍建设资金”项目绩效目标完成情况综述。项目全年预算数0.54万元，执行数为0.54万元，完成预算的100%。通过项目实施，促进了学校人才队伍建设工作开展，提高了学校骨干教师业务能力，促进了全校教师教育教学能力的提升。提高了全校教学成绩。</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rPr>
              <w:t>项目绩效目标完成情况表</w:t>
            </w:r>
            <w:r>
              <w:rPr>
                <w:rFonts w:hint="eastAsia" w:cs="宋体" w:asciiTheme="minorEastAsia" w:hAnsiTheme="minorEastAsia" w:eastAsiaTheme="minorEastAsia"/>
                <w:b/>
                <w:bCs/>
                <w:color w:val="000000"/>
                <w:kern w:val="0"/>
                <w:sz w:val="36"/>
                <w:szCs w:val="36"/>
              </w:rPr>
              <w:br w:type="textWrapping"/>
            </w:r>
            <w:r>
              <w:rPr>
                <w:rFonts w:hint="eastAsia" w:cs="宋体" w:asciiTheme="minorEastAsia" w:hAnsiTheme="minorEastAsia" w:eastAsiaTheme="minorEastAsia"/>
                <w:color w:val="000000"/>
                <w:kern w:val="0"/>
                <w:sz w:val="36"/>
                <w:szCs w:val="36"/>
              </w:rPr>
              <w:t>(2020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峨眉山市九里镇欣隆小学校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0.54万元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0.54万元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0.54万元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0.54万元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cs="宋体" w:asciiTheme="minorEastAsia" w:hAnsiTheme="minorEastAsia" w:eastAsiaTheme="minorEastAsia"/>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360" w:lineRule="auto"/>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w:t>
      </w:r>
      <w:r>
        <w:rPr>
          <w:rFonts w:hint="eastAsia" w:cs="楷体_GB2312" w:asciiTheme="minorEastAsia" w:hAnsiTheme="minorEastAsia" w:eastAsiaTheme="minorEastAsia"/>
          <w:sz w:val="32"/>
          <w:szCs w:val="32"/>
        </w:rPr>
        <w:t>2.部门绩效评价结果。</w:t>
      </w:r>
    </w:p>
    <w:p>
      <w:pPr>
        <w:spacing w:line="360" w:lineRule="auto"/>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本部门按要求对2020年部门整体支出绩效评价情况开展自评，《峨眉山市九里镇欣隆小学校2020年部门整体支出绩效评价报告》见附件（附件1）。</w:t>
      </w:r>
    </w:p>
    <w:p>
      <w:pPr>
        <w:spacing w:line="360" w:lineRule="auto"/>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本部门自行组织对“学校安保工作经费”项目开展了绩效评价，《学校安保工作经费项目2020年绩效评价报告》见附件（附件2）。</w:t>
      </w:r>
      <w:bookmarkStart w:id="55" w:name="_Toc15377225"/>
      <w:bookmarkStart w:id="56" w:name="_Toc15396613"/>
    </w:p>
    <w:p>
      <w:pPr>
        <w:spacing w:line="360" w:lineRule="auto"/>
        <w:rPr>
          <w:rFonts w:asciiTheme="minorEastAsia" w:hAnsiTheme="minorEastAsia" w:eastAsiaTheme="minorEastAsia"/>
          <w:color w:val="000000"/>
          <w:sz w:val="44"/>
          <w:szCs w:val="44"/>
        </w:rPr>
      </w:pPr>
    </w:p>
    <w:p>
      <w:pPr>
        <w:pStyle w:val="2"/>
        <w:spacing w:before="0" w:after="0" w:line="360" w:lineRule="auto"/>
        <w:jc w:val="center"/>
        <w:rPr>
          <w:rFonts w:asciiTheme="minorEastAsia" w:hAnsiTheme="minorEastAsia" w:eastAsiaTheme="minorEastAsia"/>
        </w:rPr>
      </w:pPr>
      <w:r>
        <w:rPr>
          <w:rFonts w:hint="eastAsia" w:asciiTheme="minorEastAsia" w:hAnsiTheme="minorEastAsia" w:eastAsiaTheme="minorEastAsia"/>
          <w:color w:val="000000"/>
        </w:rPr>
        <w:t>名</w:t>
      </w:r>
      <w:r>
        <w:rPr>
          <w:rStyle w:val="24"/>
          <w:rFonts w:hint="eastAsia" w:asciiTheme="minorEastAsia" w:hAnsiTheme="minorEastAsia" w:eastAsiaTheme="minorEastAsia"/>
          <w:b w:val="0"/>
          <w:bCs w:val="0"/>
        </w:rPr>
        <w:t>词解释</w:t>
      </w:r>
      <w:bookmarkEnd w:id="55"/>
      <w:bookmarkEnd w:id="56"/>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color w:val="000000"/>
          <w:sz w:val="32"/>
          <w:szCs w:val="32"/>
        </w:rPr>
        <w:t xml:space="preserve">.财政拨款收入：指省级财政当年拨付的资金。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2.事业收入：指事业单位开展专业业务活动及辅助活动所取得的收入。如财政专户核拨的幼儿园保教费收入等。</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3.经营收入：指事业单位在专业业务活动及其辅助活动之外开展非独立核算经营活动取得的收入。</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4.其他收入：指除上述“财政拨款收入”、“事业收入”、“经营收入”等以外的收入。主要是捐赠收入、利息收入等。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6.年初结转和结余：指以前年度尚未完成、结转到本年按有关规定继续使用的资金。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7.一般公共服务支出（类）群众团体事务（款）其他群众团体事务支出（项）：指反映上述项目以外其他用于群众团体事务方面的支出。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8.国防支出（类）国防动员（款）兵役征集（项）：指反映用于兵役征集等方面的支出。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9.教育支出（类）教育管理事务（款）行政运行（项）:指反映行政单位（包括实行公务员管理的事业单位）的基本支出。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10.教育支出（类）教育管理事务（款）一般行政管理事务（项）:指反映行政单位（包括实行公务员管理的事业单位）未单独设置项级科目的其他项目支出。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11.教育支出（类）普通教育（款）学前教育（项）:指反映各部门举办的学前教育支出。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12.教育支出（类）普通教育（款）小学教育（项）:指反映各部门举办的小学教育支出。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13.教育支出（类）普通教育（款）初中教育（项）:指反映各部门举办的初中教育支出。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14.教育支出（类）普通教育（款）高中教育（项）:指反映各部门举办的高级中学教育支出。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15.教育支出（类）普通教育（款）其他普通教育支出（项）:指反映除上述项目以外其他用于普通教育方面的支出。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16.教育支出（类）职业教育（款）中专教育（项）:指反映各部门举办的各类中等专业学校的支出。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17.教育支出（类）职业教育（款）职业高中教育（项）:指反映各部门举办的职业中学、农业中学（含普通高中改制的）、半工（农）半读中学的支出或补助费。</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18.教育支出（类）职业教育（款）其他职业教育支出（项）: 指反映除上述项目以外其他用于职业教育方面的支出。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19.教育支出（类）成人教育（款）成人高等教育（项）:指反映各部门举办函授、夜大、高等教育自学考试等方面的支出。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20.教育支出（类）成人教育（款）成人广播电视教育（项）:指反映各部门举办成人广播电视教育的支出。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21.教育支出（类）进修及培训（款）教师进修（项）:指反映教师进修、师资培训支出。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22.教育支出（类）教育费附加安排的支出（款）农村中小学校舍建设（项）:指反映教育费附加安排用于农村中小学校舍新建、改建、修缮和维护的支出。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23.教育支出（类）教育费附加安排的支出（款）农村中小学教学设施（项）:指反映教育费附加安排用于改善农村中小学教学设施和办学条件的支出。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24.教育支出（类）教育费附加安排的支出（款）城市中小学校舍建设（项）:指反映教育费附加安排用于城市中小学校舍新建、改建、修缮和维护的支出。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25.教育支出（类）教育费附加安排的支出（款）中等职业学校教学设施（项）:指反映教育费附加安排用于中等职业学校教学设施的支出。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26.教育支出（类）教育费附加安排的支出（款）其他教育费附加安排的支出（项）: 指反映除上述项目以外的教育费附加支出。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27.教育支出（类）其他教育支出（款）其他教育支出（项）:指反映除上述项目以外其他用于教育方面的支出。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28.文化体育与传媒支出（类）体育（款）其他体育支出（项）:指反映上述项目以外其他用于体育方面的支出。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31.社会保障和就业支出（类）行政事业单位离退休（款）机关事业单位职业年金缴费支出（项）: 指反映机关事业单位实施养老保险制度由单位缴纳的职业年金支出。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32.社会保障和就业支出（类）行政事业单位离退休（款）其他行政事业单位离退休支出（项）: 指反映除上述项目以外其他用于行政事业单位离退休方面的支出。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33. 社会保障和就业支出（类）抚恤（款）死亡抚恤（项）:指反映按规定用于烈士和牺牲、病故人员家属的一次性和定期抚恤金以及丧葬补助费。</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34.社会保障和就业支出（类）抚恤（款）其他优抚支出（项）:指反映除上述项目以外其他用于优抚方面的支出。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Theme="minorEastAsia" w:hAnsiTheme="minorEastAsia" w:eastAsiaTheme="minorEastAsia"/>
          <w:color w:val="000000"/>
          <w:sz w:val="32"/>
          <w:szCs w:val="32"/>
        </w:rPr>
        <w:br w:type="textWrapping"/>
      </w:r>
      <w:r>
        <w:rPr>
          <w:rFonts w:hint="eastAsia" w:asciiTheme="minorEastAsia" w:hAnsiTheme="minorEastAsia" w:eastAsiaTheme="minorEastAsia"/>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37.农林水支出（类）扶贫（款）其他扶贫支出（项）：指反映除上述项目以外其他用于扶贫方面的支出。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39.结余分配：指事业单位按规定提取的职工福利基金、事业基金和缴纳的所得税，以及建设单位按规定应交回的基本建设竣工项目结余资金。</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40.年末结转和结余：指本年度或以前年度预算安排、因客观条件发生变化无法按原计划实施，需延迟到以后年度按有关规定继续使用的资金。</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41.基本支出：指为保障机构正常运转、完成日常工作任务而发生的人员支出和公用支出。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42.项目支出：指在基本支出之外为完成特定行政任务和事业发展目标所发生的支出。 </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43.经营支出：指事业单位在专业业务活动及其辅助活动之外开展非独立核算经营活动发生的支出。</w:t>
      </w:r>
    </w:p>
    <w:p>
      <w:pPr>
        <w:spacing w:line="360" w:lineRule="auto"/>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360" w:lineRule="auto"/>
        <w:ind w:firstLine="640" w:firstLineChars="200"/>
        <w:rPr>
          <w:rFonts w:asciiTheme="minorEastAsia" w:hAnsiTheme="minorEastAsia" w:eastAsiaTheme="minorEastAsia"/>
          <w:b/>
          <w:color w:val="000000"/>
          <w:sz w:val="32"/>
          <w:szCs w:val="32"/>
        </w:rPr>
      </w:pPr>
      <w:r>
        <w:rPr>
          <w:rFonts w:hint="eastAsia" w:asciiTheme="minorEastAsia" w:hAnsiTheme="minorEastAsia" w:eastAsiaTheme="minor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before="0" w:after="0" w:line="360" w:lineRule="auto"/>
        <w:jc w:val="center"/>
        <w:rPr>
          <w:rStyle w:val="24"/>
          <w:rFonts w:asciiTheme="minorEastAsia" w:hAnsiTheme="minorEastAsia" w:eastAsiaTheme="minorEastAsia"/>
          <w:b/>
          <w:bCs w:val="0"/>
        </w:rPr>
      </w:pPr>
      <w:bookmarkStart w:id="57" w:name="_Toc15377226"/>
      <w:r>
        <w:rPr>
          <w:rFonts w:asciiTheme="minorEastAsia" w:hAnsiTheme="minorEastAsia" w:eastAsiaTheme="minorEastAsia"/>
          <w:color w:val="000000"/>
        </w:rPr>
        <w:br w:type="page"/>
      </w:r>
      <w:bookmarkStart w:id="58" w:name="_Toc15396614"/>
      <w:r>
        <w:rPr>
          <w:rFonts w:hint="eastAsia" w:asciiTheme="minorEastAsia" w:hAnsiTheme="minorEastAsia" w:eastAsiaTheme="minorEastAsia"/>
          <w:color w:val="000000"/>
        </w:rPr>
        <w:t>第</w:t>
      </w:r>
      <w:r>
        <w:rPr>
          <w:rStyle w:val="24"/>
          <w:rFonts w:hint="eastAsia" w:asciiTheme="minorEastAsia" w:hAnsiTheme="minorEastAsia" w:eastAsiaTheme="minorEastAsia"/>
          <w:b w:val="0"/>
          <w:bCs w:val="0"/>
        </w:rPr>
        <w:t>四部分 附件</w:t>
      </w:r>
      <w:bookmarkEnd w:id="58"/>
    </w:p>
    <w:p>
      <w:pPr>
        <w:pStyle w:val="3"/>
        <w:spacing w:before="0" w:after="0" w:line="360" w:lineRule="auto"/>
        <w:rPr>
          <w:rFonts w:cs="方正小标宋简体" w:asciiTheme="minorEastAsia" w:hAnsiTheme="minorEastAsia" w:eastAsiaTheme="minorEastAsia"/>
        </w:rPr>
      </w:pPr>
      <w:r>
        <w:rPr>
          <w:rFonts w:hint="eastAsia" w:asciiTheme="minorEastAsia" w:hAnsiTheme="minorEastAsia" w:eastAsiaTheme="minorEastAsia"/>
        </w:rPr>
        <w:t>附件1</w:t>
      </w:r>
    </w:p>
    <w:p>
      <w:pPr>
        <w:spacing w:line="360" w:lineRule="auto"/>
        <w:jc w:val="center"/>
        <w:rPr>
          <w:rFonts w:cs="方正小标宋简体" w:asciiTheme="minorEastAsia" w:hAnsiTheme="minorEastAsia" w:eastAsiaTheme="minorEastAsia"/>
          <w:sz w:val="44"/>
          <w:szCs w:val="44"/>
        </w:rPr>
      </w:pPr>
    </w:p>
    <w:p>
      <w:pPr>
        <w:widowControl/>
        <w:shd w:val="clear" w:color="auto" w:fill="FFFFFF"/>
        <w:spacing w:line="360" w:lineRule="auto"/>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峨眉山市九里镇欣隆小学校</w:t>
      </w:r>
    </w:p>
    <w:p>
      <w:pPr>
        <w:widowControl/>
        <w:shd w:val="clear" w:color="auto" w:fill="FFFFFF"/>
        <w:spacing w:line="360" w:lineRule="auto"/>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2020年部门预算支出绩效报告</w:t>
      </w:r>
    </w:p>
    <w:p>
      <w:pPr>
        <w:widowControl/>
        <w:shd w:val="clear" w:color="auto" w:fill="FFFFFF"/>
        <w:spacing w:line="360" w:lineRule="auto"/>
        <w:jc w:val="left"/>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峨眉山市财政局：</w:t>
      </w:r>
    </w:p>
    <w:p>
      <w:pPr>
        <w:widowControl/>
        <w:shd w:val="clear" w:color="auto" w:fill="FFFFFF"/>
        <w:spacing w:line="360" w:lineRule="auto"/>
        <w:ind w:firstLine="560" w:firstLineChars="200"/>
        <w:jc w:val="left"/>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我单位根据峨眉山财政局关于《开展2021年财政支出绩效评价工作的通知》（峨财通[2021]46号）文件要求，结合实际</w:t>
      </w:r>
      <w:r>
        <w:rPr>
          <w:rFonts w:hint="eastAsia" w:cs="仿宋_GB2312" w:asciiTheme="minorEastAsia" w:hAnsiTheme="minorEastAsia" w:eastAsiaTheme="minorEastAsia"/>
          <w:kern w:val="0"/>
          <w:sz w:val="28"/>
          <w:szCs w:val="28"/>
          <w:shd w:val="clear" w:color="auto" w:fill="FFFFFF"/>
        </w:rPr>
        <w:t>，对</w:t>
      </w:r>
      <w:r>
        <w:rPr>
          <w:rFonts w:hint="eastAsia" w:cs="仿宋_GB2312" w:asciiTheme="minorEastAsia" w:hAnsiTheme="minorEastAsia" w:eastAsiaTheme="minorEastAsia"/>
          <w:kern w:val="0"/>
          <w:sz w:val="28"/>
          <w:szCs w:val="28"/>
        </w:rPr>
        <w:t>我单位部门预算支出绩效组织实施了自评。现将我单位绩效自评结果报告如下：</w:t>
      </w:r>
    </w:p>
    <w:p>
      <w:pPr>
        <w:widowControl/>
        <w:shd w:val="clear" w:color="auto" w:fill="FFFFFF"/>
        <w:adjustRightInd w:val="0"/>
        <w:snapToGrid w:val="0"/>
        <w:spacing w:line="360" w:lineRule="auto"/>
        <w:ind w:firstLine="64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一、部门概况</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（一）机构组成、人员概况</w:t>
      </w:r>
    </w:p>
    <w:p>
      <w:pPr>
        <w:shd w:val="clear" w:color="auto" w:fill="FFFFFF"/>
        <w:spacing w:line="360" w:lineRule="auto"/>
        <w:ind w:firstLine="560" w:firstLineChars="200"/>
        <w:rPr>
          <w:rFonts w:cs="仿宋_GB2312" w:asciiTheme="minorEastAsia" w:hAnsiTheme="minorEastAsia" w:eastAsiaTheme="minorEastAsia"/>
          <w:kern w:val="0"/>
          <w:sz w:val="28"/>
          <w:szCs w:val="28"/>
        </w:rPr>
      </w:pPr>
      <w:r>
        <w:rPr>
          <w:rFonts w:hint="eastAsia" w:asciiTheme="minorEastAsia" w:hAnsiTheme="minorEastAsia" w:eastAsiaTheme="minorEastAsia"/>
          <w:sz w:val="28"/>
          <w:szCs w:val="28"/>
        </w:rPr>
        <w:t>机构组成：</w:t>
      </w:r>
      <w:r>
        <w:rPr>
          <w:rFonts w:hint="eastAsia" w:cs="仿宋_GB2312" w:asciiTheme="minorEastAsia" w:hAnsiTheme="minorEastAsia" w:eastAsiaTheme="minorEastAsia"/>
          <w:kern w:val="0"/>
          <w:sz w:val="28"/>
          <w:szCs w:val="28"/>
          <w:shd w:val="clear" w:color="auto" w:fill="FFFFFF"/>
        </w:rPr>
        <w:t>我单位内设校长办公室、教务处、安办、少先队、后勤办公室5个部门，属财政全额拨款事业单位1个：峨眉山市九里镇欣隆小学校。</w:t>
      </w:r>
    </w:p>
    <w:p>
      <w:pPr>
        <w:shd w:val="clear" w:color="auto" w:fill="FFFFFF"/>
        <w:spacing w:line="360" w:lineRule="auto"/>
        <w:ind w:firstLine="560" w:firstLineChars="20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人员情况：核定事业编制28名，设领导职数1名。实际在岗人员27人。</w:t>
      </w:r>
      <w:r>
        <w:rPr>
          <w:rFonts w:hint="eastAsia" w:cs="宋体" w:asciiTheme="minorEastAsia" w:hAnsiTheme="minorEastAsia" w:eastAsiaTheme="minorEastAsia"/>
          <w:kern w:val="0"/>
          <w:sz w:val="28"/>
          <w:szCs w:val="28"/>
        </w:rPr>
        <w:t>长期聘用编外人员2名。</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（二）单位主要职责</w:t>
      </w:r>
    </w:p>
    <w:p>
      <w:pPr>
        <w:widowControl/>
        <w:shd w:val="clear" w:color="auto" w:fill="FFFFFF"/>
        <w:adjustRightInd w:val="0"/>
        <w:snapToGrid w:val="0"/>
        <w:spacing w:line="360" w:lineRule="auto"/>
        <w:ind w:firstLine="643"/>
        <w:jc w:val="left"/>
        <w:rPr>
          <w:rFonts w:cs="宋体" w:asciiTheme="minorEastAsia" w:hAnsiTheme="minorEastAsia" w:eastAsiaTheme="minorEastAsia"/>
          <w:sz w:val="28"/>
          <w:szCs w:val="28"/>
          <w:shd w:val="clear" w:color="auto" w:fill="FFFFFF"/>
        </w:rPr>
      </w:pPr>
      <w:r>
        <w:rPr>
          <w:rFonts w:hint="eastAsia" w:cs="宋体" w:asciiTheme="minorEastAsia" w:hAnsiTheme="minorEastAsia" w:eastAsiaTheme="minorEastAsia"/>
          <w:sz w:val="28"/>
          <w:szCs w:val="28"/>
          <w:shd w:val="clear" w:color="auto" w:fill="FFFFFF"/>
        </w:rPr>
        <w:t>实施小学义务基础教育，促进基础教育发展，小学学历教育</w:t>
      </w:r>
    </w:p>
    <w:p>
      <w:pPr>
        <w:widowControl/>
        <w:shd w:val="clear" w:color="auto" w:fill="FFFFFF"/>
        <w:adjustRightInd w:val="0"/>
        <w:snapToGrid w:val="0"/>
        <w:spacing w:line="360" w:lineRule="auto"/>
        <w:ind w:firstLine="640"/>
        <w:jc w:val="left"/>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二、部门财政资金收支情况</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（一）部门财政资金收入情况</w:t>
      </w:r>
    </w:p>
    <w:p>
      <w:pPr>
        <w:widowControl/>
        <w:shd w:val="clear" w:color="auto" w:fill="FFFFFF"/>
        <w:adjustRightInd w:val="0"/>
        <w:snapToGrid w:val="0"/>
        <w:spacing w:line="360" w:lineRule="auto"/>
        <w:ind w:firstLine="560" w:firstLineChars="200"/>
        <w:jc w:val="left"/>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我单位2020年部门年初预算收入为336.52万元。其中：一般公共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336.52，事业收入（财政专户收入）0万元；调整预算收入为495.47万元，其中：一般公共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478.75万元，政府性基金6.00万元；事业收入（财政专户收入）0万元，年初财政结转结余10.73万元；决算收入为484.75万元, 其中：一般公共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471.02万元，政府性基金3.00万元；事业收入（财政专户收入）0万元。年初财政结转结余10.73万元。全年总计决算收入484.75万元。</w:t>
      </w:r>
    </w:p>
    <w:p>
      <w:pPr>
        <w:widowControl/>
        <w:shd w:val="clear" w:color="auto" w:fill="FFFFFF"/>
        <w:adjustRightInd w:val="0"/>
        <w:snapToGrid w:val="0"/>
        <w:spacing w:line="360" w:lineRule="auto"/>
        <w:ind w:firstLine="560" w:firstLineChars="200"/>
        <w:jc w:val="left"/>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决算收入比年初预算收入增加148.23万元，主要是财政预算调整（人员经费和项目经费）。</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（二）部门财政资金支出情况</w:t>
      </w:r>
    </w:p>
    <w:p>
      <w:pPr>
        <w:widowControl/>
        <w:shd w:val="clear" w:color="auto" w:fill="FFFFFF"/>
        <w:adjustRightInd w:val="0"/>
        <w:snapToGrid w:val="0"/>
        <w:spacing w:line="360" w:lineRule="auto"/>
        <w:ind w:firstLine="560" w:firstLineChars="200"/>
        <w:jc w:val="left"/>
        <w:rPr>
          <w:rFonts w:cs="仿宋_GB2312"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kern w:val="0"/>
          <w:sz w:val="28"/>
          <w:szCs w:val="28"/>
        </w:rPr>
        <w:t>我单位2020年支出年初预算算数为336.52万元；调整预算支出为495.47万元。其中：基本支出471.04万元（人员经费447.72万元，日常公用经费23.32万元），项目支出24.43万元（政府性基金6.00万元，公共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18.43万元）。决算支出数为476.92万元，其中：基本支出466.21万元（其中人员经费447.72万元，日常公用经费支出184.91万元）；项目经费支出10.71万元。年末结转结余7.83万元。基本支出较预算减少的4.83万元，</w:t>
      </w:r>
      <w:r>
        <w:rPr>
          <w:rFonts w:hint="eastAsia" w:cs="宋体" w:asciiTheme="minorEastAsia" w:hAnsiTheme="minorEastAsia" w:eastAsiaTheme="minorEastAsia"/>
          <w:color w:val="000000" w:themeColor="text1"/>
          <w:kern w:val="0"/>
          <w:sz w:val="28"/>
          <w:szCs w:val="28"/>
          <w14:textFill>
            <w14:solidFill>
              <w14:schemeClr w14:val="tx1"/>
            </w14:solidFill>
          </w14:textFill>
        </w:rPr>
        <w:t>项目支出较预算减少3.00</w:t>
      </w:r>
      <w:r>
        <w:rPr>
          <w:rFonts w:hint="eastAsia" w:cs="仿宋_GB2312" w:asciiTheme="minorEastAsia" w:hAnsiTheme="minorEastAsia" w:eastAsiaTheme="minorEastAsia"/>
          <w:color w:val="000000" w:themeColor="text1"/>
          <w:kern w:val="0"/>
          <w:sz w:val="28"/>
          <w:szCs w:val="28"/>
          <w14:textFill>
            <w14:solidFill>
              <w14:schemeClr w14:val="tx1"/>
            </w14:solidFill>
          </w14:textFill>
        </w:rPr>
        <w:t>万元,</w:t>
      </w:r>
    </w:p>
    <w:p>
      <w:pPr>
        <w:widowControl/>
        <w:shd w:val="clear" w:color="auto" w:fill="FFFFFF"/>
        <w:adjustRightInd w:val="0"/>
        <w:snapToGrid w:val="0"/>
        <w:spacing w:line="360" w:lineRule="auto"/>
        <w:ind w:firstLine="640"/>
        <w:jc w:val="left"/>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三、财政部门支出管理情况</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（一）预决算编制情况</w:t>
      </w:r>
    </w:p>
    <w:p>
      <w:pPr>
        <w:widowControl/>
        <w:shd w:val="clear" w:color="auto" w:fill="FFFFFF"/>
        <w:adjustRightInd w:val="0"/>
        <w:snapToGrid w:val="0"/>
        <w:spacing w:line="360" w:lineRule="auto"/>
        <w:ind w:firstLine="560" w:firstLineChars="200"/>
        <w:jc w:val="left"/>
        <w:rPr>
          <w:rFonts w:cs="仿宋_GB2312"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sz w:val="28"/>
          <w:szCs w:val="28"/>
        </w:rPr>
        <w:t>我单位严格按照财政部门的要求和实现编制预决算、填报绩效目标和专项项目进度表；2020年收入年初预算为336.52万元，调整预算为</w:t>
      </w:r>
      <w:r>
        <w:rPr>
          <w:rFonts w:hint="eastAsia" w:cs="宋体" w:asciiTheme="minorEastAsia" w:hAnsiTheme="minorEastAsia" w:eastAsiaTheme="minorEastAsia"/>
          <w:kern w:val="0"/>
          <w:sz w:val="28"/>
          <w:szCs w:val="28"/>
        </w:rPr>
        <w:t>495.47</w:t>
      </w:r>
      <w:r>
        <w:rPr>
          <w:rFonts w:hint="eastAsia" w:cs="宋体" w:asciiTheme="minorEastAsia" w:hAnsiTheme="minorEastAsia" w:eastAsiaTheme="minorEastAsia"/>
          <w:sz w:val="28"/>
          <w:szCs w:val="28"/>
        </w:rPr>
        <w:t>万元，</w:t>
      </w:r>
      <w:r>
        <w:rPr>
          <w:rFonts w:hint="eastAsia" w:cs="宋体" w:asciiTheme="minorEastAsia" w:hAnsiTheme="minorEastAsia" w:eastAsiaTheme="minorEastAsia"/>
          <w:kern w:val="0"/>
          <w:sz w:val="28"/>
          <w:szCs w:val="28"/>
        </w:rPr>
        <w:t>其中：一般公共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478.75万元，政府性基金6.00万元；事业收入（财政专户收入）0万元</w:t>
      </w:r>
      <w:r>
        <w:rPr>
          <w:rFonts w:hint="eastAsia" w:cs="宋体" w:asciiTheme="minorEastAsia" w:hAnsiTheme="minorEastAsia" w:eastAsiaTheme="minorEastAsia"/>
          <w:sz w:val="28"/>
          <w:szCs w:val="28"/>
        </w:rPr>
        <w:t>。支出年初预算336.52万元，</w:t>
      </w:r>
      <w:r>
        <w:rPr>
          <w:rFonts w:hint="eastAsia" w:cs="宋体" w:asciiTheme="minorEastAsia" w:hAnsiTheme="minorEastAsia" w:eastAsiaTheme="minorEastAsia"/>
          <w:kern w:val="0"/>
          <w:sz w:val="28"/>
          <w:szCs w:val="28"/>
        </w:rPr>
        <w:t>调整预算支出为495.47万元。其中：基本支出471.04万元（人员经费447.72万元，日常公用经费23.32万元），项目支出24.43万元（政府性基金6.00万元，公共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18.43万元）。决算支出数为476.92万元，其中：基本支出466.21万元（其中人员经费447.72万元，日常公用经费支出184.91万元）；项目经费支出10.71万元（政府性基金3.00万元，公共</w:t>
      </w:r>
      <w:r>
        <w:rPr>
          <w:rFonts w:hint="eastAsia" w:cs="宋体" w:asciiTheme="minorEastAsia" w:hAnsiTheme="minorEastAsia" w:eastAsiaTheme="minorEastAsia"/>
          <w:kern w:val="0"/>
          <w:sz w:val="28"/>
          <w:szCs w:val="28"/>
          <w:lang w:eastAsia="zh-CN"/>
        </w:rPr>
        <w:t>财政拨款</w:t>
      </w:r>
      <w:r>
        <w:rPr>
          <w:rFonts w:hint="eastAsia" w:cs="宋体" w:asciiTheme="minorEastAsia" w:hAnsiTheme="minorEastAsia" w:eastAsiaTheme="minorEastAsia"/>
          <w:kern w:val="0"/>
          <w:sz w:val="28"/>
          <w:szCs w:val="28"/>
        </w:rPr>
        <w:t>7.71万元）。年末结转结余7.83万元。基本支出较预算减少的4.83万元，</w:t>
      </w:r>
      <w:r>
        <w:rPr>
          <w:rFonts w:hint="eastAsia" w:cs="宋体" w:asciiTheme="minorEastAsia" w:hAnsiTheme="minorEastAsia" w:eastAsiaTheme="minorEastAsia"/>
          <w:color w:val="000000" w:themeColor="text1"/>
          <w:kern w:val="0"/>
          <w:sz w:val="28"/>
          <w:szCs w:val="28"/>
          <w14:textFill>
            <w14:solidFill>
              <w14:schemeClr w14:val="tx1"/>
            </w14:solidFill>
          </w14:textFill>
        </w:rPr>
        <w:t>项目支出较预算减少3.00</w:t>
      </w:r>
      <w:r>
        <w:rPr>
          <w:rFonts w:hint="eastAsia" w:cs="仿宋_GB2312" w:asciiTheme="minorEastAsia" w:hAnsiTheme="minorEastAsia" w:eastAsiaTheme="minorEastAsia"/>
          <w:color w:val="000000" w:themeColor="text1"/>
          <w:kern w:val="0"/>
          <w:sz w:val="28"/>
          <w:szCs w:val="28"/>
          <w14:textFill>
            <w14:solidFill>
              <w14:schemeClr w14:val="tx1"/>
            </w14:solidFill>
          </w14:textFill>
        </w:rPr>
        <w:t>万元。</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（二）执行管理情况</w:t>
      </w:r>
    </w:p>
    <w:p>
      <w:pPr>
        <w:snapToGrid w:val="0"/>
        <w:spacing w:line="360" w:lineRule="auto"/>
        <w:ind w:firstLine="700" w:firstLineChars="250"/>
        <w:rPr>
          <w:rFonts w:asciiTheme="minorEastAsia" w:hAnsiTheme="minorEastAsia" w:eastAsiaTheme="minorEastAsia"/>
          <w:sz w:val="28"/>
          <w:szCs w:val="28"/>
        </w:rPr>
      </w:pPr>
      <w:r>
        <w:rPr>
          <w:rFonts w:hint="eastAsia" w:cs="宋体" w:asciiTheme="minorEastAsia" w:hAnsiTheme="minorEastAsia" w:eastAsiaTheme="minorEastAsia"/>
          <w:sz w:val="28"/>
          <w:szCs w:val="28"/>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2020年调整预算收入</w:t>
      </w:r>
      <w:r>
        <w:rPr>
          <w:rFonts w:hint="eastAsia" w:cs="宋体" w:asciiTheme="minorEastAsia" w:hAnsiTheme="minorEastAsia" w:eastAsiaTheme="minorEastAsia"/>
          <w:kern w:val="0"/>
          <w:sz w:val="28"/>
          <w:szCs w:val="28"/>
        </w:rPr>
        <w:t>484.75</w:t>
      </w:r>
      <w:r>
        <w:rPr>
          <w:rFonts w:hint="eastAsia" w:cs="宋体" w:asciiTheme="minorEastAsia" w:hAnsiTheme="minorEastAsia" w:eastAsiaTheme="minorEastAsia"/>
          <w:sz w:val="28"/>
          <w:szCs w:val="28"/>
        </w:rPr>
        <w:t>元,</w:t>
      </w:r>
      <w:r>
        <w:rPr>
          <w:rFonts w:hint="eastAsia" w:asciiTheme="minorEastAsia" w:hAnsiTheme="minorEastAsia" w:eastAsiaTheme="minorEastAsia"/>
          <w:sz w:val="28"/>
          <w:szCs w:val="28"/>
        </w:rPr>
        <w:t>截止</w:t>
      </w:r>
      <w:r>
        <w:rPr>
          <w:rFonts w:asciiTheme="minorEastAsia" w:hAnsiTheme="minorEastAsia" w:eastAsiaTheme="minorEastAsia"/>
          <w:sz w:val="28"/>
          <w:szCs w:val="28"/>
        </w:rPr>
        <w:t>2020</w:t>
      </w:r>
      <w:r>
        <w:rPr>
          <w:rFonts w:hint="eastAsia" w:asciiTheme="minorEastAsia" w:hAnsiTheme="minorEastAsia" w:eastAsiaTheme="minorEastAsia"/>
          <w:sz w:val="28"/>
          <w:szCs w:val="28"/>
        </w:rPr>
        <w:t>年12月支出</w:t>
      </w:r>
      <w:r>
        <w:rPr>
          <w:rFonts w:hint="eastAsia" w:cs="宋体" w:asciiTheme="minorEastAsia" w:hAnsiTheme="minorEastAsia" w:eastAsiaTheme="minorEastAsia"/>
          <w:kern w:val="0"/>
          <w:sz w:val="28"/>
          <w:szCs w:val="28"/>
        </w:rPr>
        <w:t>476.92</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r>
        <w:rPr>
          <w:rFonts w:hint="eastAsia" w:asciiTheme="minorEastAsia" w:hAnsiTheme="minorEastAsia" w:eastAsiaTheme="minorEastAsia"/>
          <w:sz w:val="28"/>
          <w:szCs w:val="28"/>
        </w:rPr>
        <w:t>执行比例98.38</w:t>
      </w:r>
      <w:r>
        <w:rPr>
          <w:rFonts w:asciiTheme="minorEastAsia" w:hAnsiTheme="minorEastAsia" w:eastAsiaTheme="minorEastAsia"/>
          <w:sz w:val="28"/>
          <w:szCs w:val="28"/>
        </w:rPr>
        <w:t>%</w:t>
      </w:r>
      <w:r>
        <w:rPr>
          <w:rFonts w:hint="eastAsia" w:asciiTheme="minorEastAsia" w:hAnsiTheme="minorEastAsia" w:eastAsiaTheme="minorEastAsia"/>
          <w:sz w:val="28"/>
          <w:szCs w:val="28"/>
        </w:rPr>
        <w:t>,年末结转结余7.83万元。全年支出执行良好。</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（三）支出绩效情况</w:t>
      </w:r>
    </w:p>
    <w:p>
      <w:pPr>
        <w:widowControl/>
        <w:shd w:val="clear" w:color="auto" w:fill="FFFFFF"/>
        <w:adjustRightInd w:val="0"/>
        <w:snapToGrid w:val="0"/>
        <w:spacing w:line="360" w:lineRule="auto"/>
        <w:ind w:firstLine="700" w:firstLineChars="250"/>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1.部门支出绩效</w:t>
      </w:r>
    </w:p>
    <w:p>
      <w:pPr>
        <w:widowControl/>
        <w:shd w:val="clear" w:color="auto" w:fill="FFFFFF"/>
        <w:adjustRightInd w:val="0"/>
        <w:snapToGrid w:val="0"/>
        <w:spacing w:line="360" w:lineRule="auto"/>
        <w:ind w:firstLine="700" w:firstLineChars="250"/>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（1）运行保障</w:t>
      </w:r>
    </w:p>
    <w:p>
      <w:pPr>
        <w:widowControl/>
        <w:spacing w:line="360" w:lineRule="auto"/>
        <w:ind w:firstLine="560" w:firstLineChars="200"/>
        <w:rPr>
          <w:rFonts w:cs="仿宋_GB2312"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我单位基本支出的范围包括人员经费、日常公用经费。2020年基本支出决算数466.21万元，其中:人员经费447.72万元（工资福利支出419.91万元，对个人和家庭的补助28.34万元），日常公用经费18.49万元。</w:t>
      </w:r>
      <w:r>
        <w:rPr>
          <w:rFonts w:hint="eastAsia" w:cs="仿宋_GB2312" w:asciiTheme="minorEastAsia" w:hAnsiTheme="minorEastAsia" w:eastAsiaTheme="minorEastAsia"/>
          <w:kern w:val="0"/>
          <w:sz w:val="28"/>
          <w:szCs w:val="28"/>
        </w:rPr>
        <w:t>基本支出能够保障学校正常工作运转。</w:t>
      </w:r>
      <w:r>
        <w:rPr>
          <w:rFonts w:hint="eastAsia" w:cs="宋体" w:asciiTheme="minorEastAsia" w:hAnsiTheme="minorEastAsia" w:eastAsiaTheme="minorEastAsia"/>
          <w:kern w:val="0"/>
          <w:sz w:val="28"/>
          <w:szCs w:val="28"/>
        </w:rPr>
        <w:t>项目经费支出10.71万元。（乡村少年宫活动开展、安保工作展、免作业本费、人才队伍建设等）</w:t>
      </w:r>
    </w:p>
    <w:p>
      <w:pPr>
        <w:widowControl/>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（2）学校厉行节约。</w:t>
      </w:r>
    </w:p>
    <w:p>
      <w:pPr>
        <w:widowControl/>
        <w:spacing w:line="360" w:lineRule="auto"/>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2020年因公出差、会议费、培训费、办公费等控制较好。2020办公费7.89万元，咨询费0.00万元，水费0.92万元，电费1.54万元，邮电费1.61万元，差旅费1.28万元，维修费1.56万元，会议费0.29万元，培训费0.47万元，专用材料费0.00万元，安保经费11.58万元，工会费0.1万元，福利费0.19万元，其它商品服务支出1.21万元。日常公用经费支出严格控制在年初预算内，并有节余。</w:t>
      </w:r>
    </w:p>
    <w:p>
      <w:pPr>
        <w:widowControl/>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2.预算项目支出绩效</w:t>
      </w:r>
    </w:p>
    <w:p>
      <w:pPr>
        <w:widowControl/>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（1）资金绩效分配情况</w:t>
      </w:r>
    </w:p>
    <w:p>
      <w:pPr>
        <w:widowControl/>
        <w:spacing w:line="360" w:lineRule="auto"/>
        <w:ind w:firstLine="700" w:firstLine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sym w:font="Wingdings" w:char="F081"/>
      </w:r>
      <w:r>
        <w:rPr>
          <w:rFonts w:hint="eastAsia" w:cs="仿宋_GB2312" w:asciiTheme="minorEastAsia" w:hAnsiTheme="minorEastAsia" w:eastAsiaTheme="minorEastAsia"/>
          <w:kern w:val="0"/>
          <w:sz w:val="28"/>
          <w:szCs w:val="28"/>
        </w:rPr>
        <w:t>学校预算人员经费447.72万元（工资福利419.91万元、对个人和家庭补助28.38万元）。确保学校工作开展。</w:t>
      </w:r>
    </w:p>
    <w:p>
      <w:pPr>
        <w:widowControl/>
        <w:spacing w:line="360" w:lineRule="auto"/>
        <w:ind w:firstLine="700" w:firstLine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sym w:font="Wingdings" w:char="F082"/>
      </w:r>
      <w:r>
        <w:rPr>
          <w:rFonts w:hint="eastAsia" w:cs="仿宋_GB2312" w:asciiTheme="minorEastAsia" w:hAnsiTheme="minorEastAsia" w:eastAsiaTheme="minorEastAsia"/>
          <w:kern w:val="0"/>
          <w:sz w:val="28"/>
          <w:szCs w:val="28"/>
        </w:rPr>
        <w:t>日常公用经费18.49万元，确保学校工作正常运转。主要是教师出差、学校水电通讯等办公费、老师慰问费、大型修缮等。</w:t>
      </w:r>
    </w:p>
    <w:p>
      <w:pPr>
        <w:widowControl/>
        <w:spacing w:line="360" w:lineRule="auto"/>
        <w:ind w:firstLine="700" w:firstLine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sym w:font="Wingdings" w:char="F083"/>
      </w:r>
      <w:r>
        <w:rPr>
          <w:rFonts w:hint="eastAsia" w:cs="仿宋_GB2312" w:asciiTheme="minorEastAsia" w:hAnsiTheme="minorEastAsia" w:eastAsiaTheme="minorEastAsia"/>
          <w:kern w:val="0"/>
          <w:sz w:val="28"/>
          <w:szCs w:val="28"/>
        </w:rPr>
        <w:t>项目资金10.71万元。其中公共</w:t>
      </w:r>
      <w:r>
        <w:rPr>
          <w:rFonts w:hint="eastAsia" w:cs="仿宋_GB2312" w:asciiTheme="minorEastAsia" w:hAnsiTheme="minorEastAsia" w:eastAsiaTheme="minorEastAsia"/>
          <w:kern w:val="0"/>
          <w:sz w:val="28"/>
          <w:szCs w:val="28"/>
          <w:lang w:eastAsia="zh-CN"/>
        </w:rPr>
        <w:t>财政拨款</w:t>
      </w:r>
      <w:r>
        <w:rPr>
          <w:rFonts w:hint="eastAsia" w:cs="仿宋_GB2312" w:asciiTheme="minorEastAsia" w:hAnsiTheme="minorEastAsia" w:eastAsiaTheme="minorEastAsia"/>
          <w:kern w:val="0"/>
          <w:sz w:val="28"/>
          <w:szCs w:val="28"/>
        </w:rPr>
        <w:t>7.71万元。政府性基金3.00万元。保持乡村少年宫活动正常开展、骨干教师等。</w:t>
      </w:r>
    </w:p>
    <w:p>
      <w:pPr>
        <w:widowControl/>
        <w:spacing w:line="360" w:lineRule="auto"/>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（2）项目资金管理情况</w:t>
      </w:r>
    </w:p>
    <w:p>
      <w:pPr>
        <w:widowControl/>
        <w:spacing w:line="360" w:lineRule="auto"/>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360" w:lineRule="auto"/>
        <w:jc w:val="left"/>
        <w:outlineLvl w:val="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（3）绩效目标完成情况</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1、2020年学校工作正常运转，年终综合评估优秀。绩效一等奖。</w:t>
      </w:r>
    </w:p>
    <w:p>
      <w:pPr>
        <w:numPr>
          <w:ilvl w:val="0"/>
          <w:numId w:val="1"/>
        </w:num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教学工作有声有色，2020年－2021学年度教学质量一等奖。</w:t>
      </w:r>
    </w:p>
    <w:p>
      <w:pPr>
        <w:numPr>
          <w:ilvl w:val="0"/>
          <w:numId w:val="1"/>
        </w:num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音体美抽考合格。开设艺术特色课“葫芦丝”，效果突出，</w:t>
      </w:r>
      <w:r>
        <w:rPr>
          <w:rFonts w:cs="宋体" w:asciiTheme="minorEastAsia" w:hAnsiTheme="minorEastAsia" w:eastAsiaTheme="minorEastAsia"/>
          <w:kern w:val="0"/>
          <w:sz w:val="28"/>
          <w:szCs w:val="28"/>
          <w:lang w:bidi="ar"/>
        </w:rPr>
        <w:t xml:space="preserve">参加四川省首届班级合唱合奏录像评比活动荣获省级一等奖（乐山市6个获奖中唯一一个一等奖） </w:t>
      </w:r>
      <w:r>
        <w:rPr>
          <w:rFonts w:hint="eastAsia" w:asciiTheme="minorEastAsia" w:hAnsiTheme="minorEastAsia" w:eastAsiaTheme="minorEastAsia"/>
          <w:sz w:val="28"/>
          <w:szCs w:val="28"/>
        </w:rPr>
        <w:t>。</w:t>
      </w:r>
    </w:p>
    <w:p>
      <w:pPr>
        <w:widowControl/>
        <w:spacing w:line="36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4、参加市级运动会，获乙组第六名。</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5、参加文艺汇演、朗读比赛等，效果良好。</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6、注重教师能力提升，学校教师外出听课达到人均2次。</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7、主动承担市级教研课，全年共4次。效果良好。</w:t>
      </w:r>
    </w:p>
    <w:p>
      <w:pPr>
        <w:adjustRightInd w:val="0"/>
        <w:snapToGrid w:val="0"/>
        <w:spacing w:line="360" w:lineRule="auto"/>
        <w:ind w:firstLine="588" w:firstLineChars="210"/>
        <w:outlineLvl w:val="2"/>
        <w:rPr>
          <w:rFonts w:cs="仿宋_GB2312" w:asciiTheme="minorEastAsia" w:hAnsiTheme="minorEastAsia" w:eastAsiaTheme="minorEastAsia"/>
          <w:kern w:val="0"/>
          <w:sz w:val="28"/>
          <w:szCs w:val="28"/>
        </w:rPr>
      </w:pPr>
      <w:r>
        <w:rPr>
          <w:rFonts w:hint="eastAsia" w:asciiTheme="minorEastAsia" w:hAnsiTheme="minorEastAsia" w:eastAsiaTheme="minorEastAsia"/>
          <w:sz w:val="28"/>
          <w:szCs w:val="28"/>
        </w:rPr>
        <w:t>8、完成学校足球场新建工作，篮球场改建立项成功。</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9、开展“乡村少年宫”活动，丰富学生课余生活，获得全校师生、家长一致好评。</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10、做好学校人才队伍建设工作，加强学校骨干教师培养，促进全校教师业务能力提升，提高全校教育教学质量。</w:t>
      </w:r>
    </w:p>
    <w:p>
      <w:pPr>
        <w:adjustRightInd w:val="0"/>
        <w:snapToGrid w:val="0"/>
        <w:spacing w:line="360" w:lineRule="auto"/>
        <w:ind w:firstLine="588" w:firstLineChars="210"/>
        <w:outlineLvl w:val="2"/>
        <w:rPr>
          <w:rFonts w:cs="仿宋_GB2312" w:asciiTheme="minorEastAsia" w:hAnsiTheme="minorEastAsia" w:eastAsiaTheme="minorEastAsia"/>
          <w:kern w:val="0"/>
          <w:sz w:val="28"/>
          <w:szCs w:val="28"/>
        </w:rPr>
      </w:pPr>
      <w:r>
        <w:rPr>
          <w:rFonts w:hint="eastAsia" w:asciiTheme="minorEastAsia" w:hAnsiTheme="minorEastAsia" w:eastAsiaTheme="minorEastAsia"/>
          <w:sz w:val="28"/>
          <w:szCs w:val="28"/>
        </w:rPr>
        <w:t>11、加强学校安全保卫工作，聘任两名保安，确保学校教育教学秩序正常。</w:t>
      </w:r>
    </w:p>
    <w:p>
      <w:pPr>
        <w:adjustRightInd w:val="0"/>
        <w:snapToGrid w:val="0"/>
        <w:spacing w:line="360" w:lineRule="auto"/>
        <w:ind w:firstLine="588" w:firstLineChars="21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12、注重退休教师慰问工作，参加退协活动，春节慰问高龄退休教师，及时慰问生病退休教师及死亡退休教师家属。</w:t>
      </w:r>
    </w:p>
    <w:p>
      <w:pPr>
        <w:widowControl/>
        <w:shd w:val="clear" w:color="auto" w:fill="FFFFFF"/>
        <w:adjustRightInd w:val="0"/>
        <w:snapToGrid w:val="0"/>
        <w:spacing w:line="360" w:lineRule="auto"/>
        <w:ind w:firstLine="555"/>
        <w:jc w:val="left"/>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13、注重学校德育工作开展，开展了“爱国主义教育”“庆六一”、 “少先队建队节”、“学校艺术节”、“健康、安全教育”、“贫困儿童爱心资助”等活动。</w:t>
      </w:r>
    </w:p>
    <w:p>
      <w:pPr>
        <w:widowControl/>
        <w:shd w:val="clear" w:color="auto" w:fill="FFFFFF"/>
        <w:adjustRightInd w:val="0"/>
        <w:snapToGrid w:val="0"/>
        <w:spacing w:line="360" w:lineRule="auto"/>
        <w:ind w:firstLine="555"/>
        <w:jc w:val="left"/>
        <w:outlineLvl w:val="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（4）财务管理情况</w:t>
      </w:r>
    </w:p>
    <w:p>
      <w:pPr>
        <w:widowControl/>
        <w:shd w:val="clear" w:color="auto" w:fill="FFFFFF"/>
        <w:adjustRightInd w:val="0"/>
        <w:snapToGrid w:val="0"/>
        <w:spacing w:line="360" w:lineRule="auto"/>
        <w:ind w:firstLine="555"/>
        <w:jc w:val="left"/>
        <w:outlineLvl w:val="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360" w:lineRule="auto"/>
        <w:ind w:firstLine="555"/>
        <w:jc w:val="left"/>
        <w:outlineLvl w:val="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（5）绩效管理工作开展情况</w:t>
      </w:r>
    </w:p>
    <w:p>
      <w:pPr>
        <w:widowControl/>
        <w:shd w:val="clear" w:color="auto" w:fill="FFFFFF"/>
        <w:adjustRightInd w:val="0"/>
        <w:snapToGrid w:val="0"/>
        <w:spacing w:line="360" w:lineRule="auto"/>
        <w:ind w:firstLine="555"/>
        <w:jc w:val="left"/>
        <w:outlineLvl w:val="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根据《峨眉山市财政局关于开展2021年财政支出绩效评价工作的通知》（峨财通[2021]46号）文件精神</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kern w:val="0"/>
          <w:sz w:val="28"/>
          <w:szCs w:val="28"/>
        </w:rPr>
        <w:t>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widowControl/>
        <w:shd w:val="clear" w:color="auto" w:fill="FFFFFF"/>
        <w:adjustRightInd w:val="0"/>
        <w:snapToGrid w:val="0"/>
        <w:spacing w:line="360" w:lineRule="auto"/>
        <w:ind w:firstLine="555"/>
        <w:jc w:val="left"/>
        <w:outlineLvl w:val="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通过绩效评价梳理出的问题，将通过座谈的形式传达给相关部门负责人，以便完善。</w:t>
      </w:r>
    </w:p>
    <w:p>
      <w:pPr>
        <w:widowControl/>
        <w:shd w:val="clear" w:color="auto" w:fill="FFFFFF"/>
        <w:adjustRightInd w:val="0"/>
        <w:snapToGrid w:val="0"/>
        <w:spacing w:line="360" w:lineRule="auto"/>
        <w:ind w:firstLine="640"/>
        <w:jc w:val="left"/>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四、评价结论及建议</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（一）评价结论。</w:t>
      </w:r>
    </w:p>
    <w:p>
      <w:pPr>
        <w:widowControl/>
        <w:shd w:val="clear" w:color="auto" w:fill="FFFFFF"/>
        <w:adjustRightInd w:val="0"/>
        <w:snapToGrid w:val="0"/>
        <w:spacing w:line="360" w:lineRule="auto"/>
        <w:ind w:firstLine="555"/>
        <w:jc w:val="left"/>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我单位部门支出绩效评价得分95 ，具体情况见下表：</w:t>
      </w:r>
    </w:p>
    <w:tbl>
      <w:tblPr>
        <w:tblStyle w:val="12"/>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1"/>
        <w:gridCol w:w="2560"/>
        <w:gridCol w:w="2704"/>
        <w:gridCol w:w="853"/>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531" w:type="dxa"/>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一级指标</w:t>
            </w:r>
          </w:p>
        </w:tc>
        <w:tc>
          <w:tcPr>
            <w:tcW w:w="2560" w:type="dxa"/>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二级指标</w:t>
            </w:r>
          </w:p>
        </w:tc>
        <w:tc>
          <w:tcPr>
            <w:tcW w:w="2704" w:type="dxa"/>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三级指标</w:t>
            </w:r>
          </w:p>
        </w:tc>
        <w:tc>
          <w:tcPr>
            <w:tcW w:w="853" w:type="dxa"/>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总分</w:t>
            </w:r>
          </w:p>
        </w:tc>
        <w:tc>
          <w:tcPr>
            <w:tcW w:w="904" w:type="dxa"/>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531"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预算编制</w:t>
            </w:r>
          </w:p>
        </w:tc>
        <w:tc>
          <w:tcPr>
            <w:tcW w:w="2560"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报送时效</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基础信息更新</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预算草案报送</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编制质量</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预算编制准确</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预算执行调整</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部门预算审查</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绩效目标</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绩效目标编制</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专项预算提前细化</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预控指标细化</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预算公开</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公开内容</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531"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预算执行</w:t>
            </w: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绩效分配</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项目绩效分配</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执行进度</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6月执行进度</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9月执行进度</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531"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执行进度</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12月执行进度</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预算调整</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执行中期评估</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行政成本</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节能降耗</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廉洁行政</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531"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支出绩效</w:t>
            </w:r>
          </w:p>
        </w:tc>
        <w:tc>
          <w:tcPr>
            <w:tcW w:w="2560" w:type="dxa"/>
            <w:vMerge w:val="restart"/>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绩效评价</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部门预算绩效评价</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14</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专项预算项目绩效评价</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14</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决算审查</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部门决算差错率</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决算公开</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公开内容</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结余注销</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结余注销率</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31" w:type="dxa"/>
            <w:vMerge w:val="continue"/>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2560"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绩效管理</w:t>
            </w:r>
          </w:p>
        </w:tc>
        <w:tc>
          <w:tcPr>
            <w:tcW w:w="27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工作开展</w:t>
            </w: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531"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c>
          <w:tcPr>
            <w:tcW w:w="5263" w:type="dxa"/>
            <w:gridSpan w:val="2"/>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p>
        </w:tc>
        <w:tc>
          <w:tcPr>
            <w:tcW w:w="853"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100</w:t>
            </w:r>
          </w:p>
        </w:tc>
        <w:tc>
          <w:tcPr>
            <w:tcW w:w="904" w:type="dxa"/>
            <w:vAlign w:val="center"/>
          </w:tcPr>
          <w:p>
            <w:pPr>
              <w:widowControl/>
              <w:adjustRightInd w:val="0"/>
              <w:snapToGrid w:val="0"/>
              <w:spacing w:line="360" w:lineRule="auto"/>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95</w:t>
            </w:r>
          </w:p>
        </w:tc>
      </w:tr>
    </w:tbl>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（二）存在问题</w:t>
      </w:r>
    </w:p>
    <w:p>
      <w:pPr>
        <w:widowControl/>
        <w:shd w:val="clear" w:color="auto" w:fill="FFFFFF"/>
        <w:adjustRightInd w:val="0"/>
        <w:snapToGrid w:val="0"/>
        <w:spacing w:line="360" w:lineRule="auto"/>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sz w:val="28"/>
          <w:szCs w:val="28"/>
        </w:rPr>
        <w:t>1、</w:t>
      </w:r>
      <w:r>
        <w:rPr>
          <w:rFonts w:hint="eastAsia" w:cs="宋体" w:asciiTheme="minorEastAsia" w:hAnsiTheme="minorEastAsia" w:eastAsiaTheme="minorEastAsia"/>
          <w:kern w:val="0"/>
          <w:sz w:val="28"/>
          <w:szCs w:val="28"/>
        </w:rPr>
        <w:t>预算编制工作有待细化。预算编制不够明确和细化，预算编制的合理性需要提高，预算执行力度还要进一步加强。</w:t>
      </w:r>
    </w:p>
    <w:p>
      <w:pPr>
        <w:widowControl/>
        <w:shd w:val="clear" w:color="auto" w:fill="FFFFFF"/>
        <w:adjustRightInd w:val="0"/>
        <w:snapToGrid w:val="0"/>
        <w:spacing w:line="360" w:lineRule="auto"/>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2、部门支出相关（基本支出方面）的规章制度还不够完善。</w:t>
      </w:r>
    </w:p>
    <w:p>
      <w:pPr>
        <w:widowControl/>
        <w:shd w:val="clear" w:color="auto" w:fill="FFFFFF"/>
        <w:adjustRightInd w:val="0"/>
        <w:snapToGrid w:val="0"/>
        <w:spacing w:line="360" w:lineRule="auto"/>
        <w:ind w:firstLine="643"/>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（三）改进建议</w:t>
      </w:r>
    </w:p>
    <w:p>
      <w:pPr>
        <w:widowControl/>
        <w:shd w:val="clear" w:color="auto" w:fill="FFFFFF"/>
        <w:adjustRightInd w:val="0"/>
        <w:snapToGrid w:val="0"/>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针对上述存在的问题及对外整体支出管理工作的需要，拟实施的改进措施如下：</w:t>
      </w:r>
    </w:p>
    <w:p>
      <w:pPr>
        <w:widowControl/>
        <w:shd w:val="clear" w:color="auto" w:fill="FFFFFF"/>
        <w:adjustRightInd w:val="0"/>
        <w:snapToGrid w:val="0"/>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line="360" w:lineRule="auto"/>
        <w:ind w:firstLine="640"/>
        <w:jc w:val="right"/>
        <w:rPr>
          <w:rFonts w:cs="宋体" w:asciiTheme="minorEastAsia" w:hAnsiTheme="minorEastAsia" w:eastAsiaTheme="minorEastAsia"/>
          <w:kern w:val="0"/>
          <w:sz w:val="28"/>
          <w:szCs w:val="28"/>
        </w:rPr>
      </w:pPr>
    </w:p>
    <w:p>
      <w:pPr>
        <w:widowControl/>
        <w:shd w:val="clear" w:color="auto" w:fill="FFFFFF"/>
        <w:adjustRightInd w:val="0"/>
        <w:snapToGrid w:val="0"/>
        <w:spacing w:line="360" w:lineRule="auto"/>
        <w:ind w:firstLine="640"/>
        <w:jc w:val="right"/>
        <w:rPr>
          <w:rFonts w:cs="宋体" w:asciiTheme="minorEastAsia" w:hAnsiTheme="minorEastAsia" w:eastAsiaTheme="minorEastAsia"/>
          <w:kern w:val="0"/>
          <w:sz w:val="28"/>
          <w:szCs w:val="28"/>
        </w:rPr>
      </w:pPr>
    </w:p>
    <w:p>
      <w:pPr>
        <w:widowControl/>
        <w:shd w:val="clear" w:color="auto" w:fill="FFFFFF"/>
        <w:adjustRightInd w:val="0"/>
        <w:snapToGrid w:val="0"/>
        <w:spacing w:line="360" w:lineRule="auto"/>
        <w:ind w:firstLine="640"/>
        <w:jc w:val="righ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峨眉山市九里镇欣隆小学校</w:t>
      </w:r>
    </w:p>
    <w:p>
      <w:pPr>
        <w:spacing w:line="360" w:lineRule="auto"/>
        <w:ind w:firstLine="5040" w:firstLineChars="1800"/>
        <w:rPr>
          <w:rFonts w:cs="宋体" w:asciiTheme="minorEastAsia" w:hAnsiTheme="minorEastAsia" w:eastAsiaTheme="minorEastAsia"/>
          <w:color w:val="000000"/>
          <w:kern w:val="0"/>
          <w:sz w:val="32"/>
          <w:szCs w:val="32"/>
          <w:shd w:val="clear" w:color="auto" w:fill="FFFFFF"/>
          <w:lang w:val="zh-CN"/>
        </w:rPr>
      </w:pPr>
      <w:r>
        <w:rPr>
          <w:rFonts w:hint="eastAsia" w:cs="宋体" w:asciiTheme="minorEastAsia" w:hAnsiTheme="minorEastAsia" w:eastAsiaTheme="minorEastAsia"/>
          <w:kern w:val="0"/>
          <w:sz w:val="28"/>
          <w:szCs w:val="28"/>
        </w:rPr>
        <w:t>2021年7月30日</w:t>
      </w: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spacing w:line="360" w:lineRule="auto"/>
        <w:rPr>
          <w:rFonts w:cs="黑体" w:asciiTheme="minorEastAsia" w:hAnsiTheme="minorEastAsia" w:eastAsiaTheme="minorEastAsia"/>
          <w:sz w:val="32"/>
          <w:szCs w:val="32"/>
        </w:rPr>
      </w:pPr>
    </w:p>
    <w:p>
      <w:pPr>
        <w:pStyle w:val="3"/>
        <w:spacing w:before="0" w:after="0" w:line="360" w:lineRule="auto"/>
        <w:rPr>
          <w:rFonts w:cs="仿宋_GB2312" w:asciiTheme="minorEastAsia" w:hAnsiTheme="minorEastAsia" w:eastAsiaTheme="minorEastAsia"/>
        </w:rPr>
      </w:pPr>
      <w:r>
        <w:rPr>
          <w:rFonts w:hint="eastAsia" w:asciiTheme="minorEastAsia" w:hAnsiTheme="minorEastAsia" w:eastAsiaTheme="minorEastAsia"/>
        </w:rPr>
        <w:t>附件2</w:t>
      </w:r>
    </w:p>
    <w:p>
      <w:pPr>
        <w:spacing w:line="360" w:lineRule="auto"/>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峨眉山市九里镇欣隆小学校</w:t>
      </w:r>
    </w:p>
    <w:p>
      <w:pPr>
        <w:spacing w:line="360" w:lineRule="auto"/>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2020年学校安保经费补助项目支出绩效</w:t>
      </w:r>
    </w:p>
    <w:p>
      <w:pPr>
        <w:spacing w:line="360" w:lineRule="auto"/>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自评报告</w:t>
      </w:r>
    </w:p>
    <w:p>
      <w:pPr>
        <w:spacing w:line="360" w:lineRule="auto"/>
        <w:jc w:val="center"/>
        <w:rPr>
          <w:rFonts w:asciiTheme="minorEastAsia" w:hAnsiTheme="minorEastAsia" w:eastAsiaTheme="minorEastAsia"/>
          <w:sz w:val="32"/>
          <w:szCs w:val="32"/>
        </w:rPr>
      </w:pPr>
    </w:p>
    <w:p>
      <w:pPr>
        <w:adjustRightInd w:val="0"/>
        <w:snapToGrid w:val="0"/>
        <w:spacing w:line="360" w:lineRule="auto"/>
        <w:ind w:firstLine="720"/>
        <w:rPr>
          <w:rFonts w:asciiTheme="minorEastAsia" w:hAnsiTheme="minorEastAsia" w:eastAsiaTheme="minorEastAsia"/>
          <w:sz w:val="30"/>
          <w:szCs w:val="30"/>
        </w:rPr>
      </w:pPr>
      <w:r>
        <w:rPr>
          <w:rFonts w:hint="eastAsia" w:asciiTheme="minorEastAsia" w:hAnsiTheme="minorEastAsia" w:eastAsiaTheme="minorEastAsia"/>
          <w:sz w:val="30"/>
          <w:szCs w:val="30"/>
        </w:rPr>
        <w:t>根据市财政局《关于开展2021年财政支出绩效评价工作的通知》（峨财通〔2021〕46号）文件要求，我校开展了2020年学校安保经费补助项目支出绩效自评工作，现将评价结果报告如下：</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rPr>
        <w:t>一、</w:t>
      </w:r>
      <w:r>
        <w:rPr>
          <w:rFonts w:hint="eastAsia" w:asciiTheme="minorEastAsia" w:hAnsiTheme="minorEastAsia" w:eastAsiaTheme="minorEastAsia"/>
          <w:sz w:val="30"/>
          <w:szCs w:val="30"/>
          <w:lang w:val="zh-CN"/>
        </w:rPr>
        <w:t>项目概况</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lang w:val="zh-CN"/>
        </w:rPr>
        <w:t>（一）项目资金申报及批复情况。</w:t>
      </w:r>
      <w:r>
        <w:rPr>
          <w:rFonts w:hint="eastAsia" w:asciiTheme="minorEastAsia" w:hAnsiTheme="minorEastAsia" w:eastAsiaTheme="minorEastAsia"/>
          <w:sz w:val="30"/>
          <w:szCs w:val="30"/>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我校安保经费由主管部门预算并由财政下拨。</w:t>
      </w:r>
    </w:p>
    <w:p>
      <w:pPr>
        <w:adjustRightInd w:val="0"/>
        <w:snapToGrid w:val="0"/>
        <w:spacing w:line="360" w:lineRule="auto"/>
        <w:ind w:firstLine="720"/>
        <w:rPr>
          <w:rFonts w:asciiTheme="minorEastAsia" w:hAnsiTheme="minorEastAsia" w:eastAsiaTheme="minorEastAsia"/>
          <w:sz w:val="30"/>
          <w:szCs w:val="30"/>
        </w:rPr>
      </w:pPr>
      <w:r>
        <w:rPr>
          <w:rFonts w:hint="eastAsia" w:asciiTheme="minorEastAsia" w:hAnsiTheme="minorEastAsia" w:eastAsiaTheme="minorEastAsia"/>
          <w:sz w:val="30"/>
          <w:szCs w:val="30"/>
          <w:lang w:val="zh-CN"/>
        </w:rPr>
        <w:t>（二）项目绩效目标。</w:t>
      </w:r>
      <w:r>
        <w:rPr>
          <w:rFonts w:hint="eastAsia" w:asciiTheme="minorEastAsia" w:hAnsiTheme="minorEastAsia" w:eastAsiaTheme="minorEastAsia"/>
          <w:sz w:val="30"/>
          <w:szCs w:val="30"/>
        </w:rPr>
        <w:t>我校属义教段公办学校，按要求配齐、配足保安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秋季学期资金，学校按要求在当年12月31日前使用完下拨资金，资金全额用于安保、宿管人员工资发放。</w:t>
      </w:r>
    </w:p>
    <w:p>
      <w:pPr>
        <w:spacing w:line="360" w:lineRule="auto"/>
        <w:ind w:firstLine="600" w:firstLineChars="20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（三）项目资金申报相符性。该项目属于民生保障类项目，申报的内容和具体实施的内容相符，申报目标合理可行，</w:t>
      </w:r>
      <w:r>
        <w:rPr>
          <w:rFonts w:hint="eastAsia" w:asciiTheme="minorEastAsia" w:hAnsiTheme="minorEastAsia" w:eastAsiaTheme="minorEastAsia"/>
          <w:sz w:val="30"/>
          <w:szCs w:val="30"/>
        </w:rPr>
        <w:t>对加强我校安全工作，保障学校</w:t>
      </w:r>
      <w:r>
        <w:rPr>
          <w:rFonts w:hint="eastAsia" w:asciiTheme="minorEastAsia" w:hAnsiTheme="minorEastAsia" w:eastAsiaTheme="minorEastAsia"/>
          <w:sz w:val="30"/>
          <w:szCs w:val="30"/>
          <w:lang w:val="zh-CN"/>
        </w:rPr>
        <w:t>师生人身安全，维护我校安全稳定</w:t>
      </w:r>
      <w:r>
        <w:rPr>
          <w:rFonts w:asciiTheme="minorEastAsia" w:hAnsiTheme="minorEastAsia" w:eastAsiaTheme="minorEastAsia"/>
          <w:sz w:val="30"/>
          <w:szCs w:val="30"/>
          <w:lang w:val="zh-CN"/>
        </w:rPr>
        <w:t>发挥了积极作用</w:t>
      </w:r>
      <w:r>
        <w:rPr>
          <w:rFonts w:hint="eastAsia" w:asciiTheme="minorEastAsia" w:hAnsiTheme="minorEastAsia" w:eastAsiaTheme="minorEastAsia"/>
          <w:sz w:val="30"/>
          <w:szCs w:val="30"/>
          <w:lang w:val="zh-CN"/>
        </w:rPr>
        <w:t>，具有较强的社会意义。</w:t>
      </w:r>
    </w:p>
    <w:p>
      <w:pPr>
        <w:adjustRightInd w:val="0"/>
        <w:snapToGrid w:val="0"/>
        <w:spacing w:line="360" w:lineRule="auto"/>
        <w:ind w:firstLine="720"/>
        <w:rPr>
          <w:rFonts w:asciiTheme="minorEastAsia" w:hAnsiTheme="minorEastAsia" w:eastAsiaTheme="minorEastAsia"/>
          <w:sz w:val="30"/>
          <w:szCs w:val="30"/>
        </w:rPr>
      </w:pPr>
      <w:r>
        <w:rPr>
          <w:rFonts w:hint="eastAsia" w:asciiTheme="minorEastAsia" w:hAnsiTheme="minorEastAsia" w:eastAsiaTheme="minorEastAsia"/>
          <w:sz w:val="30"/>
          <w:szCs w:val="30"/>
        </w:rPr>
        <w:t>二、项目实施及管理情况</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（一）资金计划、到位及使用情况</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1．资金计划及到位。2020年，该项目预算资金7.17万元，项目由市教育局汇总学校情况，制定拨款报告给市财政局，市财政局审核后，将项目指标分解下达各学校并进行资金拨付。2020年，分春秋两季拨付资金，春季学期在6月前，秋季拨付在11月前。拨付时间绩效目标完成率100%，拨付资金额度完成率100%</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2．资金使用。2020年，该项目实际使用资金7.17万元，全额用于发放学校聘请的保安、宿管人员工资。项目开支范围、标准及支付进度、支付依据均合规合法，资金支付与预算相符。</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（二）项目财务管理情况</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（三）项目组织实施情况</w:t>
      </w:r>
    </w:p>
    <w:p>
      <w:pPr>
        <w:adjustRightInd w:val="0"/>
        <w:snapToGrid w:val="0"/>
        <w:spacing w:line="360" w:lineRule="auto"/>
        <w:ind w:firstLine="720"/>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本单位配合市教育局安全股负责全市学校安全管理工作的督导监管，负责本校保安工作的督查和培训。该项目由市教育局统一编制预算，由市教育局安全股收集核实学校保安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三、项目绩效情况</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（一）项目完成情况</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该项目对照预算，截止2020年12月31日，下达预算指标7.17万元，</w:t>
      </w:r>
      <w:r>
        <w:rPr>
          <w:rFonts w:hint="eastAsia" w:asciiTheme="minorEastAsia" w:hAnsiTheme="minorEastAsia" w:eastAsiaTheme="minorEastAsia"/>
          <w:sz w:val="30"/>
          <w:szCs w:val="30"/>
          <w:lang w:val="zh-CN"/>
        </w:rPr>
        <w:t>资金拨付进度、拨付总额达到预期安排，项目完成情况较好，完成率100%。</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（二）项目效益情况</w:t>
      </w:r>
    </w:p>
    <w:p>
      <w:pPr>
        <w:adjustRightInd w:val="0"/>
        <w:snapToGrid w:val="0"/>
        <w:spacing w:line="360" w:lineRule="auto"/>
        <w:ind w:firstLine="720"/>
        <w:rPr>
          <w:rFonts w:asciiTheme="minorEastAsia" w:hAnsiTheme="minorEastAsia" w:eastAsiaTheme="minorEastAsia"/>
          <w:sz w:val="30"/>
          <w:szCs w:val="30"/>
        </w:rPr>
      </w:pPr>
      <w:r>
        <w:rPr>
          <w:rFonts w:hint="eastAsia" w:asciiTheme="minorEastAsia" w:hAnsiTheme="minorEastAsia" w:eastAsiaTheme="minorEastAsia"/>
          <w:sz w:val="30"/>
          <w:szCs w:val="30"/>
        </w:rPr>
        <w:t>项目实施切实保障义教段公办学校按要求配齐、配足保安人员，避免学校因经费不足导致安保人员配备不达标、或拖欠安保人员工资等情况发生。对加强我市学校安全工作，切实保障广大师生人身安全，维护教育系统长期安全稳定发挥了积极作用，</w:t>
      </w:r>
      <w:r>
        <w:rPr>
          <w:rFonts w:hint="eastAsia" w:asciiTheme="minorEastAsia" w:hAnsiTheme="minorEastAsia" w:eastAsiaTheme="minorEastAsia"/>
          <w:sz w:val="30"/>
          <w:szCs w:val="30"/>
          <w:lang w:val="zh-CN"/>
        </w:rPr>
        <w:t>具有较强的社会意义</w:t>
      </w:r>
      <w:r>
        <w:rPr>
          <w:rFonts w:hint="eastAsia" w:asciiTheme="minorEastAsia" w:hAnsiTheme="minorEastAsia" w:eastAsiaTheme="minorEastAsia"/>
          <w:sz w:val="30"/>
          <w:szCs w:val="30"/>
        </w:rPr>
        <w:t>。学校安全无小事，责任重于泰山，安全维稳工作永远在路上，该项目实施的社会效益、经济效益明显，应持续开展并不断加强。</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四、问题及建议 </w:t>
      </w:r>
    </w:p>
    <w:p>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（一）存在问题。</w:t>
      </w:r>
      <w:r>
        <w:rPr>
          <w:rFonts w:asciiTheme="minorEastAsia" w:hAnsiTheme="minorEastAsia" w:eastAsiaTheme="minorEastAsia"/>
          <w:sz w:val="30"/>
          <w:szCs w:val="30"/>
        </w:rPr>
        <w:t>近年来，随着城市的不断发展和旅游业的繁荣，我</w:t>
      </w:r>
      <w:r>
        <w:rPr>
          <w:rFonts w:hint="eastAsia" w:asciiTheme="minorEastAsia" w:hAnsiTheme="minorEastAsia" w:eastAsiaTheme="minorEastAsia"/>
          <w:sz w:val="30"/>
          <w:szCs w:val="30"/>
        </w:rPr>
        <w:t>镇</w:t>
      </w:r>
      <w:r>
        <w:rPr>
          <w:rFonts w:asciiTheme="minorEastAsia" w:hAnsiTheme="minorEastAsia" w:eastAsiaTheme="minorEastAsia"/>
          <w:sz w:val="30"/>
          <w:szCs w:val="30"/>
        </w:rPr>
        <w:t>外来人口越来越多，</w:t>
      </w:r>
      <w:r>
        <w:rPr>
          <w:rFonts w:hint="eastAsia" w:asciiTheme="minorEastAsia" w:hAnsiTheme="minorEastAsia" w:eastAsiaTheme="minorEastAsia"/>
          <w:sz w:val="30"/>
          <w:szCs w:val="30"/>
        </w:rPr>
        <w:t>学校</w:t>
      </w:r>
      <w:r>
        <w:rPr>
          <w:rFonts w:asciiTheme="minorEastAsia" w:hAnsiTheme="minorEastAsia" w:eastAsiaTheme="minorEastAsia"/>
          <w:sz w:val="30"/>
          <w:szCs w:val="30"/>
        </w:rPr>
        <w:t>周边环境较复杂等原因导致对安保工作要求越来越高</w:t>
      </w:r>
      <w:r>
        <w:rPr>
          <w:rFonts w:hint="eastAsia" w:asciiTheme="minorEastAsia" w:hAnsiTheme="minorEastAsia" w:eastAsiaTheme="minorEastAsia"/>
          <w:sz w:val="30"/>
          <w:szCs w:val="30"/>
        </w:rPr>
        <w:t>，</w:t>
      </w:r>
      <w:r>
        <w:rPr>
          <w:rFonts w:asciiTheme="minorEastAsia" w:hAnsiTheme="minorEastAsia" w:eastAsiaTheme="minorEastAsia"/>
          <w:sz w:val="30"/>
          <w:szCs w:val="30"/>
        </w:rPr>
        <w:t>安全保卫工作矛盾突出</w:t>
      </w:r>
      <w:r>
        <w:rPr>
          <w:rFonts w:hint="eastAsia" w:asciiTheme="minorEastAsia" w:hAnsiTheme="minorEastAsia" w:eastAsiaTheme="minorEastAsia"/>
          <w:sz w:val="30"/>
          <w:szCs w:val="30"/>
        </w:rPr>
        <w:t>。由于项目预算标准较低，学校经费不足，所聘人员待遇不高，缺乏培训经费。导致学校聘请的保安和</w:t>
      </w:r>
      <w:r>
        <w:rPr>
          <w:rFonts w:asciiTheme="minorEastAsia" w:hAnsiTheme="minorEastAsia" w:eastAsiaTheme="minorEastAsia"/>
          <w:sz w:val="30"/>
          <w:szCs w:val="30"/>
        </w:rPr>
        <w:t>缺乏专业安保管理能力，保安人员年龄老化严重</w:t>
      </w:r>
      <w:r>
        <w:rPr>
          <w:rFonts w:hint="eastAsia" w:asciiTheme="minorEastAsia" w:hAnsiTheme="minorEastAsia" w:eastAsiaTheme="minorEastAsia"/>
          <w:sz w:val="30"/>
          <w:szCs w:val="30"/>
        </w:rPr>
        <w:t>，</w:t>
      </w:r>
      <w:r>
        <w:rPr>
          <w:rFonts w:asciiTheme="minorEastAsia" w:hAnsiTheme="minorEastAsia" w:eastAsiaTheme="minorEastAsia"/>
          <w:sz w:val="30"/>
          <w:szCs w:val="30"/>
        </w:rPr>
        <w:t>缺少专业培训，人员素养不够</w:t>
      </w:r>
      <w:r>
        <w:rPr>
          <w:rFonts w:hint="eastAsia" w:asciiTheme="minorEastAsia" w:hAnsiTheme="minorEastAsia" w:eastAsiaTheme="minorEastAsia"/>
          <w:sz w:val="30"/>
          <w:szCs w:val="30"/>
        </w:rPr>
        <w:t>，学校管理</w:t>
      </w:r>
      <w:r>
        <w:rPr>
          <w:rFonts w:asciiTheme="minorEastAsia" w:hAnsiTheme="minorEastAsia" w:eastAsiaTheme="minorEastAsia"/>
          <w:sz w:val="30"/>
          <w:szCs w:val="30"/>
        </w:rPr>
        <w:t>用工不规范，制度不健全</w:t>
      </w:r>
      <w:r>
        <w:rPr>
          <w:rFonts w:hint="eastAsia" w:asciiTheme="minorEastAsia" w:hAnsiTheme="minorEastAsia" w:eastAsiaTheme="minorEastAsia"/>
          <w:sz w:val="30"/>
          <w:szCs w:val="30"/>
        </w:rPr>
        <w:t>。</w:t>
      </w:r>
    </w:p>
    <w:p>
      <w:pPr>
        <w:spacing w:line="360" w:lineRule="auto"/>
        <w:ind w:firstLine="450" w:firstLineChars="150"/>
        <w:rPr>
          <w:rFonts w:asciiTheme="minorEastAsia" w:hAnsiTheme="minorEastAsia" w:eastAsiaTheme="minorEastAsia"/>
          <w:sz w:val="30"/>
          <w:szCs w:val="30"/>
        </w:rPr>
      </w:pPr>
      <w:r>
        <w:rPr>
          <w:rFonts w:hint="eastAsia" w:asciiTheme="minorEastAsia" w:hAnsiTheme="minorEastAsia" w:eastAsiaTheme="minorEastAsia"/>
          <w:sz w:val="30"/>
          <w:szCs w:val="30"/>
        </w:rPr>
        <w:t>（二）相关建议</w:t>
      </w:r>
    </w:p>
    <w:p>
      <w:pPr>
        <w:spacing w:line="360" w:lineRule="auto"/>
        <w:ind w:firstLine="600"/>
        <w:rPr>
          <w:rFonts w:asciiTheme="minorEastAsia" w:hAnsiTheme="minorEastAsia" w:eastAsiaTheme="minorEastAsia"/>
          <w:sz w:val="30"/>
          <w:szCs w:val="30"/>
        </w:rPr>
      </w:pPr>
      <w:r>
        <w:rPr>
          <w:rFonts w:asciiTheme="minorEastAsia" w:hAnsiTheme="minorEastAsia" w:eastAsiaTheme="minorEastAsia"/>
          <w:sz w:val="30"/>
          <w:szCs w:val="30"/>
        </w:rPr>
        <w:t>根据《乐山市人民政府办公室关于加强中小学幼儿园安全风险防控体系建设的实施意见》（乐府办发〔2018〕18号），</w:t>
      </w:r>
      <w:r>
        <w:rPr>
          <w:rFonts w:hint="eastAsia" w:asciiTheme="minorEastAsia" w:hAnsiTheme="minorEastAsia" w:eastAsiaTheme="minorEastAsia"/>
          <w:sz w:val="30"/>
          <w:szCs w:val="30"/>
        </w:rPr>
        <w:t>建议提高项目预算标准，</w:t>
      </w:r>
      <w:r>
        <w:rPr>
          <w:rFonts w:asciiTheme="minorEastAsia" w:hAnsiTheme="minorEastAsia" w:eastAsiaTheme="minorEastAsia"/>
          <w:sz w:val="30"/>
          <w:szCs w:val="30"/>
        </w:rPr>
        <w:t>参照市级其他部门做法，将城学校保安工作整体打包，</w:t>
      </w:r>
      <w:r>
        <w:rPr>
          <w:rFonts w:hint="eastAsia" w:asciiTheme="minorEastAsia" w:hAnsiTheme="minorEastAsia" w:eastAsiaTheme="minorEastAsia"/>
          <w:sz w:val="30"/>
          <w:szCs w:val="30"/>
        </w:rPr>
        <w:t>由教育局公开招标，</w:t>
      </w:r>
      <w:r>
        <w:rPr>
          <w:rFonts w:asciiTheme="minorEastAsia" w:hAnsiTheme="minorEastAsia" w:eastAsiaTheme="minorEastAsia"/>
          <w:sz w:val="30"/>
          <w:szCs w:val="30"/>
        </w:rPr>
        <w:t>外包给专业保安公司管理，学校以</w:t>
      </w:r>
      <w:r>
        <w:rPr>
          <w:rFonts w:hint="eastAsia" w:asciiTheme="minorEastAsia" w:hAnsiTheme="minorEastAsia" w:eastAsiaTheme="minorEastAsia"/>
          <w:sz w:val="30"/>
          <w:szCs w:val="30"/>
        </w:rPr>
        <w:t>购买</w:t>
      </w:r>
      <w:r>
        <w:rPr>
          <w:rFonts w:asciiTheme="minorEastAsia" w:hAnsiTheme="minorEastAsia" w:eastAsiaTheme="minorEastAsia"/>
          <w:sz w:val="30"/>
          <w:szCs w:val="30"/>
        </w:rPr>
        <w:t>服务的方式使用保安。</w:t>
      </w:r>
    </w:p>
    <w:p>
      <w:pPr>
        <w:spacing w:line="360" w:lineRule="auto"/>
        <w:ind w:firstLine="600"/>
        <w:rPr>
          <w:rFonts w:asciiTheme="minorEastAsia" w:hAnsiTheme="minorEastAsia" w:eastAsiaTheme="minorEastAsia"/>
          <w:sz w:val="30"/>
          <w:szCs w:val="30"/>
        </w:rPr>
      </w:pPr>
    </w:p>
    <w:p>
      <w:pPr>
        <w:spacing w:line="360" w:lineRule="auto"/>
        <w:ind w:firstLine="600"/>
        <w:jc w:val="right"/>
        <w:rPr>
          <w:rFonts w:asciiTheme="minorEastAsia" w:hAnsiTheme="minorEastAsia" w:eastAsiaTheme="minorEastAsia"/>
          <w:sz w:val="30"/>
          <w:szCs w:val="30"/>
        </w:rPr>
      </w:pPr>
      <w:r>
        <w:rPr>
          <w:rFonts w:hint="eastAsia" w:asciiTheme="minorEastAsia" w:hAnsiTheme="minorEastAsia" w:eastAsiaTheme="minorEastAsia"/>
          <w:sz w:val="30"/>
          <w:szCs w:val="30"/>
        </w:rPr>
        <w:t>峨眉山市九里镇欣隆小学校</w:t>
      </w:r>
    </w:p>
    <w:p>
      <w:pPr>
        <w:spacing w:line="360" w:lineRule="auto"/>
        <w:ind w:right="600" w:firstLine="600"/>
        <w:jc w:val="right"/>
        <w:rPr>
          <w:rFonts w:asciiTheme="minorEastAsia" w:hAnsiTheme="minorEastAsia" w:eastAsiaTheme="minorEastAsia"/>
          <w:sz w:val="30"/>
          <w:szCs w:val="30"/>
        </w:rPr>
      </w:pPr>
      <w:r>
        <w:rPr>
          <w:rFonts w:hint="eastAsia" w:asciiTheme="minorEastAsia" w:hAnsiTheme="minorEastAsia" w:eastAsiaTheme="minorEastAsia"/>
          <w:sz w:val="30"/>
          <w:szCs w:val="30"/>
        </w:rPr>
        <w:t>2021年7月28日</w:t>
      </w:r>
    </w:p>
    <w:p>
      <w:pPr>
        <w:spacing w:line="360" w:lineRule="auto"/>
        <w:ind w:right="640" w:firstLine="4752" w:firstLineChars="1485"/>
        <w:rPr>
          <w:rFonts w:asciiTheme="minorEastAsia" w:hAnsiTheme="minorEastAsia" w:eastAsiaTheme="minorEastAsia"/>
          <w:sz w:val="32"/>
          <w:szCs w:val="32"/>
        </w:rPr>
      </w:pPr>
    </w:p>
    <w:p>
      <w:pPr>
        <w:spacing w:line="360" w:lineRule="auto"/>
        <w:ind w:firstLine="640"/>
        <w:rPr>
          <w:rFonts w:cs="仿宋_GB2312" w:asciiTheme="minorEastAsia" w:hAnsiTheme="minorEastAsia" w:eastAsiaTheme="minorEastAsia"/>
          <w:sz w:val="32"/>
          <w:szCs w:val="32"/>
        </w:rPr>
      </w:pPr>
    </w:p>
    <w:p>
      <w:pPr>
        <w:spacing w:line="360" w:lineRule="auto"/>
        <w:ind w:firstLine="640"/>
        <w:rPr>
          <w:rFonts w:cs="仿宋_GB2312" w:asciiTheme="minorEastAsia" w:hAnsiTheme="minorEastAsia" w:eastAsiaTheme="minorEastAsia"/>
          <w:sz w:val="32"/>
          <w:szCs w:val="32"/>
        </w:rPr>
      </w:pPr>
    </w:p>
    <w:p>
      <w:pPr>
        <w:widowControl/>
        <w:spacing w:line="360" w:lineRule="auto"/>
        <w:jc w:val="left"/>
        <w:rPr>
          <w:rStyle w:val="24"/>
          <w:rFonts w:asciiTheme="minorEastAsia" w:hAnsiTheme="minorEastAsia" w:eastAsiaTheme="minorEastAsia"/>
          <w:b w:val="0"/>
        </w:rPr>
      </w:pPr>
    </w:p>
    <w:p>
      <w:pPr>
        <w:widowControl/>
        <w:spacing w:line="360" w:lineRule="auto"/>
        <w:jc w:val="left"/>
        <w:rPr>
          <w:rStyle w:val="24"/>
          <w:rFonts w:asciiTheme="minorEastAsia" w:hAnsiTheme="minorEastAsia" w:eastAsiaTheme="minorEastAsia"/>
          <w:b w:val="0"/>
        </w:rPr>
      </w:pPr>
      <w:r>
        <w:rPr>
          <w:rStyle w:val="24"/>
          <w:rFonts w:asciiTheme="minorEastAsia" w:hAnsiTheme="minorEastAsia" w:eastAsiaTheme="minorEastAsia"/>
          <w:b w:val="0"/>
        </w:rPr>
        <w:br w:type="page"/>
      </w:r>
    </w:p>
    <w:p>
      <w:pPr>
        <w:pStyle w:val="2"/>
        <w:spacing w:before="0" w:after="0" w:line="360" w:lineRule="auto"/>
        <w:jc w:val="center"/>
        <w:rPr>
          <w:rFonts w:asciiTheme="minorEastAsia" w:hAnsiTheme="minorEastAsia" w:eastAsiaTheme="minorEastAsia"/>
          <w:bCs w:val="0"/>
        </w:rPr>
      </w:pPr>
      <w:bookmarkStart w:id="59" w:name="_Toc15396618"/>
      <w:r>
        <w:rPr>
          <w:rFonts w:hint="eastAsia" w:asciiTheme="minorEastAsia" w:hAnsiTheme="minorEastAsia" w:eastAsiaTheme="minorEastAsia"/>
          <w:color w:val="000000"/>
        </w:rPr>
        <w:t>第</w:t>
      </w:r>
      <w:r>
        <w:rPr>
          <w:rStyle w:val="24"/>
          <w:rFonts w:hint="eastAsia" w:asciiTheme="minorEastAsia" w:hAnsiTheme="minorEastAsia" w:eastAsiaTheme="minorEastAsia"/>
          <w:b w:val="0"/>
          <w:bCs w:val="0"/>
        </w:rPr>
        <w:t>五部分 附表</w:t>
      </w:r>
      <w:bookmarkEnd w:id="57"/>
      <w:bookmarkEnd w:id="59"/>
    </w:p>
    <w:p>
      <w:pPr>
        <w:pStyle w:val="3"/>
        <w:spacing w:before="0" w:after="0" w:line="360" w:lineRule="auto"/>
        <w:rPr>
          <w:rFonts w:asciiTheme="minorEastAsia" w:hAnsiTheme="minorEastAsia" w:eastAsiaTheme="minorEastAsia"/>
          <w:color w:val="000000"/>
        </w:rPr>
      </w:pPr>
      <w:bookmarkStart w:id="60" w:name="_Toc15396619"/>
      <w:r>
        <w:rPr>
          <w:rFonts w:hint="eastAsia" w:asciiTheme="minorEastAsia" w:hAnsiTheme="minorEastAsia" w:eastAsiaTheme="minorEastAsia"/>
          <w:b w:val="0"/>
          <w:color w:val="000000"/>
        </w:rPr>
        <w:t>一、收</w:t>
      </w:r>
      <w:r>
        <w:rPr>
          <w:rStyle w:val="25"/>
          <w:rFonts w:hint="eastAsia" w:asciiTheme="minorEastAsia" w:hAnsiTheme="minorEastAsia" w:eastAsiaTheme="minorEastAsia"/>
          <w:b w:val="0"/>
          <w:bCs w:val="0"/>
        </w:rPr>
        <w:t>入支出决算总表</w:t>
      </w:r>
      <w:bookmarkEnd w:id="60"/>
    </w:p>
    <w:p>
      <w:pPr>
        <w:pStyle w:val="3"/>
        <w:spacing w:before="0" w:after="0" w:line="360" w:lineRule="auto"/>
        <w:rPr>
          <w:rFonts w:asciiTheme="minorEastAsia" w:hAnsiTheme="minorEastAsia" w:eastAsiaTheme="minorEastAsia"/>
          <w:color w:val="000000"/>
        </w:rPr>
      </w:pPr>
      <w:bookmarkStart w:id="61" w:name="_Toc15396620"/>
      <w:r>
        <w:rPr>
          <w:rFonts w:hint="eastAsia" w:asciiTheme="minorEastAsia" w:hAnsiTheme="minorEastAsia" w:eastAsiaTheme="minorEastAsia"/>
          <w:b w:val="0"/>
          <w:color w:val="000000"/>
        </w:rPr>
        <w:t>二、收</w:t>
      </w:r>
      <w:r>
        <w:rPr>
          <w:rStyle w:val="25"/>
          <w:rFonts w:hint="eastAsia" w:asciiTheme="minorEastAsia" w:hAnsiTheme="minorEastAsia" w:eastAsiaTheme="minorEastAsia"/>
          <w:b w:val="0"/>
          <w:bCs w:val="0"/>
        </w:rPr>
        <w:t>入决算表</w:t>
      </w:r>
      <w:bookmarkEnd w:id="61"/>
    </w:p>
    <w:p>
      <w:pPr>
        <w:pStyle w:val="3"/>
        <w:spacing w:before="0" w:after="0" w:line="360" w:lineRule="auto"/>
        <w:rPr>
          <w:rFonts w:asciiTheme="minorEastAsia" w:hAnsiTheme="minorEastAsia" w:eastAsiaTheme="minorEastAsia"/>
          <w:color w:val="000000"/>
        </w:rPr>
      </w:pPr>
      <w:bookmarkStart w:id="62" w:name="_Toc15396621"/>
      <w:r>
        <w:rPr>
          <w:rStyle w:val="25"/>
          <w:rFonts w:hint="eastAsia" w:asciiTheme="minorEastAsia" w:hAnsiTheme="minorEastAsia" w:eastAsiaTheme="minorEastAsia"/>
          <w:b w:val="0"/>
          <w:bCs w:val="0"/>
        </w:rPr>
        <w:t>三、</w:t>
      </w:r>
      <w:r>
        <w:rPr>
          <w:rFonts w:hint="eastAsia" w:asciiTheme="minorEastAsia" w:hAnsiTheme="minorEastAsia" w:eastAsiaTheme="minorEastAsia"/>
          <w:b w:val="0"/>
          <w:color w:val="000000"/>
        </w:rPr>
        <w:t>支</w:t>
      </w:r>
      <w:r>
        <w:rPr>
          <w:rStyle w:val="25"/>
          <w:rFonts w:hint="eastAsia" w:asciiTheme="minorEastAsia" w:hAnsiTheme="minorEastAsia" w:eastAsiaTheme="minorEastAsia"/>
          <w:b w:val="0"/>
          <w:bCs w:val="0"/>
        </w:rPr>
        <w:t>出决算表</w:t>
      </w:r>
      <w:bookmarkEnd w:id="62"/>
    </w:p>
    <w:p>
      <w:pPr>
        <w:pStyle w:val="3"/>
        <w:spacing w:before="0" w:after="0" w:line="360" w:lineRule="auto"/>
        <w:rPr>
          <w:rFonts w:asciiTheme="minorEastAsia" w:hAnsiTheme="minorEastAsia" w:eastAsiaTheme="minorEastAsia"/>
          <w:b w:val="0"/>
          <w:color w:val="000000"/>
        </w:rPr>
      </w:pPr>
      <w:bookmarkStart w:id="63" w:name="_Toc15396622"/>
      <w:r>
        <w:rPr>
          <w:rStyle w:val="25"/>
          <w:rFonts w:hint="eastAsia" w:asciiTheme="minorEastAsia" w:hAnsiTheme="minorEastAsia" w:eastAsiaTheme="minorEastAsia"/>
          <w:b w:val="0"/>
          <w:bCs w:val="0"/>
        </w:rPr>
        <w:t>四、</w:t>
      </w:r>
      <w:r>
        <w:rPr>
          <w:rFonts w:hint="eastAsia" w:asciiTheme="minorEastAsia" w:hAnsiTheme="minorEastAsia" w:eastAsiaTheme="minorEastAsia"/>
          <w:b w:val="0"/>
          <w:color w:val="000000"/>
        </w:rPr>
        <w:t>财</w:t>
      </w:r>
      <w:r>
        <w:rPr>
          <w:rStyle w:val="25"/>
          <w:rFonts w:hint="eastAsia" w:asciiTheme="minorEastAsia" w:hAnsiTheme="minorEastAsia" w:eastAsiaTheme="minorEastAsia"/>
          <w:b w:val="0"/>
          <w:bCs w:val="0"/>
        </w:rPr>
        <w:t>政拨款收入支出决算总表</w:t>
      </w:r>
      <w:bookmarkEnd w:id="63"/>
    </w:p>
    <w:p>
      <w:pPr>
        <w:pStyle w:val="3"/>
        <w:spacing w:before="0" w:after="0" w:line="360" w:lineRule="auto"/>
        <w:rPr>
          <w:rStyle w:val="25"/>
          <w:rFonts w:asciiTheme="minorEastAsia" w:hAnsiTheme="minorEastAsia" w:eastAsiaTheme="minorEastAsia"/>
          <w:b w:val="0"/>
          <w:bCs w:val="0"/>
        </w:rPr>
      </w:pPr>
      <w:bookmarkStart w:id="64" w:name="_Toc15396623"/>
      <w:r>
        <w:rPr>
          <w:rStyle w:val="25"/>
          <w:rFonts w:hint="eastAsia" w:asciiTheme="minorEastAsia" w:hAnsiTheme="minorEastAsia" w:eastAsiaTheme="minorEastAsia"/>
          <w:b w:val="0"/>
          <w:bCs w:val="0"/>
        </w:rPr>
        <w:t>五、</w:t>
      </w:r>
      <w:r>
        <w:rPr>
          <w:rFonts w:hint="eastAsia" w:asciiTheme="minorEastAsia" w:hAnsiTheme="minorEastAsia" w:eastAsiaTheme="minorEastAsia"/>
          <w:b w:val="0"/>
          <w:color w:val="000000"/>
        </w:rPr>
        <w:t>财</w:t>
      </w:r>
      <w:r>
        <w:rPr>
          <w:rStyle w:val="25"/>
          <w:rFonts w:hint="eastAsia" w:asciiTheme="minorEastAsia" w:hAnsiTheme="minorEastAsia" w:eastAsiaTheme="minorEastAsia"/>
          <w:b w:val="0"/>
          <w:bCs w:val="0"/>
        </w:rPr>
        <w:t>政拨款支出决算明细表</w:t>
      </w:r>
      <w:bookmarkEnd w:id="64"/>
      <w:bookmarkStart w:id="65" w:name="_Toc15396624"/>
    </w:p>
    <w:p>
      <w:pPr>
        <w:pStyle w:val="3"/>
        <w:spacing w:before="0" w:after="0" w:line="360" w:lineRule="auto"/>
        <w:rPr>
          <w:rFonts w:asciiTheme="minorEastAsia" w:hAnsiTheme="minorEastAsia" w:eastAsiaTheme="minorEastAsia"/>
          <w:color w:val="000000"/>
        </w:rPr>
      </w:pPr>
      <w:r>
        <w:rPr>
          <w:rStyle w:val="25"/>
          <w:rFonts w:hint="eastAsia" w:asciiTheme="minorEastAsia" w:hAnsiTheme="minorEastAsia" w:eastAsiaTheme="minorEastAsia"/>
          <w:b w:val="0"/>
          <w:bCs w:val="0"/>
        </w:rPr>
        <w:t>六、</w:t>
      </w:r>
      <w:r>
        <w:rPr>
          <w:rFonts w:hint="eastAsia" w:asciiTheme="minorEastAsia" w:hAnsiTheme="minorEastAsia" w:eastAsiaTheme="minorEastAsia"/>
          <w:b w:val="0"/>
          <w:color w:val="000000"/>
        </w:rPr>
        <w:t>一</w:t>
      </w:r>
      <w:r>
        <w:rPr>
          <w:rStyle w:val="25"/>
          <w:rFonts w:hint="eastAsia" w:asciiTheme="minorEastAsia" w:hAnsiTheme="minorEastAsia" w:eastAsiaTheme="minorEastAsia"/>
          <w:b w:val="0"/>
          <w:bCs w:val="0"/>
        </w:rPr>
        <w:t>般公共预算财政拨款支出决算表</w:t>
      </w:r>
      <w:bookmarkEnd w:id="65"/>
    </w:p>
    <w:p>
      <w:pPr>
        <w:pStyle w:val="3"/>
        <w:spacing w:before="0" w:after="0" w:line="360" w:lineRule="auto"/>
        <w:rPr>
          <w:rFonts w:asciiTheme="minorEastAsia" w:hAnsiTheme="minorEastAsia" w:eastAsiaTheme="minorEastAsia"/>
          <w:color w:val="000000"/>
        </w:rPr>
      </w:pPr>
      <w:bookmarkStart w:id="66" w:name="_Toc15396625"/>
      <w:r>
        <w:rPr>
          <w:rStyle w:val="25"/>
          <w:rFonts w:hint="eastAsia" w:asciiTheme="minorEastAsia" w:hAnsiTheme="minorEastAsia" w:eastAsiaTheme="minorEastAsia"/>
          <w:b w:val="0"/>
          <w:bCs w:val="0"/>
        </w:rPr>
        <w:t>七、</w:t>
      </w:r>
      <w:r>
        <w:rPr>
          <w:rFonts w:hint="eastAsia" w:asciiTheme="minorEastAsia" w:hAnsiTheme="minorEastAsia" w:eastAsiaTheme="minorEastAsia"/>
          <w:b w:val="0"/>
          <w:color w:val="000000"/>
        </w:rPr>
        <w:t>一</w:t>
      </w:r>
      <w:r>
        <w:rPr>
          <w:rStyle w:val="25"/>
          <w:rFonts w:hint="eastAsia" w:asciiTheme="minorEastAsia" w:hAnsiTheme="minorEastAsia" w:eastAsiaTheme="minorEastAsia"/>
          <w:b w:val="0"/>
          <w:bCs w:val="0"/>
        </w:rPr>
        <w:t>般公共预算财政拨款支出决算明细表</w:t>
      </w:r>
      <w:bookmarkEnd w:id="66"/>
    </w:p>
    <w:p>
      <w:pPr>
        <w:pStyle w:val="3"/>
        <w:spacing w:before="0" w:after="0" w:line="360" w:lineRule="auto"/>
        <w:rPr>
          <w:rFonts w:asciiTheme="minorEastAsia" w:hAnsiTheme="minorEastAsia" w:eastAsiaTheme="minorEastAsia"/>
          <w:color w:val="000000"/>
        </w:rPr>
      </w:pPr>
      <w:bookmarkStart w:id="67" w:name="_Toc15396626"/>
      <w:r>
        <w:rPr>
          <w:rStyle w:val="25"/>
          <w:rFonts w:hint="eastAsia" w:asciiTheme="minorEastAsia" w:hAnsiTheme="minorEastAsia" w:eastAsiaTheme="minorEastAsia"/>
          <w:b w:val="0"/>
          <w:bCs w:val="0"/>
        </w:rPr>
        <w:t>八、</w:t>
      </w:r>
      <w:r>
        <w:rPr>
          <w:rFonts w:hint="eastAsia" w:asciiTheme="minorEastAsia" w:hAnsiTheme="minorEastAsia" w:eastAsiaTheme="minorEastAsia"/>
          <w:b w:val="0"/>
          <w:color w:val="000000"/>
        </w:rPr>
        <w:t>一</w:t>
      </w:r>
      <w:r>
        <w:rPr>
          <w:rStyle w:val="25"/>
          <w:rFonts w:hint="eastAsia" w:asciiTheme="minorEastAsia" w:hAnsiTheme="minorEastAsia" w:eastAsiaTheme="minorEastAsia"/>
          <w:b w:val="0"/>
          <w:bCs w:val="0"/>
        </w:rPr>
        <w:t>般公共预算财政拨款基本支出决算表</w:t>
      </w:r>
      <w:bookmarkEnd w:id="67"/>
    </w:p>
    <w:p>
      <w:pPr>
        <w:pStyle w:val="3"/>
        <w:spacing w:before="0" w:after="0" w:line="360" w:lineRule="auto"/>
        <w:rPr>
          <w:rFonts w:asciiTheme="minorEastAsia" w:hAnsiTheme="minorEastAsia" w:eastAsiaTheme="minorEastAsia"/>
          <w:color w:val="000000"/>
        </w:rPr>
      </w:pPr>
      <w:bookmarkStart w:id="68" w:name="_Toc15396627"/>
      <w:r>
        <w:rPr>
          <w:rStyle w:val="25"/>
          <w:rFonts w:hint="eastAsia" w:asciiTheme="minorEastAsia" w:hAnsiTheme="minorEastAsia" w:eastAsiaTheme="minorEastAsia"/>
          <w:b w:val="0"/>
          <w:bCs w:val="0"/>
        </w:rPr>
        <w:t>九、</w:t>
      </w:r>
      <w:r>
        <w:rPr>
          <w:rFonts w:hint="eastAsia" w:asciiTheme="minorEastAsia" w:hAnsiTheme="minorEastAsia" w:eastAsiaTheme="minorEastAsia"/>
          <w:b w:val="0"/>
          <w:color w:val="000000"/>
        </w:rPr>
        <w:t>一</w:t>
      </w:r>
      <w:r>
        <w:rPr>
          <w:rStyle w:val="25"/>
          <w:rFonts w:hint="eastAsia" w:asciiTheme="minorEastAsia" w:hAnsiTheme="minorEastAsia" w:eastAsiaTheme="minorEastAsia"/>
          <w:b w:val="0"/>
          <w:bCs w:val="0"/>
        </w:rPr>
        <w:t>般公共预算财政拨款项目支出决算表</w:t>
      </w:r>
      <w:bookmarkEnd w:id="68"/>
    </w:p>
    <w:p>
      <w:pPr>
        <w:pStyle w:val="3"/>
        <w:spacing w:before="0" w:after="0" w:line="360" w:lineRule="auto"/>
        <w:rPr>
          <w:rFonts w:asciiTheme="minorEastAsia" w:hAnsiTheme="minorEastAsia" w:eastAsiaTheme="minorEastAsia"/>
          <w:color w:val="000000"/>
        </w:rPr>
      </w:pPr>
      <w:bookmarkStart w:id="69" w:name="_Toc15396628"/>
      <w:r>
        <w:rPr>
          <w:rStyle w:val="25"/>
          <w:rFonts w:hint="eastAsia" w:asciiTheme="minorEastAsia" w:hAnsiTheme="minorEastAsia" w:eastAsiaTheme="minorEastAsia"/>
          <w:b w:val="0"/>
          <w:bCs w:val="0"/>
        </w:rPr>
        <w:t>十、</w:t>
      </w:r>
      <w:r>
        <w:rPr>
          <w:rFonts w:hint="eastAsia" w:asciiTheme="minorEastAsia" w:hAnsiTheme="minorEastAsia" w:eastAsiaTheme="minorEastAsia"/>
          <w:b w:val="0"/>
          <w:color w:val="000000"/>
        </w:rPr>
        <w:t>一</w:t>
      </w:r>
      <w:r>
        <w:rPr>
          <w:rStyle w:val="25"/>
          <w:rFonts w:hint="eastAsia" w:asciiTheme="minorEastAsia" w:hAnsiTheme="minorEastAsia" w:eastAsiaTheme="minorEastAsia"/>
          <w:b w:val="0"/>
          <w:bCs w:val="0"/>
        </w:rPr>
        <w:t>般公共预算财政拨款“三公”经费支出决算表</w:t>
      </w:r>
      <w:bookmarkEnd w:id="69"/>
    </w:p>
    <w:p>
      <w:pPr>
        <w:pStyle w:val="3"/>
        <w:spacing w:before="0" w:after="0" w:line="360" w:lineRule="auto"/>
        <w:rPr>
          <w:rFonts w:asciiTheme="minorEastAsia" w:hAnsiTheme="minorEastAsia" w:eastAsiaTheme="minorEastAsia"/>
          <w:color w:val="000000"/>
        </w:rPr>
      </w:pPr>
      <w:bookmarkStart w:id="70" w:name="_Toc15396629"/>
      <w:r>
        <w:rPr>
          <w:rStyle w:val="25"/>
          <w:rFonts w:hint="eastAsia" w:asciiTheme="minorEastAsia" w:hAnsiTheme="minorEastAsia" w:eastAsiaTheme="minorEastAsia"/>
          <w:b w:val="0"/>
          <w:bCs w:val="0"/>
        </w:rPr>
        <w:t>十一、</w:t>
      </w:r>
      <w:r>
        <w:rPr>
          <w:rFonts w:hint="eastAsia" w:asciiTheme="minorEastAsia" w:hAnsiTheme="minorEastAsia" w:eastAsiaTheme="minorEastAsia"/>
          <w:b w:val="0"/>
          <w:color w:val="000000"/>
        </w:rPr>
        <w:t>政</w:t>
      </w:r>
      <w:r>
        <w:rPr>
          <w:rStyle w:val="25"/>
          <w:rFonts w:hint="eastAsia" w:asciiTheme="minorEastAsia" w:hAnsiTheme="minorEastAsia" w:eastAsiaTheme="minorEastAsia"/>
          <w:b w:val="0"/>
          <w:bCs w:val="0"/>
        </w:rPr>
        <w:t>府性基金预算财政拨款收入支出决算表</w:t>
      </w:r>
      <w:bookmarkEnd w:id="70"/>
    </w:p>
    <w:p>
      <w:pPr>
        <w:pStyle w:val="3"/>
        <w:spacing w:before="0" w:after="0" w:line="360" w:lineRule="auto"/>
        <w:rPr>
          <w:rFonts w:asciiTheme="minorEastAsia" w:hAnsiTheme="minorEastAsia" w:eastAsiaTheme="minorEastAsia"/>
          <w:color w:val="000000"/>
        </w:rPr>
      </w:pPr>
      <w:bookmarkStart w:id="71" w:name="_Toc15396630"/>
      <w:r>
        <w:rPr>
          <w:rStyle w:val="25"/>
          <w:rFonts w:hint="eastAsia" w:asciiTheme="minorEastAsia" w:hAnsiTheme="minorEastAsia" w:eastAsiaTheme="minorEastAsia"/>
          <w:b w:val="0"/>
          <w:bCs w:val="0"/>
        </w:rPr>
        <w:t>十二、</w:t>
      </w:r>
      <w:r>
        <w:rPr>
          <w:rFonts w:hint="eastAsia" w:asciiTheme="minorEastAsia" w:hAnsiTheme="minorEastAsia" w:eastAsiaTheme="minorEastAsia"/>
          <w:b w:val="0"/>
          <w:color w:val="000000"/>
        </w:rPr>
        <w:t>政</w:t>
      </w:r>
      <w:r>
        <w:rPr>
          <w:rStyle w:val="25"/>
          <w:rFonts w:hint="eastAsia" w:asciiTheme="minorEastAsia" w:hAnsiTheme="minorEastAsia" w:eastAsiaTheme="minorEastAsia"/>
          <w:b w:val="0"/>
          <w:bCs w:val="0"/>
        </w:rPr>
        <w:t>府性基金预算财政拨款“三公”经费支出决算表</w:t>
      </w:r>
      <w:bookmarkEnd w:id="71"/>
    </w:p>
    <w:p>
      <w:pPr>
        <w:pStyle w:val="3"/>
        <w:spacing w:before="0" w:after="0" w:line="360" w:lineRule="auto"/>
        <w:rPr>
          <w:rFonts w:asciiTheme="minorEastAsia" w:hAnsiTheme="minorEastAsia" w:eastAsiaTheme="minorEastAsia"/>
          <w:b w:val="0"/>
          <w:color w:val="000000"/>
        </w:rPr>
      </w:pPr>
      <w:bookmarkStart w:id="72" w:name="_Toc15396631"/>
      <w:r>
        <w:rPr>
          <w:rStyle w:val="25"/>
          <w:rFonts w:hint="eastAsia" w:asciiTheme="minorEastAsia" w:hAnsiTheme="minorEastAsia" w:eastAsiaTheme="minorEastAsia"/>
          <w:b w:val="0"/>
          <w:bCs w:val="0"/>
        </w:rPr>
        <w:t>十三、</w:t>
      </w:r>
      <w:bookmarkEnd w:id="72"/>
      <w:r>
        <w:rPr>
          <w:rFonts w:hint="eastAsia" w:asciiTheme="minorEastAsia" w:hAnsiTheme="minorEastAsia" w:eastAsiaTheme="minorEastAsia"/>
          <w:b w:val="0"/>
          <w:color w:val="000000"/>
        </w:rPr>
        <w:t>国有资本经营预算财政拨款收入支出决算表</w:t>
      </w:r>
    </w:p>
    <w:p>
      <w:pPr>
        <w:pStyle w:val="3"/>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C4A1A"/>
    <w:multiLevelType w:val="singleLevel"/>
    <w:tmpl w:val="EEFC4A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32AD"/>
    <w:rsid w:val="00006F86"/>
    <w:rsid w:val="00020B59"/>
    <w:rsid w:val="000222C6"/>
    <w:rsid w:val="0002549F"/>
    <w:rsid w:val="000468DB"/>
    <w:rsid w:val="00046B99"/>
    <w:rsid w:val="0006487A"/>
    <w:rsid w:val="00065F8F"/>
    <w:rsid w:val="00070A43"/>
    <w:rsid w:val="000768F2"/>
    <w:rsid w:val="000878FD"/>
    <w:rsid w:val="0009184B"/>
    <w:rsid w:val="00094236"/>
    <w:rsid w:val="0009593C"/>
    <w:rsid w:val="00097322"/>
    <w:rsid w:val="000A1AB0"/>
    <w:rsid w:val="000A6A92"/>
    <w:rsid w:val="000B047F"/>
    <w:rsid w:val="000B5923"/>
    <w:rsid w:val="000B5A48"/>
    <w:rsid w:val="000B6FF3"/>
    <w:rsid w:val="000C3467"/>
    <w:rsid w:val="000C3CA6"/>
    <w:rsid w:val="000D1267"/>
    <w:rsid w:val="000D1D50"/>
    <w:rsid w:val="000D5782"/>
    <w:rsid w:val="000E6613"/>
    <w:rsid w:val="000E7119"/>
    <w:rsid w:val="000F756A"/>
    <w:rsid w:val="00114E9B"/>
    <w:rsid w:val="00142216"/>
    <w:rsid w:val="00144D6A"/>
    <w:rsid w:val="0014729F"/>
    <w:rsid w:val="00155A2E"/>
    <w:rsid w:val="00157BAB"/>
    <w:rsid w:val="001654D1"/>
    <w:rsid w:val="001703F9"/>
    <w:rsid w:val="001711E3"/>
    <w:rsid w:val="00174518"/>
    <w:rsid w:val="00177319"/>
    <w:rsid w:val="0018106D"/>
    <w:rsid w:val="001877A7"/>
    <w:rsid w:val="00191536"/>
    <w:rsid w:val="00196687"/>
    <w:rsid w:val="00196BBD"/>
    <w:rsid w:val="001C0962"/>
    <w:rsid w:val="001C4741"/>
    <w:rsid w:val="001D7531"/>
    <w:rsid w:val="001E737D"/>
    <w:rsid w:val="001E74FF"/>
    <w:rsid w:val="001F0592"/>
    <w:rsid w:val="001F7506"/>
    <w:rsid w:val="002006CD"/>
    <w:rsid w:val="00202B36"/>
    <w:rsid w:val="00204B7A"/>
    <w:rsid w:val="00204CDE"/>
    <w:rsid w:val="0021101A"/>
    <w:rsid w:val="00220536"/>
    <w:rsid w:val="00235629"/>
    <w:rsid w:val="002370FD"/>
    <w:rsid w:val="00260C38"/>
    <w:rsid w:val="002616C0"/>
    <w:rsid w:val="00265372"/>
    <w:rsid w:val="002662AA"/>
    <w:rsid w:val="00274573"/>
    <w:rsid w:val="00280496"/>
    <w:rsid w:val="00294DC9"/>
    <w:rsid w:val="00295495"/>
    <w:rsid w:val="002A31DE"/>
    <w:rsid w:val="002B2613"/>
    <w:rsid w:val="002B5DD3"/>
    <w:rsid w:val="002C1E69"/>
    <w:rsid w:val="002D19B0"/>
    <w:rsid w:val="002D6D05"/>
    <w:rsid w:val="002E2D8E"/>
    <w:rsid w:val="002F1818"/>
    <w:rsid w:val="002F567B"/>
    <w:rsid w:val="003216A9"/>
    <w:rsid w:val="00323ED2"/>
    <w:rsid w:val="00335A74"/>
    <w:rsid w:val="003418C0"/>
    <w:rsid w:val="0036561B"/>
    <w:rsid w:val="0037013F"/>
    <w:rsid w:val="0037519E"/>
    <w:rsid w:val="00380C92"/>
    <w:rsid w:val="003821DE"/>
    <w:rsid w:val="00385BA4"/>
    <w:rsid w:val="003A484F"/>
    <w:rsid w:val="003A4883"/>
    <w:rsid w:val="003B0BE0"/>
    <w:rsid w:val="003B0C1B"/>
    <w:rsid w:val="003B688C"/>
    <w:rsid w:val="003B7B2A"/>
    <w:rsid w:val="003C0291"/>
    <w:rsid w:val="003C39AE"/>
    <w:rsid w:val="003C4E0E"/>
    <w:rsid w:val="003C74B8"/>
    <w:rsid w:val="003C7B60"/>
    <w:rsid w:val="003D0C0F"/>
    <w:rsid w:val="003D1FB2"/>
    <w:rsid w:val="003D66DA"/>
    <w:rsid w:val="003E1310"/>
    <w:rsid w:val="003E4D48"/>
    <w:rsid w:val="003E5EA3"/>
    <w:rsid w:val="003E6F55"/>
    <w:rsid w:val="003F67A6"/>
    <w:rsid w:val="00406254"/>
    <w:rsid w:val="00416CD4"/>
    <w:rsid w:val="004223DE"/>
    <w:rsid w:val="00434489"/>
    <w:rsid w:val="00437085"/>
    <w:rsid w:val="00443880"/>
    <w:rsid w:val="004464F4"/>
    <w:rsid w:val="004629DC"/>
    <w:rsid w:val="00471401"/>
    <w:rsid w:val="00473F31"/>
    <w:rsid w:val="0048263A"/>
    <w:rsid w:val="00483293"/>
    <w:rsid w:val="00487E5D"/>
    <w:rsid w:val="004A711F"/>
    <w:rsid w:val="004B199D"/>
    <w:rsid w:val="004B4690"/>
    <w:rsid w:val="004D3C4A"/>
    <w:rsid w:val="004E0A2D"/>
    <w:rsid w:val="004E206B"/>
    <w:rsid w:val="004E6DF7"/>
    <w:rsid w:val="004F0FBD"/>
    <w:rsid w:val="004F403E"/>
    <w:rsid w:val="004F55D3"/>
    <w:rsid w:val="005024D9"/>
    <w:rsid w:val="005054AD"/>
    <w:rsid w:val="00505A47"/>
    <w:rsid w:val="00512FDA"/>
    <w:rsid w:val="00520DA0"/>
    <w:rsid w:val="00524090"/>
    <w:rsid w:val="005269E5"/>
    <w:rsid w:val="00534422"/>
    <w:rsid w:val="00561B69"/>
    <w:rsid w:val="005664BB"/>
    <w:rsid w:val="00566FFA"/>
    <w:rsid w:val="0057481D"/>
    <w:rsid w:val="00575F0B"/>
    <w:rsid w:val="00581280"/>
    <w:rsid w:val="00582B22"/>
    <w:rsid w:val="0058486E"/>
    <w:rsid w:val="00585B33"/>
    <w:rsid w:val="0059014D"/>
    <w:rsid w:val="00593B35"/>
    <w:rsid w:val="005B5C64"/>
    <w:rsid w:val="005C6BD0"/>
    <w:rsid w:val="005C6C4C"/>
    <w:rsid w:val="005D1C8B"/>
    <w:rsid w:val="005D468D"/>
    <w:rsid w:val="005D5CED"/>
    <w:rsid w:val="005D6723"/>
    <w:rsid w:val="005F1A4C"/>
    <w:rsid w:val="005F383F"/>
    <w:rsid w:val="00605688"/>
    <w:rsid w:val="006070AF"/>
    <w:rsid w:val="00607E6C"/>
    <w:rsid w:val="006101B1"/>
    <w:rsid w:val="00614E44"/>
    <w:rsid w:val="0062270A"/>
    <w:rsid w:val="00622830"/>
    <w:rsid w:val="00623DA0"/>
    <w:rsid w:val="006263AF"/>
    <w:rsid w:val="00630AEF"/>
    <w:rsid w:val="006325F8"/>
    <w:rsid w:val="00633463"/>
    <w:rsid w:val="00634C9A"/>
    <w:rsid w:val="006440E4"/>
    <w:rsid w:val="00651DCD"/>
    <w:rsid w:val="0066237F"/>
    <w:rsid w:val="0066343B"/>
    <w:rsid w:val="00664777"/>
    <w:rsid w:val="006748A4"/>
    <w:rsid w:val="00681A31"/>
    <w:rsid w:val="00683E73"/>
    <w:rsid w:val="006A3141"/>
    <w:rsid w:val="006A5E34"/>
    <w:rsid w:val="006B02D0"/>
    <w:rsid w:val="006B2422"/>
    <w:rsid w:val="006B2B9A"/>
    <w:rsid w:val="006C1937"/>
    <w:rsid w:val="006C4555"/>
    <w:rsid w:val="006D068D"/>
    <w:rsid w:val="006D6228"/>
    <w:rsid w:val="006F020C"/>
    <w:rsid w:val="006F3697"/>
    <w:rsid w:val="006F58F9"/>
    <w:rsid w:val="00700309"/>
    <w:rsid w:val="00706C0D"/>
    <w:rsid w:val="007127B7"/>
    <w:rsid w:val="0071798E"/>
    <w:rsid w:val="00727533"/>
    <w:rsid w:val="007416B6"/>
    <w:rsid w:val="00746F48"/>
    <w:rsid w:val="0075404D"/>
    <w:rsid w:val="0076182A"/>
    <w:rsid w:val="00767B7E"/>
    <w:rsid w:val="00775F81"/>
    <w:rsid w:val="007770C3"/>
    <w:rsid w:val="00784D24"/>
    <w:rsid w:val="00785FBA"/>
    <w:rsid w:val="00786E4A"/>
    <w:rsid w:val="007875EB"/>
    <w:rsid w:val="00787901"/>
    <w:rsid w:val="0079426B"/>
    <w:rsid w:val="007A532D"/>
    <w:rsid w:val="007B3372"/>
    <w:rsid w:val="007D1682"/>
    <w:rsid w:val="007D255D"/>
    <w:rsid w:val="007D312A"/>
    <w:rsid w:val="007D3F19"/>
    <w:rsid w:val="007E23B0"/>
    <w:rsid w:val="007F0E44"/>
    <w:rsid w:val="007F1991"/>
    <w:rsid w:val="007F2C2F"/>
    <w:rsid w:val="007F55FC"/>
    <w:rsid w:val="007F5665"/>
    <w:rsid w:val="00800112"/>
    <w:rsid w:val="008013A4"/>
    <w:rsid w:val="00807CC8"/>
    <w:rsid w:val="008101BD"/>
    <w:rsid w:val="008101EF"/>
    <w:rsid w:val="00813348"/>
    <w:rsid w:val="008253BB"/>
    <w:rsid w:val="00833962"/>
    <w:rsid w:val="008361FA"/>
    <w:rsid w:val="0083706E"/>
    <w:rsid w:val="008408F6"/>
    <w:rsid w:val="00840EE8"/>
    <w:rsid w:val="008423A5"/>
    <w:rsid w:val="00842686"/>
    <w:rsid w:val="00850625"/>
    <w:rsid w:val="00853718"/>
    <w:rsid w:val="00855221"/>
    <w:rsid w:val="00860645"/>
    <w:rsid w:val="008652D4"/>
    <w:rsid w:val="00870E8C"/>
    <w:rsid w:val="00870F31"/>
    <w:rsid w:val="00871F71"/>
    <w:rsid w:val="00872BBF"/>
    <w:rsid w:val="00872FD8"/>
    <w:rsid w:val="00885AF4"/>
    <w:rsid w:val="00886F26"/>
    <w:rsid w:val="008939CD"/>
    <w:rsid w:val="008B768C"/>
    <w:rsid w:val="008C4DB1"/>
    <w:rsid w:val="008C4EAF"/>
    <w:rsid w:val="008C5176"/>
    <w:rsid w:val="008C7FD0"/>
    <w:rsid w:val="008D29A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6727"/>
    <w:rsid w:val="0096704E"/>
    <w:rsid w:val="0097099F"/>
    <w:rsid w:val="00971997"/>
    <w:rsid w:val="00971FFC"/>
    <w:rsid w:val="00975505"/>
    <w:rsid w:val="00976D7B"/>
    <w:rsid w:val="00980C78"/>
    <w:rsid w:val="0098660A"/>
    <w:rsid w:val="00991097"/>
    <w:rsid w:val="009931C3"/>
    <w:rsid w:val="009941E7"/>
    <w:rsid w:val="009B2C43"/>
    <w:rsid w:val="009B4EAE"/>
    <w:rsid w:val="009B7573"/>
    <w:rsid w:val="009C22F4"/>
    <w:rsid w:val="009C2E98"/>
    <w:rsid w:val="009C37FB"/>
    <w:rsid w:val="009C6BAD"/>
    <w:rsid w:val="009D3447"/>
    <w:rsid w:val="009D4711"/>
    <w:rsid w:val="009E60AD"/>
    <w:rsid w:val="009E7CB5"/>
    <w:rsid w:val="009F1185"/>
    <w:rsid w:val="009F18CD"/>
    <w:rsid w:val="009F2A13"/>
    <w:rsid w:val="009F3845"/>
    <w:rsid w:val="009F7527"/>
    <w:rsid w:val="00A039ED"/>
    <w:rsid w:val="00A03F38"/>
    <w:rsid w:val="00A04EB0"/>
    <w:rsid w:val="00A13CC1"/>
    <w:rsid w:val="00A16847"/>
    <w:rsid w:val="00A20875"/>
    <w:rsid w:val="00A237D8"/>
    <w:rsid w:val="00A268C4"/>
    <w:rsid w:val="00A307CD"/>
    <w:rsid w:val="00A331C8"/>
    <w:rsid w:val="00A35117"/>
    <w:rsid w:val="00A40A00"/>
    <w:rsid w:val="00A4142F"/>
    <w:rsid w:val="00A422EB"/>
    <w:rsid w:val="00A445BE"/>
    <w:rsid w:val="00A45BB7"/>
    <w:rsid w:val="00A55279"/>
    <w:rsid w:val="00A56DF2"/>
    <w:rsid w:val="00A56E6E"/>
    <w:rsid w:val="00A6264A"/>
    <w:rsid w:val="00A67AB5"/>
    <w:rsid w:val="00A733B2"/>
    <w:rsid w:val="00A741C2"/>
    <w:rsid w:val="00A91760"/>
    <w:rsid w:val="00A93B00"/>
    <w:rsid w:val="00A93C21"/>
    <w:rsid w:val="00AB55BF"/>
    <w:rsid w:val="00AB64C9"/>
    <w:rsid w:val="00AC32C4"/>
    <w:rsid w:val="00AC3C6A"/>
    <w:rsid w:val="00AD0F83"/>
    <w:rsid w:val="00AD3D86"/>
    <w:rsid w:val="00AD5620"/>
    <w:rsid w:val="00AD60B8"/>
    <w:rsid w:val="00AD656B"/>
    <w:rsid w:val="00AD7C1B"/>
    <w:rsid w:val="00AE16BA"/>
    <w:rsid w:val="00AE1EBE"/>
    <w:rsid w:val="00AF0B8B"/>
    <w:rsid w:val="00AF47A0"/>
    <w:rsid w:val="00B03C9D"/>
    <w:rsid w:val="00B060AE"/>
    <w:rsid w:val="00B10517"/>
    <w:rsid w:val="00B14E76"/>
    <w:rsid w:val="00B161B8"/>
    <w:rsid w:val="00B2048C"/>
    <w:rsid w:val="00B2705B"/>
    <w:rsid w:val="00B27D01"/>
    <w:rsid w:val="00B310B9"/>
    <w:rsid w:val="00B35F3F"/>
    <w:rsid w:val="00B36CBB"/>
    <w:rsid w:val="00B425E0"/>
    <w:rsid w:val="00B440AA"/>
    <w:rsid w:val="00B44B70"/>
    <w:rsid w:val="00B53C56"/>
    <w:rsid w:val="00B57DAF"/>
    <w:rsid w:val="00B61F3B"/>
    <w:rsid w:val="00B707EA"/>
    <w:rsid w:val="00B77EA6"/>
    <w:rsid w:val="00B81598"/>
    <w:rsid w:val="00B841F1"/>
    <w:rsid w:val="00B907DF"/>
    <w:rsid w:val="00B944D6"/>
    <w:rsid w:val="00BB4DF0"/>
    <w:rsid w:val="00BC289F"/>
    <w:rsid w:val="00BC2D50"/>
    <w:rsid w:val="00BC5361"/>
    <w:rsid w:val="00BC5460"/>
    <w:rsid w:val="00BC6578"/>
    <w:rsid w:val="00BC6B50"/>
    <w:rsid w:val="00BD0E25"/>
    <w:rsid w:val="00BD2666"/>
    <w:rsid w:val="00BE1676"/>
    <w:rsid w:val="00BF3C3D"/>
    <w:rsid w:val="00BF5BD6"/>
    <w:rsid w:val="00C03E31"/>
    <w:rsid w:val="00C10875"/>
    <w:rsid w:val="00C273A3"/>
    <w:rsid w:val="00C30E69"/>
    <w:rsid w:val="00C33E72"/>
    <w:rsid w:val="00C34164"/>
    <w:rsid w:val="00C354B2"/>
    <w:rsid w:val="00C35554"/>
    <w:rsid w:val="00C42709"/>
    <w:rsid w:val="00C43E8D"/>
    <w:rsid w:val="00C533CC"/>
    <w:rsid w:val="00C5751C"/>
    <w:rsid w:val="00C61BFC"/>
    <w:rsid w:val="00C62B85"/>
    <w:rsid w:val="00C65438"/>
    <w:rsid w:val="00C91CBB"/>
    <w:rsid w:val="00C97CE5"/>
    <w:rsid w:val="00CA0068"/>
    <w:rsid w:val="00CB4E70"/>
    <w:rsid w:val="00CC09B6"/>
    <w:rsid w:val="00CC666F"/>
    <w:rsid w:val="00CD1E3F"/>
    <w:rsid w:val="00CE44F6"/>
    <w:rsid w:val="00CE49DA"/>
    <w:rsid w:val="00CE7B61"/>
    <w:rsid w:val="00D00095"/>
    <w:rsid w:val="00D0058C"/>
    <w:rsid w:val="00D05231"/>
    <w:rsid w:val="00D114F0"/>
    <w:rsid w:val="00D13C99"/>
    <w:rsid w:val="00D20620"/>
    <w:rsid w:val="00D254F7"/>
    <w:rsid w:val="00D26091"/>
    <w:rsid w:val="00D2685C"/>
    <w:rsid w:val="00D34E7C"/>
    <w:rsid w:val="00D35066"/>
    <w:rsid w:val="00D35489"/>
    <w:rsid w:val="00D36AFE"/>
    <w:rsid w:val="00D51276"/>
    <w:rsid w:val="00D660B2"/>
    <w:rsid w:val="00D7035F"/>
    <w:rsid w:val="00D9003B"/>
    <w:rsid w:val="00D93007"/>
    <w:rsid w:val="00DA634F"/>
    <w:rsid w:val="00DA65AC"/>
    <w:rsid w:val="00DB1913"/>
    <w:rsid w:val="00DB646C"/>
    <w:rsid w:val="00DC410D"/>
    <w:rsid w:val="00DC5A81"/>
    <w:rsid w:val="00DC68CA"/>
    <w:rsid w:val="00DC7CBA"/>
    <w:rsid w:val="00DD73B7"/>
    <w:rsid w:val="00DF28BC"/>
    <w:rsid w:val="00DF34B9"/>
    <w:rsid w:val="00E01053"/>
    <w:rsid w:val="00E01D5E"/>
    <w:rsid w:val="00E0517B"/>
    <w:rsid w:val="00E07ACF"/>
    <w:rsid w:val="00E137A1"/>
    <w:rsid w:val="00E253DE"/>
    <w:rsid w:val="00E331A1"/>
    <w:rsid w:val="00E33202"/>
    <w:rsid w:val="00E336A9"/>
    <w:rsid w:val="00E43BE7"/>
    <w:rsid w:val="00E4469B"/>
    <w:rsid w:val="00E472B1"/>
    <w:rsid w:val="00E50624"/>
    <w:rsid w:val="00E568DF"/>
    <w:rsid w:val="00E628D9"/>
    <w:rsid w:val="00E64269"/>
    <w:rsid w:val="00E66797"/>
    <w:rsid w:val="00E81AF4"/>
    <w:rsid w:val="00E82267"/>
    <w:rsid w:val="00E853CE"/>
    <w:rsid w:val="00E867B6"/>
    <w:rsid w:val="00E87F08"/>
    <w:rsid w:val="00EA010F"/>
    <w:rsid w:val="00ED094A"/>
    <w:rsid w:val="00ED1B63"/>
    <w:rsid w:val="00ED3C1F"/>
    <w:rsid w:val="00ED4085"/>
    <w:rsid w:val="00ED420E"/>
    <w:rsid w:val="00ED4F55"/>
    <w:rsid w:val="00ED6FBE"/>
    <w:rsid w:val="00EE2F57"/>
    <w:rsid w:val="00EF07B9"/>
    <w:rsid w:val="00EF4C34"/>
    <w:rsid w:val="00EF4DA4"/>
    <w:rsid w:val="00EF77C6"/>
    <w:rsid w:val="00F05438"/>
    <w:rsid w:val="00F1361C"/>
    <w:rsid w:val="00F156F0"/>
    <w:rsid w:val="00F160C7"/>
    <w:rsid w:val="00F2408F"/>
    <w:rsid w:val="00F240E9"/>
    <w:rsid w:val="00F36D8F"/>
    <w:rsid w:val="00F417B1"/>
    <w:rsid w:val="00F44362"/>
    <w:rsid w:val="00F45853"/>
    <w:rsid w:val="00F602DF"/>
    <w:rsid w:val="00F61532"/>
    <w:rsid w:val="00F754A1"/>
    <w:rsid w:val="00F81FD9"/>
    <w:rsid w:val="00F841AA"/>
    <w:rsid w:val="00F84A94"/>
    <w:rsid w:val="00F87E96"/>
    <w:rsid w:val="00F90AE6"/>
    <w:rsid w:val="00F93243"/>
    <w:rsid w:val="00FA23E8"/>
    <w:rsid w:val="00FA2A39"/>
    <w:rsid w:val="00FB1BDF"/>
    <w:rsid w:val="00FC3D52"/>
    <w:rsid w:val="00FD3CC1"/>
    <w:rsid w:val="00FE1B53"/>
    <w:rsid w:val="00FE4EF6"/>
    <w:rsid w:val="00FE5CB0"/>
    <w:rsid w:val="00FF1450"/>
    <w:rsid w:val="00FF1E02"/>
    <w:rsid w:val="00FF30B4"/>
    <w:rsid w:val="10C055FF"/>
    <w:rsid w:val="16BB723D"/>
    <w:rsid w:val="240371BF"/>
    <w:rsid w:val="29FD04D3"/>
    <w:rsid w:val="319F7F4E"/>
    <w:rsid w:val="3A4649E6"/>
    <w:rsid w:val="4ECE2238"/>
    <w:rsid w:val="57E36E11"/>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4684-3C7C-4541-A843-DAE1404B55F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2494</Words>
  <Characters>14216</Characters>
  <Lines>118</Lines>
  <Paragraphs>33</Paragraphs>
  <TotalTime>284</TotalTime>
  <ScaleCrop>false</ScaleCrop>
  <LinksUpToDate>false</LinksUpToDate>
  <CharactersWithSpaces>16677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2021-10-15T03:16:00Z</dcterms:created>
  <dc:creator>曹颖</dc:creator>
  <cp:lastModifiedBy>尧冰松</cp:lastModifiedBy>
  <cp:lastPrinted>2020-07-23T02:58:00Z</cp:lastPrinted>
  <dcterms:modified xsi:type="dcterms:W3CDTF">2025-07-11T03:12:16Z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7366C36CD85042BABEF0C1476B249191</vt:lpwstr>
  </property>
</Properties>
</file>