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黑体" w:hAnsi="黑体" w:eastAsia="黑体" w:cs="黑体"/>
          <w:color w:val="000000"/>
          <w:sz w:val="32"/>
          <w:szCs w:val="32"/>
        </w:rPr>
      </w:pPr>
      <w:bookmarkStart w:id="0" w:name="_Toc15306267"/>
      <w:r>
        <w:rPr>
          <w:rFonts w:hint="eastAsia" w:ascii="黑体" w:hAnsi="黑体" w:eastAsia="黑体" w:cs="黑体"/>
          <w:color w:val="000000"/>
          <w:sz w:val="32"/>
          <w:szCs w:val="32"/>
        </w:rPr>
        <w:t>附件3</w:t>
      </w: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77193"/>
      <w:bookmarkStart w:id="3" w:name="_Toc15396475"/>
      <w:bookmarkStart w:id="4" w:name="_Toc15377425"/>
      <w:bookmarkStart w:id="5" w:name="_Toc15396597"/>
      <w:r>
        <w:rPr>
          <w:rFonts w:ascii="黑体" w:hAnsi="黑体" w:eastAsia="黑体"/>
          <w:color w:val="000000"/>
          <w:sz w:val="72"/>
          <w:szCs w:val="72"/>
        </w:rPr>
        <w:t>2020</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lang w:val="en-US" w:eastAsia="zh-CN"/>
        </w:rPr>
      </w:pPr>
      <w:bookmarkStart w:id="6" w:name="_Toc15396476"/>
      <w:bookmarkStart w:id="7" w:name="_Toc15377426"/>
      <w:bookmarkStart w:id="8" w:name="_Toc15396598"/>
      <w:bookmarkStart w:id="9" w:name="_Toc15378442"/>
      <w:bookmarkStart w:id="10" w:name="_Toc15377194"/>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val="en-US" w:eastAsia="zh-CN"/>
        </w:rPr>
        <w:t>峨眉山市人民政府</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lang w:val="en-US" w:eastAsia="zh-CN"/>
        </w:rPr>
        <w:t>办公室</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keepNext w:val="0"/>
        <w:keepLines w:val="0"/>
        <w:pageBreakBefore w:val="0"/>
        <w:widowControl/>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color w:val="000000"/>
          <w:sz w:val="44"/>
          <w:szCs w:val="44"/>
        </w:rPr>
      </w:pPr>
      <w:r>
        <w:rPr>
          <w:rFonts w:ascii="方正小标宋简体" w:hAnsi="宋体" w:eastAsia="方正小标宋简体"/>
          <w:color w:val="000000"/>
          <w:sz w:val="36"/>
          <w:szCs w:val="36"/>
        </w:rPr>
        <w:br w:type="page"/>
      </w:r>
      <w:r>
        <w:rPr>
          <w:rFonts w:hint="eastAsia" w:ascii="方正小标宋_GBK" w:hAnsi="方正小标宋_GBK" w:eastAsia="方正小标宋_GBK" w:cs="方正小标宋_GBK"/>
          <w:color w:val="000000"/>
          <w:sz w:val="44"/>
          <w:szCs w:val="44"/>
        </w:rPr>
        <w:t>目</w:t>
      </w:r>
      <w:r>
        <w:rPr>
          <w:rFonts w:hint="eastAsia" w:ascii="方正小标宋_GBK" w:hAnsi="方正小标宋_GBK" w:eastAsia="方正小标宋_GBK" w:cs="方正小标宋_GBK"/>
          <w:color w:val="000000"/>
          <w:sz w:val="44"/>
          <w:szCs w:val="44"/>
          <w:lang w:val="en-US" w:eastAsia="zh-CN"/>
        </w:rPr>
        <w:t xml:space="preserve">  </w:t>
      </w:r>
      <w:r>
        <w:rPr>
          <w:rFonts w:hint="eastAsia" w:ascii="方正小标宋_GBK" w:hAnsi="方正小标宋_GBK" w:eastAsia="方正小标宋_GBK" w:cs="方正小标宋_GBK"/>
          <w:color w:val="000000"/>
          <w:sz w:val="44"/>
          <w:szCs w:val="44"/>
        </w:rPr>
        <w:t>录</w:t>
      </w:r>
    </w:p>
    <w:p>
      <w:pPr>
        <w:pStyle w:val="8"/>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公开时间：2021年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autoSpaceDE/>
        <w:autoSpaceDN/>
        <w:bidi w:val="0"/>
        <w:adjustRightInd w:val="0"/>
        <w:snapToGrid w:val="0"/>
        <w:spacing w:before="0" w:line="600" w:lineRule="exact"/>
        <w:ind w:firstLine="320" w:firstLineChars="100"/>
        <w:jc w:val="left"/>
        <w:textAlignment w:val="auto"/>
        <w:rPr>
          <w:rFonts w:hint="eastAsia" w:ascii="黑体" w:hAnsi="黑体" w:eastAsia="黑体" w:cs="黑体"/>
          <w:sz w:val="32"/>
          <w:szCs w:val="32"/>
        </w:rPr>
      </w:pPr>
      <w:r>
        <w:rPr>
          <w:rFonts w:hint="eastAsia" w:ascii="黑体" w:hAnsi="黑体" w:eastAsia="黑体" w:cs="黑体"/>
          <w:sz w:val="32"/>
          <w:szCs w:val="32"/>
        </w:rPr>
        <w:t>第一部分 部门概况</w:t>
      </w:r>
      <w:r>
        <w:rPr>
          <w:rFonts w:hint="eastAsia" w:ascii="仿宋_GB2312" w:hAnsi="仿宋_GB2312" w:eastAsia="仿宋_GB2312" w:cs="仿宋_GB2312"/>
          <w:sz w:val="32"/>
          <w:szCs w:val="32"/>
          <w:lang w:val="en-US" w:eastAsia="zh-CN"/>
        </w:rPr>
        <w:t>...................................4</w:t>
      </w:r>
    </w:p>
    <w:p>
      <w:pPr>
        <w:pStyle w:val="8"/>
        <w:keepNext w:val="0"/>
        <w:keepLines w:val="0"/>
        <w:pageBreakBefore w:val="0"/>
        <w:kinsoku/>
        <w:wordWrap/>
        <w:overflowPunct/>
        <w:topLinePunct w:val="0"/>
        <w:autoSpaceDE/>
        <w:autoSpaceDN/>
        <w:bidi w:val="0"/>
        <w:adjustRightInd w:val="0"/>
        <w:snapToGrid w:val="0"/>
        <w:spacing w:before="0"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一、基本职能及主要工作</w:t>
      </w:r>
      <w:r>
        <w:rPr>
          <w:rFonts w:hint="eastAsia" w:ascii="仿宋_GB2312" w:hAnsi="仿宋_GB2312" w:eastAsia="仿宋_GB2312" w:cs="仿宋_GB2312"/>
          <w:sz w:val="32"/>
          <w:szCs w:val="32"/>
          <w:lang w:val="en-US" w:eastAsia="zh-CN"/>
        </w:rPr>
        <w:t>..............................4</w:t>
      </w:r>
    </w:p>
    <w:p>
      <w:pPr>
        <w:pStyle w:val="8"/>
        <w:keepNext w:val="0"/>
        <w:keepLines w:val="0"/>
        <w:pageBreakBefore w:val="0"/>
        <w:kinsoku/>
        <w:wordWrap/>
        <w:overflowPunct/>
        <w:topLinePunct w:val="0"/>
        <w:autoSpaceDE/>
        <w:autoSpaceDN/>
        <w:bidi w:val="0"/>
        <w:adjustRightInd w:val="0"/>
        <w:snapToGrid w:val="0"/>
        <w:spacing w:before="0"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sz w:val="32"/>
          <w:szCs w:val="32"/>
          <w:lang w:val="en-US" w:eastAsia="zh-CN"/>
        </w:rPr>
        <w:t>........................................10</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黑体" w:hAnsi="黑体" w:eastAsia="黑体" w:cs="黑体"/>
          <w:sz w:val="32"/>
          <w:szCs w:val="32"/>
        </w:rPr>
      </w:pP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部门决算情况说明</w:t>
      </w:r>
      <w:r>
        <w:rPr>
          <w:rFonts w:hint="eastAsia" w:ascii="仿宋_GB2312" w:hAnsi="仿宋_GB2312" w:eastAsia="仿宋_GB2312" w:cs="仿宋_GB2312"/>
          <w:sz w:val="32"/>
          <w:szCs w:val="32"/>
          <w:lang w:val="en-US" w:eastAsia="zh-CN"/>
        </w:rPr>
        <w:t>..........................11</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sz w:val="32"/>
          <w:szCs w:val="32"/>
          <w:lang w:val="en-US" w:eastAsia="zh-CN"/>
        </w:rPr>
        <w:t>.......................11</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sz w:val="32"/>
          <w:szCs w:val="32"/>
          <w:lang w:val="en-US" w:eastAsia="zh-CN"/>
        </w:rPr>
        <w:t>...............................12</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...............................12</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...............13</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...........14</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.......17</w:t>
      </w:r>
    </w:p>
    <w:p>
      <w:pPr>
        <w:pStyle w:val="8"/>
        <w:bidi w:val="0"/>
        <w:ind w:firstLine="320" w:firstLineChars="1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七、“三公”经费财政拨款支出决算情况说明</w:t>
      </w:r>
      <w:r>
        <w:rPr>
          <w:rFonts w:hint="eastAsia" w:ascii="仿宋_GB2312" w:hAnsi="仿宋_GB2312" w:eastAsia="仿宋_GB2312" w:cs="仿宋_GB2312"/>
          <w:sz w:val="32"/>
          <w:szCs w:val="32"/>
          <w:lang w:val="en-US" w:eastAsia="zh-CN"/>
        </w:rPr>
        <w:t>.............18</w:t>
      </w:r>
    </w:p>
    <w:p>
      <w:pPr>
        <w:pStyle w:val="8"/>
        <w:bidi w:val="0"/>
        <w:ind w:firstLine="320" w:firstLineChars="100"/>
        <w:jc w:val="both"/>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...................20</w:t>
      </w:r>
    </w:p>
    <w:p>
      <w:pPr>
        <w:pStyle w:val="8"/>
        <w:bidi w:val="0"/>
        <w:ind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 国有资本经营预算支出决算情况说明</w:t>
      </w:r>
      <w:r>
        <w:rPr>
          <w:rFonts w:hint="eastAsia" w:ascii="仿宋_GB2312" w:hAnsi="仿宋_GB2312" w:eastAsia="仿宋_GB2312" w:cs="仿宋_GB2312"/>
          <w:sz w:val="32"/>
          <w:szCs w:val="32"/>
          <w:lang w:val="en-US" w:eastAsia="zh-CN"/>
        </w:rPr>
        <w:t>...............20</w:t>
      </w:r>
    </w:p>
    <w:p>
      <w:pPr>
        <w:pStyle w:val="8"/>
        <w:bidi w:val="0"/>
        <w:ind w:firstLine="320" w:firstLineChars="100"/>
        <w:jc w:val="both"/>
        <w:rPr>
          <w:rFonts w:hint="default" w:ascii="仿宋_GB2312" w:hAnsi="仿宋_GB2312" w:eastAsia="仿宋_GB2312" w:cs="仿宋_GB2312"/>
          <w:sz w:val="32"/>
          <w:szCs w:val="32"/>
          <w:lang w:val="en-US"/>
        </w:rPr>
      </w:pPr>
      <w:r>
        <w:rPr>
          <w:rStyle w:val="14"/>
          <w:rFonts w:hint="eastAsia" w:ascii="仿宋_GB2312" w:hAnsi="仿宋_GB2312" w:eastAsia="仿宋_GB2312" w:cs="仿宋_GB2312"/>
          <w:color w:val="000000"/>
          <w:sz w:val="32"/>
          <w:szCs w:val="32"/>
          <w:u w:val="none"/>
        </w:rPr>
        <w:t>十、</w:t>
      </w:r>
      <w:r>
        <w:rPr>
          <w:rFonts w:hint="eastAsia" w:ascii="仿宋_GB2312" w:hAnsi="仿宋_GB2312" w:eastAsia="仿宋_GB2312" w:cs="仿宋_GB2312"/>
          <w:sz w:val="32"/>
          <w:szCs w:val="32"/>
        </w:rPr>
        <w:t>其他重要事项的情况说明</w:t>
      </w:r>
      <w:r>
        <w:rPr>
          <w:rFonts w:hint="eastAsia" w:ascii="仿宋_GB2312" w:hAnsi="仿宋_GB2312" w:eastAsia="仿宋_GB2312" w:cs="仿宋_GB2312"/>
          <w:sz w:val="32"/>
          <w:szCs w:val="32"/>
          <w:lang w:val="en-US" w:eastAsia="zh-CN"/>
        </w:rPr>
        <w:t>...........................20</w:t>
      </w:r>
    </w:p>
    <w:p>
      <w:pPr>
        <w:pStyle w:val="8"/>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lang w:val="en-US" w:eastAsia="zh-CN"/>
        </w:rPr>
        <w:t>.....................................30</w:t>
      </w:r>
    </w:p>
    <w:p>
      <w:pPr>
        <w:pStyle w:val="8"/>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default" w:ascii="黑体" w:hAnsi="黑体" w:eastAsia="黑体" w:cs="黑体"/>
          <w:sz w:val="32"/>
          <w:szCs w:val="32"/>
          <w:lang w:val="en-US"/>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lang w:val="en-US" w:eastAsia="zh-CN"/>
        </w:rPr>
        <w:t>.........................................34</w:t>
      </w:r>
    </w:p>
    <w:p>
      <w:pPr>
        <w:pStyle w:val="8"/>
        <w:keepNext w:val="0"/>
        <w:keepLines w:val="0"/>
        <w:pageBreakBefore w:val="0"/>
        <w:kinsoku/>
        <w:wordWrap/>
        <w:overflowPunct/>
        <w:topLinePunct w:val="0"/>
        <w:autoSpaceDE/>
        <w:autoSpaceDN/>
        <w:bidi w:val="0"/>
        <w:adjustRightInd w:val="0"/>
        <w:snapToGrid w:val="0"/>
        <w:spacing w:before="0" w:line="600" w:lineRule="exact"/>
        <w:ind w:firstLine="320" w:firstLineChars="100"/>
        <w:jc w:val="left"/>
        <w:textAlignment w:val="auto"/>
        <w:rPr>
          <w:rFonts w:hint="default" w:ascii="黑体" w:hAnsi="黑体" w:eastAsia="黑体" w:cs="黑体"/>
          <w:sz w:val="32"/>
          <w:szCs w:val="32"/>
          <w:lang w:val="en-US"/>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..............................................34</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p>
    <w:p>
      <w:pPr>
        <w:pStyle w:val="8"/>
        <w:keepNext w:val="0"/>
        <w:keepLines w:val="0"/>
        <w:pageBreakBefore w:val="0"/>
        <w:kinsoku/>
        <w:wordWrap/>
        <w:overflowPunct/>
        <w:topLinePunct w:val="0"/>
        <w:autoSpaceDE/>
        <w:autoSpaceDN/>
        <w:bidi w:val="0"/>
        <w:adjustRightInd w:val="0"/>
        <w:snapToGrid w:val="0"/>
        <w:spacing w:before="0" w:line="600" w:lineRule="exact"/>
        <w:ind w:firstLine="320" w:firstLineChars="100"/>
        <w:jc w:val="left"/>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val="en-US" w:eastAsia="zh-CN"/>
        </w:rPr>
        <w:t>..............................................40</w:t>
      </w:r>
    </w:p>
    <w:p>
      <w:pPr>
        <w:pStyle w:val="8"/>
        <w:keepNext w:val="0"/>
        <w:keepLines w:val="0"/>
        <w:pageBreakBefore w:val="0"/>
        <w:kinsoku/>
        <w:wordWrap/>
        <w:overflowPunct/>
        <w:topLinePunct w:val="0"/>
        <w:autoSpaceDE/>
        <w:autoSpaceDN/>
        <w:bidi w:val="0"/>
        <w:adjustRightInd w:val="0"/>
        <w:snapToGrid w:val="0"/>
        <w:spacing w:before="0"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第五部分 附表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pPr>
        <w:pStyle w:val="10"/>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pPr>
        <w:keepNext w:val="0"/>
        <w:keepLines w:val="0"/>
        <w:pageBreakBefore w:val="0"/>
        <w:widowControl/>
        <w:kinsoku/>
        <w:wordWrap/>
        <w:overflowPunct/>
        <w:topLinePunct w:val="0"/>
        <w:autoSpaceDE/>
        <w:autoSpaceDN/>
        <w:bidi w:val="0"/>
        <w:spacing w:line="600" w:lineRule="exact"/>
        <w:jc w:val="left"/>
        <w:textAlignment w:val="auto"/>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pageBreakBefore w:val="0"/>
        <w:kinsoku/>
        <w:wordWrap/>
        <w:overflowPunct/>
        <w:topLinePunct w:val="0"/>
        <w:bidi w:val="0"/>
        <w:spacing w:line="600" w:lineRule="exact"/>
        <w:jc w:val="center"/>
        <w:textAlignment w:val="auto"/>
        <w:rPr>
          <w:rFonts w:ascii="黑体" w:eastAsia="黑体"/>
          <w:color w:val="000000"/>
          <w:sz w:val="32"/>
          <w:szCs w:val="32"/>
        </w:rPr>
      </w:pPr>
      <w:r>
        <w:rPr>
          <w:rFonts w:hint="eastAsia" w:ascii="黑体" w:hAnsi="黑体" w:eastAsia="黑体"/>
          <w:b w:val="0"/>
        </w:rPr>
        <w:t>第一部分</w:t>
      </w:r>
      <w:r>
        <w:rPr>
          <w:rFonts w:ascii="黑体" w:hAnsi="黑体" w:eastAsia="黑体"/>
          <w:b w:val="0"/>
        </w:rPr>
        <w:t xml:space="preserve"> </w:t>
      </w:r>
      <w:r>
        <w:rPr>
          <w:rStyle w:val="15"/>
          <w:rFonts w:hint="eastAsia" w:ascii="黑体" w:hAnsi="黑体" w:eastAsia="黑体"/>
          <w:b w:val="0"/>
          <w:bCs w:val="0"/>
        </w:rPr>
        <w:t>部门概况</w:t>
      </w:r>
      <w:bookmarkEnd w:id="12"/>
      <w:bookmarkEnd w:id="13"/>
    </w:p>
    <w:p>
      <w:pPr>
        <w:pStyle w:val="4"/>
        <w:pageBreakBefore w:val="0"/>
        <w:kinsoku/>
        <w:wordWrap/>
        <w:overflowPunct/>
        <w:topLinePunct w:val="0"/>
        <w:bidi w:val="0"/>
        <w:spacing w:line="600" w:lineRule="exact"/>
        <w:textAlignment w:val="auto"/>
        <w:rPr>
          <w:rStyle w:val="16"/>
          <w:rFonts w:ascii="仿宋" w:hAnsi="仿宋" w:eastAsia="仿宋"/>
          <w:b w:val="0"/>
          <w:bCs w:val="0"/>
        </w:rPr>
      </w:pPr>
      <w:bookmarkStart w:id="14" w:name="_Toc15377197"/>
      <w:bookmarkStart w:id="15" w:name="_Toc15396600"/>
      <w:r>
        <w:rPr>
          <w:rFonts w:hint="eastAsia" w:ascii="黑体" w:hAnsi="黑体" w:eastAsia="黑体"/>
          <w:b w:val="0"/>
          <w:color w:val="000000"/>
        </w:rPr>
        <w:t>一、基</w:t>
      </w:r>
      <w:r>
        <w:rPr>
          <w:rStyle w:val="16"/>
          <w:rFonts w:hint="eastAsia" w:ascii="黑体" w:hAnsi="黑体" w:eastAsia="黑体"/>
          <w:b w:val="0"/>
          <w:bCs w:val="0"/>
        </w:rPr>
        <w:t>本职能及主要工作</w:t>
      </w:r>
      <w:bookmarkEnd w:id="14"/>
      <w:bookmarkEnd w:id="15"/>
    </w:p>
    <w:p>
      <w:pPr>
        <w:ind w:firstLine="645"/>
        <w:rPr>
          <w:rFonts w:hint="eastAsia" w:ascii="仿宋_GB2312" w:hAnsi="仿宋_GB2312" w:eastAsia="仿宋_GB2312" w:cs="仿宋_GB2312"/>
          <w:bCs/>
          <w:color w:val="000000"/>
          <w:sz w:val="32"/>
          <w:szCs w:val="32"/>
        </w:rPr>
      </w:pPr>
      <w:bookmarkStart w:id="16" w:name="_Toc15377198"/>
      <w:bookmarkStart w:id="17" w:name="_Toc15378445"/>
      <w:r>
        <w:rPr>
          <w:rFonts w:hint="eastAsia" w:ascii="仿宋" w:hAnsi="仿宋" w:eastAsia="仿宋"/>
          <w:bCs/>
          <w:color w:val="000000"/>
          <w:sz w:val="32"/>
          <w:szCs w:val="32"/>
        </w:rPr>
        <w:t>（</w:t>
      </w:r>
      <w:r>
        <w:rPr>
          <w:rFonts w:hint="eastAsia" w:ascii="仿宋_GB2312" w:hAnsi="仿宋_GB2312" w:eastAsia="仿宋_GB2312" w:cs="仿宋_GB2312"/>
          <w:bCs/>
          <w:color w:val="000000"/>
          <w:sz w:val="32"/>
          <w:szCs w:val="32"/>
        </w:rPr>
        <w:t>一）主要职能。</w:t>
      </w:r>
      <w:bookmarkEnd w:id="16"/>
      <w:bookmarkEnd w:id="17"/>
      <w:bookmarkStart w:id="18" w:name="_Toc15378446"/>
      <w:bookmarkStart w:id="19" w:name="_Toc15377199"/>
    </w:p>
    <w:p>
      <w:pPr>
        <w:spacing w:line="560" w:lineRule="exact"/>
        <w:ind w:firstLine="641"/>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eastAsia="zh-CN"/>
        </w:rPr>
        <w:t>（1）负责市政府、市政府办公室日常文书处理和事务工作。（2）负责市政府会议的筹备工作，协助市政府领导组织实施会议决定事项。（3）组织起草或审核以市政府、市政府办公室名义发布的公文。（4）研究市政府各部门和各镇</w:t>
      </w:r>
      <w:r>
        <w:rPr>
          <w:rFonts w:hint="eastAsia" w:ascii="仿宋_GB2312" w:hAnsi="宋体" w:eastAsia="仿宋_GB2312" w:cs="Times New Roman"/>
          <w:sz w:val="32"/>
          <w:szCs w:val="32"/>
          <w:lang w:val="en-US" w:eastAsia="zh-CN"/>
        </w:rPr>
        <w:t>(乡)</w:t>
      </w:r>
      <w:r>
        <w:rPr>
          <w:rFonts w:hint="eastAsia" w:ascii="仿宋_GB2312" w:hAnsi="宋体" w:eastAsia="仿宋_GB2312" w:cs="Times New Roman"/>
          <w:sz w:val="32"/>
          <w:szCs w:val="32"/>
          <w:lang w:eastAsia="zh-CN"/>
        </w:rPr>
        <w:t>政府请示市政府的事项，提出审核意见后，报市政府审批。（5）负责市政府领导参加的重要公务活动的安排和组织工作。（6）围绕政府总体工作部署，组织开展调查研究，提出建议。（7）指导、监督全市人民政府信息公开工作，负责全市政府系统政务信息收集和编报工作，反映各方面动态。（8）督促检查市政府各部门和各镇</w:t>
      </w:r>
      <w:r>
        <w:rPr>
          <w:rFonts w:hint="eastAsia" w:ascii="仿宋_GB2312" w:hAnsi="宋体" w:eastAsia="仿宋_GB2312" w:cs="Times New Roman"/>
          <w:sz w:val="32"/>
          <w:szCs w:val="32"/>
          <w:lang w:val="en-US" w:eastAsia="zh-CN"/>
        </w:rPr>
        <w:t>(乡)</w:t>
      </w:r>
      <w:r>
        <w:rPr>
          <w:rFonts w:hint="eastAsia" w:ascii="仿宋_GB2312" w:hAnsi="宋体" w:eastAsia="仿宋_GB2312" w:cs="Times New Roman"/>
          <w:sz w:val="32"/>
          <w:szCs w:val="32"/>
          <w:lang w:eastAsia="zh-CN"/>
        </w:rPr>
        <w:t>政府对市政府公文、决定事项及省、市、县领导有关指示的执行落实情况。（9）组织办理和答复人大代表建议和政协委员提案。（10）负责市人民政府值班工作，及时报告重要情况，传达和督促落实市政府领导指示；负责乐山市“心连心服务热线”交办转办事项的催办、督办、回访等工作。（11）负责市人民政府机关大院行政事务、安全保卫和有关公务服务工作。（12）承办市委、市人民政府交办的其他事项。</w:t>
      </w:r>
    </w:p>
    <w:p>
      <w:pPr>
        <w:pStyle w:val="5"/>
        <w:pageBreakBefore w:val="0"/>
        <w:kinsoku/>
        <w:wordWrap/>
        <w:overflowPunct/>
        <w:topLinePunct w:val="0"/>
        <w:bidi w:val="0"/>
        <w:adjustRightInd w:val="0"/>
        <w:snapToGrid w:val="0"/>
        <w:spacing w:before="93" w:line="600" w:lineRule="exact"/>
        <w:ind w:firstLine="672" w:firstLineChars="210"/>
        <w:textAlignment w:val="auto"/>
        <w:outlineLvl w:val="2"/>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（二）2020年重点工作完成情况。</w:t>
      </w:r>
      <w:bookmarkEnd w:id="18"/>
      <w:bookmarkEnd w:id="19"/>
    </w:p>
    <w:p>
      <w:pPr>
        <w:spacing w:line="560" w:lineRule="exact"/>
        <w:ind w:firstLine="64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党的建设</w:t>
      </w:r>
      <w:r>
        <w:rPr>
          <w:rFonts w:hint="eastAsia" w:ascii="楷体_GB2312" w:hAnsi="楷体_GB2312" w:eastAsia="楷体_GB2312" w:cs="楷体_GB2312"/>
          <w:sz w:val="32"/>
          <w:szCs w:val="32"/>
          <w:lang w:eastAsia="zh-CN"/>
        </w:rPr>
        <w:t>持续向好发展</w:t>
      </w:r>
    </w:p>
    <w:p>
      <w:pPr>
        <w:spacing w:line="560" w:lineRule="exact"/>
        <w:ind w:firstLine="641"/>
        <w:rPr>
          <w:rFonts w:hint="eastAsia" w:ascii="仿宋_GB2312" w:hAnsi="宋体" w:eastAsia="仿宋_GB2312" w:cs="Times New Roman"/>
          <w:sz w:val="32"/>
          <w:szCs w:val="32"/>
        </w:rPr>
      </w:pPr>
      <w:r>
        <w:rPr>
          <w:rFonts w:hint="eastAsia" w:ascii="仿宋_GB2312" w:hAnsi="宋体" w:eastAsia="仿宋_GB2312" w:cs="Times New Roman"/>
          <w:sz w:val="32"/>
          <w:szCs w:val="32"/>
        </w:rPr>
        <w:t>一是</w:t>
      </w:r>
      <w:r>
        <w:rPr>
          <w:rFonts w:hint="eastAsia" w:ascii="仿宋_GB2312" w:hAnsi="宋体" w:eastAsia="仿宋_GB2312" w:cs="Times New Roman"/>
          <w:sz w:val="32"/>
          <w:szCs w:val="32"/>
          <w:lang w:eastAsia="zh-CN"/>
        </w:rPr>
        <w:t>持续推进“不忘初心、牢记使命”主题教育成果转化</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持续推进党建工作，迎接省委巡视和市委组织部检查各</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次，其中省委巡视发现问题</w:t>
      </w:r>
      <w:r>
        <w:rPr>
          <w:rFonts w:hint="eastAsia" w:ascii="仿宋_GB2312" w:hAnsi="宋体" w:eastAsia="仿宋_GB2312" w:cs="Times New Roman"/>
          <w:sz w:val="32"/>
          <w:szCs w:val="32"/>
          <w:lang w:val="en-US" w:eastAsia="zh-CN"/>
        </w:rPr>
        <w:t>2个，整改2个</w:t>
      </w:r>
      <w:r>
        <w:rPr>
          <w:rFonts w:hint="eastAsia" w:ascii="仿宋_GB2312" w:hAnsi="宋体" w:eastAsia="仿宋_GB2312" w:cs="Times New Roman"/>
          <w:sz w:val="32"/>
          <w:szCs w:val="32"/>
          <w:lang w:eastAsia="zh-CN"/>
        </w:rPr>
        <w:t>；二是推动基层党组织规范化建设。调整配强了下属</w:t>
      </w:r>
      <w:r>
        <w:rPr>
          <w:rFonts w:hint="eastAsia" w:ascii="仿宋_GB2312" w:hAnsi="宋体" w:eastAsia="仿宋_GB2312" w:cs="Times New Roman"/>
          <w:sz w:val="32"/>
          <w:szCs w:val="32"/>
          <w:lang w:val="en-US" w:eastAsia="zh-CN"/>
        </w:rPr>
        <w:t>3个支部的班子，严格按照“支部中行政职务较高的人担任支部书记”的要求，为3个支部配齐了领头羊。</w:t>
      </w:r>
      <w:r>
        <w:rPr>
          <w:rFonts w:hint="eastAsia" w:ascii="仿宋_GB2312" w:hAnsi="宋体" w:eastAsia="仿宋_GB2312" w:cs="Times New Roman"/>
          <w:sz w:val="32"/>
          <w:szCs w:val="32"/>
        </w:rPr>
        <w:t>按期</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7+N”</w:t>
      </w:r>
      <w:r>
        <w:rPr>
          <w:rFonts w:hint="eastAsia" w:ascii="仿宋_GB2312" w:hAnsi="宋体" w:eastAsia="仿宋_GB2312" w:cs="Times New Roman"/>
          <w:sz w:val="32"/>
          <w:szCs w:val="32"/>
        </w:rPr>
        <w:t>主题党日活动</w:t>
      </w:r>
      <w:r>
        <w:rPr>
          <w:rFonts w:hint="eastAsia" w:ascii="仿宋_GB2312" w:hAnsi="宋体" w:eastAsia="仿宋_GB2312" w:cs="Times New Roman"/>
          <w:sz w:val="32"/>
          <w:szCs w:val="32"/>
          <w:lang w:eastAsia="zh-CN"/>
        </w:rPr>
        <w:t>要求</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积极组织支部活动，较好的完成了各项党建工作任务；三是推动</w:t>
      </w:r>
      <w:r>
        <w:rPr>
          <w:rFonts w:hint="eastAsia" w:ascii="仿宋_GB2312" w:hAnsi="宋体" w:eastAsia="仿宋_GB2312" w:cs="Times New Roman"/>
          <w:sz w:val="32"/>
          <w:szCs w:val="32"/>
        </w:rPr>
        <w:t>党风廉政建设</w:t>
      </w:r>
      <w:r>
        <w:rPr>
          <w:rFonts w:hint="eastAsia" w:ascii="仿宋_GB2312" w:hAnsi="宋体" w:eastAsia="仿宋_GB2312" w:cs="Times New Roman"/>
          <w:sz w:val="32"/>
          <w:szCs w:val="32"/>
          <w:lang w:eastAsia="zh-CN"/>
        </w:rPr>
        <w:t>工作</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出台了</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市政府办公室党组全面从严治党实施意见</w:t>
      </w:r>
      <w:r>
        <w:rPr>
          <w:rFonts w:hint="eastAsia" w:ascii="仿宋_GB2312" w:hAnsi="宋体" w:eastAsia="仿宋_GB2312" w:cs="Times New Roman"/>
          <w:sz w:val="32"/>
          <w:szCs w:val="32"/>
        </w:rPr>
        <w:t>》，</w:t>
      </w:r>
      <w:r>
        <w:rPr>
          <w:rFonts w:hint="eastAsia" w:ascii="仿宋_GB2312" w:hAnsi="宋体" w:eastAsia="仿宋_GB2312" w:cs="Times New Roman"/>
          <w:sz w:val="32"/>
          <w:szCs w:val="32"/>
          <w:lang w:eastAsia="zh-CN"/>
        </w:rPr>
        <w:t>全年无一起违规违纪现象发生；四是抓好了意识形态工作。党组会专题研究意识形态工作</w:t>
      </w:r>
      <w:r>
        <w:rPr>
          <w:rFonts w:hint="eastAsia" w:ascii="仿宋_GB2312" w:hAnsi="宋体" w:eastAsia="仿宋_GB2312" w:cs="Times New Roman"/>
          <w:sz w:val="32"/>
          <w:szCs w:val="32"/>
          <w:lang w:val="en-US" w:eastAsia="zh-CN"/>
        </w:rPr>
        <w:t>2次，全年听取意识形态工作汇报4次</w:t>
      </w:r>
      <w:r>
        <w:rPr>
          <w:rFonts w:hint="eastAsia" w:ascii="仿宋_GB2312" w:hAnsi="宋体" w:eastAsia="仿宋_GB2312" w:cs="Times New Roman"/>
          <w:sz w:val="32"/>
          <w:szCs w:val="32"/>
        </w:rPr>
        <w:t>。</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lang w:eastAsia="zh-CN"/>
        </w:rPr>
        <w:t>信息调研工作硕果累累</w:t>
      </w:r>
    </w:p>
    <w:p>
      <w:pPr>
        <w:spacing w:line="560" w:lineRule="exact"/>
        <w:ind w:firstLine="641"/>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始终将服务于全市经济建设、服务于领导决策作为工作出发点，恪尽职守抓好信息调研，当好参谋助手，做好“笔杆子”。撰写、修改政府工作报告、卫生城市创建、经济工作会等领导讲话、工作汇报、方案</w:t>
      </w:r>
      <w:r>
        <w:rPr>
          <w:rFonts w:hint="eastAsia" w:ascii="仿宋_GB2312" w:hAnsi="宋体" w:eastAsia="仿宋_GB2312" w:cs="Times New Roman"/>
          <w:sz w:val="32"/>
          <w:szCs w:val="32"/>
          <w:lang w:val="en-US" w:eastAsia="zh-CN"/>
        </w:rPr>
        <w:t>200余篇。</w:t>
      </w:r>
      <w:r>
        <w:rPr>
          <w:rFonts w:hint="eastAsia" w:ascii="仿宋_GB2312" w:hAnsi="宋体" w:eastAsia="仿宋_GB2312" w:cs="Times New Roman"/>
          <w:sz w:val="32"/>
          <w:szCs w:val="32"/>
          <w:lang w:eastAsia="zh-CN"/>
        </w:rPr>
        <w:t>深入部门和企业，深入基层和一线，坚持把握内情，走出去、带回来，将掌握的一手资料整理汇总形成报告，撰写《峨眉山市文旅转型思考》被省政研室《政务》刊发，参与写作《助农奔康的新探索—峨眉山市国家现代农业产业园调查》列入省政研室《领导参阅》，被尧斯丹副省长、彭琳书记、张彤市长批示并得到认可。编辑《峨眉政情》</w:t>
      </w:r>
      <w:r>
        <w:rPr>
          <w:rFonts w:hint="eastAsia" w:ascii="仿宋_GB2312" w:hAnsi="宋体" w:eastAsia="仿宋_GB2312" w:cs="Times New Roman"/>
          <w:sz w:val="32"/>
          <w:szCs w:val="32"/>
          <w:lang w:val="en-US" w:eastAsia="zh-CN"/>
        </w:rPr>
        <w:t>22期，上报各类信息300余篇，其中做大峨眉山茶产业、</w:t>
      </w:r>
      <w:r>
        <w:rPr>
          <w:rFonts w:hint="eastAsia" w:ascii="仿宋_GB2312" w:hAnsi="宋体" w:eastAsia="仿宋_GB2312" w:cs="Times New Roman"/>
          <w:sz w:val="32"/>
          <w:szCs w:val="32"/>
          <w:lang w:eastAsia="zh-CN"/>
        </w:rPr>
        <w:t>峨眉山市推进“互联网+医疗健康”的主要案例等信息被国务院国办要情采用，峨眉山市多举措做靓休闲农业、人才引进工作存在的问题及建议、峨眉山市精准推进金融支持新消费试点等信息被省政府川政晨讯采用，金融支持新消费领域试点的主要做法、存在的问题及建议、峨眉山市促进有效投资等专报被乐山市采用。</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lang w:eastAsia="zh-CN"/>
        </w:rPr>
        <w:t>综合服务工作保障有力</w:t>
      </w:r>
    </w:p>
    <w:p>
      <w:pPr>
        <w:spacing w:line="560" w:lineRule="exact"/>
        <w:ind w:firstLine="64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eastAsia="zh-CN"/>
        </w:rPr>
        <w:t>一是严格核发文件。</w:t>
      </w:r>
      <w:r>
        <w:rPr>
          <w:rFonts w:hint="eastAsia" w:ascii="仿宋_GB2312" w:hAnsi="宋体" w:eastAsia="仿宋_GB2312" w:cs="Times New Roman"/>
          <w:sz w:val="32"/>
          <w:szCs w:val="32"/>
        </w:rPr>
        <w:t>大力精简文件</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严控发文规格。</w:t>
      </w:r>
      <w:r>
        <w:rPr>
          <w:rFonts w:hint="eastAsia" w:ascii="仿宋_GB2312" w:hAnsi="宋体" w:eastAsia="仿宋_GB2312" w:cs="Times New Roman"/>
          <w:sz w:val="32"/>
          <w:szCs w:val="32"/>
          <w:lang w:eastAsia="zh-CN"/>
        </w:rPr>
        <w:t>同时，从文种、格式、</w:t>
      </w:r>
      <w:r>
        <w:rPr>
          <w:rFonts w:hint="eastAsia" w:ascii="仿宋_GB2312" w:hAnsi="宋体" w:eastAsia="仿宋_GB2312" w:cs="Times New Roman"/>
          <w:sz w:val="32"/>
          <w:szCs w:val="32"/>
        </w:rPr>
        <w:t>内容</w:t>
      </w:r>
      <w:r>
        <w:rPr>
          <w:rFonts w:hint="eastAsia" w:ascii="仿宋_GB2312" w:hAnsi="宋体" w:eastAsia="仿宋_GB2312" w:cs="Times New Roman"/>
          <w:sz w:val="32"/>
          <w:szCs w:val="32"/>
          <w:lang w:eastAsia="zh-CN"/>
        </w:rPr>
        <w:t>等方面严格审核每一份文件，</w:t>
      </w:r>
      <w:r>
        <w:rPr>
          <w:rFonts w:hint="eastAsia" w:ascii="仿宋_GB2312" w:hAnsi="宋体" w:eastAsia="仿宋_GB2312" w:cs="Times New Roman"/>
          <w:sz w:val="32"/>
          <w:szCs w:val="32"/>
        </w:rPr>
        <w:t>确保公文规范性。</w:t>
      </w:r>
      <w:r>
        <w:rPr>
          <w:rFonts w:hint="eastAsia" w:ascii="仿宋_GB2312" w:hAnsi="宋体" w:eastAsia="仿宋_GB2312" w:cs="Times New Roman"/>
          <w:sz w:val="32"/>
          <w:szCs w:val="32"/>
          <w:lang w:eastAsia="zh-CN"/>
        </w:rPr>
        <w:t>全年</w:t>
      </w:r>
      <w:r>
        <w:rPr>
          <w:rFonts w:hint="eastAsia" w:ascii="仿宋_GB2312" w:hAnsi="宋体" w:eastAsia="仿宋_GB2312" w:cs="Times New Roman"/>
          <w:sz w:val="32"/>
          <w:szCs w:val="32"/>
          <w:lang w:val="en-US" w:eastAsia="zh-CN"/>
        </w:rPr>
        <w:t>共核发通知、请示、批复、报告、通报、公告等各类文件771件</w:t>
      </w:r>
      <w:r>
        <w:rPr>
          <w:rFonts w:hint="eastAsia" w:ascii="仿宋_GB2312" w:hAnsi="宋体" w:eastAsia="仿宋_GB2312" w:cs="Times New Roman"/>
          <w:sz w:val="32"/>
          <w:szCs w:val="32"/>
          <w:lang w:eastAsia="zh-CN"/>
        </w:rPr>
        <w:t>；二是提高会议质量。</w:t>
      </w:r>
      <w:r>
        <w:rPr>
          <w:rFonts w:hint="eastAsia" w:ascii="仿宋_GB2312" w:hAnsi="宋体" w:eastAsia="仿宋_GB2312" w:cs="Times New Roman"/>
          <w:sz w:val="32"/>
          <w:szCs w:val="32"/>
          <w:lang w:val="en-US" w:eastAsia="zh-CN"/>
        </w:rPr>
        <w:t>按要求认真拟定各类会议方案、调研方案，协调领导、部门参会，做好会务工作。全年共召开5次全市性大会、20次常务会，共办理各类会议、各类调研1450件次；三是优化办文程序。化公文、领导批示流转程序，坚持原则性与灵活性统一，急事急办，确保重要工作、重大事项及时上传下达。全年共办理各级来文5575件，共办理领导批示918件；四是畅通办文桥梁。从格式、内容、逻辑等方面对部门请示进行严格把关，不符合要求、请示事项不成熟的一律退文再修改再征求意见。全年共流转各乡镇（街道）、各部门请示事项2162件。规范涉密文件管理。全年共闭环流转各级涉密文件475件，全年未发生失泄密事件。</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热线服务切实发挥作用</w:t>
      </w:r>
    </w:p>
    <w:p>
      <w:pPr>
        <w:spacing w:line="240" w:lineRule="auto"/>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rPr>
        <w:t>20</w:t>
      </w:r>
      <w:r>
        <w:rPr>
          <w:rFonts w:hint="eastAsia" w:ascii="仿宋_GB2312" w:hAnsi="宋体" w:eastAsia="仿宋_GB2312" w:cs="Times New Roman"/>
          <w:sz w:val="32"/>
          <w:szCs w:val="32"/>
          <w:lang w:val="en-US" w:eastAsia="zh-CN"/>
        </w:rPr>
        <w:t>20</w:t>
      </w:r>
      <w:r>
        <w:rPr>
          <w:rFonts w:hint="eastAsia" w:ascii="仿宋_GB2312" w:hAnsi="宋体" w:eastAsia="仿宋_GB2312" w:cs="Times New Roman"/>
          <w:sz w:val="32"/>
          <w:szCs w:val="32"/>
        </w:rPr>
        <w:t>年1月1日至</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31</w:t>
      </w:r>
      <w:r>
        <w:rPr>
          <w:rFonts w:hint="eastAsia" w:ascii="仿宋_GB2312" w:hAnsi="宋体" w:eastAsia="仿宋_GB2312" w:cs="Times New Roman"/>
          <w:sz w:val="32"/>
          <w:szCs w:val="32"/>
        </w:rPr>
        <w:t>日，我</w:t>
      </w:r>
      <w:r>
        <w:rPr>
          <w:rFonts w:hint="eastAsia" w:ascii="仿宋_GB2312" w:hAnsi="宋体" w:eastAsia="仿宋_GB2312" w:cs="Times New Roman"/>
          <w:sz w:val="32"/>
          <w:szCs w:val="32"/>
          <w:lang w:eastAsia="zh-CN"/>
        </w:rPr>
        <w:t>办</w:t>
      </w:r>
      <w:r>
        <w:rPr>
          <w:rFonts w:hint="eastAsia" w:ascii="仿宋_GB2312" w:hAnsi="宋体" w:eastAsia="仿宋_GB2312" w:cs="Times New Roman"/>
          <w:sz w:val="32"/>
          <w:szCs w:val="32"/>
        </w:rPr>
        <w:t>今年共受理</w:t>
      </w:r>
      <w:r>
        <w:rPr>
          <w:rFonts w:hint="eastAsia" w:ascii="仿宋_GB2312" w:hAnsi="宋体" w:eastAsia="仿宋_GB2312" w:cs="Times New Roman"/>
          <w:sz w:val="32"/>
          <w:szCs w:val="32"/>
          <w:lang w:eastAsia="zh-CN"/>
        </w:rPr>
        <w:t>省</w:t>
      </w:r>
      <w:r>
        <w:rPr>
          <w:rFonts w:hint="eastAsia" w:ascii="仿宋_GB2312" w:hAnsi="宋体" w:eastAsia="仿宋_GB2312" w:cs="Times New Roman"/>
          <w:sz w:val="32"/>
          <w:szCs w:val="32"/>
          <w:lang w:val="en-US" w:eastAsia="zh-CN"/>
        </w:rPr>
        <w:t>12345、</w:t>
      </w:r>
      <w:r>
        <w:rPr>
          <w:rFonts w:hint="eastAsia" w:ascii="仿宋_GB2312" w:hAnsi="宋体" w:eastAsia="仿宋_GB2312" w:cs="Times New Roman"/>
          <w:sz w:val="32"/>
          <w:szCs w:val="32"/>
        </w:rPr>
        <w:t>乐山市心连心服务中心热线交办、转办事项</w:t>
      </w:r>
      <w:r>
        <w:rPr>
          <w:rFonts w:hint="eastAsia" w:ascii="仿宋_GB2312" w:hAnsi="宋体" w:eastAsia="仿宋_GB2312" w:cs="Times New Roman"/>
          <w:sz w:val="32"/>
          <w:szCs w:val="32"/>
          <w:lang w:val="en-US" w:eastAsia="zh-CN"/>
        </w:rPr>
        <w:t>15755</w:t>
      </w:r>
      <w:r>
        <w:rPr>
          <w:rFonts w:hint="eastAsia" w:ascii="仿宋_GB2312" w:hAnsi="宋体" w:eastAsia="仿宋_GB2312" w:cs="Times New Roman"/>
          <w:sz w:val="32"/>
          <w:szCs w:val="32"/>
        </w:rPr>
        <w:t>件</w:t>
      </w:r>
      <w:r>
        <w:rPr>
          <w:rFonts w:hint="eastAsia" w:ascii="仿宋_GB2312" w:hAnsi="宋体" w:eastAsia="仿宋_GB2312" w:cs="Times New Roman"/>
          <w:sz w:val="32"/>
          <w:szCs w:val="32"/>
          <w:lang w:eastAsia="zh-CN"/>
        </w:rPr>
        <w:t>。市民群众反映、投诉的热点问题主要集中在城市管理、城市建设、民生保障、劳动社保等</w:t>
      </w:r>
      <w:r>
        <w:rPr>
          <w:rFonts w:hint="eastAsia" w:ascii="仿宋_GB2312" w:hAnsi="宋体" w:eastAsia="仿宋_GB2312" w:cs="Times New Roman"/>
          <w:sz w:val="32"/>
          <w:szCs w:val="32"/>
          <w:lang w:val="en-US" w:eastAsia="zh-CN"/>
        </w:rPr>
        <w:t>4个</w:t>
      </w:r>
      <w:r>
        <w:rPr>
          <w:rFonts w:hint="eastAsia" w:ascii="仿宋_GB2312" w:hAnsi="宋体" w:eastAsia="仿宋_GB2312" w:cs="Times New Roman"/>
          <w:sz w:val="32"/>
          <w:szCs w:val="32"/>
          <w:lang w:eastAsia="zh-CN"/>
        </w:rPr>
        <w:t>方面，约占总受理量的80%。</w:t>
      </w:r>
      <w:r>
        <w:rPr>
          <w:rFonts w:hint="eastAsia" w:ascii="仿宋_GB2312" w:hAnsi="宋体" w:eastAsia="仿宋_GB2312" w:cs="Times New Roman"/>
          <w:sz w:val="32"/>
          <w:szCs w:val="32"/>
        </w:rPr>
        <w:t>各类情况占比如下：住房保障和城乡规划建设21.7%；农业农村19.6%；商贸流通12.4%；城市管理11.2%；公用事业6.7%；道路交通10.5%；公安司法2%；其他15.9%。按照“乐山市心连心服务热线”运行工作方案和办理时限要求，</w:t>
      </w:r>
      <w:r>
        <w:rPr>
          <w:rFonts w:hint="eastAsia" w:ascii="仿宋_GB2312" w:hAnsi="宋体" w:eastAsia="仿宋_GB2312" w:cs="Times New Roman"/>
          <w:sz w:val="32"/>
          <w:szCs w:val="32"/>
          <w:lang w:val="en-US" w:eastAsia="zh-CN"/>
        </w:rPr>
        <w:t>2020</w:t>
      </w:r>
      <w:r>
        <w:rPr>
          <w:rFonts w:hint="eastAsia" w:ascii="仿宋_GB2312" w:hAnsi="宋体" w:eastAsia="仿宋_GB2312" w:cs="Times New Roman"/>
          <w:sz w:val="32"/>
          <w:szCs w:val="32"/>
        </w:rPr>
        <w:t>年</w:t>
      </w:r>
      <w:r>
        <w:rPr>
          <w:rFonts w:hint="eastAsia" w:ascii="仿宋_GB2312" w:hAnsi="宋体" w:eastAsia="仿宋_GB2312" w:cs="Times New Roman"/>
          <w:sz w:val="32"/>
          <w:szCs w:val="32"/>
          <w:lang w:val="en-US" w:eastAsia="zh-CN"/>
        </w:rPr>
        <w:t>12</w:t>
      </w:r>
      <w:r>
        <w:rPr>
          <w:rFonts w:hint="eastAsia" w:ascii="仿宋_GB2312" w:hAnsi="宋体" w:eastAsia="仿宋_GB2312" w:cs="Times New Roman"/>
          <w:sz w:val="32"/>
          <w:szCs w:val="32"/>
        </w:rPr>
        <w:t>月</w:t>
      </w:r>
      <w:r>
        <w:rPr>
          <w:rFonts w:hint="eastAsia" w:ascii="仿宋_GB2312" w:hAnsi="宋体" w:eastAsia="仿宋_GB2312" w:cs="Times New Roman"/>
          <w:sz w:val="32"/>
          <w:szCs w:val="32"/>
          <w:lang w:val="en-US" w:eastAsia="zh-CN"/>
        </w:rPr>
        <w:t>31</w:t>
      </w:r>
      <w:r>
        <w:rPr>
          <w:rFonts w:hint="eastAsia" w:ascii="仿宋_GB2312" w:hAnsi="宋体" w:eastAsia="仿宋_GB2312" w:cs="Times New Roman"/>
          <w:sz w:val="32"/>
          <w:szCs w:val="32"/>
        </w:rPr>
        <w:t>日前受理事项，已全部办结</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rPr>
        <w:t>办结率100%</w:t>
      </w:r>
      <w:r>
        <w:rPr>
          <w:rFonts w:hint="eastAsia" w:ascii="仿宋_GB2312" w:hAnsi="宋体" w:eastAsia="仿宋_GB2312" w:cs="Times New Roman"/>
          <w:sz w:val="32"/>
          <w:szCs w:val="32"/>
          <w:lang w:eastAsia="zh-CN"/>
        </w:rPr>
        <w:t>、回访率</w:t>
      </w:r>
      <w:r>
        <w:rPr>
          <w:rFonts w:hint="eastAsia" w:ascii="仿宋_GB2312" w:hAnsi="宋体" w:eastAsia="仿宋_GB2312" w:cs="Times New Roman"/>
          <w:sz w:val="32"/>
          <w:szCs w:val="32"/>
          <w:lang w:val="en-US" w:eastAsia="zh-CN"/>
        </w:rPr>
        <w:t>100%、满意率96.7%。</w:t>
      </w:r>
    </w:p>
    <w:p>
      <w:pPr>
        <w:spacing w:line="560" w:lineRule="exact"/>
        <w:ind w:firstLine="64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5.督察利剑运用有度有效</w:t>
      </w:r>
    </w:p>
    <w:p>
      <w:pPr>
        <w:spacing w:line="560" w:lineRule="exact"/>
        <w:ind w:firstLine="641"/>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深入贯彻落实中央、省和乐山市《关于统筹规范督查检查考核工作的通知》精神，全年共办理上级督查事项95项，本级督查事项109项。共印发《政务督查》30期，《督查专报》7期，《督查信息》3期，《督查事项通知》13期，短（微）信快报240条次。紧紧围绕“文旅兴市年”工作主题，始终坚持把全市工作的重点、工作推进的难点和社会关注的热点作为督查工作重点，参与疫情防控、生态文明示范市创建、景区违建农房整治、乱占耕地建房、“双创”工作、“挂图作战”项目、文旅发展大会参观项目、旅游秩序整治、国家级旅游度假区创建、“两会”期间信访稳定、安全生产重点任务、森林防火、防汛减灾、农村人居环境整治、决战脱贫攻坚、行政区划调整等重点工作任务的督查督办，实现重点督查事项全覆盖。</w:t>
      </w:r>
      <w:r>
        <w:rPr>
          <w:rFonts w:hint="eastAsia" w:ascii="仿宋_GB2312" w:hAnsi="宋体" w:eastAsia="仿宋_GB2312" w:cs="Times New Roman"/>
          <w:sz w:val="32"/>
          <w:szCs w:val="32"/>
          <w:lang w:eastAsia="zh-CN"/>
        </w:rPr>
        <w:t>今年，协办省人大代表建议1件，协办乐山人大代表建议1件；办理本级人大代表建议99件；主办乐山政协提案2件，协办乐山政协提案2件；办理本级政协提案52件，办理工作得到了代表和委员们的理解支持和好评。办理回复我市人大常委会《审议意见》9件。</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6.</w:t>
      </w:r>
      <w:r>
        <w:rPr>
          <w:rFonts w:hint="eastAsia" w:ascii="楷体_GB2312" w:hAnsi="楷体_GB2312" w:eastAsia="楷体_GB2312" w:cs="楷体_GB2312"/>
          <w:sz w:val="32"/>
          <w:szCs w:val="32"/>
        </w:rPr>
        <w:t>公共管理</w:t>
      </w:r>
      <w:r>
        <w:rPr>
          <w:rFonts w:hint="eastAsia" w:ascii="楷体_GB2312" w:hAnsi="楷体_GB2312" w:eastAsia="楷体_GB2312" w:cs="楷体_GB2312"/>
          <w:sz w:val="32"/>
          <w:szCs w:val="32"/>
          <w:lang w:eastAsia="zh-CN"/>
        </w:rPr>
        <w:t>职能尽责到位</w:t>
      </w:r>
    </w:p>
    <w:p>
      <w:pPr>
        <w:spacing w:line="560" w:lineRule="exact"/>
        <w:ind w:firstLine="64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我办按照</w:t>
      </w:r>
      <w:bookmarkStart w:id="73" w:name="_GoBack"/>
      <w:bookmarkEnd w:id="73"/>
      <w:r>
        <w:rPr>
          <w:rFonts w:hint="eastAsia" w:ascii="仿宋_GB2312" w:hAnsi="宋体" w:eastAsia="仿宋_GB2312" w:cs="Times New Roman"/>
          <w:sz w:val="32"/>
          <w:szCs w:val="32"/>
          <w:lang w:val="en-US" w:eastAsia="zh-CN"/>
        </w:rPr>
        <w:t>《中华人民共和国政府信息公开条例》推进、指导全市政府部门和乡镇（街道）完成了2019年度政府信息公开年度报告；在政务门户网站规范建设了“政府信息公开”和“试点领域基层政务公开标准目录”栏目；承办各单位以市政府和市政府办名义制发文件的公开属性定性和公开工作，共对45个文件进行了公开属性认定；通过政府门户网站主动公开政府信息5316条。</w:t>
      </w:r>
    </w:p>
    <w:p>
      <w:pPr>
        <w:spacing w:line="560" w:lineRule="exact"/>
        <w:ind w:firstLine="641"/>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共收到申请15件，已按规定回复申请15件；关于依申请公开行政诉讼案件6件，胜诉2件、败诉3件、1件审理中。超额完成报送乐山市人民政府网站128条信息的年度任务，共被乐山采用信息322条。</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7.</w:t>
      </w:r>
      <w:r>
        <w:rPr>
          <w:rFonts w:hint="eastAsia" w:ascii="楷体_GB2312" w:hAnsi="楷体_GB2312" w:eastAsia="楷体_GB2312" w:cs="楷体_GB2312"/>
          <w:sz w:val="32"/>
          <w:szCs w:val="32"/>
          <w:lang w:eastAsia="zh-CN"/>
        </w:rPr>
        <w:t>公务服务水平不断提高</w:t>
      </w:r>
    </w:p>
    <w:p>
      <w:pPr>
        <w:spacing w:line="560" w:lineRule="exact"/>
        <w:ind w:firstLine="641"/>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一是圆满完成保障任务。建立“部门牵头、密切配合、协作联动”的工作机制，加强与牵头部门、来宾单位、来峨宾客以及接待酒店、宾馆的沟通衔接，增强工作衔接度。全年牵头完成各级各类公务接待53批次、746人次，指导市级部门对口接待20批次、400余人次。出色完成国务院森林草原防火专项整治督导、国家生态文明建设示范市检查、省委巡视组、省环保督察、乐山市领导年度工作巡查督导等重大活动保障；圆满完成脱贫攻坚、乡村振兴交叉考核、创文创卫检查验收等接待保障工作。积极参与“三会”接待服务保障工作，受到各级领导和来宾的一致好评；二是规范办公用房管理。进一步提高党政机关办公用房管理水平，推进办公用房资源合理配置和节约集约使用，降低行政成本，促进节约型机关建设。坚持超前谋划，主动对接，精心制定调配方案,完成市供销社、市档案馆办公用房调配工作。以省委巡视反馈问题整改为契机，对全市闲置办公用房进行全面摸排统计，初步拟定市农业农村局等3家租用水晶广场写字楼单位搬离方案。按照乐山市机关事务管理局统一部署，科学筹划，精心组织，顺利完成全市党政机关办公用房信息统计复核与上报工作；三是强化公务用车管理。严格落实公务用车编制、配备、使用和监督管理要求，提升公务用车管理水平。强化公车科学调度，提高车辆使用效率，降低运行成本，圆满完成防汛、环保、扶贫、应急等紧要工作用车任务，车辆运行费用较去年下降34%。加强司勤人员的教育管理，引导驾驶员安全出车、文明行车，提升公车服务形象。全年公车平台共出车10500次，未发生一起安全责任事故。强化巡视反馈问题整改，对党政机关违规占用企业的21辆车，采取调拨、退回国企方式处理；对12个单位31辆未纳入公车管理的车辆，立即完善手续并纳入了公车管理。</w:t>
      </w:r>
    </w:p>
    <w:p>
      <w:pPr>
        <w:spacing w:line="560" w:lineRule="exact"/>
        <w:ind w:firstLine="641"/>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8.为民服务方面成效斐然</w:t>
      </w:r>
    </w:p>
    <w:p>
      <w:pPr>
        <w:spacing w:line="560" w:lineRule="exact"/>
        <w:ind w:firstLine="641"/>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一是积极开展大走访大服务工作、我办第一轮走访840名；第二轮应参与走访机关干部38人，已开展走访机关干部38人，应走访群众760户，已走访群众760户，2020年第一轮收集问题17个，解决问题11个；下半年第二轮收集问题5个，解决问题5个。2018.2019年收集问题374个，截至到2020年底，解决问题347个,其余问题正在协调处理中；二是外排中坚力量推动重点工作。</w:t>
      </w:r>
    </w:p>
    <w:p>
      <w:pPr>
        <w:spacing w:line="560" w:lineRule="exact"/>
        <w:ind w:firstLine="64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勇于担当助推中心工作</w:t>
      </w:r>
    </w:p>
    <w:p>
      <w:pPr>
        <w:spacing w:line="560" w:lineRule="exact"/>
        <w:ind w:firstLine="641"/>
        <w:rPr>
          <w:rFonts w:hint="eastAsia" w:ascii="仿宋_GB2312" w:hAnsi="仿宋_GB2312" w:eastAsia="仿宋_GB2312" w:cs="仿宋_GB2312"/>
          <w:bCs/>
          <w:color w:val="000000"/>
          <w:sz w:val="32"/>
          <w:szCs w:val="32"/>
        </w:rPr>
      </w:pPr>
      <w:r>
        <w:rPr>
          <w:rFonts w:hint="eastAsia" w:ascii="仿宋_GB2312" w:hAnsi="宋体" w:eastAsia="仿宋_GB2312" w:cs="Times New Roman"/>
          <w:sz w:val="32"/>
          <w:szCs w:val="32"/>
        </w:rPr>
        <w:t>今年以来，办公室在干部十分紧张的情况下，</w:t>
      </w:r>
      <w:r>
        <w:rPr>
          <w:rFonts w:hint="eastAsia" w:ascii="仿宋_GB2312" w:hAnsi="宋体" w:eastAsia="仿宋_GB2312" w:cs="Times New Roman"/>
          <w:sz w:val="32"/>
          <w:szCs w:val="32"/>
          <w:lang w:eastAsia="zh-CN"/>
        </w:rPr>
        <w:t>依然向景区违建工作组支援了</w:t>
      </w:r>
      <w:r>
        <w:rPr>
          <w:rFonts w:hint="eastAsia" w:ascii="仿宋_GB2312" w:hAnsi="宋体" w:eastAsia="仿宋_GB2312" w:cs="Times New Roman"/>
          <w:sz w:val="32"/>
          <w:szCs w:val="32"/>
          <w:lang w:val="en-US" w:eastAsia="zh-CN"/>
        </w:rPr>
        <w:t>17名干部，到乐山市上挂锻炼1名干部</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向基层派驻3名第一书记，对口帮扶到村，制定帮扶规划，协调项目帮扶。结对帮扶符溪镇雷场村、明星村贫困户，帮助落实帮扶政策，科学制定帮扶政策，提升收入；全员参与投入到创卫创文工作中，圆满的完成了工作任务；积极统筹协调，增派人手做好了院内的疫情防控工作。</w:t>
      </w:r>
    </w:p>
    <w:p>
      <w:pPr>
        <w:pStyle w:val="4"/>
        <w:pageBreakBefore w:val="0"/>
        <w:kinsoku/>
        <w:wordWrap/>
        <w:overflowPunct/>
        <w:topLinePunct w:val="0"/>
        <w:bidi w:val="0"/>
        <w:spacing w:before="0" w:after="0" w:line="240" w:lineRule="auto"/>
        <w:ind w:firstLine="640" w:firstLineChars="200"/>
        <w:textAlignment w:val="auto"/>
        <w:rPr>
          <w:rStyle w:val="1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16"/>
          <w:rFonts w:hint="eastAsia" w:ascii="黑体" w:hAnsi="黑体" w:eastAsia="黑体"/>
          <w:b w:val="0"/>
          <w:bCs w:val="0"/>
        </w:rPr>
        <w:t>构设置</w:t>
      </w:r>
      <w:bookmarkEnd w:id="20"/>
      <w:bookmarkEnd w:id="21"/>
    </w:p>
    <w:p>
      <w:pPr>
        <w:spacing w:line="600" w:lineRule="exact"/>
        <w:ind w:firstLine="641"/>
        <w:rPr>
          <w:rFonts w:hint="eastAsia" w:ascii="仿宋_GB2312" w:hAnsi="仿宋_GB2312" w:eastAsia="仿宋_GB2312" w:cs="仿宋_GB2312"/>
          <w:sz w:val="32"/>
          <w:szCs w:val="32"/>
        </w:rPr>
      </w:pPr>
      <w:r>
        <w:rPr>
          <w:rFonts w:hint="eastAsia" w:ascii="仿宋_GB2312" w:hAnsi="仿宋" w:eastAsia="仿宋_GB2312"/>
          <w:sz w:val="32"/>
          <w:szCs w:val="32"/>
        </w:rPr>
        <w:t>峨眉山市人民政府办公室下属二级单位</w:t>
      </w:r>
      <w:r>
        <w:rPr>
          <w:rFonts w:ascii="仿宋_GB2312" w:hAnsi="仿宋" w:eastAsia="仿宋_GB2312"/>
          <w:sz w:val="32"/>
          <w:szCs w:val="32"/>
        </w:rPr>
        <w:t>3</w:t>
      </w:r>
      <w:r>
        <w:rPr>
          <w:rFonts w:hint="eastAsia" w:ascii="仿宋_GB2312" w:hAnsi="仿宋" w:eastAsia="仿宋_GB2312"/>
          <w:sz w:val="32"/>
          <w:szCs w:val="32"/>
        </w:rPr>
        <w:t>个，其中行政单位</w:t>
      </w:r>
      <w:r>
        <w:rPr>
          <w:rFonts w:ascii="仿宋_GB2312" w:hAnsi="仿宋" w:eastAsia="仿宋_GB2312"/>
          <w:sz w:val="32"/>
          <w:szCs w:val="32"/>
        </w:rPr>
        <w:t>0</w:t>
      </w:r>
      <w:r>
        <w:rPr>
          <w:rFonts w:hint="eastAsia" w:ascii="仿宋_GB2312" w:hAnsi="仿宋" w:eastAsia="仿宋_GB2312"/>
          <w:sz w:val="32"/>
          <w:szCs w:val="32"/>
        </w:rPr>
        <w:t>个，参照公务员法管理的事业单位</w:t>
      </w:r>
      <w:r>
        <w:rPr>
          <w:rFonts w:ascii="仿宋_GB2312" w:hAnsi="仿宋" w:eastAsia="仿宋_GB2312"/>
          <w:sz w:val="32"/>
          <w:szCs w:val="32"/>
        </w:rPr>
        <w:t>1</w:t>
      </w:r>
      <w:r>
        <w:rPr>
          <w:rFonts w:hint="eastAsia" w:ascii="仿宋_GB2312" w:hAnsi="仿宋" w:eastAsia="仿宋_GB2312"/>
          <w:sz w:val="32"/>
          <w:szCs w:val="32"/>
        </w:rPr>
        <w:t>个（</w:t>
      </w:r>
      <w:r>
        <w:rPr>
          <w:rFonts w:hint="eastAsia" w:ascii="仿宋_GB2312" w:hAnsi="仿宋" w:eastAsia="仿宋_GB2312"/>
          <w:sz w:val="32"/>
          <w:szCs w:val="32"/>
          <w:lang w:val="en-US" w:eastAsia="zh-CN"/>
        </w:rPr>
        <w:t>峨眉山市地方志工作办公室</w:t>
      </w:r>
      <w:r>
        <w:rPr>
          <w:rFonts w:hint="eastAsia" w:ascii="仿宋_GB2312" w:hAnsi="仿宋" w:eastAsia="仿宋_GB2312"/>
          <w:sz w:val="32"/>
          <w:szCs w:val="32"/>
        </w:rPr>
        <w:t>），其他事业单位</w:t>
      </w:r>
      <w:r>
        <w:rPr>
          <w:rFonts w:ascii="仿宋_GB2312" w:hAnsi="仿宋" w:eastAsia="仿宋_GB2312"/>
          <w:sz w:val="32"/>
          <w:szCs w:val="32"/>
        </w:rPr>
        <w:t>2</w:t>
      </w:r>
      <w:r>
        <w:rPr>
          <w:rFonts w:hint="eastAsia" w:ascii="仿宋_GB2312" w:hAnsi="仿宋" w:eastAsia="仿宋_GB2312"/>
          <w:sz w:val="32"/>
          <w:szCs w:val="32"/>
        </w:rPr>
        <w:t>个（教育督导室、</w:t>
      </w:r>
      <w:r>
        <w:rPr>
          <w:rFonts w:hint="eastAsia" w:ascii="仿宋_GB2312" w:hAnsi="仿宋" w:eastAsia="仿宋_GB2312"/>
          <w:sz w:val="32"/>
          <w:szCs w:val="32"/>
          <w:lang w:val="en-US" w:eastAsia="zh-CN"/>
        </w:rPr>
        <w:t>市</w:t>
      </w:r>
      <w:r>
        <w:rPr>
          <w:rFonts w:hint="eastAsia" w:ascii="仿宋_GB2312" w:hAnsi="仿宋" w:eastAsia="仿宋_GB2312"/>
          <w:sz w:val="32"/>
          <w:szCs w:val="32"/>
        </w:rPr>
        <w:t>公务服务中心）。</w:t>
      </w:r>
    </w:p>
    <w:p>
      <w:pPr>
        <w:pStyle w:val="5"/>
        <w:pageBreakBefore w:val="0"/>
        <w:kinsoku/>
        <w:wordWrap/>
        <w:overflowPunct/>
        <w:topLinePunct w:val="0"/>
        <w:bidi w:val="0"/>
        <w:adjustRightInd w:val="0"/>
        <w:snapToGrid w:val="0"/>
        <w:spacing w:before="93" w:line="600" w:lineRule="exact"/>
        <w:ind w:firstLine="672" w:firstLineChars="2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仿宋_GB2312" w:hAnsi="仿宋" w:eastAsia="仿宋_GB2312"/>
          <w:sz w:val="32"/>
          <w:szCs w:val="32"/>
        </w:rPr>
        <w:t>峨眉山市人民政府办公室</w:t>
      </w:r>
      <w:r>
        <w:rPr>
          <w:rFonts w:hint="eastAsia" w:ascii="仿宋_GB2312" w:hAnsi="仿宋_GB2312" w:eastAsia="仿宋_GB2312" w:cs="仿宋_GB2312"/>
          <w:color w:val="000000"/>
          <w:sz w:val="32"/>
          <w:szCs w:val="32"/>
        </w:rPr>
        <w:t>2020年度部门决算编制范围的二级预算单位包括：</w:t>
      </w:r>
    </w:p>
    <w:p>
      <w:pPr>
        <w:numPr>
          <w:ilvl w:val="0"/>
          <w:numId w:val="0"/>
        </w:numPr>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1.峨眉山市地方志工作办公室</w:t>
      </w:r>
    </w:p>
    <w:p>
      <w:pPr>
        <w:numPr>
          <w:ilvl w:val="0"/>
          <w:numId w:val="0"/>
        </w:num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教育督导室</w:t>
      </w:r>
    </w:p>
    <w:p>
      <w:pPr>
        <w:pStyle w:val="5"/>
        <w:pageBreakBefore w:val="0"/>
        <w:kinsoku/>
        <w:wordWrap/>
        <w:overflowPunct/>
        <w:topLinePunct w:val="0"/>
        <w:bidi w:val="0"/>
        <w:adjustRightInd w:val="0"/>
        <w:snapToGrid w:val="0"/>
        <w:spacing w:before="93" w:line="600" w:lineRule="exact"/>
        <w:ind w:firstLine="640" w:firstLineChars="200"/>
        <w:textAlignment w:val="auto"/>
        <w:rPr>
          <w:rFonts w:ascii="仿宋" w:hAnsi="仿宋" w:eastAsia="仿宋"/>
          <w:color w:val="000000"/>
          <w:sz w:val="32"/>
          <w:szCs w:val="32"/>
        </w:rPr>
      </w:pPr>
      <w:r>
        <w:rPr>
          <w:rFonts w:ascii="仿宋_GB2312" w:hAnsi="仿宋" w:eastAsia="仿宋_GB2312"/>
          <w:sz w:val="32"/>
          <w:szCs w:val="32"/>
        </w:rPr>
        <w:t>3.</w:t>
      </w:r>
      <w:r>
        <w:rPr>
          <w:rFonts w:hint="eastAsia" w:hAnsi="仿宋"/>
          <w:sz w:val="32"/>
          <w:szCs w:val="32"/>
          <w:lang w:val="en-US" w:eastAsia="zh-CN"/>
        </w:rPr>
        <w:t>市</w:t>
      </w:r>
      <w:r>
        <w:rPr>
          <w:rFonts w:hint="eastAsia" w:ascii="仿宋_GB2312" w:hAnsi="仿宋" w:eastAsia="仿宋_GB2312"/>
          <w:sz w:val="32"/>
          <w:szCs w:val="32"/>
        </w:rPr>
        <w:t>公务服务中心</w:t>
      </w:r>
      <w:r>
        <w:rPr>
          <w:rFonts w:ascii="仿宋" w:hAnsi="仿宋" w:eastAsia="仿宋"/>
          <w:color w:val="000000"/>
          <w:sz w:val="32"/>
          <w:szCs w:val="32"/>
        </w:rPr>
        <w:br w:type="page"/>
      </w:r>
    </w:p>
    <w:p>
      <w:pPr>
        <w:bidi w:val="0"/>
        <w:jc w:val="center"/>
        <w:rPr>
          <w:rFonts w:hint="eastAsia" w:ascii="方正小标宋_GBK" w:hAnsi="方正小标宋_GBK" w:eastAsia="方正小标宋_GBK" w:cs="方正小标宋_GBK"/>
          <w:sz w:val="44"/>
          <w:szCs w:val="44"/>
        </w:rPr>
      </w:pPr>
      <w:bookmarkStart w:id="22" w:name="_Toc15377204"/>
      <w:bookmarkStart w:id="23" w:name="_Toc15396602"/>
      <w:r>
        <w:rPr>
          <w:rFonts w:hint="eastAsia" w:ascii="方正小标宋_GBK" w:hAnsi="方正小标宋_GBK" w:eastAsia="方正小标宋_GBK" w:cs="方正小标宋_GBK"/>
          <w:sz w:val="44"/>
          <w:szCs w:val="44"/>
        </w:rPr>
        <w:t>第二部分 2020年度部门决算情况说明</w:t>
      </w:r>
      <w:bookmarkEnd w:id="22"/>
      <w:bookmarkEnd w:id="23"/>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pPr>
        <w:pStyle w:val="17"/>
        <w:pageBreakBefore w:val="0"/>
        <w:numPr>
          <w:ilvl w:val="0"/>
          <w:numId w:val="1"/>
        </w:numPr>
        <w:kinsoku/>
        <w:wordWrap/>
        <w:overflowPunct/>
        <w:topLinePunct w:val="0"/>
        <w:bidi w:val="0"/>
        <w:spacing w:line="600" w:lineRule="exact"/>
        <w:ind w:firstLineChars="0"/>
        <w:textAlignment w:val="auto"/>
        <w:outlineLvl w:val="1"/>
        <w:rPr>
          <w:rStyle w:val="1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4"/>
      <w:bookmarkEnd w:id="25"/>
    </w:p>
    <w:p>
      <w:pPr>
        <w:pStyle w:val="9"/>
        <w:ind w:left="0" w:leftChars="0" w:firstLine="0" w:firstLineChars="0"/>
        <w:jc w:val="left"/>
        <w:rPr>
          <w:rFonts w:hint="default"/>
          <w:lang w:val="en-US"/>
        </w:rPr>
      </w:pPr>
      <w:r>
        <w:rPr>
          <w:rFonts w:hint="eastAsia" w:ascii="仿宋_GB2312" w:hAnsi="仿宋_GB2312" w:eastAsia="仿宋_GB2312" w:cs="仿宋_GB2312"/>
          <w:b w:val="0"/>
          <w:bCs w:val="0"/>
          <w:color w:val="000000"/>
          <w:kern w:val="2"/>
          <w:sz w:val="32"/>
          <w:szCs w:val="32"/>
          <w:lang w:val="en-US" w:eastAsia="zh-CN" w:bidi="ar-SA"/>
        </w:rPr>
        <w:t xml:space="preserve">    2020年度收入总计2185.28万元，支出总计2155.45万元。与2019年相比，收入总计减少389.35万元，减少15.12%；与2019年相比，支出总计减少423.06万元，减少16.41%。主要变动原因是2020年较2019年生态文明方面资金（景区）减少。</w:t>
      </w:r>
    </w:p>
    <w:p>
      <w:pPr>
        <w:pStyle w:val="9"/>
      </w:pPr>
      <w:r>
        <w:rPr>
          <w:rFonts w:hint="eastAsia" w:ascii="黑体" w:hAnsi="黑体" w:eastAsia="黑体"/>
          <w:color w:val="000000"/>
          <w:sz w:val="32"/>
          <w:szCs w:val="32"/>
        </w:rPr>
        <w:object>
          <v:shape id="_x0000_i1025" o:spt="75" type="#_x0000_t75" style="height:325.4pt;width:479.95pt;" o:ole="t" filled="f" o:preferrelative="t" stroked="f" coordsize="21600,21600">
            <v:path/>
            <v:fill on="f" focussize="0,0"/>
            <v:stroke on="f"/>
            <v:imagedata r:id="rId7" o:title=""/>
            <o:lock v:ext="edit" aspectratio="t"/>
            <w10:wrap type="none"/>
            <w10:anchorlock/>
          </v:shape>
          <o:OLEObject Type="Embed" ProgID="Excel.Chart.8" ShapeID="_x0000_i1025" DrawAspect="Content" ObjectID="_1468075725" r:id="rId6">
            <o:LockedField>false</o:LockedField>
          </o:OLEObject>
        </w:object>
      </w:r>
    </w:p>
    <w:p>
      <w:pPr>
        <w:jc w:val="cente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p>
    <w:p>
      <w:pPr>
        <w:pStyle w:val="2"/>
        <w:rPr>
          <w:rFonts w:hint="eastAsia"/>
        </w:rPr>
      </w:pPr>
    </w:p>
    <w:p>
      <w:pPr>
        <w:pStyle w:val="17"/>
        <w:pageBreakBefore w:val="0"/>
        <w:numPr>
          <w:ilvl w:val="0"/>
          <w:numId w:val="1"/>
        </w:numPr>
        <w:kinsoku/>
        <w:wordWrap/>
        <w:overflowPunct/>
        <w:topLinePunct w:val="0"/>
        <w:bidi w:val="0"/>
        <w:spacing w:line="600" w:lineRule="exact"/>
        <w:ind w:firstLineChars="0"/>
        <w:textAlignment w:val="auto"/>
        <w:outlineLvl w:val="1"/>
        <w:rPr>
          <w:rStyle w:val="1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16"/>
          <w:rFonts w:hint="eastAsia" w:ascii="黑体" w:hAnsi="黑体" w:eastAsia="黑体"/>
          <w:b w:val="0"/>
        </w:rPr>
        <w:t>入决算情况说明</w:t>
      </w:r>
      <w:bookmarkEnd w:id="26"/>
      <w:bookmarkEnd w:id="27"/>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b w:val="0"/>
          <w:bCs w:val="0"/>
          <w:color w:val="000000"/>
          <w:sz w:val="32"/>
          <w:szCs w:val="32"/>
        </w:rPr>
        <w:t>020年本年收入合计</w:t>
      </w:r>
      <w:r>
        <w:rPr>
          <w:rFonts w:hint="eastAsia" w:ascii="仿宋_GB2312" w:hAnsi="仿宋_GB2312" w:eastAsia="仿宋_GB2312" w:cs="仿宋_GB2312"/>
          <w:b w:val="0"/>
          <w:bCs w:val="0"/>
          <w:color w:val="000000"/>
          <w:sz w:val="32"/>
          <w:szCs w:val="32"/>
          <w:lang w:val="en-US" w:eastAsia="zh-CN"/>
        </w:rPr>
        <w:t>2185.28</w:t>
      </w:r>
      <w:r>
        <w:rPr>
          <w:rFonts w:hint="eastAsia" w:ascii="仿宋_GB2312" w:hAnsi="仿宋_GB2312" w:eastAsia="仿宋_GB2312" w:cs="仿宋_GB2312"/>
          <w:b w:val="0"/>
          <w:bCs w:val="0"/>
          <w:color w:val="000000"/>
          <w:sz w:val="32"/>
          <w:szCs w:val="32"/>
        </w:rPr>
        <w:t>万元，其中：一般公共预算财政拨款收入</w:t>
      </w:r>
      <w:r>
        <w:rPr>
          <w:rFonts w:hint="eastAsia" w:ascii="仿宋_GB2312" w:hAnsi="仿宋_GB2312" w:eastAsia="仿宋_GB2312" w:cs="仿宋_GB2312"/>
          <w:b w:val="0"/>
          <w:bCs w:val="0"/>
          <w:color w:val="000000"/>
          <w:sz w:val="32"/>
          <w:szCs w:val="32"/>
          <w:lang w:val="en-US" w:eastAsia="zh-CN"/>
        </w:rPr>
        <w:t>2151.65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98.46</w:t>
      </w:r>
      <w:r>
        <w:rPr>
          <w:rFonts w:hint="eastAsia" w:ascii="仿宋_GB2312" w:hAnsi="仿宋_GB2312" w:eastAsia="仿宋_GB2312" w:cs="仿宋_GB2312"/>
          <w:b w:val="0"/>
          <w:bCs w:val="0"/>
          <w:color w:val="000000"/>
          <w:sz w:val="32"/>
          <w:szCs w:val="32"/>
        </w:rPr>
        <w:t>%；政府性基金预算财政拨款收入</w:t>
      </w:r>
      <w:r>
        <w:rPr>
          <w:rFonts w:hint="eastAsia" w:ascii="仿宋_GB2312" w:hAnsi="仿宋_GB2312" w:eastAsia="仿宋_GB2312" w:cs="仿宋_GB2312"/>
          <w:b w:val="0"/>
          <w:bCs w:val="0"/>
          <w:color w:val="000000"/>
          <w:sz w:val="32"/>
          <w:szCs w:val="32"/>
          <w:lang w:val="en-US" w:eastAsia="zh-CN"/>
        </w:rPr>
        <w:t>8.95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0.41</w:t>
      </w:r>
      <w:r>
        <w:rPr>
          <w:rFonts w:hint="eastAsia" w:ascii="仿宋_GB2312" w:hAnsi="仿宋_GB2312" w:eastAsia="仿宋_GB2312" w:cs="仿宋_GB2312"/>
          <w:b w:val="0"/>
          <w:bCs w:val="0"/>
          <w:color w:val="000000"/>
          <w:sz w:val="32"/>
          <w:szCs w:val="32"/>
        </w:rPr>
        <w:t>%；上级补助收入</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%；事业收入</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%；经营收入</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%；附属单位上缴收入</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%；其他收入</w:t>
      </w:r>
      <w:r>
        <w:rPr>
          <w:rFonts w:hint="eastAsia" w:ascii="仿宋_GB2312" w:hAnsi="仿宋_GB2312" w:eastAsia="仿宋_GB2312" w:cs="仿宋_GB2312"/>
          <w:b w:val="0"/>
          <w:bCs w:val="0"/>
          <w:color w:val="000000"/>
          <w:sz w:val="32"/>
          <w:szCs w:val="32"/>
          <w:lang w:val="en-US" w:eastAsia="zh-CN"/>
        </w:rPr>
        <w:t>24.67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1.13</w:t>
      </w:r>
      <w:r>
        <w:rPr>
          <w:rFonts w:hint="eastAsia" w:ascii="仿宋_GB2312" w:hAnsi="仿宋_GB2312" w:eastAsia="仿宋_GB2312" w:cs="仿宋_GB2312"/>
          <w:b w:val="0"/>
          <w:bCs w:val="0"/>
          <w:color w:val="000000"/>
          <w:sz w:val="32"/>
          <w:szCs w:val="32"/>
        </w:rPr>
        <w:t>%。</w:t>
      </w:r>
    </w:p>
    <w:p>
      <w:pPr>
        <w:pStyle w:val="2"/>
        <w:rPr>
          <w:rFonts w:hint="eastAsia"/>
        </w:rPr>
      </w:pPr>
      <w:r>
        <w:rPr>
          <w:rFonts w:hint="eastAsia" w:ascii="仿宋_GB2312" w:hAnsi="仿宋_GB2312" w:eastAsia="仿宋_GB2312" w:cs="仿宋_GB2312"/>
          <w:b w:val="0"/>
          <w:bCs w:val="0"/>
          <w:color w:val="000000"/>
          <w:sz w:val="32"/>
          <w:szCs w:val="32"/>
          <w:lang w:eastAsia="zh-CN"/>
        </w:rPr>
        <w:drawing>
          <wp:inline distT="0" distB="0" distL="114300" distR="114300">
            <wp:extent cx="5080000" cy="3810000"/>
            <wp:effectExtent l="4445" t="4445" r="5715" b="1079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17"/>
        <w:pageBreakBefore w:val="0"/>
        <w:numPr>
          <w:ilvl w:val="0"/>
          <w:numId w:val="1"/>
        </w:numPr>
        <w:kinsoku/>
        <w:wordWrap/>
        <w:overflowPunct/>
        <w:topLinePunct w:val="0"/>
        <w:bidi w:val="0"/>
        <w:spacing w:line="600" w:lineRule="exact"/>
        <w:ind w:firstLineChars="0"/>
        <w:textAlignment w:val="auto"/>
        <w:outlineLvl w:val="1"/>
        <w:rPr>
          <w:rStyle w:val="16"/>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16"/>
          <w:rFonts w:hint="eastAsia" w:ascii="黑体" w:hAnsi="黑体" w:eastAsia="黑体"/>
          <w:b w:val="0"/>
        </w:rPr>
        <w:t>出决算情况说明</w:t>
      </w:r>
      <w:bookmarkEnd w:id="28"/>
      <w:bookmarkEnd w:id="29"/>
    </w:p>
    <w:p>
      <w:pPr>
        <w:pageBreakBefore w:val="0"/>
        <w:kinsoku/>
        <w:wordWrap/>
        <w:overflowPunct/>
        <w:topLinePunct w:val="0"/>
        <w:bidi w:val="0"/>
        <w:spacing w:line="600" w:lineRule="exact"/>
        <w:ind w:firstLine="640" w:firstLineChars="200"/>
        <w:textAlignment w:val="auto"/>
        <w:outlineLvl w:val="1"/>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2020年本年支出合计</w:t>
      </w:r>
      <w:r>
        <w:rPr>
          <w:rFonts w:hint="eastAsia" w:ascii="仿宋_GB2312" w:hAnsi="仿宋_GB2312" w:eastAsia="仿宋_GB2312" w:cs="仿宋_GB2312"/>
          <w:b w:val="0"/>
          <w:bCs w:val="0"/>
          <w:color w:val="000000"/>
          <w:sz w:val="32"/>
          <w:szCs w:val="32"/>
          <w:lang w:val="en-US" w:eastAsia="zh-CN"/>
        </w:rPr>
        <w:t>2155.45</w:t>
      </w:r>
      <w:r>
        <w:rPr>
          <w:rFonts w:hint="eastAsia" w:ascii="仿宋_GB2312" w:hAnsi="仿宋_GB2312" w:eastAsia="仿宋_GB2312" w:cs="仿宋_GB2312"/>
          <w:b w:val="0"/>
          <w:bCs w:val="0"/>
          <w:color w:val="000000"/>
          <w:sz w:val="32"/>
          <w:szCs w:val="32"/>
        </w:rPr>
        <w:t>万元，其中：基本支出</w:t>
      </w:r>
      <w:r>
        <w:rPr>
          <w:rFonts w:hint="eastAsia" w:ascii="仿宋_GB2312" w:hAnsi="仿宋_GB2312" w:eastAsia="仿宋_GB2312" w:cs="仿宋_GB2312"/>
          <w:b w:val="0"/>
          <w:bCs w:val="0"/>
          <w:color w:val="000000"/>
          <w:sz w:val="32"/>
          <w:szCs w:val="32"/>
          <w:lang w:val="en-US" w:eastAsia="zh-CN"/>
        </w:rPr>
        <w:t>1123.79</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43.34</w:t>
      </w:r>
      <w:r>
        <w:rPr>
          <w:rFonts w:hint="eastAsia" w:ascii="仿宋_GB2312" w:hAnsi="仿宋_GB2312" w:eastAsia="仿宋_GB2312" w:cs="仿宋_GB2312"/>
          <w:b w:val="0"/>
          <w:bCs w:val="0"/>
          <w:color w:val="000000"/>
          <w:sz w:val="32"/>
          <w:szCs w:val="32"/>
        </w:rPr>
        <w:t>%；项目支出</w:t>
      </w:r>
      <w:r>
        <w:rPr>
          <w:rFonts w:hint="eastAsia" w:ascii="仿宋_GB2312" w:hAnsi="仿宋_GB2312" w:eastAsia="仿宋_GB2312" w:cs="仿宋_GB2312"/>
          <w:b w:val="0"/>
          <w:bCs w:val="0"/>
          <w:color w:val="000000"/>
          <w:sz w:val="32"/>
          <w:szCs w:val="32"/>
          <w:lang w:val="en-US" w:eastAsia="zh-CN"/>
        </w:rPr>
        <w:t>1031.65</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56.66</w:t>
      </w:r>
      <w:r>
        <w:rPr>
          <w:rFonts w:hint="eastAsia" w:ascii="仿宋_GB2312" w:hAnsi="仿宋_GB2312" w:eastAsia="仿宋_GB2312" w:cs="仿宋_GB2312"/>
          <w:b w:val="0"/>
          <w:bCs w:val="0"/>
          <w:color w:val="000000"/>
          <w:sz w:val="32"/>
          <w:szCs w:val="32"/>
        </w:rPr>
        <w:t>%；上缴上级支出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%；经营支出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%；对附属单位补助支出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pict>
          <v:shape id="Object 6" o:spid="_x0000_s2054" o:spt="75" type="#_x0000_t75" style="position:absolute;left:0pt;margin-left:29.95pt;margin-top:25.7pt;height:247.4pt;width:408.25pt;mso-wrap-distance-bottom:0pt;mso-wrap-distance-left:9pt;mso-wrap-distance-right:9pt;mso-wrap-distance-top:0pt;z-index:251660288;mso-width-relative:page;mso-height-relative:page;" o:ole="t" filled="f" o:preferrelative="t" stroked="f" coordsize="21600,21600">
            <v:path/>
            <v:fill on="f" focussize="0,0"/>
            <v:stroke on="f"/>
            <v:imagedata r:id="rId10" o:title=""/>
            <o:lock v:ext="edit" aspectratio="t"/>
            <w10:wrap type="square"/>
          </v:shape>
          <o:OLEObject Type="Embed" ProgID="Excel.Chart.8" ShapeID="Object 6" DrawAspect="Content" ObjectID="_1468075726" r:id="rId9">
            <o:LockedField>false</o:LockedField>
          </o:OLEObject>
        </w:pict>
      </w:r>
      <w:r>
        <w:rPr>
          <w:rFonts w:hint="eastAsia" w:ascii="仿宋" w:hAnsi="仿宋" w:eastAsia="仿宋"/>
          <w:color w:val="000000"/>
          <w:sz w:val="32"/>
          <w:szCs w:val="32"/>
          <w:lang w:eastAsia="zh-CN"/>
        </w:rPr>
        <w:object>
          <v:shape id="_x0000_i1026" o:spt="75" type="#_x0000_t75" style="height:200.9pt;width:340.15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7" r:id="rId11">
            <o:LockedField>false</o:LockedField>
          </o:OLEObject>
        </w:object>
      </w: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rPr>
          <w:rFonts w:hint="eastAsia" w:ascii="仿宋" w:hAnsi="仿宋" w:eastAsia="仿宋"/>
          <w:color w:val="000000"/>
          <w:sz w:val="32"/>
          <w:szCs w:val="32"/>
          <w:lang w:eastAsia="zh-CN"/>
        </w:rPr>
      </w:pPr>
    </w:p>
    <w:p>
      <w:pPr>
        <w:pageBreakBefore w:val="0"/>
        <w:kinsoku/>
        <w:wordWrap/>
        <w:overflowPunct/>
        <w:topLinePunct w:val="0"/>
        <w:bidi w:val="0"/>
        <w:spacing w:line="600" w:lineRule="exact"/>
        <w:ind w:firstLine="640" w:firstLineChars="200"/>
        <w:textAlignment w:val="auto"/>
        <w:outlineLvl w:val="1"/>
        <w:rPr>
          <w:rStyle w:val="16"/>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30"/>
      <w:bookmarkEnd w:id="31"/>
    </w:p>
    <w:p>
      <w:pPr>
        <w:ind w:firstLine="640" w:firstLineChars="200"/>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highlight w:val="none"/>
        </w:rPr>
        <w:t>2020年财政拨款</w:t>
      </w:r>
      <w:r>
        <w:rPr>
          <w:rFonts w:hint="eastAsia" w:ascii="仿宋_GB2312" w:hAnsi="仿宋_GB2312" w:eastAsia="仿宋_GB2312" w:cs="仿宋_GB2312"/>
          <w:b w:val="0"/>
          <w:bCs w:val="0"/>
          <w:color w:val="000000"/>
          <w:sz w:val="32"/>
          <w:szCs w:val="32"/>
          <w:highlight w:val="none"/>
          <w:lang w:eastAsia="zh-CN"/>
        </w:rPr>
        <w:t>收入总计</w:t>
      </w:r>
      <w:r>
        <w:rPr>
          <w:rFonts w:hint="eastAsia" w:ascii="仿宋_GB2312" w:hAnsi="仿宋_GB2312" w:eastAsia="仿宋_GB2312" w:cs="仿宋_GB2312"/>
          <w:b w:val="0"/>
          <w:bCs w:val="0"/>
          <w:color w:val="000000"/>
          <w:sz w:val="32"/>
          <w:szCs w:val="32"/>
          <w:highlight w:val="none"/>
          <w:lang w:val="en-US" w:eastAsia="zh-CN"/>
        </w:rPr>
        <w:t>2160.6万元，</w:t>
      </w:r>
      <w:r>
        <w:rPr>
          <w:rFonts w:hint="eastAsia" w:ascii="仿宋_GB2312" w:hAnsi="仿宋_GB2312" w:eastAsia="仿宋_GB2312" w:cs="仿宋_GB2312"/>
          <w:b w:val="0"/>
          <w:bCs w:val="0"/>
          <w:color w:val="000000"/>
          <w:sz w:val="32"/>
          <w:szCs w:val="32"/>
          <w:highlight w:val="none"/>
        </w:rPr>
        <w:t>与2019年</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2574.63万元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相比，财政拨款</w:t>
      </w:r>
      <w:r>
        <w:rPr>
          <w:rFonts w:hint="eastAsia" w:ascii="仿宋_GB2312" w:hAnsi="仿宋_GB2312" w:eastAsia="仿宋_GB2312" w:cs="仿宋_GB2312"/>
          <w:b w:val="0"/>
          <w:bCs w:val="0"/>
          <w:color w:val="000000"/>
          <w:sz w:val="32"/>
          <w:szCs w:val="32"/>
          <w:highlight w:val="none"/>
          <w:lang w:eastAsia="zh-CN"/>
        </w:rPr>
        <w:t>收入</w:t>
      </w:r>
      <w:r>
        <w:rPr>
          <w:rFonts w:hint="eastAsia" w:ascii="仿宋_GB2312" w:hAnsi="仿宋_GB2312" w:eastAsia="仿宋_GB2312" w:cs="仿宋_GB2312"/>
          <w:b w:val="0"/>
          <w:bCs w:val="0"/>
          <w:color w:val="000000"/>
          <w:sz w:val="32"/>
          <w:szCs w:val="32"/>
          <w:highlight w:val="none"/>
        </w:rPr>
        <w:t>总计</w:t>
      </w:r>
      <w:r>
        <w:rPr>
          <w:rFonts w:hint="eastAsia" w:ascii="仿宋_GB2312" w:hAnsi="仿宋_GB2312" w:eastAsia="仿宋_GB2312" w:cs="仿宋_GB2312"/>
          <w:b w:val="0"/>
          <w:bCs w:val="0"/>
          <w:color w:val="000000"/>
          <w:sz w:val="32"/>
          <w:szCs w:val="32"/>
          <w:highlight w:val="none"/>
          <w:lang w:val="en-US" w:eastAsia="zh-CN"/>
        </w:rPr>
        <w:t>减少414.03</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val="en-US" w:eastAsia="zh-CN"/>
        </w:rPr>
        <w:t>下降16.08</w:t>
      </w:r>
      <w:r>
        <w:rPr>
          <w:rFonts w:hint="eastAsia" w:ascii="仿宋_GB2312" w:hAnsi="仿宋_GB2312" w:eastAsia="仿宋_GB2312" w:cs="仿宋_GB2312"/>
          <w:b w:val="0"/>
          <w:bCs w:val="0"/>
          <w:color w:val="000000"/>
          <w:sz w:val="32"/>
          <w:szCs w:val="32"/>
          <w:highlight w:val="none"/>
        </w:rPr>
        <w:t>%。2020年财政拨款</w:t>
      </w:r>
      <w:r>
        <w:rPr>
          <w:rFonts w:hint="eastAsia" w:ascii="仿宋_GB2312" w:hAnsi="仿宋_GB2312" w:eastAsia="仿宋_GB2312" w:cs="仿宋_GB2312"/>
          <w:b w:val="0"/>
          <w:bCs w:val="0"/>
          <w:color w:val="000000"/>
          <w:sz w:val="32"/>
          <w:szCs w:val="32"/>
          <w:highlight w:val="none"/>
          <w:lang w:eastAsia="zh-CN"/>
        </w:rPr>
        <w:t>支出总计</w:t>
      </w:r>
      <w:r>
        <w:rPr>
          <w:rFonts w:hint="eastAsia" w:ascii="仿宋_GB2312" w:hAnsi="仿宋_GB2312" w:eastAsia="仿宋_GB2312" w:cs="仿宋_GB2312"/>
          <w:b w:val="0"/>
          <w:bCs w:val="0"/>
          <w:color w:val="000000"/>
          <w:sz w:val="32"/>
          <w:szCs w:val="32"/>
          <w:highlight w:val="none"/>
          <w:lang w:val="en-US" w:eastAsia="zh-CN"/>
        </w:rPr>
        <w:t>2155.45万元，</w:t>
      </w:r>
      <w:r>
        <w:rPr>
          <w:rFonts w:hint="eastAsia" w:ascii="仿宋_GB2312" w:hAnsi="仿宋_GB2312" w:eastAsia="仿宋_GB2312" w:cs="仿宋_GB2312"/>
          <w:b w:val="0"/>
          <w:bCs w:val="0"/>
          <w:color w:val="000000"/>
          <w:sz w:val="32"/>
          <w:szCs w:val="32"/>
          <w:highlight w:val="none"/>
        </w:rPr>
        <w:t>与2019年</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2578.51万元</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rPr>
        <w:t>相比，财政拨款</w:t>
      </w:r>
      <w:r>
        <w:rPr>
          <w:rFonts w:hint="eastAsia" w:ascii="仿宋_GB2312" w:hAnsi="仿宋_GB2312" w:eastAsia="仿宋_GB2312" w:cs="仿宋_GB2312"/>
          <w:b w:val="0"/>
          <w:bCs w:val="0"/>
          <w:color w:val="000000"/>
          <w:sz w:val="32"/>
          <w:szCs w:val="32"/>
          <w:highlight w:val="none"/>
          <w:lang w:eastAsia="zh-CN"/>
        </w:rPr>
        <w:t>支出</w:t>
      </w:r>
      <w:r>
        <w:rPr>
          <w:rFonts w:hint="eastAsia" w:ascii="仿宋_GB2312" w:hAnsi="仿宋_GB2312" w:eastAsia="仿宋_GB2312" w:cs="仿宋_GB2312"/>
          <w:b w:val="0"/>
          <w:bCs w:val="0"/>
          <w:color w:val="000000"/>
          <w:sz w:val="32"/>
          <w:szCs w:val="32"/>
          <w:highlight w:val="none"/>
        </w:rPr>
        <w:t>总计</w:t>
      </w:r>
      <w:r>
        <w:rPr>
          <w:rFonts w:hint="eastAsia" w:ascii="仿宋_GB2312" w:hAnsi="仿宋_GB2312" w:eastAsia="仿宋_GB2312" w:cs="仿宋_GB2312"/>
          <w:b w:val="0"/>
          <w:bCs w:val="0"/>
          <w:color w:val="000000"/>
          <w:sz w:val="32"/>
          <w:szCs w:val="32"/>
          <w:highlight w:val="none"/>
          <w:lang w:val="en-US" w:eastAsia="zh-CN"/>
        </w:rPr>
        <w:t>减少423.06</w:t>
      </w:r>
      <w:r>
        <w:rPr>
          <w:rFonts w:hint="eastAsia" w:ascii="仿宋_GB2312" w:hAnsi="仿宋_GB2312" w:eastAsia="仿宋_GB2312" w:cs="仿宋_GB2312"/>
          <w:b w:val="0"/>
          <w:bCs w:val="0"/>
          <w:color w:val="000000"/>
          <w:sz w:val="32"/>
          <w:szCs w:val="32"/>
          <w:highlight w:val="none"/>
        </w:rPr>
        <w:t>万元，</w:t>
      </w:r>
      <w:r>
        <w:rPr>
          <w:rFonts w:hint="eastAsia" w:ascii="仿宋_GB2312" w:hAnsi="仿宋_GB2312" w:eastAsia="仿宋_GB2312" w:cs="仿宋_GB2312"/>
          <w:b w:val="0"/>
          <w:bCs w:val="0"/>
          <w:color w:val="000000"/>
          <w:sz w:val="32"/>
          <w:szCs w:val="32"/>
          <w:highlight w:val="none"/>
          <w:lang w:val="en-US" w:eastAsia="zh-CN"/>
        </w:rPr>
        <w:t>下降16.41</w:t>
      </w:r>
      <w:r>
        <w:rPr>
          <w:rFonts w:hint="eastAsia" w:ascii="仿宋_GB2312" w:hAnsi="仿宋_GB2312" w:eastAsia="仿宋_GB2312" w:cs="仿宋_GB2312"/>
          <w:b w:val="0"/>
          <w:bCs w:val="0"/>
          <w:color w:val="000000"/>
          <w:sz w:val="32"/>
          <w:szCs w:val="32"/>
          <w:highlight w:val="none"/>
        </w:rPr>
        <w:t>%。主要变动原因是</w:t>
      </w:r>
      <w:r>
        <w:rPr>
          <w:rFonts w:hint="eastAsia" w:ascii="仿宋_GB2312" w:hAnsi="仿宋_GB2312" w:eastAsia="仿宋_GB2312" w:cs="仿宋_GB2312"/>
          <w:b w:val="0"/>
          <w:bCs w:val="0"/>
          <w:color w:val="000000"/>
          <w:sz w:val="32"/>
          <w:szCs w:val="32"/>
          <w:highlight w:val="none"/>
          <w:lang w:val="en-US" w:eastAsia="zh-CN"/>
        </w:rPr>
        <w:t>生态文明方面支出（景区）较上年减少500万。</w:t>
      </w:r>
    </w:p>
    <w:p>
      <w:pPr>
        <w:pStyle w:val="2"/>
        <w:rPr>
          <w:rFonts w:hint="eastAsia"/>
          <w:lang w:eastAsia="zh-CN"/>
        </w:rPr>
      </w:pPr>
      <w:r>
        <w:rPr>
          <w:rFonts w:hint="eastAsia" w:ascii="黑体" w:hAnsi="黑体" w:eastAsia="黑体"/>
          <w:color w:val="000000"/>
          <w:sz w:val="32"/>
          <w:szCs w:val="32"/>
        </w:rPr>
        <w:object>
          <v:shape id="_x0000_i1027" o:spt="75" type="#_x0000_t75" style="height:233.45pt;width:314.65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8" r:id="rId13">
            <o:LockedField>false</o:LockedField>
          </o:OLEObject>
        </w:object>
      </w:r>
    </w:p>
    <w:p>
      <w:pPr>
        <w:rPr>
          <w:rFonts w:hint="eastAsia"/>
          <w:lang w:eastAsia="zh-CN"/>
        </w:rPr>
      </w:pPr>
    </w:p>
    <w:p>
      <w:pPr>
        <w:pageBreakBefore w:val="0"/>
        <w:kinsoku/>
        <w:wordWrap/>
        <w:overflowPunct/>
        <w:topLinePunct w:val="0"/>
        <w:bidi w:val="0"/>
        <w:spacing w:line="600" w:lineRule="exact"/>
        <w:ind w:firstLine="640" w:firstLineChars="200"/>
        <w:textAlignment w:val="auto"/>
        <w:outlineLvl w:val="1"/>
        <w:rPr>
          <w:rStyle w:val="16"/>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32"/>
      <w:bookmarkEnd w:id="33"/>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4" w:name="_Toc15377210"/>
      <w:r>
        <w:rPr>
          <w:rFonts w:hint="eastAsia" w:ascii="楷体_GB2312" w:hAnsi="楷体_GB2312" w:eastAsia="楷体_GB2312" w:cs="楷体_GB2312"/>
          <w:b w:val="0"/>
          <w:bCs w:val="0"/>
          <w:color w:val="000000"/>
          <w:sz w:val="32"/>
          <w:szCs w:val="32"/>
        </w:rPr>
        <w:t>（一）一般公共预算财政拨款支出决算总体情况</w:t>
      </w:r>
      <w:bookmarkEnd w:id="34"/>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2020年一般公共预算财政拨款支出</w:t>
      </w:r>
      <w:r>
        <w:rPr>
          <w:rFonts w:hint="eastAsia" w:ascii="仿宋_GB2312" w:hAnsi="仿宋_GB2312" w:eastAsia="仿宋_GB2312" w:cs="仿宋_GB2312"/>
          <w:color w:val="000000"/>
          <w:sz w:val="32"/>
          <w:szCs w:val="32"/>
          <w:lang w:val="en-US" w:eastAsia="zh-CN"/>
        </w:rPr>
        <w:t>2151.65</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99.58</w:t>
      </w:r>
      <w:r>
        <w:rPr>
          <w:rFonts w:hint="eastAsia" w:ascii="仿宋_GB2312" w:hAnsi="仿宋_GB2312" w:eastAsia="仿宋_GB2312" w:cs="仿宋_GB2312"/>
          <w:color w:val="000000"/>
          <w:sz w:val="32"/>
          <w:szCs w:val="32"/>
        </w:rPr>
        <w:t>%。与2019年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1937.43万元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相比，一般公共预算财政拨款增加</w:t>
      </w:r>
      <w:r>
        <w:rPr>
          <w:rFonts w:hint="eastAsia" w:ascii="仿宋_GB2312" w:hAnsi="仿宋_GB2312" w:eastAsia="仿宋_GB2312" w:cs="仿宋_GB2312"/>
          <w:color w:val="000000"/>
          <w:sz w:val="32"/>
          <w:szCs w:val="32"/>
          <w:lang w:val="en-US" w:eastAsia="zh-CN"/>
        </w:rPr>
        <w:t>214.22</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11.06</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val="en-US" w:eastAsia="zh-CN"/>
        </w:rPr>
        <w:t>2019年公车运维平台建设运维费200余万元2019年为政府性基金预算，2020年改为一般公共预算财政拨款。</w:t>
      </w:r>
    </w:p>
    <w:p>
      <w:pPr>
        <w:pStyle w:val="2"/>
        <w:rPr>
          <w:rFonts w:hint="eastAsia"/>
        </w:rPr>
      </w:pPr>
      <w:r>
        <w:rPr>
          <w:rFonts w:hint="eastAsia" w:eastAsia="仿宋"/>
          <w:lang w:eastAsia="zh-CN"/>
        </w:rPr>
        <w:object>
          <v:shape id="_x0000_i1028" o:spt="75" type="#_x0000_t75" style="height:228.1pt;width:374.4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9" r:id="rId15">
            <o:LockedField>false</o:LockedField>
          </o:OLEObject>
        </w:object>
      </w:r>
    </w:p>
    <w:p>
      <w:pPr>
        <w:pageBreakBefore w:val="0"/>
        <w:kinsoku/>
        <w:wordWrap/>
        <w:overflowPunct/>
        <w:topLinePunct w:val="0"/>
        <w:bidi w:val="0"/>
        <w:spacing w:line="600" w:lineRule="exact"/>
        <w:ind w:firstLine="640" w:firstLineChars="200"/>
        <w:textAlignment w:val="auto"/>
        <w:outlineLvl w:val="2"/>
        <w:rPr>
          <w:rFonts w:hint="eastAsia" w:ascii="楷体_GB2312" w:hAnsi="楷体_GB2312" w:eastAsia="楷体_GB2312" w:cs="楷体_GB2312"/>
          <w:b w:val="0"/>
          <w:bCs w:val="0"/>
          <w:color w:val="000000"/>
          <w:sz w:val="32"/>
          <w:szCs w:val="32"/>
        </w:rPr>
      </w:pPr>
      <w:bookmarkStart w:id="35" w:name="_Toc15377211"/>
      <w:r>
        <w:rPr>
          <w:rFonts w:hint="eastAsia" w:ascii="楷体_GB2312" w:hAnsi="楷体_GB2312" w:eastAsia="楷体_GB2312" w:cs="楷体_GB2312"/>
          <w:b w:val="0"/>
          <w:bCs w:val="0"/>
          <w:color w:val="000000"/>
          <w:sz w:val="32"/>
          <w:szCs w:val="32"/>
        </w:rPr>
        <w:t>（二）一般公共预算财政拨款支出决算结构情况</w:t>
      </w:r>
      <w:bookmarkEnd w:id="35"/>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2020年一般公共预算财政拨款支出</w:t>
      </w:r>
      <w:r>
        <w:rPr>
          <w:rFonts w:hint="eastAsia" w:ascii="仿宋_GB2312" w:hAnsi="仿宋_GB2312" w:eastAsia="仿宋_GB2312" w:cs="仿宋_GB2312"/>
          <w:b w:val="0"/>
          <w:bCs w:val="0"/>
          <w:color w:val="000000"/>
          <w:sz w:val="32"/>
          <w:szCs w:val="32"/>
          <w:lang w:val="en-US" w:eastAsia="zh-CN"/>
        </w:rPr>
        <w:t>2146.5</w:t>
      </w:r>
      <w:r>
        <w:rPr>
          <w:rFonts w:hint="eastAsia" w:ascii="仿宋_GB2312" w:hAnsi="仿宋_GB2312" w:eastAsia="仿宋_GB2312" w:cs="仿宋_GB2312"/>
          <w:b w:val="0"/>
          <w:bCs w:val="0"/>
          <w:color w:val="000000"/>
          <w:sz w:val="32"/>
          <w:szCs w:val="32"/>
        </w:rPr>
        <w:t>万元，主要用于以下方面:一般公共服务（类）支出</w:t>
      </w:r>
      <w:r>
        <w:rPr>
          <w:rFonts w:hint="eastAsia" w:ascii="仿宋_GB2312" w:hAnsi="仿宋_GB2312" w:eastAsia="仿宋_GB2312" w:cs="仿宋_GB2312"/>
          <w:b w:val="0"/>
          <w:bCs w:val="0"/>
          <w:color w:val="000000"/>
          <w:sz w:val="32"/>
          <w:szCs w:val="32"/>
          <w:lang w:val="en-US" w:eastAsia="zh-CN"/>
        </w:rPr>
        <w:t>1939.44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90.35</w:t>
      </w:r>
      <w:r>
        <w:rPr>
          <w:rFonts w:hint="eastAsia" w:ascii="仿宋_GB2312" w:hAnsi="仿宋_GB2312" w:eastAsia="仿宋_GB2312" w:cs="仿宋_GB2312"/>
          <w:b w:val="0"/>
          <w:bCs w:val="0"/>
          <w:color w:val="000000"/>
          <w:sz w:val="32"/>
          <w:szCs w:val="32"/>
        </w:rPr>
        <w:t>%；教育支出（类）</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%；科学技术（类）支出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%；文化旅游体育与传媒（类）支出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%；社会保障和就业（类）支出</w:t>
      </w:r>
      <w:r>
        <w:rPr>
          <w:rFonts w:hint="eastAsia" w:ascii="仿宋_GB2312" w:hAnsi="仿宋_GB2312" w:eastAsia="仿宋_GB2312" w:cs="仿宋_GB2312"/>
          <w:b w:val="0"/>
          <w:bCs w:val="0"/>
          <w:color w:val="000000"/>
          <w:sz w:val="32"/>
          <w:szCs w:val="32"/>
          <w:lang w:val="en-US" w:eastAsia="zh-CN"/>
        </w:rPr>
        <w:t>109.53</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5.1</w:t>
      </w:r>
      <w:r>
        <w:rPr>
          <w:rFonts w:hint="eastAsia" w:ascii="仿宋_GB2312" w:hAnsi="仿宋_GB2312" w:eastAsia="仿宋_GB2312" w:cs="仿宋_GB2312"/>
          <w:b w:val="0"/>
          <w:bCs w:val="0"/>
          <w:color w:val="000000"/>
          <w:sz w:val="32"/>
          <w:szCs w:val="32"/>
        </w:rPr>
        <w:t>%；卫生健康支出</w:t>
      </w:r>
      <w:r>
        <w:rPr>
          <w:rFonts w:hint="eastAsia" w:ascii="仿宋_GB2312" w:hAnsi="仿宋_GB2312" w:eastAsia="仿宋_GB2312" w:cs="仿宋_GB2312"/>
          <w:b w:val="0"/>
          <w:bCs w:val="0"/>
          <w:color w:val="000000"/>
          <w:sz w:val="32"/>
          <w:szCs w:val="32"/>
          <w:lang w:val="en-US" w:eastAsia="zh-CN"/>
        </w:rPr>
        <w:t>20.09</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0.94</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占</w:t>
      </w:r>
      <w:r>
        <w:rPr>
          <w:rFonts w:hint="eastAsia" w:ascii="仿宋_GB2312" w:hAnsi="仿宋_GB2312" w:eastAsia="仿宋_GB2312" w:cs="仿宋_GB2312"/>
          <w:b w:val="0"/>
          <w:bCs w:val="0"/>
          <w:color w:val="000000"/>
          <w:sz w:val="32"/>
          <w:szCs w:val="32"/>
        </w:rPr>
        <w:t>住房保障支出</w:t>
      </w:r>
      <w:r>
        <w:rPr>
          <w:rFonts w:hint="eastAsia" w:ascii="仿宋_GB2312" w:hAnsi="仿宋_GB2312" w:eastAsia="仿宋_GB2312" w:cs="仿宋_GB2312"/>
          <w:b w:val="0"/>
          <w:bCs w:val="0"/>
          <w:color w:val="000000"/>
          <w:sz w:val="32"/>
          <w:szCs w:val="32"/>
          <w:lang w:val="en-US" w:eastAsia="zh-CN"/>
        </w:rPr>
        <w:t>77.44</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3.61</w:t>
      </w:r>
      <w:r>
        <w:rPr>
          <w:rFonts w:hint="eastAsia" w:ascii="仿宋_GB2312" w:hAnsi="仿宋_GB2312" w:eastAsia="仿宋_GB2312" w:cs="仿宋_GB2312"/>
          <w:b w:val="0"/>
          <w:bCs w:val="0"/>
          <w:color w:val="000000"/>
          <w:sz w:val="32"/>
          <w:szCs w:val="32"/>
        </w:rPr>
        <w:t>%。</w:t>
      </w:r>
    </w:p>
    <w:p>
      <w:pPr>
        <w:pStyle w:val="2"/>
        <w:rPr>
          <w:rFonts w:hint="eastAsia" w:ascii="仿宋_GB2312" w:hAnsi="仿宋_GB2312" w:eastAsia="仿宋_GB2312" w:cs="仿宋_GB2312"/>
          <w:b w:val="0"/>
          <w:bCs w:val="0"/>
          <w:color w:val="000000"/>
          <w:sz w:val="32"/>
          <w:szCs w:val="32"/>
        </w:rPr>
      </w:pPr>
      <w:r>
        <w:rPr>
          <w:rFonts w:hint="eastAsia" w:eastAsia="仿宋"/>
          <w:lang w:eastAsia="zh-CN"/>
        </w:rPr>
        <w:object>
          <v:shape id="_x0000_i1029" o:spt="75" type="#_x0000_t75" style="height:329.45pt;width:308.8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30" r:id="rId17">
            <o:LockedField>false</o:LockedField>
          </o:OLEObject>
        </w:object>
      </w:r>
    </w:p>
    <w:p>
      <w:pPr>
        <w:pageBreakBefore w:val="0"/>
        <w:kinsoku/>
        <w:wordWrap/>
        <w:overflowPunct/>
        <w:topLinePunct w:val="0"/>
        <w:bidi w:val="0"/>
        <w:spacing w:line="600" w:lineRule="exact"/>
        <w:ind w:firstLine="320" w:firstLineChars="100"/>
        <w:textAlignment w:val="auto"/>
        <w:outlineLvl w:val="2"/>
        <w:rPr>
          <w:rFonts w:hint="eastAsia" w:ascii="楷体_GB2312" w:hAnsi="楷体_GB2312" w:eastAsia="楷体_GB2312" w:cs="楷体_GB2312"/>
          <w:b w:val="0"/>
          <w:bCs/>
          <w:color w:val="000000"/>
          <w:sz w:val="32"/>
          <w:szCs w:val="32"/>
        </w:rPr>
      </w:pPr>
      <w:bookmarkStart w:id="36" w:name="_Toc15377212"/>
      <w:r>
        <w:rPr>
          <w:rFonts w:hint="eastAsia" w:ascii="楷体_GB2312" w:hAnsi="楷体_GB2312" w:eastAsia="楷体_GB2312" w:cs="楷体_GB2312"/>
          <w:b w:val="0"/>
          <w:bCs/>
          <w:color w:val="000000"/>
          <w:sz w:val="32"/>
          <w:szCs w:val="32"/>
        </w:rPr>
        <w:t>（三）一般公共预算财政拨款支出决算具体情况</w:t>
      </w:r>
      <w:bookmarkEnd w:id="36"/>
    </w:p>
    <w:p>
      <w:pPr>
        <w:pageBreakBefore w:val="0"/>
        <w:kinsoku/>
        <w:wordWrap/>
        <w:overflowPunct/>
        <w:topLinePunct w:val="0"/>
        <w:bidi w:val="0"/>
        <w:spacing w:line="600" w:lineRule="exact"/>
        <w:ind w:firstLine="640" w:firstLineChars="200"/>
        <w:textAlignment w:val="auto"/>
        <w:outlineLvl w:val="2"/>
        <w:rPr>
          <w:rFonts w:hint="eastAsia" w:ascii="仿宋_GB2312" w:hAnsi="仿宋_GB2312" w:eastAsia="仿宋_GB2312" w:cs="仿宋_GB2312"/>
          <w:b w:val="0"/>
          <w:bCs/>
          <w:color w:val="000000"/>
          <w:sz w:val="32"/>
          <w:szCs w:val="32"/>
          <w:highlight w:val="none"/>
        </w:rPr>
      </w:pPr>
      <w:bookmarkStart w:id="37" w:name="_Toc15378460"/>
      <w:bookmarkStart w:id="38" w:name="_Toc15377213"/>
      <w:bookmarkStart w:id="39" w:name="_Toc15377444"/>
      <w:r>
        <w:rPr>
          <w:rFonts w:hint="eastAsia" w:ascii="仿宋_GB2312" w:hAnsi="仿宋_GB2312" w:eastAsia="仿宋_GB2312" w:cs="仿宋_GB2312"/>
          <w:b w:val="0"/>
          <w:bCs/>
          <w:color w:val="000000"/>
          <w:sz w:val="32"/>
          <w:szCs w:val="32"/>
          <w:highlight w:val="none"/>
        </w:rPr>
        <w:t>2020年一般公共预算支出决算数为</w:t>
      </w:r>
      <w:r>
        <w:rPr>
          <w:rFonts w:hint="eastAsia" w:ascii="仿宋_GB2312" w:hAnsi="仿宋_GB2312" w:eastAsia="仿宋_GB2312" w:cs="仿宋_GB2312"/>
          <w:b w:val="0"/>
          <w:bCs/>
          <w:color w:val="000000"/>
          <w:sz w:val="32"/>
          <w:szCs w:val="32"/>
          <w:highlight w:val="none"/>
          <w:lang w:val="en-US" w:eastAsia="zh-CN"/>
        </w:rPr>
        <w:t>2146.5万元</w:t>
      </w:r>
      <w:r>
        <w:rPr>
          <w:rFonts w:hint="eastAsia" w:ascii="仿宋_GB2312" w:hAnsi="仿宋_GB2312" w:eastAsia="仿宋_GB2312" w:cs="仿宋_GB2312"/>
          <w:b w:val="0"/>
          <w:bCs/>
          <w:color w:val="000000"/>
          <w:sz w:val="32"/>
          <w:szCs w:val="32"/>
          <w:highlight w:val="none"/>
        </w:rPr>
        <w:t>，</w:t>
      </w:r>
      <w:r>
        <w:rPr>
          <w:rStyle w:val="13"/>
          <w:rFonts w:hint="eastAsia" w:ascii="仿宋_GB2312" w:hAnsi="仿宋_GB2312" w:eastAsia="仿宋_GB2312" w:cs="仿宋_GB2312"/>
          <w:b w:val="0"/>
          <w:bCs/>
          <w:color w:val="000000"/>
          <w:sz w:val="32"/>
          <w:szCs w:val="32"/>
          <w:highlight w:val="none"/>
        </w:rPr>
        <w:t>完成预算</w:t>
      </w:r>
      <w:r>
        <w:rPr>
          <w:rStyle w:val="13"/>
          <w:rFonts w:hint="eastAsia" w:ascii="仿宋_GB2312" w:hAnsi="仿宋_GB2312" w:eastAsia="仿宋_GB2312" w:cs="仿宋_GB2312"/>
          <w:b w:val="0"/>
          <w:bCs/>
          <w:color w:val="000000"/>
          <w:sz w:val="32"/>
          <w:szCs w:val="32"/>
          <w:highlight w:val="none"/>
          <w:lang w:val="en-US" w:eastAsia="zh-CN"/>
        </w:rPr>
        <w:t>99.76</w:t>
      </w:r>
      <w:r>
        <w:rPr>
          <w:rStyle w:val="13"/>
          <w:rFonts w:hint="eastAsia" w:ascii="仿宋_GB2312" w:hAnsi="仿宋_GB2312" w:eastAsia="仿宋_GB2312" w:cs="仿宋_GB2312"/>
          <w:b w:val="0"/>
          <w:bCs/>
          <w:color w:val="000000"/>
          <w:sz w:val="32"/>
          <w:szCs w:val="32"/>
          <w:highlight w:val="none"/>
        </w:rPr>
        <w:t>%。其中：</w:t>
      </w:r>
      <w:bookmarkEnd w:id="37"/>
      <w:bookmarkEnd w:id="38"/>
      <w:bookmarkEnd w:id="39"/>
    </w:p>
    <w:p>
      <w:pPr>
        <w:pageBreakBefore w:val="0"/>
        <w:numPr>
          <w:ilvl w:val="0"/>
          <w:numId w:val="2"/>
        </w:numPr>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eastAsia="zh-CN"/>
        </w:rPr>
      </w:pPr>
      <w:r>
        <w:rPr>
          <w:rStyle w:val="13"/>
          <w:rFonts w:hint="eastAsia" w:ascii="仿宋_GB2312" w:hAnsi="仿宋_GB2312" w:eastAsia="仿宋_GB2312" w:cs="仿宋_GB2312"/>
          <w:b w:val="0"/>
          <w:bCs/>
          <w:color w:val="000000"/>
          <w:sz w:val="32"/>
          <w:szCs w:val="32"/>
          <w:highlight w:val="none"/>
          <w:lang w:eastAsia="zh-CN"/>
        </w:rPr>
        <w:t>一般公共服务</w:t>
      </w:r>
      <w:r>
        <w:rPr>
          <w:rStyle w:val="13"/>
          <w:rFonts w:hint="eastAsia" w:ascii="仿宋_GB2312" w:hAnsi="仿宋_GB2312" w:eastAsia="仿宋_GB2312" w:cs="仿宋_GB2312"/>
          <w:b w:val="0"/>
          <w:bCs/>
          <w:color w:val="000000"/>
          <w:sz w:val="32"/>
          <w:szCs w:val="32"/>
          <w:highlight w:val="none"/>
          <w:lang w:val="en-US" w:eastAsia="zh-CN"/>
        </w:rPr>
        <w:t>支出</w:t>
      </w:r>
      <w:r>
        <w:rPr>
          <w:rStyle w:val="13"/>
          <w:rFonts w:hint="eastAsia" w:ascii="仿宋_GB2312" w:hAnsi="仿宋_GB2312" w:eastAsia="仿宋_GB2312" w:cs="仿宋_GB2312"/>
          <w:b w:val="0"/>
          <w:bCs/>
          <w:color w:val="000000"/>
          <w:sz w:val="32"/>
          <w:szCs w:val="32"/>
          <w:highlight w:val="none"/>
          <w:lang w:eastAsia="zh-CN"/>
        </w:rPr>
        <w:t>（类）政府办公厅及相关机构事务（款）行政运行（项）</w:t>
      </w:r>
      <w:r>
        <w:rPr>
          <w:rStyle w:val="13"/>
          <w:rFonts w:hint="eastAsia" w:ascii="仿宋_GB2312" w:hAnsi="仿宋_GB2312" w:eastAsia="仿宋_GB2312" w:cs="仿宋_GB2312"/>
          <w:b w:val="0"/>
          <w:bCs/>
          <w:color w:val="000000"/>
          <w:sz w:val="32"/>
          <w:szCs w:val="32"/>
          <w:highlight w:val="none"/>
        </w:rPr>
        <w:t>: 支出决算为</w:t>
      </w:r>
      <w:r>
        <w:rPr>
          <w:rStyle w:val="13"/>
          <w:rFonts w:hint="eastAsia" w:ascii="仿宋_GB2312" w:hAnsi="仿宋_GB2312" w:eastAsia="仿宋_GB2312" w:cs="仿宋_GB2312"/>
          <w:b w:val="0"/>
          <w:bCs/>
          <w:color w:val="000000"/>
          <w:sz w:val="32"/>
          <w:szCs w:val="32"/>
          <w:highlight w:val="none"/>
          <w:lang w:val="en-US" w:eastAsia="zh-CN"/>
        </w:rPr>
        <w:t>875.32</w:t>
      </w:r>
      <w:r>
        <w:rPr>
          <w:rStyle w:val="13"/>
          <w:rFonts w:hint="eastAsia" w:ascii="仿宋_GB2312" w:hAnsi="仿宋_GB2312" w:eastAsia="仿宋_GB2312" w:cs="仿宋_GB2312"/>
          <w:b w:val="0"/>
          <w:bCs/>
          <w:color w:val="000000"/>
          <w:sz w:val="32"/>
          <w:szCs w:val="32"/>
          <w:highlight w:val="none"/>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rPr>
        <w:t>%</w:t>
      </w:r>
      <w:r>
        <w:rPr>
          <w:rStyle w:val="13"/>
          <w:rFonts w:hint="eastAsia" w:ascii="仿宋_GB2312" w:hAnsi="仿宋_GB2312" w:eastAsia="仿宋_GB2312" w:cs="仿宋_GB2312"/>
          <w:b w:val="0"/>
          <w:bCs/>
          <w:color w:val="000000"/>
          <w:sz w:val="32"/>
          <w:szCs w:val="32"/>
          <w:highlight w:val="none"/>
          <w:lang w:eastAsia="zh-CN"/>
        </w:rPr>
        <w:t>。</w:t>
      </w:r>
    </w:p>
    <w:p>
      <w:pPr>
        <w:pageBreakBefore w:val="0"/>
        <w:numPr>
          <w:ilvl w:val="0"/>
          <w:numId w:val="2"/>
        </w:numPr>
        <w:kinsoku/>
        <w:wordWrap/>
        <w:overflowPunct/>
        <w:topLinePunct w:val="0"/>
        <w:bidi w:val="0"/>
        <w:spacing w:line="600" w:lineRule="exact"/>
        <w:ind w:left="0" w:leftChars="0" w:firstLine="640" w:firstLineChars="200"/>
        <w:textAlignment w:val="auto"/>
        <w:rPr>
          <w:rStyle w:val="13"/>
          <w:rFonts w:hint="eastAsia" w:ascii="仿宋_GB2312" w:hAnsi="仿宋_GB2312" w:eastAsia="仿宋_GB2312" w:cs="仿宋_GB2312"/>
          <w:b w:val="0"/>
          <w:bCs/>
          <w:color w:val="000000"/>
          <w:sz w:val="32"/>
          <w:szCs w:val="32"/>
          <w:highlight w:val="none"/>
          <w:lang w:eastAsia="zh-CN"/>
        </w:rPr>
      </w:pPr>
      <w:r>
        <w:rPr>
          <w:rStyle w:val="13"/>
          <w:rFonts w:hint="eastAsia" w:ascii="仿宋_GB2312" w:hAnsi="仿宋_GB2312" w:eastAsia="仿宋_GB2312" w:cs="仿宋_GB2312"/>
          <w:b w:val="0"/>
          <w:bCs/>
          <w:color w:val="000000"/>
          <w:sz w:val="32"/>
          <w:szCs w:val="32"/>
          <w:highlight w:val="none"/>
          <w:lang w:eastAsia="zh-CN"/>
        </w:rPr>
        <w:t>一般公共服务支出（类）政府办公厅及相关机构事务（款）一般行政管理事务（项）:2020年决算数为</w:t>
      </w:r>
      <w:r>
        <w:rPr>
          <w:rStyle w:val="13"/>
          <w:rFonts w:hint="eastAsia" w:ascii="仿宋_GB2312" w:hAnsi="仿宋_GB2312" w:eastAsia="仿宋_GB2312" w:cs="仿宋_GB2312"/>
          <w:b w:val="0"/>
          <w:bCs/>
          <w:color w:val="000000"/>
          <w:sz w:val="32"/>
          <w:szCs w:val="32"/>
          <w:highlight w:val="none"/>
          <w:lang w:val="en-US" w:eastAsia="zh-CN"/>
        </w:rPr>
        <w:t>1022.7</w:t>
      </w:r>
      <w:r>
        <w:rPr>
          <w:rStyle w:val="13"/>
          <w:rFonts w:hint="eastAsia" w:ascii="仿宋_GB2312" w:hAnsi="仿宋_GB2312" w:eastAsia="仿宋_GB2312" w:cs="仿宋_GB2312"/>
          <w:b w:val="0"/>
          <w:bCs/>
          <w:color w:val="000000"/>
          <w:sz w:val="32"/>
          <w:szCs w:val="32"/>
          <w:highlight w:val="none"/>
          <w:lang w:eastAsia="zh-CN"/>
        </w:rPr>
        <w:t>万元，完成预算</w:t>
      </w:r>
      <w:r>
        <w:rPr>
          <w:rStyle w:val="13"/>
          <w:rFonts w:hint="eastAsia" w:ascii="仿宋_GB2312" w:hAnsi="仿宋_GB2312" w:eastAsia="仿宋_GB2312" w:cs="仿宋_GB2312"/>
          <w:b w:val="0"/>
          <w:bCs/>
          <w:color w:val="000000"/>
          <w:sz w:val="32"/>
          <w:szCs w:val="32"/>
          <w:highlight w:val="none"/>
          <w:lang w:val="en-US" w:eastAsia="zh-CN"/>
        </w:rPr>
        <w:t>99.5</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rPr>
        <w:t>决算数小于预算数的主要原因是</w:t>
      </w:r>
      <w:r>
        <w:rPr>
          <w:rStyle w:val="13"/>
          <w:rFonts w:hint="eastAsia" w:ascii="仿宋_GB2312" w:hAnsi="仿宋_GB2312" w:eastAsia="仿宋_GB2312" w:cs="仿宋_GB2312"/>
          <w:b w:val="0"/>
          <w:bCs/>
          <w:color w:val="000000"/>
          <w:sz w:val="32"/>
          <w:szCs w:val="32"/>
          <w:highlight w:val="none"/>
          <w:lang w:val="en-US" w:eastAsia="zh-CN"/>
        </w:rPr>
        <w:t>双基础账务处理模式部分经费未在预算账套做支出处理</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Fonts w:hint="eastAsia"/>
        </w:rPr>
      </w:pPr>
      <w:r>
        <w:rPr>
          <w:rStyle w:val="13"/>
          <w:rFonts w:hint="eastAsia" w:ascii="仿宋_GB2312" w:hAnsi="仿宋_GB2312" w:eastAsia="仿宋_GB2312" w:cs="仿宋_GB2312"/>
          <w:b w:val="0"/>
          <w:bCs/>
          <w:color w:val="000000"/>
          <w:sz w:val="32"/>
          <w:szCs w:val="32"/>
          <w:highlight w:val="none"/>
          <w:lang w:val="en-US" w:eastAsia="zh-CN"/>
        </w:rPr>
        <w:t>3</w:t>
      </w:r>
      <w:r>
        <w:rPr>
          <w:rStyle w:val="13"/>
          <w:rFonts w:hint="eastAsia" w:ascii="仿宋_GB2312" w:hAnsi="仿宋_GB2312" w:eastAsia="仿宋_GB2312" w:cs="仿宋_GB2312"/>
          <w:b w:val="0"/>
          <w:bCs/>
          <w:color w:val="000000"/>
          <w:sz w:val="32"/>
          <w:szCs w:val="32"/>
          <w:highlight w:val="none"/>
          <w:lang w:eastAsia="zh-CN"/>
        </w:rPr>
        <w:t>．一般公共服务支出（类）政府办公厅及相关机构事务（款）</w:t>
      </w:r>
      <w:r>
        <w:rPr>
          <w:rStyle w:val="13"/>
          <w:rFonts w:hint="eastAsia" w:ascii="仿宋_GB2312" w:hAnsi="仿宋_GB2312" w:eastAsia="仿宋_GB2312" w:cs="仿宋_GB2312"/>
          <w:b w:val="0"/>
          <w:bCs/>
          <w:color w:val="000000"/>
          <w:sz w:val="32"/>
          <w:szCs w:val="32"/>
          <w:highlight w:val="none"/>
          <w:lang w:val="en-US" w:eastAsia="zh-CN"/>
        </w:rPr>
        <w:t>事业运行</w:t>
      </w:r>
      <w:r>
        <w:rPr>
          <w:rStyle w:val="13"/>
          <w:rFonts w:hint="eastAsia" w:ascii="仿宋_GB2312" w:hAnsi="仿宋_GB2312" w:eastAsia="仿宋_GB2312" w:cs="仿宋_GB2312"/>
          <w:b w:val="0"/>
          <w:bCs/>
          <w:color w:val="000000"/>
          <w:sz w:val="32"/>
          <w:szCs w:val="32"/>
          <w:highlight w:val="none"/>
          <w:lang w:eastAsia="zh-CN"/>
        </w:rPr>
        <w:t>（项）:2020年决算数为</w:t>
      </w:r>
      <w:r>
        <w:rPr>
          <w:rStyle w:val="13"/>
          <w:rFonts w:hint="eastAsia" w:ascii="仿宋_GB2312" w:hAnsi="仿宋_GB2312" w:eastAsia="仿宋_GB2312" w:cs="仿宋_GB2312"/>
          <w:b w:val="0"/>
          <w:bCs/>
          <w:color w:val="000000"/>
          <w:sz w:val="32"/>
          <w:szCs w:val="32"/>
          <w:highlight w:val="none"/>
          <w:lang w:val="en-US" w:eastAsia="zh-CN"/>
        </w:rPr>
        <w:t>41.41</w:t>
      </w:r>
      <w:r>
        <w:rPr>
          <w:rStyle w:val="13"/>
          <w:rFonts w:hint="eastAsia" w:ascii="仿宋_GB2312" w:hAnsi="仿宋_GB2312" w:eastAsia="仿宋_GB2312" w:cs="仿宋_GB2312"/>
          <w:b w:val="0"/>
          <w:bCs/>
          <w:color w:val="000000"/>
          <w:sz w:val="32"/>
          <w:szCs w:val="32"/>
          <w:highlight w:val="none"/>
          <w:lang w:eastAsia="zh-CN"/>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rPr>
        <w:t>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val="en-US" w:eastAsia="zh-CN"/>
        </w:rPr>
      </w:pPr>
      <w:r>
        <w:rPr>
          <w:rStyle w:val="13"/>
          <w:rFonts w:hint="eastAsia" w:ascii="仿宋_GB2312" w:hAnsi="仿宋_GB2312" w:eastAsia="仿宋_GB2312" w:cs="仿宋_GB2312"/>
          <w:b w:val="0"/>
          <w:bCs/>
          <w:color w:val="000000"/>
          <w:sz w:val="32"/>
          <w:szCs w:val="32"/>
          <w:highlight w:val="none"/>
          <w:lang w:val="en-US" w:eastAsia="zh-CN"/>
        </w:rPr>
        <w:t>4</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rPr>
        <w:t>社会保障和就业</w:t>
      </w:r>
      <w:r>
        <w:rPr>
          <w:rStyle w:val="13"/>
          <w:rFonts w:hint="eastAsia" w:ascii="仿宋_GB2312" w:hAnsi="仿宋_GB2312" w:eastAsia="仿宋_GB2312" w:cs="仿宋_GB2312"/>
          <w:b w:val="0"/>
          <w:bCs/>
          <w:color w:val="000000"/>
          <w:sz w:val="32"/>
          <w:szCs w:val="32"/>
          <w:highlight w:val="none"/>
          <w:lang w:val="en-US" w:eastAsia="zh-CN"/>
        </w:rPr>
        <w:t>支出</w:t>
      </w:r>
      <w:r>
        <w:rPr>
          <w:rStyle w:val="13"/>
          <w:rFonts w:hint="eastAsia" w:ascii="仿宋_GB2312" w:hAnsi="仿宋_GB2312" w:eastAsia="仿宋_GB2312" w:cs="仿宋_GB2312"/>
          <w:b w:val="0"/>
          <w:bCs/>
          <w:color w:val="000000"/>
          <w:sz w:val="32"/>
          <w:szCs w:val="32"/>
          <w:highlight w:val="none"/>
        </w:rPr>
        <w:t>（类）</w:t>
      </w:r>
      <w:r>
        <w:rPr>
          <w:rStyle w:val="13"/>
          <w:rFonts w:hint="eastAsia" w:ascii="仿宋_GB2312" w:hAnsi="仿宋_GB2312" w:eastAsia="仿宋_GB2312" w:cs="仿宋_GB2312"/>
          <w:b w:val="0"/>
          <w:bCs/>
          <w:color w:val="000000"/>
          <w:sz w:val="32"/>
          <w:szCs w:val="32"/>
          <w:highlight w:val="none"/>
          <w:lang w:val="en-US" w:eastAsia="zh-CN"/>
        </w:rPr>
        <w:t>行政事业单位养老支出</w:t>
      </w:r>
      <w:r>
        <w:rPr>
          <w:rStyle w:val="13"/>
          <w:rFonts w:hint="eastAsia" w:ascii="仿宋_GB2312" w:hAnsi="仿宋_GB2312" w:eastAsia="仿宋_GB2312" w:cs="仿宋_GB2312"/>
          <w:b w:val="0"/>
          <w:bCs/>
          <w:color w:val="000000"/>
          <w:sz w:val="32"/>
          <w:szCs w:val="32"/>
          <w:highlight w:val="none"/>
        </w:rPr>
        <w:t>（款）</w:t>
      </w:r>
      <w:r>
        <w:rPr>
          <w:rStyle w:val="13"/>
          <w:rFonts w:hint="eastAsia" w:ascii="仿宋_GB2312" w:hAnsi="仿宋_GB2312" w:eastAsia="仿宋_GB2312" w:cs="仿宋_GB2312"/>
          <w:b w:val="0"/>
          <w:bCs/>
          <w:color w:val="000000"/>
          <w:sz w:val="32"/>
          <w:szCs w:val="32"/>
          <w:highlight w:val="none"/>
          <w:lang w:val="en-US" w:eastAsia="zh-CN"/>
        </w:rPr>
        <w:t>行政单位离退休</w:t>
      </w:r>
      <w:r>
        <w:rPr>
          <w:rStyle w:val="13"/>
          <w:rFonts w:hint="eastAsia" w:ascii="仿宋_GB2312" w:hAnsi="仿宋_GB2312" w:eastAsia="仿宋_GB2312" w:cs="仿宋_GB2312"/>
          <w:b w:val="0"/>
          <w:bCs/>
          <w:color w:val="000000"/>
          <w:sz w:val="32"/>
          <w:szCs w:val="32"/>
          <w:highlight w:val="none"/>
        </w:rPr>
        <w:t>（项）: 支出决算为</w:t>
      </w:r>
      <w:r>
        <w:rPr>
          <w:rStyle w:val="13"/>
          <w:rFonts w:hint="eastAsia" w:ascii="仿宋_GB2312" w:hAnsi="仿宋_GB2312" w:eastAsia="仿宋_GB2312" w:cs="仿宋_GB2312"/>
          <w:b w:val="0"/>
          <w:bCs/>
          <w:color w:val="000000"/>
          <w:sz w:val="32"/>
          <w:szCs w:val="32"/>
          <w:highlight w:val="none"/>
          <w:lang w:val="en-US" w:eastAsia="zh-CN"/>
        </w:rPr>
        <w:t>12.53</w:t>
      </w:r>
      <w:r>
        <w:rPr>
          <w:rStyle w:val="13"/>
          <w:rFonts w:hint="eastAsia" w:ascii="仿宋_GB2312" w:hAnsi="仿宋_GB2312" w:eastAsia="仿宋_GB2312" w:cs="仿宋_GB2312"/>
          <w:b w:val="0"/>
          <w:bCs/>
          <w:color w:val="000000"/>
          <w:sz w:val="32"/>
          <w:szCs w:val="32"/>
          <w:highlight w:val="none"/>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rPr>
        <w:t>%，决算数等于预算数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val="en-US" w:eastAsia="zh-CN"/>
        </w:rPr>
      </w:pPr>
      <w:r>
        <w:rPr>
          <w:rStyle w:val="13"/>
          <w:rFonts w:hint="eastAsia" w:ascii="仿宋_GB2312" w:hAnsi="仿宋_GB2312" w:eastAsia="仿宋_GB2312" w:cs="仿宋_GB2312"/>
          <w:b w:val="0"/>
          <w:bCs/>
          <w:color w:val="000000"/>
          <w:sz w:val="32"/>
          <w:szCs w:val="32"/>
          <w:highlight w:val="none"/>
        </w:rPr>
        <w:t>5</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rPr>
        <w:t>社会保障和就业</w:t>
      </w:r>
      <w:r>
        <w:rPr>
          <w:rStyle w:val="13"/>
          <w:rFonts w:hint="eastAsia" w:ascii="仿宋_GB2312" w:hAnsi="仿宋_GB2312" w:eastAsia="仿宋_GB2312" w:cs="仿宋_GB2312"/>
          <w:b w:val="0"/>
          <w:bCs/>
          <w:color w:val="000000"/>
          <w:sz w:val="32"/>
          <w:szCs w:val="32"/>
          <w:highlight w:val="none"/>
          <w:lang w:val="en-US" w:eastAsia="zh-CN"/>
        </w:rPr>
        <w:t>支出</w:t>
      </w:r>
      <w:r>
        <w:rPr>
          <w:rStyle w:val="13"/>
          <w:rFonts w:hint="eastAsia" w:ascii="仿宋_GB2312" w:hAnsi="仿宋_GB2312" w:eastAsia="仿宋_GB2312" w:cs="仿宋_GB2312"/>
          <w:b w:val="0"/>
          <w:bCs/>
          <w:color w:val="000000"/>
          <w:sz w:val="32"/>
          <w:szCs w:val="32"/>
          <w:highlight w:val="none"/>
        </w:rPr>
        <w:t>（类）</w:t>
      </w:r>
      <w:r>
        <w:rPr>
          <w:rStyle w:val="13"/>
          <w:rFonts w:hint="eastAsia" w:ascii="仿宋_GB2312" w:hAnsi="仿宋_GB2312" w:eastAsia="仿宋_GB2312" w:cs="仿宋_GB2312"/>
          <w:b w:val="0"/>
          <w:bCs/>
          <w:color w:val="000000"/>
          <w:sz w:val="32"/>
          <w:szCs w:val="32"/>
          <w:highlight w:val="none"/>
          <w:lang w:val="en-US" w:eastAsia="zh-CN"/>
        </w:rPr>
        <w:t>行政事业单位养老支出</w:t>
      </w:r>
      <w:r>
        <w:rPr>
          <w:rStyle w:val="13"/>
          <w:rFonts w:hint="eastAsia" w:ascii="仿宋_GB2312" w:hAnsi="仿宋_GB2312" w:eastAsia="仿宋_GB2312" w:cs="仿宋_GB2312"/>
          <w:b w:val="0"/>
          <w:bCs/>
          <w:color w:val="000000"/>
          <w:sz w:val="32"/>
          <w:szCs w:val="32"/>
          <w:highlight w:val="none"/>
        </w:rPr>
        <w:t>（款）</w:t>
      </w:r>
      <w:r>
        <w:rPr>
          <w:rStyle w:val="13"/>
          <w:rFonts w:hint="eastAsia" w:ascii="仿宋_GB2312" w:hAnsi="仿宋_GB2312" w:eastAsia="仿宋_GB2312" w:cs="仿宋_GB2312"/>
          <w:b w:val="0"/>
          <w:bCs/>
          <w:color w:val="000000"/>
          <w:sz w:val="32"/>
          <w:szCs w:val="32"/>
          <w:highlight w:val="none"/>
          <w:lang w:val="en-US" w:eastAsia="zh-CN"/>
        </w:rPr>
        <w:t>机关事业单位基本养老保险缴费支出</w:t>
      </w:r>
      <w:r>
        <w:rPr>
          <w:rStyle w:val="13"/>
          <w:rFonts w:hint="eastAsia" w:ascii="仿宋_GB2312" w:hAnsi="仿宋_GB2312" w:eastAsia="仿宋_GB2312" w:cs="仿宋_GB2312"/>
          <w:b w:val="0"/>
          <w:bCs/>
          <w:color w:val="000000"/>
          <w:sz w:val="32"/>
          <w:szCs w:val="32"/>
          <w:highlight w:val="none"/>
        </w:rPr>
        <w:t>（项）: 支出决算为</w:t>
      </w:r>
      <w:r>
        <w:rPr>
          <w:rStyle w:val="13"/>
          <w:rFonts w:hint="eastAsia" w:ascii="仿宋_GB2312" w:hAnsi="仿宋_GB2312" w:eastAsia="仿宋_GB2312" w:cs="仿宋_GB2312"/>
          <w:b w:val="0"/>
          <w:bCs/>
          <w:color w:val="000000"/>
          <w:sz w:val="32"/>
          <w:szCs w:val="32"/>
          <w:highlight w:val="none"/>
          <w:lang w:val="en-US" w:eastAsia="zh-CN"/>
        </w:rPr>
        <w:t>52.08</w:t>
      </w:r>
      <w:r>
        <w:rPr>
          <w:rStyle w:val="13"/>
          <w:rFonts w:hint="eastAsia" w:ascii="仿宋_GB2312" w:hAnsi="仿宋_GB2312" w:eastAsia="仿宋_GB2312" w:cs="仿宋_GB2312"/>
          <w:b w:val="0"/>
          <w:bCs/>
          <w:color w:val="000000"/>
          <w:sz w:val="32"/>
          <w:szCs w:val="32"/>
          <w:highlight w:val="none"/>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rPr>
        <w:t>%，决算数等于预算数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val="en-US" w:eastAsia="zh-CN"/>
        </w:rPr>
      </w:pPr>
      <w:r>
        <w:rPr>
          <w:rStyle w:val="13"/>
          <w:rFonts w:hint="eastAsia" w:ascii="仿宋_GB2312" w:hAnsi="仿宋_GB2312" w:eastAsia="仿宋_GB2312" w:cs="仿宋_GB2312"/>
          <w:b w:val="0"/>
          <w:bCs/>
          <w:color w:val="000000"/>
          <w:sz w:val="32"/>
          <w:szCs w:val="32"/>
          <w:highlight w:val="none"/>
          <w:lang w:val="en-US" w:eastAsia="zh-CN"/>
        </w:rPr>
        <w:t>6</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rPr>
        <w:t>社会保障和就业</w:t>
      </w:r>
      <w:r>
        <w:rPr>
          <w:rStyle w:val="13"/>
          <w:rFonts w:hint="eastAsia" w:ascii="仿宋_GB2312" w:hAnsi="仿宋_GB2312" w:eastAsia="仿宋_GB2312" w:cs="仿宋_GB2312"/>
          <w:b w:val="0"/>
          <w:bCs/>
          <w:color w:val="000000"/>
          <w:sz w:val="32"/>
          <w:szCs w:val="32"/>
          <w:highlight w:val="none"/>
          <w:lang w:val="en-US" w:eastAsia="zh-CN"/>
        </w:rPr>
        <w:t>支出</w:t>
      </w:r>
      <w:r>
        <w:rPr>
          <w:rStyle w:val="13"/>
          <w:rFonts w:hint="eastAsia" w:ascii="仿宋_GB2312" w:hAnsi="仿宋_GB2312" w:eastAsia="仿宋_GB2312" w:cs="仿宋_GB2312"/>
          <w:b w:val="0"/>
          <w:bCs/>
          <w:color w:val="000000"/>
          <w:sz w:val="32"/>
          <w:szCs w:val="32"/>
          <w:highlight w:val="none"/>
        </w:rPr>
        <w:t>（类）</w:t>
      </w:r>
      <w:r>
        <w:rPr>
          <w:rStyle w:val="13"/>
          <w:rFonts w:hint="eastAsia" w:ascii="仿宋_GB2312" w:hAnsi="仿宋_GB2312" w:eastAsia="仿宋_GB2312" w:cs="仿宋_GB2312"/>
          <w:b w:val="0"/>
          <w:bCs/>
          <w:color w:val="000000"/>
          <w:sz w:val="32"/>
          <w:szCs w:val="32"/>
          <w:highlight w:val="none"/>
          <w:lang w:val="en-US" w:eastAsia="zh-CN"/>
        </w:rPr>
        <w:t>行政事业单位养老支出</w:t>
      </w:r>
      <w:r>
        <w:rPr>
          <w:rStyle w:val="13"/>
          <w:rFonts w:hint="eastAsia" w:ascii="仿宋_GB2312" w:hAnsi="仿宋_GB2312" w:eastAsia="仿宋_GB2312" w:cs="仿宋_GB2312"/>
          <w:b w:val="0"/>
          <w:bCs/>
          <w:color w:val="000000"/>
          <w:sz w:val="32"/>
          <w:szCs w:val="32"/>
          <w:highlight w:val="none"/>
        </w:rPr>
        <w:t>（款）机关事业单位职业年金缴费</w:t>
      </w:r>
      <w:r>
        <w:rPr>
          <w:rStyle w:val="13"/>
          <w:rFonts w:hint="eastAsia" w:ascii="仿宋_GB2312" w:hAnsi="仿宋_GB2312" w:eastAsia="仿宋_GB2312" w:cs="仿宋_GB2312"/>
          <w:b w:val="0"/>
          <w:bCs/>
          <w:color w:val="000000"/>
          <w:sz w:val="32"/>
          <w:szCs w:val="32"/>
          <w:highlight w:val="none"/>
          <w:lang w:val="en-US" w:eastAsia="zh-CN"/>
        </w:rPr>
        <w:t>支出</w:t>
      </w:r>
      <w:r>
        <w:rPr>
          <w:rStyle w:val="13"/>
          <w:rFonts w:hint="eastAsia" w:ascii="仿宋_GB2312" w:hAnsi="仿宋_GB2312" w:eastAsia="仿宋_GB2312" w:cs="仿宋_GB2312"/>
          <w:b w:val="0"/>
          <w:bCs/>
          <w:color w:val="000000"/>
          <w:sz w:val="32"/>
          <w:szCs w:val="32"/>
          <w:highlight w:val="none"/>
        </w:rPr>
        <w:t>（项）: 支出决算为</w:t>
      </w:r>
      <w:r>
        <w:rPr>
          <w:rStyle w:val="13"/>
          <w:rFonts w:hint="eastAsia" w:ascii="仿宋_GB2312" w:hAnsi="仿宋_GB2312" w:eastAsia="仿宋_GB2312" w:cs="仿宋_GB2312"/>
          <w:b w:val="0"/>
          <w:bCs/>
          <w:color w:val="000000"/>
          <w:sz w:val="32"/>
          <w:szCs w:val="32"/>
          <w:highlight w:val="none"/>
          <w:lang w:val="en-US" w:eastAsia="zh-CN"/>
        </w:rPr>
        <w:t>26.04</w:t>
      </w:r>
      <w:r>
        <w:rPr>
          <w:rStyle w:val="13"/>
          <w:rFonts w:hint="eastAsia" w:ascii="仿宋_GB2312" w:hAnsi="仿宋_GB2312" w:eastAsia="仿宋_GB2312" w:cs="仿宋_GB2312"/>
          <w:b w:val="0"/>
          <w:bCs/>
          <w:color w:val="000000"/>
          <w:sz w:val="32"/>
          <w:szCs w:val="32"/>
          <w:highlight w:val="none"/>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rPr>
        <w:t>%，决算数等于预算数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rPr>
      </w:pPr>
      <w:r>
        <w:rPr>
          <w:rStyle w:val="13"/>
          <w:rFonts w:hint="eastAsia" w:ascii="仿宋_GB2312" w:hAnsi="仿宋_GB2312" w:eastAsia="仿宋_GB2312" w:cs="仿宋_GB2312"/>
          <w:b w:val="0"/>
          <w:bCs/>
          <w:color w:val="000000"/>
          <w:sz w:val="32"/>
          <w:szCs w:val="32"/>
          <w:highlight w:val="none"/>
          <w:lang w:val="en-US" w:eastAsia="zh-CN"/>
        </w:rPr>
        <w:t>7</w:t>
      </w:r>
      <w:r>
        <w:rPr>
          <w:rStyle w:val="13"/>
          <w:rFonts w:hint="eastAsia" w:ascii="仿宋_GB2312" w:hAnsi="仿宋_GB2312" w:eastAsia="仿宋_GB2312" w:cs="仿宋_GB2312"/>
          <w:b w:val="0"/>
          <w:bCs/>
          <w:color w:val="000000"/>
          <w:sz w:val="32"/>
          <w:szCs w:val="32"/>
          <w:highlight w:val="none"/>
        </w:rPr>
        <w:t>、社会保障和就业支出（类）抚恤（款）</w:t>
      </w:r>
      <w:r>
        <w:rPr>
          <w:rStyle w:val="13"/>
          <w:rFonts w:hint="eastAsia" w:ascii="仿宋_GB2312" w:hAnsi="仿宋_GB2312" w:eastAsia="仿宋_GB2312" w:cs="仿宋_GB2312"/>
          <w:b w:val="0"/>
          <w:bCs/>
          <w:color w:val="000000"/>
          <w:sz w:val="32"/>
          <w:szCs w:val="32"/>
          <w:highlight w:val="none"/>
          <w:lang w:val="en-US" w:eastAsia="zh-CN"/>
        </w:rPr>
        <w:t>死亡抚恤</w:t>
      </w:r>
      <w:r>
        <w:rPr>
          <w:rStyle w:val="13"/>
          <w:rFonts w:hint="eastAsia" w:ascii="仿宋_GB2312" w:hAnsi="仿宋_GB2312" w:eastAsia="仿宋_GB2312" w:cs="仿宋_GB2312"/>
          <w:b w:val="0"/>
          <w:bCs/>
          <w:color w:val="000000"/>
          <w:sz w:val="32"/>
          <w:szCs w:val="32"/>
          <w:highlight w:val="none"/>
        </w:rPr>
        <w:t>（项）:20</w:t>
      </w:r>
      <w:r>
        <w:rPr>
          <w:rStyle w:val="13"/>
          <w:rFonts w:hint="eastAsia" w:ascii="仿宋_GB2312" w:hAnsi="仿宋_GB2312" w:eastAsia="仿宋_GB2312" w:cs="仿宋_GB2312"/>
          <w:b w:val="0"/>
          <w:bCs/>
          <w:color w:val="000000"/>
          <w:sz w:val="32"/>
          <w:szCs w:val="32"/>
          <w:highlight w:val="none"/>
          <w:lang w:val="en-US" w:eastAsia="zh-CN"/>
        </w:rPr>
        <w:t>20</w:t>
      </w:r>
      <w:r>
        <w:rPr>
          <w:rStyle w:val="13"/>
          <w:rFonts w:hint="eastAsia" w:ascii="仿宋_GB2312" w:hAnsi="仿宋_GB2312" w:eastAsia="仿宋_GB2312" w:cs="仿宋_GB2312"/>
          <w:b w:val="0"/>
          <w:bCs/>
          <w:color w:val="000000"/>
          <w:sz w:val="32"/>
          <w:szCs w:val="32"/>
          <w:highlight w:val="none"/>
        </w:rPr>
        <w:t>年决算数为</w:t>
      </w:r>
      <w:r>
        <w:rPr>
          <w:rStyle w:val="13"/>
          <w:rFonts w:hint="eastAsia" w:ascii="仿宋_GB2312" w:hAnsi="仿宋_GB2312" w:eastAsia="仿宋_GB2312" w:cs="仿宋_GB2312"/>
          <w:b w:val="0"/>
          <w:bCs/>
          <w:color w:val="000000"/>
          <w:sz w:val="32"/>
          <w:szCs w:val="32"/>
          <w:highlight w:val="none"/>
          <w:lang w:val="en-US" w:eastAsia="zh-CN"/>
        </w:rPr>
        <w:t>16.14</w:t>
      </w:r>
      <w:r>
        <w:rPr>
          <w:rStyle w:val="13"/>
          <w:rFonts w:hint="eastAsia" w:ascii="仿宋_GB2312" w:hAnsi="仿宋_GB2312" w:eastAsia="仿宋_GB2312" w:cs="仿宋_GB2312"/>
          <w:b w:val="0"/>
          <w:bCs/>
          <w:color w:val="000000"/>
          <w:sz w:val="32"/>
          <w:szCs w:val="32"/>
          <w:highlight w:val="none"/>
        </w:rPr>
        <w:t>万元，完成预算100%，决算数等于预算数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rPr>
      </w:pPr>
      <w:r>
        <w:rPr>
          <w:rStyle w:val="13"/>
          <w:rFonts w:hint="eastAsia" w:ascii="仿宋_GB2312" w:hAnsi="仿宋_GB2312" w:eastAsia="仿宋_GB2312" w:cs="仿宋_GB2312"/>
          <w:b w:val="0"/>
          <w:bCs/>
          <w:color w:val="000000"/>
          <w:sz w:val="32"/>
          <w:szCs w:val="32"/>
          <w:highlight w:val="none"/>
          <w:lang w:val="en-US" w:eastAsia="zh-CN"/>
        </w:rPr>
        <w:t>8</w:t>
      </w:r>
      <w:r>
        <w:rPr>
          <w:rStyle w:val="13"/>
          <w:rFonts w:hint="eastAsia" w:ascii="仿宋_GB2312" w:hAnsi="仿宋_GB2312" w:eastAsia="仿宋_GB2312" w:cs="仿宋_GB2312"/>
          <w:b w:val="0"/>
          <w:bCs/>
          <w:color w:val="000000"/>
          <w:sz w:val="32"/>
          <w:szCs w:val="32"/>
          <w:highlight w:val="none"/>
        </w:rPr>
        <w:t>、社会保障和就业支出（类）抚恤（款）</w:t>
      </w:r>
      <w:r>
        <w:rPr>
          <w:rStyle w:val="13"/>
          <w:rFonts w:hint="eastAsia" w:ascii="仿宋_GB2312" w:hAnsi="仿宋_GB2312" w:eastAsia="仿宋_GB2312" w:cs="仿宋_GB2312"/>
          <w:b w:val="0"/>
          <w:bCs/>
          <w:color w:val="000000"/>
          <w:sz w:val="32"/>
          <w:szCs w:val="32"/>
          <w:highlight w:val="none"/>
          <w:lang w:val="en-US" w:eastAsia="zh-CN"/>
        </w:rPr>
        <w:t>其他优抚支出</w:t>
      </w:r>
      <w:r>
        <w:rPr>
          <w:rStyle w:val="13"/>
          <w:rFonts w:hint="eastAsia" w:ascii="仿宋_GB2312" w:hAnsi="仿宋_GB2312" w:eastAsia="仿宋_GB2312" w:cs="仿宋_GB2312"/>
          <w:b w:val="0"/>
          <w:bCs/>
          <w:color w:val="000000"/>
          <w:sz w:val="32"/>
          <w:szCs w:val="32"/>
          <w:highlight w:val="none"/>
        </w:rPr>
        <w:t>（项）:20</w:t>
      </w:r>
      <w:r>
        <w:rPr>
          <w:rStyle w:val="13"/>
          <w:rFonts w:hint="eastAsia" w:ascii="仿宋_GB2312" w:hAnsi="仿宋_GB2312" w:eastAsia="仿宋_GB2312" w:cs="仿宋_GB2312"/>
          <w:b w:val="0"/>
          <w:bCs/>
          <w:color w:val="000000"/>
          <w:sz w:val="32"/>
          <w:szCs w:val="32"/>
          <w:highlight w:val="none"/>
          <w:lang w:val="en-US" w:eastAsia="zh-CN"/>
        </w:rPr>
        <w:t>20</w:t>
      </w:r>
      <w:r>
        <w:rPr>
          <w:rStyle w:val="13"/>
          <w:rFonts w:hint="eastAsia" w:ascii="仿宋_GB2312" w:hAnsi="仿宋_GB2312" w:eastAsia="仿宋_GB2312" w:cs="仿宋_GB2312"/>
          <w:b w:val="0"/>
          <w:bCs/>
          <w:color w:val="000000"/>
          <w:sz w:val="32"/>
          <w:szCs w:val="32"/>
          <w:highlight w:val="none"/>
        </w:rPr>
        <w:t>年决算数为</w:t>
      </w:r>
      <w:r>
        <w:rPr>
          <w:rStyle w:val="13"/>
          <w:rFonts w:hint="eastAsia" w:ascii="仿宋_GB2312" w:hAnsi="仿宋_GB2312" w:eastAsia="仿宋_GB2312" w:cs="仿宋_GB2312"/>
          <w:b w:val="0"/>
          <w:bCs/>
          <w:color w:val="000000"/>
          <w:sz w:val="32"/>
          <w:szCs w:val="32"/>
          <w:highlight w:val="none"/>
          <w:lang w:val="en-US" w:eastAsia="zh-CN"/>
        </w:rPr>
        <w:t>0.35</w:t>
      </w:r>
      <w:r>
        <w:rPr>
          <w:rStyle w:val="13"/>
          <w:rFonts w:hint="eastAsia" w:ascii="仿宋_GB2312" w:hAnsi="仿宋_GB2312" w:eastAsia="仿宋_GB2312" w:cs="仿宋_GB2312"/>
          <w:b w:val="0"/>
          <w:bCs/>
          <w:color w:val="000000"/>
          <w:sz w:val="32"/>
          <w:szCs w:val="32"/>
          <w:highlight w:val="none"/>
        </w:rPr>
        <w:t>万元，完成预算100%。</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val="en-US" w:eastAsia="zh-CN"/>
        </w:rPr>
      </w:pPr>
      <w:r>
        <w:rPr>
          <w:rStyle w:val="13"/>
          <w:rFonts w:hint="eastAsia" w:ascii="仿宋_GB2312" w:hAnsi="仿宋_GB2312" w:eastAsia="仿宋_GB2312" w:cs="仿宋_GB2312"/>
          <w:b w:val="0"/>
          <w:bCs/>
          <w:color w:val="000000"/>
          <w:sz w:val="32"/>
          <w:szCs w:val="32"/>
          <w:highlight w:val="none"/>
          <w:lang w:val="en-US" w:eastAsia="zh-CN"/>
        </w:rPr>
        <w:t>9</w:t>
      </w:r>
      <w:r>
        <w:rPr>
          <w:rStyle w:val="13"/>
          <w:rFonts w:hint="eastAsia" w:ascii="仿宋_GB2312" w:hAnsi="仿宋_GB2312" w:eastAsia="仿宋_GB2312" w:cs="仿宋_GB2312"/>
          <w:b w:val="0"/>
          <w:bCs/>
          <w:color w:val="000000"/>
          <w:sz w:val="32"/>
          <w:szCs w:val="32"/>
          <w:highlight w:val="none"/>
        </w:rPr>
        <w:t>、社会保障和就业支出（类）其他</w:t>
      </w:r>
      <w:r>
        <w:rPr>
          <w:rStyle w:val="13"/>
          <w:rFonts w:hint="eastAsia" w:ascii="仿宋_GB2312" w:hAnsi="仿宋_GB2312" w:eastAsia="仿宋_GB2312" w:cs="仿宋_GB2312"/>
          <w:b w:val="0"/>
          <w:bCs/>
          <w:color w:val="000000"/>
          <w:sz w:val="32"/>
          <w:szCs w:val="32"/>
          <w:highlight w:val="none"/>
          <w:lang w:eastAsia="zh-CN"/>
        </w:rPr>
        <w:t>社会保障和就业</w:t>
      </w:r>
      <w:r>
        <w:rPr>
          <w:rStyle w:val="13"/>
          <w:rFonts w:hint="eastAsia" w:ascii="仿宋_GB2312" w:hAnsi="仿宋_GB2312" w:eastAsia="仿宋_GB2312" w:cs="仿宋_GB2312"/>
          <w:b w:val="0"/>
          <w:bCs/>
          <w:color w:val="000000"/>
          <w:sz w:val="32"/>
          <w:szCs w:val="32"/>
          <w:highlight w:val="none"/>
        </w:rPr>
        <w:t>支出（款）其他</w:t>
      </w:r>
      <w:r>
        <w:rPr>
          <w:rStyle w:val="13"/>
          <w:rFonts w:hint="eastAsia" w:ascii="仿宋_GB2312" w:hAnsi="仿宋_GB2312" w:eastAsia="仿宋_GB2312" w:cs="仿宋_GB2312"/>
          <w:b w:val="0"/>
          <w:bCs/>
          <w:color w:val="000000"/>
          <w:sz w:val="32"/>
          <w:szCs w:val="32"/>
          <w:highlight w:val="none"/>
          <w:lang w:eastAsia="zh-CN"/>
        </w:rPr>
        <w:t>社会保障和就业</w:t>
      </w:r>
      <w:r>
        <w:rPr>
          <w:rStyle w:val="13"/>
          <w:rFonts w:hint="eastAsia" w:ascii="仿宋_GB2312" w:hAnsi="仿宋_GB2312" w:eastAsia="仿宋_GB2312" w:cs="仿宋_GB2312"/>
          <w:b w:val="0"/>
          <w:bCs/>
          <w:color w:val="000000"/>
          <w:sz w:val="32"/>
          <w:szCs w:val="32"/>
          <w:highlight w:val="none"/>
        </w:rPr>
        <w:t>支出（项）:20</w:t>
      </w:r>
      <w:r>
        <w:rPr>
          <w:rStyle w:val="13"/>
          <w:rFonts w:hint="eastAsia" w:ascii="仿宋_GB2312" w:hAnsi="仿宋_GB2312" w:eastAsia="仿宋_GB2312" w:cs="仿宋_GB2312"/>
          <w:b w:val="0"/>
          <w:bCs/>
          <w:color w:val="000000"/>
          <w:sz w:val="32"/>
          <w:szCs w:val="32"/>
          <w:highlight w:val="none"/>
          <w:lang w:val="en-US" w:eastAsia="zh-CN"/>
        </w:rPr>
        <w:t>20</w:t>
      </w:r>
      <w:r>
        <w:rPr>
          <w:rStyle w:val="13"/>
          <w:rFonts w:hint="eastAsia" w:ascii="仿宋_GB2312" w:hAnsi="仿宋_GB2312" w:eastAsia="仿宋_GB2312" w:cs="仿宋_GB2312"/>
          <w:b w:val="0"/>
          <w:bCs/>
          <w:color w:val="000000"/>
          <w:sz w:val="32"/>
          <w:szCs w:val="32"/>
          <w:highlight w:val="none"/>
        </w:rPr>
        <w:t>年决算数为</w:t>
      </w:r>
      <w:r>
        <w:rPr>
          <w:rStyle w:val="13"/>
          <w:rFonts w:hint="eastAsia" w:ascii="仿宋_GB2312" w:hAnsi="仿宋_GB2312" w:eastAsia="仿宋_GB2312" w:cs="仿宋_GB2312"/>
          <w:b w:val="0"/>
          <w:bCs/>
          <w:color w:val="000000"/>
          <w:sz w:val="32"/>
          <w:szCs w:val="32"/>
          <w:highlight w:val="none"/>
          <w:lang w:val="en-US" w:eastAsia="zh-CN"/>
        </w:rPr>
        <w:t>2.39</w:t>
      </w:r>
      <w:r>
        <w:rPr>
          <w:rStyle w:val="13"/>
          <w:rFonts w:hint="eastAsia" w:ascii="仿宋_GB2312" w:hAnsi="仿宋_GB2312" w:eastAsia="仿宋_GB2312" w:cs="仿宋_GB2312"/>
          <w:b w:val="0"/>
          <w:bCs/>
          <w:color w:val="000000"/>
          <w:sz w:val="32"/>
          <w:szCs w:val="32"/>
          <w:highlight w:val="none"/>
        </w:rPr>
        <w:t>万元，完成预算100%，决算数等于预算数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kinsoku/>
        <w:wordWrap/>
        <w:overflowPunct/>
        <w:topLinePunct w:val="0"/>
        <w:bidi w:val="0"/>
        <w:spacing w:line="600" w:lineRule="exact"/>
        <w:ind w:firstLine="640" w:firstLineChars="200"/>
        <w:textAlignment w:val="auto"/>
        <w:rPr>
          <w:rStyle w:val="13"/>
          <w:rFonts w:hint="eastAsia" w:ascii="仿宋_GB2312" w:hAnsi="仿宋_GB2312" w:eastAsia="仿宋_GB2312" w:cs="仿宋_GB2312"/>
          <w:b w:val="0"/>
          <w:bCs/>
          <w:color w:val="000000"/>
          <w:sz w:val="32"/>
          <w:szCs w:val="32"/>
          <w:highlight w:val="none"/>
          <w:lang w:eastAsia="zh-CN"/>
        </w:rPr>
      </w:pPr>
      <w:r>
        <w:rPr>
          <w:rStyle w:val="13"/>
          <w:rFonts w:hint="eastAsia" w:ascii="仿宋_GB2312" w:hAnsi="仿宋_GB2312" w:eastAsia="仿宋_GB2312" w:cs="仿宋_GB2312"/>
          <w:b w:val="0"/>
          <w:bCs/>
          <w:color w:val="000000"/>
          <w:sz w:val="32"/>
          <w:szCs w:val="32"/>
          <w:highlight w:val="none"/>
          <w:lang w:val="en-US" w:eastAsia="zh-CN"/>
        </w:rPr>
        <w:t>10</w:t>
      </w:r>
      <w:r>
        <w:rPr>
          <w:rStyle w:val="13"/>
          <w:rFonts w:hint="eastAsia" w:ascii="仿宋_GB2312" w:hAnsi="仿宋_GB2312" w:eastAsia="仿宋_GB2312" w:cs="仿宋_GB2312"/>
          <w:b w:val="0"/>
          <w:bCs/>
          <w:color w:val="000000"/>
          <w:sz w:val="32"/>
          <w:szCs w:val="32"/>
          <w:highlight w:val="none"/>
          <w:lang w:eastAsia="zh-CN"/>
        </w:rPr>
        <w:t>．</w:t>
      </w:r>
      <w:r>
        <w:rPr>
          <w:rStyle w:val="13"/>
          <w:rFonts w:hint="eastAsia" w:ascii="仿宋_GB2312" w:hAnsi="仿宋_GB2312" w:eastAsia="仿宋_GB2312" w:cs="仿宋_GB2312"/>
          <w:b w:val="0"/>
          <w:bCs/>
          <w:color w:val="000000"/>
          <w:sz w:val="32"/>
          <w:szCs w:val="32"/>
          <w:highlight w:val="none"/>
          <w:lang w:val="en-US" w:eastAsia="zh-CN"/>
        </w:rPr>
        <w:t>卫生健康支出</w:t>
      </w:r>
      <w:r>
        <w:rPr>
          <w:rStyle w:val="13"/>
          <w:rFonts w:hint="eastAsia" w:ascii="仿宋_GB2312" w:hAnsi="仿宋_GB2312" w:eastAsia="仿宋_GB2312" w:cs="仿宋_GB2312"/>
          <w:b w:val="0"/>
          <w:bCs/>
          <w:color w:val="000000"/>
          <w:sz w:val="32"/>
          <w:szCs w:val="32"/>
          <w:highlight w:val="none"/>
        </w:rPr>
        <w:t>（类）行政事业单位医疗（款）行政单位医疗（项）:支出决算为</w:t>
      </w:r>
      <w:r>
        <w:rPr>
          <w:rStyle w:val="13"/>
          <w:rFonts w:hint="eastAsia" w:ascii="仿宋_GB2312" w:hAnsi="仿宋_GB2312" w:eastAsia="仿宋_GB2312" w:cs="仿宋_GB2312"/>
          <w:b w:val="0"/>
          <w:bCs/>
          <w:color w:val="000000"/>
          <w:sz w:val="32"/>
          <w:szCs w:val="32"/>
          <w:highlight w:val="none"/>
          <w:lang w:val="en-US" w:eastAsia="zh-CN"/>
        </w:rPr>
        <w:t>20.09</w:t>
      </w:r>
      <w:r>
        <w:rPr>
          <w:rStyle w:val="13"/>
          <w:rFonts w:hint="eastAsia" w:ascii="仿宋_GB2312" w:hAnsi="仿宋_GB2312" w:eastAsia="仿宋_GB2312" w:cs="仿宋_GB2312"/>
          <w:b w:val="0"/>
          <w:bCs/>
          <w:color w:val="000000"/>
          <w:sz w:val="32"/>
          <w:szCs w:val="32"/>
          <w:highlight w:val="none"/>
        </w:rPr>
        <w:t>万元，完成预算</w:t>
      </w:r>
      <w:r>
        <w:rPr>
          <w:rStyle w:val="13"/>
          <w:rFonts w:hint="eastAsia" w:ascii="仿宋_GB2312" w:hAnsi="仿宋_GB2312" w:eastAsia="仿宋_GB2312" w:cs="仿宋_GB2312"/>
          <w:b w:val="0"/>
          <w:bCs/>
          <w:color w:val="000000"/>
          <w:sz w:val="32"/>
          <w:szCs w:val="32"/>
          <w:highlight w:val="none"/>
          <w:lang w:val="en-US" w:eastAsia="zh-CN"/>
        </w:rPr>
        <w:t>100</w:t>
      </w:r>
      <w:r>
        <w:rPr>
          <w:rStyle w:val="13"/>
          <w:rFonts w:hint="eastAsia" w:ascii="仿宋_GB2312" w:hAnsi="仿宋_GB2312" w:eastAsia="仿宋_GB2312" w:cs="仿宋_GB2312"/>
          <w:b w:val="0"/>
          <w:bCs/>
          <w:color w:val="000000"/>
          <w:sz w:val="32"/>
          <w:szCs w:val="32"/>
          <w:highlight w:val="none"/>
        </w:rPr>
        <w:t>%，决算数等于预算数</w:t>
      </w:r>
      <w:r>
        <w:rPr>
          <w:rStyle w:val="13"/>
          <w:rFonts w:hint="eastAsia" w:ascii="仿宋_GB2312" w:hAnsi="仿宋_GB2312" w:eastAsia="仿宋_GB2312" w:cs="仿宋_GB2312"/>
          <w:b w:val="0"/>
          <w:bCs/>
          <w:color w:val="000000"/>
          <w:sz w:val="32"/>
          <w:szCs w:val="32"/>
          <w:highlight w:val="none"/>
          <w:lang w:eastAsia="zh-CN"/>
        </w:rPr>
        <w:t>。</w:t>
      </w:r>
    </w:p>
    <w:p>
      <w:pPr>
        <w:pageBreakBefore w:val="0"/>
        <w:tabs>
          <w:tab w:val="right" w:pos="8306"/>
        </w:tabs>
        <w:kinsoku/>
        <w:wordWrap/>
        <w:overflowPunct/>
        <w:topLinePunct w:val="0"/>
        <w:bidi w:val="0"/>
        <w:spacing w:line="600" w:lineRule="exact"/>
        <w:ind w:firstLine="640"/>
        <w:textAlignment w:val="auto"/>
        <w:outlineLvl w:val="1"/>
        <w:rPr>
          <w:rStyle w:val="1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40"/>
      <w:bookmarkEnd w:id="41"/>
      <w:r>
        <w:rPr>
          <w:rStyle w:val="16"/>
          <w:rFonts w:ascii="黑体" w:hAnsi="黑体" w:eastAsia="黑体"/>
          <w:b w:val="0"/>
        </w:rPr>
        <w:tab/>
      </w:r>
    </w:p>
    <w:p>
      <w:pPr>
        <w:pageBreakBefore w:val="0"/>
        <w:kinsoku/>
        <w:wordWrap/>
        <w:overflowPunct/>
        <w:topLinePunct w:val="0"/>
        <w:bidi w:val="0"/>
        <w:spacing w:line="600" w:lineRule="exact"/>
        <w:ind w:firstLine="645"/>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2020年一般公共预算财政拨款基本支出</w:t>
      </w:r>
      <w:r>
        <w:rPr>
          <w:rFonts w:hint="eastAsia" w:ascii="仿宋_GB2312" w:hAnsi="仿宋_GB2312" w:eastAsia="仿宋_GB2312" w:cs="仿宋_GB2312"/>
          <w:b w:val="0"/>
          <w:bCs w:val="0"/>
          <w:color w:val="000000"/>
          <w:sz w:val="32"/>
          <w:szCs w:val="32"/>
          <w:lang w:val="en-US" w:eastAsia="zh-CN"/>
        </w:rPr>
        <w:t>1123.8</w:t>
      </w:r>
      <w:r>
        <w:rPr>
          <w:rFonts w:hint="eastAsia" w:ascii="仿宋_GB2312" w:hAnsi="仿宋_GB2312" w:eastAsia="仿宋_GB2312" w:cs="仿宋_GB2312"/>
          <w:b w:val="0"/>
          <w:bCs w:val="0"/>
          <w:color w:val="000000"/>
          <w:sz w:val="32"/>
          <w:szCs w:val="32"/>
        </w:rPr>
        <w:t>万元，其中：</w:t>
      </w:r>
    </w:p>
    <w:p>
      <w:pPr>
        <w:pageBreakBefore w:val="0"/>
        <w:kinsoku/>
        <w:wordWrap/>
        <w:overflowPunct/>
        <w:topLinePunct w:val="0"/>
        <w:bidi w:val="0"/>
        <w:spacing w:line="600" w:lineRule="exact"/>
        <w:ind w:firstLine="645"/>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人员经费</w:t>
      </w:r>
      <w:r>
        <w:rPr>
          <w:rFonts w:hint="eastAsia" w:ascii="仿宋_GB2312" w:hAnsi="仿宋_GB2312" w:eastAsia="仿宋_GB2312" w:cs="仿宋_GB2312"/>
          <w:b w:val="0"/>
          <w:bCs w:val="0"/>
          <w:color w:val="000000"/>
          <w:sz w:val="32"/>
          <w:szCs w:val="32"/>
          <w:lang w:val="en-US" w:eastAsia="zh-CN"/>
        </w:rPr>
        <w:t>986.82</w:t>
      </w:r>
      <w:r>
        <w:rPr>
          <w:rFonts w:hint="eastAsia" w:ascii="仿宋_GB2312" w:hAnsi="仿宋_GB2312" w:eastAsia="仿宋_GB2312" w:cs="仿宋_GB2312"/>
          <w:b w:val="0"/>
          <w:bCs w:val="0"/>
          <w:color w:val="000000"/>
          <w:sz w:val="32"/>
          <w:szCs w:val="32"/>
        </w:rPr>
        <w:t>万元，主要包括：基本工资、津贴补贴、伙食补助费、绩效工资、机关事业单位基本养老保险缴费、职业年金缴费、其他社会保障缴费、其他工资福利支出、离休费、抚恤金、生活补助、医疗费补助、奖励金、住房公积金、其他对个人和家庭的补助支出等。</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rPr>
        <w:t>　　日常公用经费</w:t>
      </w:r>
      <w:r>
        <w:rPr>
          <w:rFonts w:hint="eastAsia" w:ascii="仿宋_GB2312" w:hAnsi="仿宋_GB2312" w:eastAsia="仿宋_GB2312" w:cs="仿宋_GB2312"/>
          <w:b w:val="0"/>
          <w:bCs w:val="0"/>
          <w:color w:val="000000"/>
          <w:sz w:val="32"/>
          <w:szCs w:val="32"/>
          <w:lang w:val="en-US" w:eastAsia="zh-CN"/>
        </w:rPr>
        <w:t>136.98</w:t>
      </w:r>
      <w:r>
        <w:rPr>
          <w:rFonts w:hint="eastAsia" w:ascii="仿宋_GB2312" w:hAnsi="仿宋_GB2312" w:eastAsia="仿宋_GB2312" w:cs="仿宋_GB2312"/>
          <w:b w:val="0"/>
          <w:bCs w:val="0"/>
          <w:color w:val="000000"/>
          <w:sz w:val="32"/>
          <w:szCs w:val="32"/>
        </w:rPr>
        <w:t>万元，主要包括：办公费、印刷费、咨询费、手续费、水费、电费、邮电费、差旅费、维修（护）费、租赁费、会议费、培训费、公务接待费、劳务费、委托业务费、工会经费、福利费、公务用车运行维护费、其他交通费、其他商品和服务支出、办公设备购置</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其他资本性支出等。</w:t>
      </w:r>
    </w:p>
    <w:p>
      <w:pPr>
        <w:pageBreakBefore w:val="0"/>
        <w:kinsoku/>
        <w:wordWrap/>
        <w:overflowPunct/>
        <w:topLinePunct w:val="0"/>
        <w:bidi w:val="0"/>
        <w:spacing w:line="600" w:lineRule="exact"/>
        <w:ind w:firstLine="640"/>
        <w:textAlignment w:val="auto"/>
        <w:outlineLvl w:val="1"/>
        <w:rPr>
          <w:rStyle w:val="1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42"/>
      <w:bookmarkEnd w:id="43"/>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4" w:name="_Toc15377216"/>
      <w:r>
        <w:rPr>
          <w:rFonts w:hint="eastAsia" w:ascii="楷体_GB2312" w:hAnsi="楷体_GB2312" w:eastAsia="楷体_GB2312" w:cs="楷体_GB2312"/>
          <w:b w:val="0"/>
          <w:bCs/>
          <w:color w:val="000000"/>
          <w:sz w:val="32"/>
          <w:szCs w:val="32"/>
        </w:rPr>
        <w:t>（一）“三公”经费财政拨款支出决算总体情况说明</w:t>
      </w:r>
      <w:bookmarkEnd w:id="44"/>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2020年“三公”经费财政拨款支出决算为</w:t>
      </w:r>
      <w:r>
        <w:rPr>
          <w:rFonts w:hint="eastAsia" w:ascii="仿宋_GB2312" w:hAnsi="仿宋_GB2312" w:eastAsia="仿宋_GB2312" w:cs="仿宋_GB2312"/>
          <w:b w:val="0"/>
          <w:bCs w:val="0"/>
          <w:color w:val="000000"/>
          <w:sz w:val="32"/>
          <w:szCs w:val="32"/>
          <w:lang w:val="en-US" w:eastAsia="zh-CN"/>
        </w:rPr>
        <w:t>239.99</w:t>
      </w:r>
      <w:r>
        <w:rPr>
          <w:rFonts w:hint="eastAsia" w:ascii="仿宋_GB2312" w:hAnsi="仿宋_GB2312" w:eastAsia="仿宋_GB2312" w:cs="仿宋_GB2312"/>
          <w:b w:val="0"/>
          <w:bCs w:val="0"/>
          <w:color w:val="000000"/>
          <w:sz w:val="32"/>
          <w:szCs w:val="32"/>
        </w:rPr>
        <w:t>万元，完成预算</w:t>
      </w:r>
      <w:r>
        <w:rPr>
          <w:rFonts w:hint="eastAsia" w:ascii="仿宋_GB2312" w:hAnsi="仿宋_GB2312" w:eastAsia="仿宋_GB2312" w:cs="仿宋_GB2312"/>
          <w:b w:val="0"/>
          <w:bCs w:val="0"/>
          <w:color w:val="000000"/>
          <w:sz w:val="32"/>
          <w:szCs w:val="32"/>
          <w:lang w:val="en-US" w:eastAsia="zh-CN"/>
        </w:rPr>
        <w:t>27.12</w:t>
      </w:r>
      <w:r>
        <w:rPr>
          <w:rFonts w:hint="eastAsia" w:ascii="仿宋_GB2312" w:hAnsi="仿宋_GB2312" w:eastAsia="仿宋_GB2312" w:cs="仿宋_GB2312"/>
          <w:b w:val="0"/>
          <w:bCs w:val="0"/>
          <w:color w:val="000000"/>
          <w:sz w:val="32"/>
          <w:szCs w:val="32"/>
        </w:rPr>
        <w:t>%，决算数小于预算数的主要原因是</w:t>
      </w:r>
      <w:r>
        <w:rPr>
          <w:rFonts w:hint="eastAsia" w:ascii="仿宋_GB2312" w:hAnsi="仿宋_GB2312" w:eastAsia="仿宋_GB2312" w:cs="仿宋_GB2312"/>
          <w:b w:val="0"/>
          <w:bCs w:val="0"/>
          <w:color w:val="000000"/>
          <w:sz w:val="32"/>
          <w:szCs w:val="32"/>
          <w:lang w:val="en-US" w:eastAsia="zh-CN"/>
        </w:rPr>
        <w:t>预算的公务用车购置费因为公务用车购置流标导致该笔购置预算未执行，同时厉行节约，“三公”支出减少</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outlineLvl w:val="2"/>
        <w:rPr>
          <w:rFonts w:hint="eastAsia" w:ascii="楷体_GB2312" w:hAnsi="楷体_GB2312" w:eastAsia="楷体_GB2312" w:cs="楷体_GB2312"/>
          <w:b w:val="0"/>
          <w:bCs/>
          <w:color w:val="000000"/>
          <w:sz w:val="32"/>
          <w:szCs w:val="32"/>
        </w:rPr>
      </w:pPr>
      <w:bookmarkStart w:id="45" w:name="_Toc15377217"/>
      <w:r>
        <w:rPr>
          <w:rFonts w:hint="eastAsia" w:ascii="楷体_GB2312" w:hAnsi="楷体_GB2312" w:eastAsia="楷体_GB2312" w:cs="楷体_GB2312"/>
          <w:b w:val="0"/>
          <w:bCs/>
          <w:color w:val="000000"/>
          <w:sz w:val="32"/>
          <w:szCs w:val="32"/>
        </w:rPr>
        <w:t>（二）“三公”经费财政拨款支出决算具体情况说明</w:t>
      </w:r>
      <w:bookmarkEnd w:id="45"/>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2020年“三公”经费财政拨款支出决算中，因公出国（境）费支出决算</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%；公务用车购置及运行维护费支出决算</w:t>
      </w:r>
      <w:r>
        <w:rPr>
          <w:rFonts w:hint="eastAsia" w:ascii="仿宋_GB2312" w:hAnsi="仿宋_GB2312" w:eastAsia="仿宋_GB2312" w:cs="仿宋_GB2312"/>
          <w:b w:val="0"/>
          <w:bCs w:val="0"/>
          <w:color w:val="000000"/>
          <w:sz w:val="32"/>
          <w:szCs w:val="32"/>
          <w:lang w:val="en-US" w:eastAsia="zh-CN"/>
        </w:rPr>
        <w:t>220.37</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91.82</w:t>
      </w:r>
      <w:r>
        <w:rPr>
          <w:rFonts w:hint="eastAsia" w:ascii="仿宋_GB2312" w:hAnsi="仿宋_GB2312" w:eastAsia="仿宋_GB2312" w:cs="仿宋_GB2312"/>
          <w:b w:val="0"/>
          <w:bCs w:val="0"/>
          <w:color w:val="000000"/>
          <w:sz w:val="32"/>
          <w:szCs w:val="32"/>
        </w:rPr>
        <w:t>%；公务接待费支出决算</w:t>
      </w:r>
      <w:r>
        <w:rPr>
          <w:rFonts w:hint="eastAsia" w:ascii="仿宋_GB2312" w:hAnsi="仿宋_GB2312" w:eastAsia="仿宋_GB2312" w:cs="仿宋_GB2312"/>
          <w:b w:val="0"/>
          <w:bCs w:val="0"/>
          <w:color w:val="000000"/>
          <w:sz w:val="32"/>
          <w:szCs w:val="32"/>
          <w:lang w:val="en-US" w:eastAsia="zh-CN"/>
        </w:rPr>
        <w:t>19.62</w:t>
      </w:r>
      <w:r>
        <w:rPr>
          <w:rFonts w:hint="eastAsia" w:ascii="仿宋_GB2312" w:hAnsi="仿宋_GB2312" w:eastAsia="仿宋_GB2312" w:cs="仿宋_GB2312"/>
          <w:b w:val="0"/>
          <w:bCs w:val="0"/>
          <w:color w:val="000000"/>
          <w:sz w:val="32"/>
          <w:szCs w:val="32"/>
        </w:rPr>
        <w:t>万元，占</w:t>
      </w:r>
      <w:r>
        <w:rPr>
          <w:rFonts w:hint="eastAsia" w:ascii="仿宋_GB2312" w:hAnsi="仿宋_GB2312" w:eastAsia="仿宋_GB2312" w:cs="仿宋_GB2312"/>
          <w:b w:val="0"/>
          <w:bCs w:val="0"/>
          <w:color w:val="000000"/>
          <w:sz w:val="32"/>
          <w:szCs w:val="32"/>
          <w:lang w:val="en-US" w:eastAsia="zh-CN"/>
        </w:rPr>
        <w:t>8.18</w:t>
      </w:r>
      <w:r>
        <w:rPr>
          <w:rFonts w:hint="eastAsia" w:ascii="仿宋_GB2312" w:hAnsi="仿宋_GB2312" w:eastAsia="仿宋_GB2312" w:cs="仿宋_GB2312"/>
          <w:b w:val="0"/>
          <w:bCs w:val="0"/>
          <w:color w:val="000000"/>
          <w:sz w:val="32"/>
          <w:szCs w:val="32"/>
        </w:rPr>
        <w:t>%。具体情况如下：</w:t>
      </w:r>
    </w:p>
    <w:p>
      <w:pPr>
        <w:pStyle w:val="2"/>
        <w:rPr>
          <w:rFonts w:hint="eastAsia"/>
        </w:rPr>
      </w:pPr>
      <w:r>
        <w:rPr>
          <w:rFonts w:hint="eastAsia" w:ascii="仿宋_GB2312" w:hAnsi="仿宋_GB2312" w:eastAsia="仿宋_GB2312" w:cs="仿宋_GB2312"/>
          <w:b w:val="0"/>
          <w:bCs w:val="0"/>
          <w:color w:val="000000"/>
          <w:sz w:val="32"/>
          <w:szCs w:val="32"/>
          <w:lang w:eastAsia="zh-C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2"/>
        <w:rPr>
          <w:rFonts w:hint="eastAsia"/>
        </w:rPr>
      </w:pP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因公出国（境）经费支出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rPr>
        <w:t>完成预算</w:t>
      </w:r>
      <w:r>
        <w:rPr>
          <w:rStyle w:val="13"/>
          <w:rFonts w:hint="eastAsia" w:ascii="仿宋_GB2312" w:hAnsi="仿宋_GB2312" w:eastAsia="仿宋_GB2312" w:cs="仿宋_GB2312"/>
          <w:b w:val="0"/>
          <w:bCs w:val="0"/>
          <w:color w:val="000000"/>
          <w:sz w:val="32"/>
          <w:szCs w:val="32"/>
          <w:lang w:val="en-US" w:eastAsia="zh-CN"/>
        </w:rPr>
        <w:t>0</w:t>
      </w:r>
      <w:r>
        <w:rPr>
          <w:rStyle w:val="13"/>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全年安排因公出国（境）团组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次，出国（境）</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人。因公出国（境）支出决算比201</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年增加</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万元，增长</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公务用车购置及运行维护费支出</w:t>
      </w:r>
      <w:r>
        <w:rPr>
          <w:rFonts w:hint="eastAsia" w:ascii="仿宋_GB2312" w:hAnsi="仿宋_GB2312" w:eastAsia="仿宋_GB2312" w:cs="仿宋_GB2312"/>
          <w:b w:val="0"/>
          <w:bCs w:val="0"/>
          <w:color w:val="000000"/>
          <w:sz w:val="32"/>
          <w:szCs w:val="32"/>
          <w:lang w:val="en-US" w:eastAsia="zh-CN"/>
        </w:rPr>
        <w:t>220.37</w:t>
      </w:r>
      <w:r>
        <w:rPr>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rPr>
        <w:t>完成预算</w:t>
      </w:r>
      <w:r>
        <w:rPr>
          <w:rStyle w:val="13"/>
          <w:rFonts w:hint="eastAsia" w:ascii="仿宋_GB2312" w:hAnsi="仿宋_GB2312" w:eastAsia="仿宋_GB2312" w:cs="仿宋_GB2312"/>
          <w:b w:val="0"/>
          <w:bCs w:val="0"/>
          <w:color w:val="000000"/>
          <w:sz w:val="32"/>
          <w:szCs w:val="32"/>
          <w:lang w:val="en-US" w:eastAsia="zh-CN"/>
        </w:rPr>
        <w:t>30.32</w:t>
      </w:r>
      <w:r>
        <w:rPr>
          <w:rStyle w:val="13"/>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公务用车购置及运行维护费支出决算比</w:t>
      </w:r>
      <w:r>
        <w:rPr>
          <w:rFonts w:hint="eastAsia" w:ascii="仿宋_GB2312" w:hAnsi="仿宋_GB2312" w:eastAsia="仿宋_GB2312" w:cs="仿宋_GB2312"/>
          <w:b w:val="0"/>
          <w:bCs w:val="0"/>
          <w:color w:val="000000"/>
          <w:sz w:val="32"/>
          <w:szCs w:val="32"/>
          <w:lang w:val="en-US" w:eastAsia="zh-CN"/>
        </w:rPr>
        <w:t>2019</w:t>
      </w:r>
      <w:r>
        <w:rPr>
          <w:rFonts w:hint="eastAsia" w:ascii="仿宋_GB2312" w:hAnsi="仿宋_GB2312" w:eastAsia="仿宋_GB2312" w:cs="仿宋_GB2312"/>
          <w:b w:val="0"/>
          <w:bCs w:val="0"/>
          <w:color w:val="000000"/>
          <w:sz w:val="32"/>
          <w:szCs w:val="32"/>
        </w:rPr>
        <w:t>年减少</w:t>
      </w:r>
      <w:r>
        <w:rPr>
          <w:rFonts w:hint="eastAsia" w:ascii="仿宋_GB2312" w:hAnsi="仿宋_GB2312" w:eastAsia="仿宋_GB2312" w:cs="仿宋_GB2312"/>
          <w:b w:val="0"/>
          <w:bCs w:val="0"/>
          <w:color w:val="000000"/>
          <w:sz w:val="32"/>
          <w:szCs w:val="32"/>
          <w:lang w:val="en-US" w:eastAsia="zh-CN"/>
        </w:rPr>
        <w:t>39.3</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15.13</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val="en-US" w:eastAsia="zh-CN"/>
        </w:rPr>
        <w:t>车辆保险、维修等费用统一定点采购后，费用降低</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其中：公务用车购置支出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万元。全年按规定更新购置公务用车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万元，越野车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万元，载客汽车</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辆、金额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万元。截至2020年12月底，单位共有公务用车</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辆，其中：轿车</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辆、越野车</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辆、载客汽车</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辆</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商务车1辆</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公务用车运行维护费支出220.37万元。主要用于</w:t>
      </w:r>
      <w:r>
        <w:rPr>
          <w:rFonts w:hint="eastAsia" w:ascii="仿宋_GB2312" w:hAnsi="仿宋_GB2312" w:eastAsia="仿宋_GB2312" w:cs="仿宋_GB2312"/>
          <w:b w:val="0"/>
          <w:bCs w:val="0"/>
          <w:color w:val="000000"/>
          <w:sz w:val="32"/>
          <w:szCs w:val="32"/>
          <w:lang w:val="en-US" w:eastAsia="zh-CN"/>
        </w:rPr>
        <w:t>含政府办在内的峨眉山市市级各部门公务出行（如保密材料领取、外出调研等）</w:t>
      </w:r>
      <w:r>
        <w:rPr>
          <w:rFonts w:hint="eastAsia" w:ascii="仿宋_GB2312" w:hAnsi="仿宋_GB2312" w:eastAsia="仿宋_GB2312" w:cs="仿宋_GB2312"/>
          <w:b w:val="0"/>
          <w:bCs w:val="0"/>
          <w:color w:val="000000"/>
          <w:sz w:val="32"/>
          <w:szCs w:val="32"/>
        </w:rPr>
        <w:t>所需的公务用车燃料费、维修费、过路过桥费、保险费等支出。</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公务接待费支出</w:t>
      </w:r>
      <w:r>
        <w:rPr>
          <w:rFonts w:hint="eastAsia" w:ascii="仿宋_GB2312" w:hAnsi="仿宋_GB2312" w:eastAsia="仿宋_GB2312" w:cs="仿宋_GB2312"/>
          <w:b w:val="0"/>
          <w:bCs w:val="0"/>
          <w:color w:val="000000"/>
          <w:sz w:val="32"/>
          <w:szCs w:val="32"/>
          <w:lang w:val="en-US" w:eastAsia="zh-CN"/>
        </w:rPr>
        <w:t>19.62</w:t>
      </w:r>
      <w:r>
        <w:rPr>
          <w:rFonts w:hint="eastAsia" w:ascii="仿宋_GB2312" w:hAnsi="仿宋_GB2312" w:eastAsia="仿宋_GB2312" w:cs="仿宋_GB2312"/>
          <w:b w:val="0"/>
          <w:bCs w:val="0"/>
          <w:color w:val="000000"/>
          <w:sz w:val="32"/>
          <w:szCs w:val="32"/>
        </w:rPr>
        <w:t>万元，</w:t>
      </w:r>
      <w:r>
        <w:rPr>
          <w:rStyle w:val="13"/>
          <w:rFonts w:hint="eastAsia" w:ascii="仿宋_GB2312" w:hAnsi="仿宋_GB2312" w:eastAsia="仿宋_GB2312" w:cs="仿宋_GB2312"/>
          <w:b w:val="0"/>
          <w:bCs w:val="0"/>
          <w:color w:val="000000"/>
          <w:sz w:val="32"/>
          <w:szCs w:val="32"/>
        </w:rPr>
        <w:t>完成预算</w:t>
      </w:r>
      <w:r>
        <w:rPr>
          <w:rStyle w:val="13"/>
          <w:rFonts w:hint="eastAsia" w:ascii="仿宋_GB2312" w:hAnsi="仿宋_GB2312" w:eastAsia="仿宋_GB2312" w:cs="仿宋_GB2312"/>
          <w:b w:val="0"/>
          <w:bCs w:val="0"/>
          <w:color w:val="000000"/>
          <w:sz w:val="32"/>
          <w:szCs w:val="32"/>
          <w:lang w:val="en-US" w:eastAsia="zh-CN"/>
        </w:rPr>
        <w:t>13.26</w:t>
      </w:r>
      <w:r>
        <w:rPr>
          <w:rStyle w:val="13"/>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rPr>
        <w:t>公务接待费支出决算比2019年增加</w:t>
      </w:r>
      <w:r>
        <w:rPr>
          <w:rFonts w:hint="eastAsia" w:ascii="仿宋_GB2312" w:hAnsi="仿宋_GB2312" w:eastAsia="仿宋_GB2312" w:cs="仿宋_GB2312"/>
          <w:b w:val="0"/>
          <w:bCs w:val="0"/>
          <w:color w:val="000000"/>
          <w:sz w:val="32"/>
          <w:szCs w:val="32"/>
          <w:lang w:val="en-US" w:eastAsia="zh-CN"/>
        </w:rPr>
        <w:t>17.31</w:t>
      </w:r>
      <w:r>
        <w:rPr>
          <w:rFonts w:hint="eastAsia" w:ascii="仿宋_GB2312" w:hAnsi="仿宋_GB2312" w:eastAsia="仿宋_GB2312" w:cs="仿宋_GB2312"/>
          <w:b w:val="0"/>
          <w:bCs w:val="0"/>
          <w:color w:val="000000"/>
          <w:sz w:val="32"/>
          <w:szCs w:val="32"/>
        </w:rPr>
        <w:t>万元，增长</w:t>
      </w:r>
      <w:r>
        <w:rPr>
          <w:rFonts w:hint="eastAsia" w:ascii="仿宋_GB2312" w:hAnsi="仿宋_GB2312" w:eastAsia="仿宋_GB2312" w:cs="仿宋_GB2312"/>
          <w:b w:val="0"/>
          <w:bCs w:val="0"/>
          <w:color w:val="000000"/>
          <w:sz w:val="32"/>
          <w:szCs w:val="32"/>
          <w:lang w:val="en-US" w:eastAsia="zh-CN"/>
        </w:rPr>
        <w:t>749.35</w:t>
      </w:r>
      <w:r>
        <w:rPr>
          <w:rFonts w:hint="eastAsia" w:ascii="仿宋_GB2312" w:hAnsi="仿宋_GB2312" w:eastAsia="仿宋_GB2312" w:cs="仿宋_GB2312"/>
          <w:b w:val="0"/>
          <w:bCs w:val="0"/>
          <w:color w:val="000000"/>
          <w:sz w:val="32"/>
          <w:szCs w:val="32"/>
        </w:rPr>
        <w:t>%。主要原因是</w:t>
      </w:r>
      <w:r>
        <w:rPr>
          <w:rFonts w:hint="eastAsia" w:ascii="仿宋_GB2312" w:hAnsi="仿宋_GB2312" w:eastAsia="仿宋_GB2312" w:cs="仿宋_GB2312"/>
          <w:b w:val="0"/>
          <w:bCs w:val="0"/>
          <w:color w:val="000000"/>
          <w:sz w:val="32"/>
          <w:szCs w:val="32"/>
          <w:lang w:val="en-US" w:eastAsia="zh-CN"/>
        </w:rPr>
        <w:t>负责原接待办更名为市公务服务中心，划入我单位预算，原由市委办承担的市委市政府接待费由我办承担</w:t>
      </w:r>
      <w:r>
        <w:rPr>
          <w:rFonts w:hint="eastAsia" w:ascii="仿宋_GB2312" w:hAnsi="仿宋_GB2312" w:eastAsia="仿宋_GB2312" w:cs="仿宋_GB2312"/>
          <w:b w:val="0"/>
          <w:bCs w:val="0"/>
          <w:color w:val="000000"/>
          <w:sz w:val="32"/>
          <w:szCs w:val="32"/>
        </w:rPr>
        <w:t>。其中：</w:t>
      </w:r>
    </w:p>
    <w:p>
      <w:pPr>
        <w:pageBreakBefore w:val="0"/>
        <w:kinsoku/>
        <w:wordWrap/>
        <w:overflowPunct/>
        <w:topLinePunct w:val="0"/>
        <w:bidi w:val="0"/>
        <w:spacing w:line="600" w:lineRule="exact"/>
        <w:ind w:firstLine="64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国内公务接待支出</w:t>
      </w:r>
      <w:r>
        <w:rPr>
          <w:rFonts w:hint="eastAsia" w:ascii="仿宋_GB2312" w:hAnsi="仿宋_GB2312" w:eastAsia="仿宋_GB2312" w:cs="仿宋_GB2312"/>
          <w:b w:val="0"/>
          <w:bCs w:val="0"/>
          <w:color w:val="000000"/>
          <w:sz w:val="32"/>
          <w:szCs w:val="32"/>
          <w:lang w:val="en-US" w:eastAsia="zh-CN"/>
        </w:rPr>
        <w:t>19.62</w:t>
      </w:r>
      <w:r>
        <w:rPr>
          <w:rFonts w:hint="eastAsia" w:ascii="仿宋_GB2312" w:hAnsi="仿宋_GB2312" w:eastAsia="仿宋_GB2312" w:cs="仿宋_GB2312"/>
          <w:b w:val="0"/>
          <w:bCs w:val="0"/>
          <w:color w:val="000000"/>
          <w:sz w:val="32"/>
          <w:szCs w:val="32"/>
        </w:rPr>
        <w:t>万元，主要用于执行公务、开展业务活动开支的交通费、用餐费</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住宿费用由对方回本单位报销</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等。国内公务接待</w:t>
      </w:r>
      <w:r>
        <w:rPr>
          <w:rFonts w:hint="eastAsia" w:ascii="仿宋_GB2312" w:hAnsi="仿宋_GB2312" w:eastAsia="仿宋_GB2312" w:cs="仿宋_GB2312"/>
          <w:b w:val="0"/>
          <w:bCs w:val="0"/>
          <w:color w:val="000000"/>
          <w:sz w:val="32"/>
          <w:szCs w:val="32"/>
          <w:lang w:val="en-US" w:eastAsia="zh-CN"/>
        </w:rPr>
        <w:t>189</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2454</w:t>
      </w:r>
      <w:r>
        <w:rPr>
          <w:rFonts w:hint="eastAsia" w:ascii="仿宋_GB2312" w:hAnsi="仿宋_GB2312" w:eastAsia="仿宋_GB2312" w:cs="仿宋_GB2312"/>
          <w:b w:val="0"/>
          <w:bCs w:val="0"/>
          <w:color w:val="000000"/>
          <w:sz w:val="32"/>
          <w:szCs w:val="32"/>
        </w:rPr>
        <w:t>人次（不包括陪同人员），共计支出</w:t>
      </w:r>
      <w:r>
        <w:rPr>
          <w:rFonts w:hint="eastAsia" w:ascii="仿宋_GB2312" w:hAnsi="仿宋_GB2312" w:eastAsia="仿宋_GB2312" w:cs="仿宋_GB2312"/>
          <w:b w:val="0"/>
          <w:bCs w:val="0"/>
          <w:color w:val="000000"/>
          <w:sz w:val="32"/>
          <w:szCs w:val="32"/>
          <w:lang w:val="en-US" w:eastAsia="zh-CN"/>
        </w:rPr>
        <w:t>19.62万</w:t>
      </w:r>
      <w:r>
        <w:rPr>
          <w:rFonts w:hint="eastAsia" w:ascii="仿宋_GB2312" w:hAnsi="仿宋_GB2312" w:eastAsia="仿宋_GB2312" w:cs="仿宋_GB2312"/>
          <w:b w:val="0"/>
          <w:bCs w:val="0"/>
          <w:color w:val="000000"/>
          <w:sz w:val="32"/>
          <w:szCs w:val="32"/>
        </w:rPr>
        <w:t>元，具体内容包括：</w:t>
      </w:r>
      <w:r>
        <w:rPr>
          <w:rFonts w:hint="eastAsia" w:ascii="仿宋_GB2312" w:hAnsi="仿宋_GB2312" w:eastAsia="仿宋_GB2312" w:cs="仿宋_GB2312"/>
          <w:b w:val="0"/>
          <w:bCs w:val="0"/>
          <w:color w:val="000000"/>
          <w:sz w:val="32"/>
          <w:szCs w:val="32"/>
          <w:lang w:val="en-US" w:eastAsia="zh-CN"/>
        </w:rPr>
        <w:t>主要为招商引资、四川省旅博会、上级机关调研、接待其他区县考察团等共计19.62万</w:t>
      </w:r>
      <w:r>
        <w:rPr>
          <w:rFonts w:hint="eastAsia" w:ascii="仿宋_GB2312" w:hAnsi="仿宋_GB2312" w:eastAsia="仿宋_GB2312" w:cs="仿宋_GB2312"/>
          <w:b w:val="0"/>
          <w:bCs w:val="0"/>
          <w:color w:val="000000"/>
          <w:sz w:val="32"/>
          <w:szCs w:val="32"/>
        </w:rPr>
        <w:t>元。</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外事接待支出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元，外事接待</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批次，</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人，共计支出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eastAsia="zh-CN"/>
        </w:rPr>
        <w:t>。</w:t>
      </w:r>
    </w:p>
    <w:p>
      <w:pPr>
        <w:pageBreakBefore w:val="0"/>
        <w:kinsoku/>
        <w:wordWrap/>
        <w:overflowPunct/>
        <w:topLinePunct w:val="0"/>
        <w:bidi w:val="0"/>
        <w:spacing w:line="600" w:lineRule="exact"/>
        <w:ind w:firstLine="640"/>
        <w:textAlignment w:val="auto"/>
        <w:outlineLvl w:val="1"/>
        <w:rPr>
          <w:rStyle w:val="16"/>
          <w:rFonts w:ascii="黑体" w:hAnsi="黑体" w:eastAsia="黑体"/>
        </w:rPr>
      </w:pPr>
      <w:bookmarkStart w:id="46" w:name="_Toc15396610"/>
      <w:bookmarkStart w:id="47" w:name="_Toc15377218"/>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6"/>
      <w:bookmarkEnd w:id="47"/>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w:t>
      </w:r>
      <w:r>
        <w:rPr>
          <w:rFonts w:hint="eastAsia" w:ascii="仿宋_GB2312" w:eastAsia="仿宋_GB2312"/>
          <w:color w:val="000000"/>
          <w:sz w:val="32"/>
          <w:szCs w:val="32"/>
          <w:lang w:val="en-US" w:eastAsia="zh-CN"/>
        </w:rPr>
        <w:t>8.946</w:t>
      </w:r>
      <w:r>
        <w:rPr>
          <w:rFonts w:hint="eastAsia" w:ascii="仿宋_GB2312" w:eastAsia="仿宋_GB2312"/>
          <w:color w:val="000000"/>
          <w:sz w:val="32"/>
          <w:szCs w:val="32"/>
        </w:rPr>
        <w:t>万元。</w:t>
      </w:r>
    </w:p>
    <w:p>
      <w:pPr>
        <w:pageBreakBefore w:val="0"/>
        <w:numPr>
          <w:ilvl w:val="0"/>
          <w:numId w:val="3"/>
        </w:numPr>
        <w:kinsoku/>
        <w:wordWrap/>
        <w:overflowPunct/>
        <w:topLinePunct w:val="0"/>
        <w:bidi w:val="0"/>
        <w:spacing w:line="600" w:lineRule="exact"/>
        <w:ind w:firstLine="640"/>
        <w:textAlignment w:val="auto"/>
        <w:outlineLvl w:val="1"/>
        <w:rPr>
          <w:rStyle w:val="16"/>
          <w:rFonts w:ascii="黑体" w:hAnsi="黑体" w:eastAsia="黑体"/>
          <w:b w:val="0"/>
        </w:rPr>
      </w:pPr>
      <w:bookmarkStart w:id="48" w:name="_Toc15396611"/>
      <w:bookmarkStart w:id="49" w:name="_Toc15377219"/>
      <w:r>
        <w:rPr>
          <w:rStyle w:val="16"/>
          <w:rFonts w:hint="eastAsia" w:ascii="黑体" w:hAnsi="黑体" w:eastAsia="黑体"/>
          <w:b w:val="0"/>
        </w:rPr>
        <w:t>国有资本经营预算支出决算情况说明</w:t>
      </w:r>
      <w:bookmarkEnd w:id="48"/>
      <w:bookmarkEnd w:id="49"/>
    </w:p>
    <w:p>
      <w:pPr>
        <w:pageBreakBefore w:val="0"/>
        <w:kinsoku/>
        <w:wordWrap/>
        <w:overflowPunct/>
        <w:topLinePunct w:val="0"/>
        <w:bidi w:val="0"/>
        <w:spacing w:line="600" w:lineRule="exact"/>
        <w:ind w:firstLine="640"/>
        <w:textAlignment w:val="auto"/>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numPr>
          <w:ilvl w:val="0"/>
          <w:numId w:val="3"/>
        </w:numPr>
        <w:kinsoku/>
        <w:wordWrap/>
        <w:overflowPunct/>
        <w:topLinePunct w:val="0"/>
        <w:bidi w:val="0"/>
        <w:spacing w:line="600" w:lineRule="exact"/>
        <w:ind w:left="0" w:leftChars="0" w:firstLine="640" w:firstLineChars="0"/>
        <w:textAlignment w:val="auto"/>
        <w:outlineLvl w:val="1"/>
        <w:rPr>
          <w:rStyle w:val="16"/>
          <w:rFonts w:hint="eastAsia" w:ascii="黑体" w:hAnsi="黑体" w:eastAsia="黑体"/>
          <w:b w:val="0"/>
        </w:rPr>
      </w:pPr>
      <w:bookmarkStart w:id="50" w:name="_Toc15377221"/>
      <w:bookmarkStart w:id="51" w:name="_Toc15396612"/>
      <w:r>
        <w:rPr>
          <w:rStyle w:val="16"/>
          <w:rFonts w:hint="eastAsia" w:ascii="黑体" w:hAnsi="黑体" w:eastAsia="黑体"/>
          <w:b w:val="0"/>
        </w:rPr>
        <w:t>其他重要事项的情况</w:t>
      </w:r>
      <w:bookmarkEnd w:id="50"/>
      <w:bookmarkEnd w:id="51"/>
      <w:bookmarkStart w:id="52" w:name="_Toc15377222"/>
      <w:r>
        <w:rPr>
          <w:rStyle w:val="16"/>
          <w:rFonts w:hint="eastAsia" w:ascii="黑体" w:hAnsi="黑体" w:eastAsia="黑体"/>
          <w:b w:val="0"/>
          <w:lang w:val="en-US" w:eastAsia="zh-CN"/>
        </w:rPr>
        <w:t>说明</w:t>
      </w:r>
    </w:p>
    <w:p>
      <w:pPr>
        <w:pageBreakBefore w:val="0"/>
        <w:numPr>
          <w:ilvl w:val="0"/>
          <w:numId w:val="0"/>
        </w:numPr>
        <w:kinsoku/>
        <w:wordWrap/>
        <w:overflowPunct/>
        <w:topLinePunct w:val="0"/>
        <w:bidi w:val="0"/>
        <w:spacing w:line="600" w:lineRule="exact"/>
        <w:ind w:left="640" w:leftChars="0"/>
        <w:textAlignment w:val="auto"/>
        <w:outlineLvl w:val="1"/>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（一）机关运行经费支出情况</w:t>
      </w:r>
      <w:bookmarkEnd w:id="52"/>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w:t>
      </w:r>
      <w:r>
        <w:rPr>
          <w:rFonts w:hint="eastAsia" w:ascii="仿宋_GB2312" w:hAnsi="仿宋_GB2312" w:eastAsia="仿宋_GB2312" w:cs="仿宋_GB2312"/>
          <w:b w:val="0"/>
          <w:bCs w:val="0"/>
          <w:color w:val="000000"/>
          <w:sz w:val="32"/>
          <w:szCs w:val="32"/>
          <w:lang w:val="en-US" w:eastAsia="zh-CN"/>
        </w:rPr>
        <w:t>峨眉山市人民政府办公室</w:t>
      </w:r>
      <w:r>
        <w:rPr>
          <w:rFonts w:hint="eastAsia" w:ascii="仿宋_GB2312" w:hAnsi="仿宋_GB2312" w:eastAsia="仿宋_GB2312" w:cs="仿宋_GB2312"/>
          <w:b w:val="0"/>
          <w:bCs w:val="0"/>
          <w:color w:val="000000"/>
          <w:sz w:val="32"/>
          <w:szCs w:val="32"/>
        </w:rPr>
        <w:t>机关运行经费支出</w:t>
      </w:r>
      <w:r>
        <w:rPr>
          <w:rFonts w:hint="eastAsia" w:ascii="仿宋_GB2312" w:hAnsi="仿宋_GB2312" w:eastAsia="仿宋_GB2312" w:cs="仿宋_GB2312"/>
          <w:b w:val="0"/>
          <w:bCs w:val="0"/>
          <w:color w:val="000000"/>
          <w:sz w:val="32"/>
          <w:szCs w:val="32"/>
          <w:lang w:val="en-US" w:eastAsia="zh-CN"/>
        </w:rPr>
        <w:t>136.98</w:t>
      </w:r>
      <w:r>
        <w:rPr>
          <w:rFonts w:hint="eastAsia" w:ascii="仿宋_GB2312" w:hAnsi="仿宋_GB2312" w:eastAsia="仿宋_GB2312" w:cs="仿宋_GB2312"/>
          <w:b w:val="0"/>
          <w:bCs w:val="0"/>
          <w:color w:val="000000"/>
          <w:sz w:val="32"/>
          <w:szCs w:val="32"/>
        </w:rPr>
        <w:t>万元，比2019年减少</w:t>
      </w:r>
      <w:r>
        <w:rPr>
          <w:rFonts w:hint="eastAsia" w:ascii="仿宋_GB2312" w:hAnsi="仿宋_GB2312" w:eastAsia="仿宋_GB2312" w:cs="仿宋_GB2312"/>
          <w:b w:val="0"/>
          <w:bCs w:val="0"/>
          <w:color w:val="000000"/>
          <w:sz w:val="32"/>
          <w:szCs w:val="32"/>
          <w:lang w:val="en-US" w:eastAsia="zh-CN"/>
        </w:rPr>
        <w:t>58.67</w:t>
      </w:r>
      <w:r>
        <w:rPr>
          <w:rFonts w:hint="eastAsia" w:ascii="仿宋_GB2312" w:hAnsi="仿宋_GB2312" w:eastAsia="仿宋_GB2312" w:cs="仿宋_GB2312"/>
          <w:b w:val="0"/>
          <w:bCs w:val="0"/>
          <w:color w:val="000000"/>
          <w:sz w:val="32"/>
          <w:szCs w:val="32"/>
        </w:rPr>
        <w:t>万元，下降</w:t>
      </w:r>
      <w:r>
        <w:rPr>
          <w:rFonts w:hint="eastAsia" w:ascii="仿宋_GB2312" w:hAnsi="仿宋_GB2312" w:eastAsia="仿宋_GB2312" w:cs="仿宋_GB2312"/>
          <w:b w:val="0"/>
          <w:bCs w:val="0"/>
          <w:color w:val="000000"/>
          <w:sz w:val="32"/>
          <w:szCs w:val="32"/>
          <w:lang w:val="en-US" w:eastAsia="zh-CN"/>
        </w:rPr>
        <w:t>29.99</w:t>
      </w:r>
      <w:r>
        <w:rPr>
          <w:rFonts w:hint="eastAsia" w:ascii="仿宋_GB2312" w:hAnsi="仿宋_GB2312" w:eastAsia="仿宋_GB2312" w:cs="仿宋_GB2312"/>
          <w:b w:val="0"/>
          <w:bCs w:val="0"/>
          <w:color w:val="000000"/>
          <w:sz w:val="32"/>
          <w:szCs w:val="32"/>
        </w:rPr>
        <w:t>%。主要原因是</w:t>
      </w:r>
      <w:r>
        <w:rPr>
          <w:rFonts w:hint="eastAsia" w:ascii="仿宋_GB2312" w:hAnsi="仿宋" w:eastAsia="仿宋_GB2312" w:cs="仿宋"/>
          <w:bCs/>
          <w:color w:val="000000"/>
          <w:sz w:val="32"/>
          <w:szCs w:val="32"/>
        </w:rPr>
        <w:t>厉行节约</w:t>
      </w:r>
      <w:r>
        <w:rPr>
          <w:rFonts w:hint="eastAsia" w:ascii="仿宋_GB2312" w:hAnsi="仿宋" w:eastAsia="仿宋_GB2312" w:cs="仿宋"/>
          <w:bCs/>
          <w:color w:val="000000"/>
          <w:sz w:val="32"/>
          <w:szCs w:val="32"/>
          <w:lang w:eastAsia="zh-CN"/>
        </w:rPr>
        <w:t>、</w:t>
      </w:r>
      <w:r>
        <w:rPr>
          <w:rFonts w:hint="eastAsia" w:ascii="仿宋_GB2312" w:hAnsi="仿宋" w:eastAsia="仿宋_GB2312" w:cs="仿宋"/>
          <w:bCs/>
          <w:color w:val="000000"/>
          <w:sz w:val="32"/>
          <w:szCs w:val="32"/>
        </w:rPr>
        <w:t>控制支出</w:t>
      </w:r>
      <w:r>
        <w:rPr>
          <w:rFonts w:hint="eastAsia" w:ascii="仿宋_GB2312" w:hAnsi="仿宋" w:eastAsia="仿宋_GB2312" w:cs="仿宋"/>
          <w:bCs/>
          <w:color w:val="000000"/>
          <w:sz w:val="32"/>
          <w:szCs w:val="32"/>
          <w:lang w:eastAsia="zh-CN"/>
        </w:rPr>
        <w:t>、减少</w:t>
      </w:r>
      <w:r>
        <w:rPr>
          <w:rFonts w:hint="eastAsia" w:ascii="仿宋_GB2312" w:hAnsi="仿宋" w:eastAsia="仿宋_GB2312" w:cs="仿宋"/>
          <w:bCs/>
          <w:color w:val="000000"/>
          <w:sz w:val="32"/>
          <w:szCs w:val="32"/>
          <w:lang w:val="en-US" w:eastAsia="zh-CN"/>
        </w:rPr>
        <w:t>费用</w:t>
      </w:r>
      <w:r>
        <w:rPr>
          <w:rFonts w:hint="eastAsia" w:ascii="仿宋_GB2312" w:hAnsi="仿宋" w:eastAsia="仿宋_GB2312" w:cs="仿宋"/>
          <w:bCs/>
          <w:color w:val="000000"/>
          <w:sz w:val="32"/>
          <w:szCs w:val="32"/>
          <w:lang w:eastAsia="zh-CN"/>
        </w:rPr>
        <w:t>。</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bookmarkStart w:id="53" w:name="_Toc15377223"/>
      <w:r>
        <w:rPr>
          <w:rFonts w:hint="eastAsia" w:ascii="楷体_GB2312" w:hAnsi="楷体_GB2312" w:eastAsia="楷体_GB2312" w:cs="楷体_GB2312"/>
          <w:b w:val="0"/>
          <w:bCs/>
          <w:color w:val="000000"/>
          <w:sz w:val="32"/>
          <w:szCs w:val="32"/>
        </w:rPr>
        <w:t>（二）政府采购支出情况</w:t>
      </w:r>
      <w:bookmarkEnd w:id="53"/>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2020年，</w:t>
      </w:r>
      <w:r>
        <w:rPr>
          <w:rFonts w:hint="eastAsia" w:ascii="仿宋_GB2312" w:hAnsi="仿宋_GB2312" w:eastAsia="仿宋_GB2312" w:cs="仿宋_GB2312"/>
          <w:b w:val="0"/>
          <w:bCs w:val="0"/>
          <w:color w:val="000000"/>
          <w:sz w:val="32"/>
          <w:szCs w:val="32"/>
          <w:lang w:val="en-US" w:eastAsia="zh-CN"/>
        </w:rPr>
        <w:t>峨眉山市人民政府办公室</w:t>
      </w:r>
      <w:r>
        <w:rPr>
          <w:rFonts w:hint="eastAsia" w:ascii="仿宋_GB2312" w:hAnsi="仿宋_GB2312" w:eastAsia="仿宋_GB2312" w:cs="仿宋_GB2312"/>
          <w:b w:val="0"/>
          <w:bCs w:val="0"/>
          <w:color w:val="000000"/>
          <w:sz w:val="32"/>
          <w:szCs w:val="32"/>
        </w:rPr>
        <w:t>政府采购支出总额</w:t>
      </w:r>
      <w:r>
        <w:rPr>
          <w:rFonts w:hint="eastAsia" w:ascii="仿宋_GB2312" w:hAnsi="仿宋_GB2312" w:eastAsia="仿宋_GB2312" w:cs="仿宋_GB2312"/>
          <w:b w:val="0"/>
          <w:bCs w:val="0"/>
          <w:color w:val="000000"/>
          <w:sz w:val="32"/>
          <w:szCs w:val="32"/>
          <w:lang w:val="en-US" w:eastAsia="zh-CN"/>
        </w:rPr>
        <w:t>222.39</w:t>
      </w:r>
      <w:r>
        <w:rPr>
          <w:rFonts w:hint="eastAsia" w:ascii="仿宋_GB2312" w:hAnsi="仿宋_GB2312" w:eastAsia="仿宋_GB2312" w:cs="仿宋_GB2312"/>
          <w:b w:val="0"/>
          <w:bCs w:val="0"/>
          <w:color w:val="000000"/>
          <w:sz w:val="32"/>
          <w:szCs w:val="32"/>
        </w:rPr>
        <w:t>万元，其中：政府采购货物支出</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万元、政府采购工程支出</w:t>
      </w:r>
      <w:r>
        <w:rPr>
          <w:rFonts w:hint="eastAsia" w:ascii="仿宋_GB2312" w:hAnsi="仿宋_GB2312" w:eastAsia="仿宋_GB2312" w:cs="仿宋_GB2312"/>
          <w:b w:val="0"/>
          <w:bCs w:val="0"/>
          <w:color w:val="000000"/>
          <w:sz w:val="32"/>
          <w:szCs w:val="32"/>
          <w:lang w:val="en-US" w:eastAsia="zh-CN"/>
        </w:rPr>
        <w:t>169.99</w:t>
      </w:r>
      <w:r>
        <w:rPr>
          <w:rFonts w:hint="eastAsia" w:ascii="仿宋_GB2312" w:hAnsi="仿宋_GB2312" w:eastAsia="仿宋_GB2312" w:cs="仿宋_GB2312"/>
          <w:b w:val="0"/>
          <w:bCs w:val="0"/>
          <w:color w:val="000000"/>
          <w:sz w:val="32"/>
          <w:szCs w:val="32"/>
        </w:rPr>
        <w:t>万元、政府采购服务支出</w:t>
      </w:r>
      <w:r>
        <w:rPr>
          <w:rFonts w:hint="eastAsia" w:ascii="仿宋_GB2312" w:hAnsi="仿宋_GB2312" w:eastAsia="仿宋_GB2312" w:cs="仿宋_GB2312"/>
          <w:b w:val="0"/>
          <w:bCs w:val="0"/>
          <w:color w:val="000000"/>
          <w:sz w:val="32"/>
          <w:szCs w:val="32"/>
          <w:lang w:val="en-US" w:eastAsia="zh-CN"/>
        </w:rPr>
        <w:t>52.4</w:t>
      </w:r>
      <w:r>
        <w:rPr>
          <w:rFonts w:hint="eastAsia" w:ascii="仿宋_GB2312" w:hAnsi="仿宋_GB2312" w:eastAsia="仿宋_GB2312" w:cs="仿宋_GB2312"/>
          <w:b w:val="0"/>
          <w:bCs w:val="0"/>
          <w:color w:val="000000"/>
          <w:sz w:val="32"/>
          <w:szCs w:val="32"/>
        </w:rPr>
        <w:t>万元。主要用于</w:t>
      </w:r>
      <w:r>
        <w:rPr>
          <w:rFonts w:hint="eastAsia" w:ascii="仿宋_GB2312" w:hAnsi="仿宋_GB2312" w:eastAsia="仿宋_GB2312" w:cs="仿宋_GB2312"/>
          <w:b w:val="0"/>
          <w:bCs w:val="0"/>
          <w:color w:val="000000"/>
          <w:sz w:val="32"/>
          <w:szCs w:val="32"/>
          <w:lang w:val="en-US" w:eastAsia="zh-CN"/>
        </w:rPr>
        <w:t>政务外网IPV6升级改造费用以及第二办公区物业服务经费等</w:t>
      </w:r>
      <w:r>
        <w:rPr>
          <w:rFonts w:hint="eastAsia" w:ascii="仿宋_GB2312" w:hAnsi="仿宋_GB2312" w:eastAsia="仿宋_GB2312" w:cs="仿宋_GB2312"/>
          <w:b w:val="0"/>
          <w:bCs w:val="0"/>
          <w:color w:val="000000"/>
          <w:sz w:val="32"/>
          <w:szCs w:val="32"/>
        </w:rPr>
        <w:t>。授予中小企业合同金额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%，其中：授予小微企业合同金额</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万元，占政府采购支出总额的</w:t>
      </w:r>
      <w:r>
        <w:rPr>
          <w:rFonts w:hint="eastAsia" w:ascii="仿宋_GB2312" w:hAnsi="仿宋_GB2312" w:eastAsia="仿宋_GB2312" w:cs="仿宋_GB2312"/>
          <w:b w:val="0"/>
          <w:bCs w:val="0"/>
          <w:color w:val="000000"/>
          <w:sz w:val="32"/>
          <w:szCs w:val="32"/>
          <w:lang w:val="en-US" w:eastAsia="zh-CN"/>
        </w:rPr>
        <w:t>0</w:t>
      </w:r>
      <w:r>
        <w:rPr>
          <w:rFonts w:hint="eastAsia" w:ascii="仿宋_GB2312" w:hAnsi="仿宋_GB2312" w:eastAsia="仿宋_GB2312" w:cs="仿宋_GB2312"/>
          <w:b w:val="0"/>
          <w:bCs w:val="0"/>
          <w:color w:val="000000"/>
          <w:sz w:val="32"/>
          <w:szCs w:val="32"/>
        </w:rPr>
        <w:t>%。</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（注：数据来源于财决附03表）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bookmarkStart w:id="54" w:name="_Toc15377224"/>
      <w:r>
        <w:rPr>
          <w:rFonts w:hint="eastAsia" w:ascii="仿宋_GB2312" w:hAnsi="仿宋_GB2312" w:eastAsia="仿宋_GB2312" w:cs="仿宋_GB2312"/>
          <w:b w:val="0"/>
          <w:bCs w:val="0"/>
          <w:color w:val="000000"/>
          <w:sz w:val="32"/>
          <w:szCs w:val="32"/>
        </w:rPr>
        <w:t>（三）国有资产占有使用情况</w:t>
      </w:r>
      <w:bookmarkEnd w:id="54"/>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截至2</w:t>
      </w:r>
      <w:r>
        <w:rPr>
          <w:rFonts w:hint="eastAsia" w:ascii="仿宋_GB2312" w:hAnsi="仿宋_GB2312" w:eastAsia="仿宋_GB2312" w:cs="仿宋_GB2312"/>
          <w:b w:val="0"/>
          <w:bCs w:val="0"/>
          <w:color w:val="000000"/>
          <w:sz w:val="32"/>
          <w:szCs w:val="32"/>
          <w:lang w:val="en-US" w:eastAsia="zh-CN"/>
        </w:rPr>
        <w:t>020</w:t>
      </w:r>
      <w:r>
        <w:rPr>
          <w:rFonts w:hint="eastAsia" w:ascii="仿宋_GB2312" w:hAnsi="仿宋_GB2312" w:eastAsia="仿宋_GB2312" w:cs="仿宋_GB2312"/>
          <w:b w:val="0"/>
          <w:bCs w:val="0"/>
          <w:color w:val="000000"/>
          <w:sz w:val="32"/>
          <w:szCs w:val="32"/>
        </w:rPr>
        <w:t>年12月31日，峨眉山市人民政府办公室共有车辆20辆，其中：主要领导干部用车1辆、机要通信用车0辆、应急保障用车3辆、其他用车16辆。单价50万元以上通用设备2台（套），单价100万元以上专用设备0台（套）。</w:t>
      </w:r>
    </w:p>
    <w:p>
      <w:pPr>
        <w:pageBreakBefore w:val="0"/>
        <w:kinsoku/>
        <w:wordWrap/>
        <w:overflowPunct/>
        <w:topLinePunct w:val="0"/>
        <w:autoSpaceDE w:val="0"/>
        <w:autoSpaceDN w:val="0"/>
        <w:bidi w:val="0"/>
        <w:adjustRightInd w:val="0"/>
        <w:spacing w:line="600" w:lineRule="exact"/>
        <w:ind w:firstLine="640" w:firstLineChars="200"/>
        <w:jc w:val="left"/>
        <w:textAlignment w:val="auto"/>
        <w:outlineLvl w:val="2"/>
        <w:rPr>
          <w:rFonts w:hint="eastAsia"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（四）预算绩效管理情况</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政府办专项业务费、政府办公车平台运行维护费、市委市政府接待费业务费、行政权力平台运行维护费、政府新综合大楼物业服务经费、市志办《峨眉山年鉴》工作经费、政务外网IPV6升级改造费用、道路交通整治办公室专项业务费、行政事业单位房地产管理信息化平台、心连心热线业务费、政管办业务费、车辆租赁费</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本部门按要求对2020年部门整体支出开展绩效自评，从评价情况来看我单位基本做到资金专项专用、项目支出资金拨付到位、资金分配合理，但还存在绩效监控制度不够完善、</w:t>
      </w:r>
      <w:r>
        <w:rPr>
          <w:rFonts w:hint="eastAsia" w:ascii="仿宋_GB2312" w:hAnsi="仿宋_GB2312" w:eastAsia="仿宋_GB2312" w:cs="仿宋_GB2312"/>
          <w:sz w:val="32"/>
          <w:szCs w:val="32"/>
          <w:lang w:val="en-US" w:eastAsia="zh-CN"/>
        </w:rPr>
        <w:t>部分项目绩效效益情况不及预期</w:t>
      </w:r>
      <w:r>
        <w:rPr>
          <w:rFonts w:hint="eastAsia" w:ascii="仿宋_GB2312" w:hAnsi="仿宋_GB2312" w:eastAsia="仿宋_GB2312" w:cs="仿宋_GB2312"/>
          <w:sz w:val="32"/>
          <w:szCs w:val="32"/>
        </w:rPr>
        <w:t>等问题。本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还自行组织了</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个项目支出绩效评价，从评价情况来看我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所有资金使用严格遵守各项制度，专款专用，不存在截留、挤占、挪用现象，</w:t>
      </w:r>
      <w:r>
        <w:rPr>
          <w:rFonts w:hint="eastAsia" w:ascii="仿宋_GB2312" w:hAnsi="仿宋_GB2312" w:eastAsia="仿宋_GB2312" w:cs="仿宋_GB2312"/>
          <w:sz w:val="32"/>
          <w:szCs w:val="32"/>
          <w:lang w:val="en-US" w:eastAsia="zh-CN"/>
        </w:rPr>
        <w:t>资金使用合规</w:t>
      </w:r>
      <w:r>
        <w:rPr>
          <w:rFonts w:hint="eastAsia" w:ascii="仿宋_GB2312" w:hAnsi="仿宋_GB2312" w:eastAsia="仿宋_GB2312" w:cs="仿宋_GB2312"/>
          <w:sz w:val="32"/>
          <w:szCs w:val="32"/>
        </w:rPr>
        <w:t>，无虚列项目</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情况，未进行大额现金支付，资金开支按规定标准执行。</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本部门在2020年度部门决算中反映“</w:t>
      </w:r>
      <w:r>
        <w:rPr>
          <w:rFonts w:hint="eastAsia" w:ascii="仿宋_GB2312" w:hAnsi="仿宋_GB2312" w:eastAsia="仿宋_GB2312" w:cs="仿宋_GB2312"/>
          <w:sz w:val="32"/>
          <w:szCs w:val="32"/>
          <w:lang w:val="en-US" w:eastAsia="zh-CN"/>
        </w:rPr>
        <w:t>车辆租赁费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行政权力平台运行维护费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道路交通整治办公室专项业务费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公车平台运行维护费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政府新综合大楼物业服务费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pPr>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车辆租赁费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27.09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调整预算数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，执行数为</w:t>
      </w:r>
      <w:r>
        <w:rPr>
          <w:rFonts w:hint="eastAsia" w:ascii="仿宋_GB2312" w:hAnsi="仿宋_GB2312" w:eastAsia="仿宋_GB2312" w:cs="仿宋_GB2312"/>
          <w:sz w:val="32"/>
          <w:szCs w:val="32"/>
          <w:lang w:val="en-US" w:eastAsia="zh-CN"/>
        </w:rPr>
        <w:t>27.09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val="en-US" w:eastAsia="zh-CN"/>
        </w:rPr>
        <w:t>了全市机关单位公务出行需要</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由于资金量较小，只能满足部分单位需求，或者满足单位的部分需求</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进一步深入了解全市机关事业单位用车需求，进行合理分配。</w:t>
      </w:r>
    </w:p>
    <w:p>
      <w:pPr>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行政权力平台运行维护费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38.43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38.43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实现了全市机关事业单位信息公开，进一步实现权力公开、行政透明，便于群众和媒体监督政府，构建阳光政府。</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由于网站维护不及时、技术更新不到位，单位在公开信息时，网站有时会显示错误信息</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在选择网站维护单位时，提高要求，多方比较选择，选择技术好、服务质量高、价格合适的维护单位，提高网站的稳定性。</w:t>
      </w:r>
    </w:p>
    <w:p>
      <w:pPr>
        <w:pageBreakBefore w:val="0"/>
        <w:kinsoku/>
        <w:wordWrap/>
        <w:overflowPunct/>
        <w:topLinePunct w:val="0"/>
        <w:bidi w:val="0"/>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道路交通整治办公室专项业务费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12.88</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12.88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向全市13个乡镇（街道办事处）宣传了交通安全知识，对全市重点道路实施督查、问题查摆，提高了交通安全意识。</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进一步扩大宣传面，加强宣传力度，尤其是对大货车司机的安全知识宣传，同时加强事故多发地段督查，减少事故发生。</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公车平台运行维护费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218.44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218.44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宋体" w:eastAsia="仿宋_GB2312" w:cs="Times New Roman"/>
          <w:sz w:val="32"/>
          <w:szCs w:val="32"/>
          <w:lang w:val="en-US" w:eastAsia="zh-CN"/>
        </w:rPr>
        <w:t>提升公务用车管理水平。强化公车科学调度，提高车辆使用效率，降低运行成本，圆满完成防汛、环保、扶贫、应急等紧要工作用车任务。</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针对司勤人员的教育管理不足，部分司勤人员对地理位置还不熟悉，有些对于远途出车还存在畏难情绪</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进一步加强司机的培训，一方面加强安全知识培训，另一方面着力提升其业务素质。</w:t>
      </w:r>
    </w:p>
    <w:p>
      <w:pPr>
        <w:pageBreakBefore w:val="0"/>
        <w:kinsoku/>
        <w:wordWrap/>
        <w:overflowPunct/>
        <w:topLinePunct w:val="0"/>
        <w:bidi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政府新综合大楼物业服务费</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66.02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66.02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政府佛光片区集中办公点提供物业服务，</w:t>
      </w:r>
      <w:r>
        <w:rPr>
          <w:rFonts w:hint="eastAsia" w:ascii="仿宋_GB2312" w:hAnsi="仿宋_GB2312" w:eastAsia="仿宋_GB2312" w:cs="仿宋_GB2312"/>
          <w:sz w:val="32"/>
          <w:szCs w:val="32"/>
        </w:rPr>
        <w:t>保障</w:t>
      </w:r>
      <w:r>
        <w:rPr>
          <w:rFonts w:hint="eastAsia" w:ascii="仿宋_GB2312" w:hAnsi="仿宋_GB2312" w:eastAsia="仿宋_GB2312" w:cs="仿宋_GB2312"/>
          <w:sz w:val="32"/>
          <w:szCs w:val="32"/>
          <w:lang w:val="en-US" w:eastAsia="zh-CN"/>
        </w:rPr>
        <w:t>二办公区正常运转。</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zh-CN"/>
        </w:rPr>
        <w:t>物业提供服务质量有时不能得到单位和来访群众的满意</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待合同期满，将委托公共资源交易中心重新对政府新综合大楼物业服务项目进行招标，我办将细化招标文件，多方征求意见进行需求论证，提高物业服务质量。</w:t>
      </w:r>
    </w:p>
    <w:p>
      <w:pPr>
        <w:pStyle w:val="2"/>
        <w:rPr>
          <w:rFonts w:hint="default"/>
          <w:lang w:val="en-US" w:eastAsia="zh-CN"/>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414"/>
        <w:gridCol w:w="1771"/>
        <w:gridCol w:w="1898"/>
        <w:gridCol w:w="2888"/>
      </w:tblGrid>
      <w:tr>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公车平台运行维护费项目</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峨眉山市人民政府办公室</w:t>
            </w: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218.44</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218.44</w:t>
            </w:r>
          </w:p>
        </w:tc>
      </w:tr>
      <w:tr>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218.44</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218.44</w:t>
            </w:r>
          </w:p>
        </w:tc>
      </w:tr>
      <w:tr>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补充保障全市机关事业单位公务出行需要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满足单位公务出行需要，全年出车10500次</w:t>
            </w:r>
          </w:p>
        </w:tc>
      </w:tr>
      <w:tr>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预算完成率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100%完成预算</w:t>
            </w:r>
          </w:p>
        </w:tc>
      </w:tr>
      <w:tr>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项目申报规范性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严格按照财政制度要求执行</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资金分配规范性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定期维护，科学管理，降低公车使用成本</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严格控制支出，车辆运行费用较去年下降</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车辆运行费用较去年下降34%</w:t>
            </w:r>
          </w:p>
        </w:tc>
      </w:tr>
      <w:tr>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保障紧急公务公车，保障峨眉山市重点工作</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优先保障防汛、扶贫、应急等用车</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全年公车平台共出车10500次</w:t>
            </w:r>
            <w:r>
              <w:rPr>
                <w:rFonts w:hint="eastAsia" w:ascii="仿宋_GB2312" w:hAnsi="仿宋_GB2312" w:eastAsia="仿宋_GB2312" w:cs="仿宋_GB2312"/>
                <w:color w:val="000000"/>
                <w:sz w:val="24"/>
                <w:lang w:val="en-US" w:eastAsia="zh-CN"/>
              </w:rPr>
              <w:t>，优先保障防汛、扶贫、应急等用车</w:t>
            </w:r>
          </w:p>
        </w:tc>
      </w:tr>
      <w:tr>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群众满意度</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群众满意百分比</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96%满意</w:t>
            </w:r>
          </w:p>
        </w:tc>
      </w:tr>
    </w:tbl>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414"/>
        <w:gridCol w:w="1771"/>
        <w:gridCol w:w="1898"/>
        <w:gridCol w:w="2888"/>
      </w:tblGrid>
      <w:tr>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行政权力平台运行维护费</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峨眉山市人民政府办公室</w:t>
            </w: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38.43</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38.43</w:t>
            </w:r>
          </w:p>
        </w:tc>
      </w:tr>
      <w:tr>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38.43</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38.43</w:t>
            </w:r>
          </w:p>
        </w:tc>
      </w:tr>
      <w:tr>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补充保障全市机关事业单位公务出行需要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满足胜利、教育局等单位公务出行需要</w:t>
            </w:r>
          </w:p>
        </w:tc>
      </w:tr>
      <w:tr>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预算完成率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100%完成预算</w:t>
            </w:r>
          </w:p>
        </w:tc>
      </w:tr>
      <w:tr>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项目申报规范性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严格按照财政制度要求执行</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资金分配规范性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费用控制在40万以内</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严格控制支出，全年支出38.43万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严格控制支出，严格按照协议和预算执行</w:t>
            </w:r>
          </w:p>
        </w:tc>
      </w:tr>
      <w:tr>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保障权力平台信息化水平、网络稳定</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出现问题，当天前来处理，保障每天网站正常运转</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当天问题，当天处理</w:t>
            </w:r>
          </w:p>
        </w:tc>
      </w:tr>
      <w:tr>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群众满意度</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群众满意百分比</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使用人95%满意</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使用人96%满意</w:t>
            </w:r>
          </w:p>
        </w:tc>
      </w:tr>
    </w:tbl>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414"/>
        <w:gridCol w:w="1771"/>
        <w:gridCol w:w="1898"/>
        <w:gridCol w:w="2888"/>
      </w:tblGrid>
      <w:tr>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道路交通整治办公室专项业务费</w:t>
            </w:r>
          </w:p>
        </w:tc>
      </w:tr>
      <w:tr>
        <w:trPr>
          <w:trHeight w:val="276" w:hRule="atLeast"/>
          <w:jc w:val="center"/>
        </w:trPr>
        <w:tc>
          <w:tcPr>
            <w:tcW w:w="340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557"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峨眉山市人民政府办公室</w:t>
            </w: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12.88</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12.88</w:t>
            </w:r>
          </w:p>
        </w:tc>
      </w:tr>
      <w:tr>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12.88</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12.88</w:t>
            </w:r>
          </w:p>
        </w:tc>
      </w:tr>
      <w:tr>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59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37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补充保障全市机关事业单位公务出行需要</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满足胜利、教育局等单位公务出行需要</w:t>
            </w:r>
          </w:p>
        </w:tc>
      </w:tr>
      <w:tr>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预算完成率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100%完成预算</w:t>
            </w:r>
          </w:p>
        </w:tc>
      </w:tr>
      <w:tr>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项目申报规范性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严格按照财政制度要求执行</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资金分配规范性</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宣传费用少于15万</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严格控制支出，全年支出12.889万</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严格控制支出，秉着经济效益的原则，把资金用在刀刃上</w:t>
            </w:r>
          </w:p>
        </w:tc>
      </w:tr>
      <w:tr>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通过宣传交通安全知识，提高交通安全意识</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起到积极作用</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通过印发资料、现场宣传等方式，提高了司机、乘客交通安全意识</w:t>
            </w:r>
          </w:p>
        </w:tc>
      </w:tr>
      <w:tr>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4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群众满意度</w:t>
            </w:r>
          </w:p>
        </w:tc>
        <w:tc>
          <w:tcPr>
            <w:tcW w:w="177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群众满意百分比</w:t>
            </w:r>
          </w:p>
        </w:tc>
        <w:tc>
          <w:tcPr>
            <w:tcW w:w="18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95%满意</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96%满意</w:t>
            </w:r>
          </w:p>
        </w:tc>
      </w:tr>
    </w:tbl>
    <w:p>
      <w:pPr>
        <w:spacing w:line="580" w:lineRule="exact"/>
        <w:ind w:left="630"/>
        <w:rPr>
          <w:rFonts w:hint="eastAsia" w:ascii="仿宋_GB2312" w:hAnsi="仿宋_GB2312" w:eastAsia="仿宋_GB2312" w:cs="仿宋_GB2312"/>
          <w:sz w:val="32"/>
          <w:szCs w:val="32"/>
        </w:rPr>
      </w:pPr>
    </w:p>
    <w:p>
      <w:pPr>
        <w:rPr>
          <w:rFonts w:hint="eastAsia"/>
        </w:rPr>
      </w:pPr>
    </w:p>
    <w:p>
      <w:pPr>
        <w:pStyle w:val="2"/>
        <w:rPr>
          <w:rFonts w:hint="eastAsia"/>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123"/>
        <w:gridCol w:w="1817"/>
        <w:gridCol w:w="2143"/>
        <w:gridCol w:w="2888"/>
      </w:tblGrid>
      <w:tr>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rPr>
          <w:trHeight w:val="276"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8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政府新综合大楼物业服务费项目</w:t>
            </w:r>
          </w:p>
        </w:tc>
      </w:tr>
      <w:tr>
        <w:trPr>
          <w:trHeight w:val="276"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8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峨眉山市人民政府办公室</w:t>
            </w: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66.02</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66.02</w:t>
            </w:r>
          </w:p>
        </w:tc>
      </w:tr>
      <w:tr>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66.02</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66.02</w:t>
            </w:r>
          </w:p>
        </w:tc>
      </w:tr>
      <w:tr>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0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补充保障全市机关事业单位公务出行需要</w:t>
            </w:r>
          </w:p>
        </w:tc>
        <w:tc>
          <w:tcPr>
            <w:tcW w:w="50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满足胜利、教育局等单位公务出行需要</w:t>
            </w:r>
          </w:p>
        </w:tc>
      </w:tr>
      <w:tr>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预算完成率</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100%完成预算</w:t>
            </w:r>
          </w:p>
        </w:tc>
      </w:tr>
      <w:tr>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项目申报规范性</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严格按照财政制度要求执行</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资金分配规范性</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厉行节约、控制支出</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节约水电气、爱惜公共财产，保证全年费用不超过74万元</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全年费用66.02万元</w:t>
            </w:r>
          </w:p>
        </w:tc>
      </w:tr>
      <w:tr>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保障餐厨垃圾有效处理，爱护环境</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餐厨垃圾有效处理，防止污染环境</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餐厨垃圾每天清运，保持环境</w:t>
            </w:r>
          </w:p>
        </w:tc>
      </w:tr>
      <w:tr>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群众满意度</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群众满意百分比</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使用95%满意</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w:t>
            </w:r>
            <w:r>
              <w:rPr>
                <w:rFonts w:hint="eastAsia" w:ascii="仿宋_GB2312" w:hAnsi="仿宋_GB2312" w:eastAsia="仿宋_GB2312" w:cs="仿宋_GB2312"/>
                <w:color w:val="000000"/>
                <w:sz w:val="24"/>
                <w:lang w:val="en-US" w:eastAsia="zh-CN"/>
              </w:rPr>
              <w:t>96%满意</w:t>
            </w:r>
          </w:p>
        </w:tc>
      </w:tr>
    </w:tbl>
    <w:p>
      <w:pPr>
        <w:spacing w:line="580" w:lineRule="exact"/>
        <w:ind w:left="630"/>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tbl>
      <w:tblPr>
        <w:tblStyle w:val="11"/>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804"/>
        <w:gridCol w:w="1185"/>
        <w:gridCol w:w="1123"/>
        <w:gridCol w:w="1817"/>
        <w:gridCol w:w="2143"/>
        <w:gridCol w:w="2888"/>
      </w:tblGrid>
      <w:tr>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方正小标宋_GBK" w:hAnsi="方正小标宋_GBK" w:eastAsia="方正小标宋_GBK" w:cs="方正小标宋_GBK"/>
                <w:b w:val="0"/>
                <w:bCs w:val="0"/>
                <w:color w:val="000000"/>
                <w:kern w:val="0"/>
                <w:sz w:val="36"/>
                <w:szCs w:val="36"/>
                <w:lang w:bidi="ar"/>
              </w:rPr>
              <w:t>项目绩效目标完成情况表</w:t>
            </w:r>
            <w:r>
              <w:rPr>
                <w:rFonts w:hint="eastAsia" w:ascii="方正小标宋_GBK" w:hAnsi="方正小标宋_GBK" w:eastAsia="方正小标宋_GBK" w:cs="方正小标宋_GBK"/>
                <w:b w:val="0"/>
                <w:bCs w:val="0"/>
                <w:color w:val="000000"/>
                <w:kern w:val="0"/>
                <w:sz w:val="36"/>
                <w:szCs w:val="36"/>
                <w:lang w:bidi="ar"/>
              </w:rPr>
              <w:br w:type="textWrapping"/>
            </w:r>
            <w:r>
              <w:rPr>
                <w:rFonts w:hint="eastAsia" w:ascii="楷体_GB2312" w:hAnsi="楷体_GB2312" w:eastAsia="楷体_GB2312" w:cs="楷体_GB2312"/>
                <w:color w:val="000000"/>
                <w:kern w:val="0"/>
                <w:sz w:val="32"/>
                <w:szCs w:val="32"/>
                <w:lang w:bidi="ar"/>
              </w:rPr>
              <w:t>(2020年度)</w:t>
            </w:r>
          </w:p>
        </w:tc>
      </w:tr>
      <w:tr>
        <w:trPr>
          <w:trHeight w:val="276"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68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车辆租赁费</w:t>
            </w:r>
          </w:p>
        </w:tc>
      </w:tr>
      <w:tr>
        <w:trPr>
          <w:trHeight w:val="276" w:hRule="atLeast"/>
          <w:jc w:val="center"/>
        </w:trPr>
        <w:tc>
          <w:tcPr>
            <w:tcW w:w="311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684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峨眉山市人民政府办公室</w:t>
            </w: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27.09</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27.09</w:t>
            </w:r>
          </w:p>
        </w:tc>
      </w:tr>
      <w:tr>
        <w:trPr>
          <w:trHeight w:val="276"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27.09</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27.09</w:t>
            </w:r>
          </w:p>
        </w:tc>
      </w:tr>
      <w:tr>
        <w:trPr>
          <w:trHeight w:val="447"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2308"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r>
      <w:tr>
        <w:trPr>
          <w:trHeight w:val="276" w:hRule="atLeast"/>
          <w:jc w:val="center"/>
        </w:trPr>
        <w:tc>
          <w:tcPr>
            <w:tcW w:w="80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50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rPr>
          <w:trHeight w:val="674" w:hRule="atLeast"/>
          <w:jc w:val="center"/>
        </w:trPr>
        <w:tc>
          <w:tcPr>
            <w:tcW w:w="80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仿宋_GB2312" w:hAnsi="仿宋_GB2312" w:eastAsia="仿宋_GB2312" w:cs="仿宋_GB2312"/>
                <w:color w:val="000000"/>
                <w:sz w:val="24"/>
              </w:rPr>
            </w:pPr>
          </w:p>
        </w:tc>
        <w:tc>
          <w:tcPr>
            <w:tcW w:w="412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补充保障全市机关事业单位公务出行需要</w:t>
            </w:r>
          </w:p>
        </w:tc>
        <w:tc>
          <w:tcPr>
            <w:tcW w:w="50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满足胜利、教育局等单位公务出行需要</w:t>
            </w:r>
          </w:p>
        </w:tc>
      </w:tr>
      <w:tr>
        <w:trPr>
          <w:trHeight w:val="712" w:hRule="atLeast"/>
          <w:jc w:val="center"/>
        </w:trPr>
        <w:tc>
          <w:tcPr>
            <w:tcW w:w="80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rPr>
          <w:trHeight w:val="748"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预算完成率</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100%完成预算</w:t>
            </w:r>
          </w:p>
        </w:tc>
      </w:tr>
      <w:tr>
        <w:trPr>
          <w:trHeight w:val="80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项目申报规范性</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严格按照财政制度要求执行</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所有资金使用严格遵守各项制度，专款专用，不存在截留、挤占、挪用现象，票据合法</w:t>
            </w:r>
          </w:p>
        </w:tc>
      </w:tr>
      <w:tr>
        <w:trPr>
          <w:trHeight w:val="79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管理指标</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资金分配规范性</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合理合规使用资金实际解决社会治安问题</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专款专用，不存在截留、挤占、挪用现象，票据合法</w:t>
            </w:r>
          </w:p>
        </w:tc>
      </w:tr>
      <w:tr>
        <w:trPr>
          <w:trHeight w:val="662"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经济效益</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厉行节约、控制支出</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严格按标准和范围租车，秉着节约原则，一事一租</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全年费用27.09万元</w:t>
            </w:r>
          </w:p>
        </w:tc>
      </w:tr>
      <w:tr>
        <w:trPr>
          <w:trHeight w:val="647" w:hRule="atLeast"/>
          <w:jc w:val="center"/>
        </w:trPr>
        <w:tc>
          <w:tcPr>
            <w:tcW w:w="804"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社会效益</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满足公务出行需要</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优先满足扶贫、教育、应急等领域用车，保证正常公务开展</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优先划拨教育局、扶贫移民局、扶贫开发协会费用，保障教育、扶贫业务开展</w:t>
            </w:r>
          </w:p>
        </w:tc>
      </w:tr>
      <w:tr>
        <w:trPr>
          <w:trHeight w:val="1050" w:hRule="atLeast"/>
          <w:jc w:val="center"/>
        </w:trPr>
        <w:tc>
          <w:tcPr>
            <w:tcW w:w="804"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p>
        </w:tc>
        <w:tc>
          <w:tcPr>
            <w:tcW w:w="11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1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群众满意度</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用车人</w:t>
            </w:r>
            <w:r>
              <w:rPr>
                <w:rFonts w:hint="eastAsia" w:ascii="仿宋_GB2312" w:hAnsi="仿宋_GB2312" w:eastAsia="仿宋_GB2312" w:cs="仿宋_GB2312"/>
                <w:color w:val="000000"/>
                <w:sz w:val="24"/>
                <w:lang w:eastAsia="zh-CN"/>
              </w:rPr>
              <w:t>满意百分比</w:t>
            </w:r>
          </w:p>
        </w:tc>
        <w:tc>
          <w:tcPr>
            <w:tcW w:w="21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使用95%满意</w:t>
            </w:r>
          </w:p>
        </w:tc>
        <w:tc>
          <w:tcPr>
            <w:tcW w:w="28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用车人96%满意</w:t>
            </w:r>
          </w:p>
        </w:tc>
      </w:tr>
    </w:tbl>
    <w:p>
      <w:pPr>
        <w:rPr>
          <w:rFonts w:hint="eastAsia"/>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p>
    <w:p>
      <w:pPr>
        <w:spacing w:line="580" w:lineRule="exact"/>
        <w:ind w:left="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部门绩效评价结果。</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本部门按要求对2020年部门整体支出绩效评价情况开展自评，《</w:t>
      </w:r>
      <w:r>
        <w:rPr>
          <w:rFonts w:hint="eastAsia" w:ascii="仿宋_GB2312" w:hAnsi="仿宋_GB2312" w:eastAsia="仿宋_GB2312" w:cs="仿宋_GB2312"/>
          <w:sz w:val="32"/>
          <w:szCs w:val="32"/>
          <w:lang w:val="en-US" w:eastAsia="zh-CN"/>
        </w:rPr>
        <w:t>峨眉山市人民政府办公室</w:t>
      </w:r>
      <w:r>
        <w:rPr>
          <w:rFonts w:hint="eastAsia" w:ascii="仿宋_GB2312" w:hAnsi="仿宋_GB2312" w:eastAsia="仿宋_GB2312" w:cs="仿宋_GB2312"/>
          <w:sz w:val="32"/>
          <w:szCs w:val="32"/>
        </w:rPr>
        <w:t>部门2020年部门整体支出绩效评价报告》见附件（附件1）。</w:t>
      </w: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车辆租赁费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行政权力平台运行维护费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道路交通整治办公室专项业务费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公车平台运行维护费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政府新综合大楼物业服务费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个项目开展了绩效评价，《</w:t>
      </w:r>
      <w:r>
        <w:rPr>
          <w:rFonts w:hint="eastAsia" w:ascii="仿宋_GB2312" w:hAnsi="仿宋_GB2312" w:eastAsia="仿宋_GB2312" w:cs="仿宋_GB2312"/>
          <w:sz w:val="32"/>
          <w:szCs w:val="32"/>
          <w:lang w:val="en-US" w:eastAsia="zh-CN"/>
        </w:rPr>
        <w:t>峨眉山市人民政府办公室</w:t>
      </w:r>
      <w:r>
        <w:rPr>
          <w:rFonts w:hint="eastAsia" w:ascii="仿宋_GB2312" w:hAnsi="仿宋_GB2312" w:eastAsia="仿宋_GB2312" w:cs="仿宋_GB2312"/>
          <w:sz w:val="32"/>
          <w:szCs w:val="32"/>
        </w:rPr>
        <w:t>项目2020年绩效评价报告》见附件（附件2）。</w:t>
      </w:r>
      <w:bookmarkStart w:id="55" w:name="_Toc15396613"/>
      <w:bookmarkStart w:id="56" w:name="_Toc15377225"/>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bidi w:val="0"/>
        <w:snapToGrid/>
        <w:spacing w:line="600" w:lineRule="exact"/>
        <w:jc w:val="center"/>
        <w:textAlignment w:val="auto"/>
        <w:rPr>
          <w:rStyle w:val="15"/>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color w:val="000000"/>
          <w:sz w:val="44"/>
          <w:szCs w:val="44"/>
          <w:lang w:eastAsia="zh-CN"/>
        </w:rPr>
        <w:t>第三部分</w:t>
      </w:r>
      <w:r>
        <w:rPr>
          <w:rFonts w:hint="eastAsia" w:ascii="方正小标宋_GBK" w:hAnsi="方正小标宋_GBK" w:eastAsia="方正小标宋_GBK" w:cs="方正小标宋_GBK"/>
          <w:b w:val="0"/>
          <w:bCs/>
          <w:color w:val="000000"/>
          <w:sz w:val="44"/>
          <w:szCs w:val="44"/>
          <w:lang w:val="en-US" w:eastAsia="zh-CN"/>
        </w:rPr>
        <w:t xml:space="preserve"> </w:t>
      </w:r>
      <w:r>
        <w:rPr>
          <w:rFonts w:hint="eastAsia" w:ascii="方正小标宋_GBK" w:hAnsi="方正小标宋_GBK" w:eastAsia="方正小标宋_GBK" w:cs="方正小标宋_GBK"/>
          <w:b w:val="0"/>
          <w:bCs/>
          <w:color w:val="000000"/>
          <w:sz w:val="44"/>
          <w:szCs w:val="44"/>
        </w:rPr>
        <w:t>名</w:t>
      </w:r>
      <w:r>
        <w:rPr>
          <w:rStyle w:val="15"/>
          <w:rFonts w:hint="eastAsia" w:ascii="方正小标宋_GBK" w:hAnsi="方正小标宋_GBK" w:eastAsia="方正小标宋_GBK" w:cs="方正小标宋_GBK"/>
          <w:b w:val="0"/>
          <w:bCs/>
          <w:sz w:val="44"/>
          <w:szCs w:val="44"/>
        </w:rPr>
        <w:t>词解释</w:t>
      </w:r>
      <w:bookmarkEnd w:id="55"/>
      <w:bookmarkEnd w:id="56"/>
    </w:p>
    <w:p>
      <w:pPr>
        <w:keepNext w:val="0"/>
        <w:keepLines w:val="0"/>
        <w:pageBreakBefore w:val="0"/>
        <w:kinsoku/>
        <w:wordWrap/>
        <w:overflowPunct/>
        <w:topLinePunct w:val="0"/>
        <w:bidi w:val="0"/>
        <w:snapToGrid/>
        <w:spacing w:line="600" w:lineRule="exact"/>
        <w:jc w:val="left"/>
        <w:textAlignment w:val="auto"/>
        <w:rPr>
          <w:rFonts w:ascii="宋体"/>
          <w:b/>
          <w:color w:val="000000"/>
          <w:sz w:val="44"/>
          <w:szCs w:val="44"/>
        </w:rPr>
      </w:pP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一</w:t>
      </w:r>
      <w:r>
        <w:rPr>
          <w:rFonts w:ascii="仿宋_GB2312" w:eastAsia="仿宋_GB2312"/>
          <w:sz w:val="32"/>
          <w:szCs w:val="32"/>
        </w:rPr>
        <w:t>.</w:t>
      </w:r>
      <w:r>
        <w:rPr>
          <w:rFonts w:hint="eastAsia" w:ascii="仿宋_GB2312" w:eastAsia="仿宋_GB2312"/>
          <w:sz w:val="32"/>
          <w:szCs w:val="32"/>
        </w:rPr>
        <w:t>财政拨款收入：指单位从同级财政部门取得的财政预算资金。</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二</w:t>
      </w:r>
      <w:r>
        <w:rPr>
          <w:rFonts w:ascii="仿宋_GB2312" w:eastAsia="仿宋_GB2312"/>
          <w:sz w:val="32"/>
          <w:szCs w:val="32"/>
        </w:rPr>
        <w:t>.</w:t>
      </w:r>
      <w:r>
        <w:rPr>
          <w:rFonts w:hint="eastAsia" w:ascii="仿宋_GB2312" w:eastAsia="仿宋_GB2312"/>
          <w:sz w:val="32"/>
          <w:szCs w:val="32"/>
        </w:rPr>
        <w:t>事业收入：指事业单位开展专业业务活动及辅助活动所取得的收入。</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三</w:t>
      </w:r>
      <w:r>
        <w:rPr>
          <w:rFonts w:ascii="仿宋_GB2312" w:eastAsia="仿宋_GB2312"/>
          <w:sz w:val="32"/>
          <w:szCs w:val="32"/>
        </w:rPr>
        <w:t>.</w:t>
      </w:r>
      <w:r>
        <w:rPr>
          <w:rFonts w:hint="eastAsia" w:ascii="仿宋_GB2312" w:eastAsia="仿宋_GB2312"/>
          <w:sz w:val="32"/>
          <w:szCs w:val="32"/>
        </w:rPr>
        <w:t>经营收入：指事业单位在专业业务活动及其辅助活动之外开展非独立核算经营活动取得的收入。</w:t>
      </w:r>
    </w:p>
    <w:p>
      <w:pPr>
        <w:pStyle w:val="19"/>
      </w:pPr>
      <w:r>
        <w:rPr>
          <w:rFonts w:hint="eastAsia"/>
          <w:lang w:val="en-US" w:eastAsia="zh-CN"/>
        </w:rPr>
        <w:t>四</w:t>
      </w:r>
      <w:r>
        <w:t>.</w:t>
      </w:r>
      <w:r>
        <w:rPr>
          <w:rFonts w:hint="eastAsia"/>
        </w:rPr>
        <w:t>其他收入：指单位取得的除上述收入以外的各项收入。主要是利息收入、国有资产出租收入等。</w:t>
      </w:r>
      <w:r>
        <w:t xml:space="preserve"> </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五</w:t>
      </w:r>
      <w:r>
        <w:rPr>
          <w:rFonts w:ascii="仿宋_GB2312" w:eastAsia="仿宋_GB2312"/>
          <w:sz w:val="32"/>
          <w:szCs w:val="32"/>
        </w:rPr>
        <w:t>.</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六</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七</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八</w:t>
      </w:r>
      <w:r>
        <w:rPr>
          <w:rFonts w:hint="eastAsia" w:ascii="仿宋_GB2312" w:eastAsia="仿宋_GB2312"/>
          <w:sz w:val="32"/>
          <w:szCs w:val="32"/>
        </w:rPr>
        <w:t>、年末结转和结余：指单位按有关规定结转到下年或以后年度继续使用的资金。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九</w:t>
      </w:r>
      <w:r>
        <w:rPr>
          <w:rFonts w:ascii="仿宋_GB2312" w:eastAsia="仿宋_GB2312"/>
          <w:color w:val="000000"/>
          <w:sz w:val="32"/>
          <w:szCs w:val="32"/>
        </w:rPr>
        <w:t>.</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类）政府办公厅（室）及相关机构事</w:t>
      </w:r>
      <w:r>
        <w:rPr>
          <w:rStyle w:val="13"/>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Style w:val="13"/>
          <w:rFonts w:hint="eastAsia" w:ascii="仿宋_GB2312" w:eastAsia="仿宋_GB2312"/>
          <w:b w:val="0"/>
          <w:bCs/>
          <w:color w:val="000000"/>
          <w:sz w:val="32"/>
          <w:szCs w:val="32"/>
        </w:rPr>
        <w:t>行政运行（</w:t>
      </w:r>
      <w:r>
        <w:rPr>
          <w:rStyle w:val="13"/>
          <w:rFonts w:ascii="仿宋_GB2312" w:eastAsia="仿宋_GB2312"/>
          <w:b w:val="0"/>
          <w:bCs/>
          <w:color w:val="000000"/>
          <w:sz w:val="32"/>
          <w:szCs w:val="32"/>
        </w:rPr>
        <w:t>01</w:t>
      </w:r>
      <w:r>
        <w:rPr>
          <w:rFonts w:hint="eastAsia" w:ascii="仿宋_GB2312" w:eastAsia="仿宋_GB2312"/>
          <w:color w:val="000000"/>
          <w:sz w:val="32"/>
          <w:szCs w:val="32"/>
        </w:rPr>
        <w:t>项）：指政府办公厅（室）</w:t>
      </w:r>
      <w:r>
        <w:rPr>
          <w:rFonts w:hint="eastAsia" w:ascii="仿宋_GB2312" w:eastAsia="仿宋_GB2312"/>
          <w:color w:val="000000"/>
          <w:sz w:val="32"/>
          <w:szCs w:val="32"/>
          <w:lang w:eastAsia="zh-CN"/>
        </w:rPr>
        <w:t>行政单位（包括实行公务员管理的事业单位）的基本</w:t>
      </w:r>
      <w:r>
        <w:rPr>
          <w:rFonts w:hint="eastAsia" w:ascii="仿宋_GB2312" w:eastAsia="仿宋_GB2312"/>
          <w:color w:val="000000"/>
          <w:sz w:val="32"/>
          <w:szCs w:val="32"/>
        </w:rPr>
        <w:t>支出。</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类）政府办公厅（室）及相关机构事</w:t>
      </w:r>
      <w:r>
        <w:rPr>
          <w:rStyle w:val="13"/>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Style w:val="13"/>
          <w:rFonts w:hint="eastAsia" w:ascii="仿宋_GB2312" w:eastAsia="仿宋_GB2312"/>
          <w:b w:val="0"/>
          <w:bCs/>
          <w:color w:val="000000"/>
          <w:sz w:val="32"/>
          <w:szCs w:val="32"/>
        </w:rPr>
        <w:t>一般行政管理事务（</w:t>
      </w:r>
      <w:r>
        <w:rPr>
          <w:rStyle w:val="13"/>
          <w:rFonts w:ascii="仿宋_GB2312" w:eastAsia="仿宋_GB2312"/>
          <w:b w:val="0"/>
          <w:bCs/>
          <w:color w:val="000000"/>
          <w:sz w:val="32"/>
          <w:szCs w:val="32"/>
        </w:rPr>
        <w:t>02</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行政单位（包括实行公务员管理的事业单位）未单独设置项级科目的其他</w:t>
      </w:r>
      <w:r>
        <w:rPr>
          <w:rStyle w:val="13"/>
          <w:rFonts w:hint="eastAsia" w:ascii="仿宋_GB2312" w:eastAsia="仿宋_GB2312"/>
          <w:b w:val="0"/>
          <w:bCs/>
          <w:color w:val="000000"/>
          <w:sz w:val="32"/>
          <w:szCs w:val="32"/>
        </w:rPr>
        <w:t>项目支出</w:t>
      </w:r>
      <w:r>
        <w:rPr>
          <w:rFonts w:hint="eastAsia" w:ascii="仿宋_GB2312" w:eastAsia="仿宋_GB2312"/>
          <w:color w:val="000000"/>
          <w:sz w:val="32"/>
          <w:szCs w:val="32"/>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十二、</w:t>
      </w:r>
      <w:r>
        <w:rPr>
          <w:rFonts w:hint="eastAsia" w:ascii="仿宋_GB2312" w:eastAsia="仿宋_GB2312"/>
          <w:color w:val="000000"/>
          <w:sz w:val="32"/>
          <w:szCs w:val="32"/>
        </w:rPr>
        <w:t>一般公共服务支出（</w:t>
      </w:r>
      <w:r>
        <w:rPr>
          <w:rFonts w:ascii="仿宋_GB2312" w:eastAsia="仿宋_GB2312"/>
          <w:color w:val="000000"/>
          <w:sz w:val="32"/>
          <w:szCs w:val="32"/>
        </w:rPr>
        <w:t>201</w:t>
      </w:r>
      <w:r>
        <w:rPr>
          <w:rFonts w:hint="eastAsia" w:ascii="仿宋_GB2312" w:eastAsia="仿宋_GB2312"/>
          <w:color w:val="000000"/>
          <w:sz w:val="32"/>
          <w:szCs w:val="32"/>
        </w:rPr>
        <w:t>类）</w:t>
      </w:r>
      <w:r>
        <w:rPr>
          <w:rFonts w:ascii="仿宋_GB2312" w:eastAsia="仿宋_GB2312"/>
          <w:color w:val="000000"/>
          <w:sz w:val="32"/>
          <w:szCs w:val="32"/>
        </w:rPr>
        <w:t xml:space="preserve"> </w:t>
      </w:r>
      <w:r>
        <w:rPr>
          <w:rFonts w:hint="eastAsia" w:ascii="仿宋_GB2312" w:eastAsia="仿宋_GB2312"/>
          <w:color w:val="000000"/>
          <w:sz w:val="32"/>
          <w:szCs w:val="32"/>
        </w:rPr>
        <w:t>政府办公厅（室）及相关机构事</w:t>
      </w:r>
      <w:r>
        <w:rPr>
          <w:rStyle w:val="13"/>
          <w:rFonts w:hint="eastAsia" w:ascii="仿宋_GB2312" w:eastAsia="仿宋_GB2312"/>
          <w:b w:val="0"/>
          <w:bCs/>
          <w:color w:val="000000"/>
          <w:sz w:val="32"/>
          <w:szCs w:val="32"/>
        </w:rPr>
        <w:t>务</w:t>
      </w:r>
      <w:r>
        <w:rPr>
          <w:rFonts w:hint="eastAsia" w:ascii="仿宋_GB2312" w:eastAsia="仿宋_GB2312"/>
          <w:color w:val="000000"/>
          <w:sz w:val="32"/>
          <w:szCs w:val="32"/>
        </w:rPr>
        <w:t>（</w:t>
      </w:r>
      <w:r>
        <w:rPr>
          <w:rFonts w:ascii="仿宋_GB2312" w:eastAsia="仿宋_GB2312"/>
          <w:color w:val="000000"/>
          <w:sz w:val="32"/>
          <w:szCs w:val="32"/>
        </w:rPr>
        <w:t>03</w:t>
      </w:r>
      <w:r>
        <w:rPr>
          <w:rFonts w:hint="eastAsia" w:ascii="仿宋_GB2312" w:eastAsia="仿宋_GB2312"/>
          <w:color w:val="000000"/>
          <w:sz w:val="32"/>
          <w:szCs w:val="32"/>
        </w:rPr>
        <w:t>款）</w:t>
      </w:r>
      <w:r>
        <w:rPr>
          <w:rFonts w:ascii="仿宋_GB2312" w:eastAsia="仿宋_GB2312"/>
          <w:color w:val="000000"/>
          <w:sz w:val="32"/>
          <w:szCs w:val="32"/>
        </w:rPr>
        <w:t xml:space="preserve"> </w:t>
      </w:r>
      <w:r>
        <w:rPr>
          <w:rStyle w:val="13"/>
          <w:rFonts w:hint="eastAsia" w:ascii="仿宋_GB2312" w:eastAsia="仿宋_GB2312"/>
          <w:b w:val="0"/>
          <w:bCs/>
          <w:color w:val="000000"/>
          <w:sz w:val="32"/>
          <w:szCs w:val="32"/>
        </w:rPr>
        <w:t>事业运行（</w:t>
      </w:r>
      <w:r>
        <w:rPr>
          <w:rStyle w:val="13"/>
          <w:rFonts w:ascii="仿宋_GB2312" w:eastAsia="仿宋_GB2312"/>
          <w:b w:val="0"/>
          <w:bCs/>
          <w:color w:val="000000"/>
          <w:sz w:val="32"/>
          <w:szCs w:val="32"/>
        </w:rPr>
        <w:t>50</w:t>
      </w:r>
      <w:r>
        <w:rPr>
          <w:rFonts w:hint="eastAsia" w:ascii="仿宋_GB2312" w:eastAsia="仿宋_GB2312"/>
          <w:color w:val="000000"/>
          <w:sz w:val="32"/>
          <w:szCs w:val="32"/>
        </w:rPr>
        <w:t>项）：指政府办公厅（室）下属事业</w:t>
      </w:r>
      <w:r>
        <w:rPr>
          <w:rFonts w:hint="eastAsia" w:ascii="仿宋_GB2312" w:eastAsia="仿宋_GB2312"/>
          <w:color w:val="000000"/>
          <w:sz w:val="32"/>
          <w:szCs w:val="32"/>
          <w:lang w:eastAsia="zh-CN"/>
        </w:rPr>
        <w:t>单位的基本</w:t>
      </w:r>
      <w:r>
        <w:rPr>
          <w:rStyle w:val="13"/>
          <w:rFonts w:hint="eastAsia" w:ascii="仿宋_GB2312" w:eastAsia="仿宋_GB2312"/>
          <w:b w:val="0"/>
          <w:bCs/>
          <w:color w:val="000000"/>
          <w:sz w:val="32"/>
          <w:szCs w:val="32"/>
        </w:rPr>
        <w:t>支出</w:t>
      </w:r>
      <w:r>
        <w:rPr>
          <w:rFonts w:hint="eastAsia" w:ascii="仿宋_GB2312" w:eastAsia="仿宋_GB2312"/>
          <w:color w:val="000000"/>
          <w:sz w:val="32"/>
          <w:szCs w:val="32"/>
        </w:rPr>
        <w:t>。</w:t>
      </w:r>
    </w:p>
    <w:p>
      <w:pPr>
        <w:pStyle w:val="19"/>
        <w:ind w:left="0" w:leftChars="0" w:firstLine="640" w:firstLineChars="200"/>
        <w:rPr>
          <w:rStyle w:val="13"/>
          <w:b w:val="0"/>
          <w:bCs/>
          <w:color w:val="000000"/>
        </w:rPr>
      </w:pPr>
      <w:r>
        <w:rPr>
          <w:rFonts w:hint="eastAsia"/>
          <w:lang w:val="en-US" w:eastAsia="zh-CN"/>
        </w:rPr>
        <w:t>十三、</w:t>
      </w:r>
      <w:r>
        <w:rPr>
          <w:rFonts w:hint="eastAsia"/>
        </w:rPr>
        <w:t>社会保障和就业支出（</w:t>
      </w:r>
      <w:r>
        <w:rPr>
          <w:rStyle w:val="13"/>
          <w:b w:val="0"/>
          <w:bCs/>
          <w:color w:val="000000"/>
        </w:rPr>
        <w:t>208</w:t>
      </w:r>
      <w:r>
        <w:rPr>
          <w:rFonts w:hint="eastAsia"/>
          <w:color w:val="000000"/>
        </w:rPr>
        <w:t>类</w:t>
      </w:r>
      <w:r>
        <w:rPr>
          <w:rFonts w:hint="eastAsia"/>
        </w:rPr>
        <w:t>）行政事业单位离退休（</w:t>
      </w:r>
      <w:r>
        <w:t>05</w:t>
      </w:r>
      <w:r>
        <w:rPr>
          <w:rFonts w:hint="eastAsia"/>
        </w:rPr>
        <w:t>款）行政单位离退休（</w:t>
      </w:r>
      <w:r>
        <w:t>0</w:t>
      </w:r>
      <w:r>
        <w:rPr>
          <w:rFonts w:hint="eastAsia"/>
          <w:lang w:val="en-US" w:eastAsia="zh-CN"/>
        </w:rPr>
        <w:t>1</w:t>
      </w:r>
      <w:r>
        <w:rPr>
          <w:rFonts w:hint="eastAsia"/>
        </w:rPr>
        <w:t>项）：指离退休人员的支出。</w:t>
      </w:r>
      <w:r>
        <w:br w:type="textWrapping"/>
      </w:r>
      <w:r>
        <w:t xml:space="preserve">    </w:t>
      </w:r>
      <w:r>
        <w:rPr>
          <w:rFonts w:hint="eastAsia"/>
          <w:lang w:val="en-US" w:eastAsia="zh-CN"/>
        </w:rPr>
        <w:t>十四、</w:t>
      </w:r>
      <w:r>
        <w:rPr>
          <w:rFonts w:hint="eastAsia"/>
        </w:rPr>
        <w:t>社会保障和就业支出（</w:t>
      </w:r>
      <w:r>
        <w:t>208</w:t>
      </w:r>
      <w:r>
        <w:rPr>
          <w:rFonts w:hint="eastAsia"/>
        </w:rPr>
        <w:t>类）行政事业单位离退休（</w:t>
      </w:r>
      <w:r>
        <w:t>05</w:t>
      </w:r>
      <w:r>
        <w:rPr>
          <w:rFonts w:hint="eastAsia"/>
        </w:rPr>
        <w:t>款）机关事业单位基本养老保险缴费支出（</w:t>
      </w:r>
      <w:r>
        <w:t>05</w:t>
      </w:r>
      <w:r>
        <w:rPr>
          <w:rFonts w:hint="eastAsia"/>
        </w:rPr>
        <w:t>项）：指部门实施养老保险制度由单位缴纳的养老保险费的支出。</w:t>
      </w:r>
      <w:r>
        <w:br w:type="textWrapping"/>
      </w:r>
      <w:r>
        <w:rPr>
          <w:rFonts w:hint="eastAsia"/>
        </w:rPr>
        <w:t>　　</w:t>
      </w:r>
      <w:r>
        <w:rPr>
          <w:rFonts w:hint="eastAsia"/>
          <w:lang w:val="en-US" w:eastAsia="zh-CN"/>
        </w:rPr>
        <w:t>十五、</w:t>
      </w:r>
      <w:r>
        <w:rPr>
          <w:rFonts w:hint="eastAsia"/>
        </w:rPr>
        <w:t>社会保障和就业支出（</w:t>
      </w:r>
      <w:r>
        <w:t>208</w:t>
      </w:r>
      <w:r>
        <w:rPr>
          <w:rFonts w:hint="eastAsia"/>
        </w:rPr>
        <w:t>类）行政事业单位离退休（</w:t>
      </w:r>
      <w:r>
        <w:t>05</w:t>
      </w:r>
      <w:r>
        <w:rPr>
          <w:rFonts w:hint="eastAsia"/>
        </w:rPr>
        <w:t>款）机关事业单位职业年金缴费支出（</w:t>
      </w:r>
      <w:r>
        <w:t>06</w:t>
      </w:r>
      <w:r>
        <w:rPr>
          <w:rFonts w:hint="eastAsia"/>
        </w:rPr>
        <w:t>项）：指部门实施养老保险制度由单位缴纳的职业年金的支出。</w:t>
      </w:r>
      <w:r>
        <w:br w:type="textWrapping"/>
      </w:r>
      <w:r>
        <w:rPr>
          <w:rFonts w:hint="eastAsia"/>
        </w:rPr>
        <w:t>　　</w:t>
      </w:r>
      <w:r>
        <w:rPr>
          <w:rFonts w:hint="eastAsia" w:hAnsi="Times New Roman" w:cs="Times New Roman"/>
          <w:lang w:val="en-US" w:eastAsia="zh-CN"/>
        </w:rPr>
        <w:t xml:space="preserve"> 十六、社会</w:t>
      </w:r>
      <w:r>
        <w:rPr>
          <w:rStyle w:val="13"/>
          <w:rFonts w:hint="eastAsia"/>
          <w:b w:val="0"/>
          <w:bCs/>
          <w:color w:val="000000"/>
        </w:rPr>
        <w:t>保障和就业支出（</w:t>
      </w:r>
      <w:r>
        <w:rPr>
          <w:rStyle w:val="13"/>
          <w:b w:val="0"/>
          <w:bCs/>
          <w:color w:val="000000"/>
        </w:rPr>
        <w:t>208</w:t>
      </w:r>
      <w:r>
        <w:rPr>
          <w:rFonts w:hint="eastAsia"/>
          <w:color w:val="000000"/>
        </w:rPr>
        <w:t>类</w:t>
      </w:r>
      <w:r>
        <w:rPr>
          <w:rStyle w:val="13"/>
          <w:rFonts w:hint="eastAsia"/>
          <w:b w:val="0"/>
          <w:bCs/>
          <w:color w:val="000000"/>
        </w:rPr>
        <w:t>）</w:t>
      </w:r>
      <w:r>
        <w:rPr>
          <w:rStyle w:val="13"/>
          <w:b w:val="0"/>
          <w:bCs/>
          <w:color w:val="000000"/>
        </w:rPr>
        <w:t xml:space="preserve"> </w:t>
      </w:r>
      <w:r>
        <w:rPr>
          <w:rStyle w:val="13"/>
          <w:rFonts w:hint="eastAsia"/>
          <w:b w:val="0"/>
          <w:bCs/>
          <w:color w:val="000000"/>
        </w:rPr>
        <w:t>抚恤</w:t>
      </w:r>
      <w:r>
        <w:rPr>
          <w:rFonts w:hint="eastAsia"/>
          <w:color w:val="000000"/>
        </w:rPr>
        <w:t>（</w:t>
      </w:r>
      <w:r>
        <w:rPr>
          <w:color w:val="000000"/>
        </w:rPr>
        <w:t>08</w:t>
      </w:r>
      <w:r>
        <w:rPr>
          <w:rFonts w:hint="eastAsia"/>
          <w:color w:val="000000"/>
        </w:rPr>
        <w:t>款）</w:t>
      </w:r>
      <w:r>
        <w:rPr>
          <w:rStyle w:val="13"/>
          <w:rFonts w:hint="eastAsia"/>
          <w:b w:val="0"/>
          <w:bCs/>
          <w:color w:val="000000"/>
        </w:rPr>
        <w:t>其他优抚支出（</w:t>
      </w:r>
      <w:r>
        <w:rPr>
          <w:rStyle w:val="13"/>
          <w:b w:val="0"/>
          <w:bCs/>
          <w:color w:val="000000"/>
        </w:rPr>
        <w:t>99</w:t>
      </w:r>
      <w:r>
        <w:rPr>
          <w:rFonts w:hint="eastAsia"/>
          <w:color w:val="000000"/>
        </w:rPr>
        <w:t>项）：反映除上述项目以外其他用于</w:t>
      </w:r>
      <w:r>
        <w:rPr>
          <w:rStyle w:val="13"/>
          <w:rFonts w:hint="eastAsia"/>
          <w:b w:val="0"/>
          <w:bCs/>
          <w:color w:val="000000"/>
        </w:rPr>
        <w:t>优抚方面支出。</w:t>
      </w:r>
    </w:p>
    <w:p>
      <w:pPr>
        <w:pStyle w:val="19"/>
        <w:ind w:left="0" w:leftChars="0" w:firstLine="640" w:firstLineChars="200"/>
        <w:rPr>
          <w:rStyle w:val="13"/>
          <w:b w:val="0"/>
          <w:bCs/>
          <w:color w:val="000000"/>
        </w:rPr>
      </w:pPr>
      <w:r>
        <w:rPr>
          <w:rFonts w:hint="eastAsia"/>
          <w:lang w:val="en-US" w:eastAsia="zh-CN"/>
        </w:rPr>
        <w:t>十七、</w:t>
      </w:r>
      <w:r>
        <w:rPr>
          <w:rFonts w:hint="eastAsia" w:hAnsi="Times New Roman" w:cs="Times New Roman"/>
          <w:lang w:val="en-US" w:eastAsia="zh-CN"/>
        </w:rPr>
        <w:t>社会</w:t>
      </w:r>
      <w:r>
        <w:rPr>
          <w:rStyle w:val="13"/>
          <w:rFonts w:hint="eastAsia"/>
          <w:b w:val="0"/>
          <w:bCs/>
          <w:color w:val="000000"/>
        </w:rPr>
        <w:t>保障和就业支出（</w:t>
      </w:r>
      <w:r>
        <w:rPr>
          <w:rStyle w:val="13"/>
          <w:b w:val="0"/>
          <w:bCs/>
          <w:color w:val="000000"/>
        </w:rPr>
        <w:t>208</w:t>
      </w:r>
      <w:r>
        <w:rPr>
          <w:rFonts w:hint="eastAsia"/>
          <w:color w:val="000000"/>
        </w:rPr>
        <w:t>类</w:t>
      </w:r>
      <w:r>
        <w:rPr>
          <w:rStyle w:val="13"/>
          <w:rFonts w:hint="eastAsia"/>
          <w:b w:val="0"/>
          <w:bCs/>
          <w:color w:val="000000"/>
        </w:rPr>
        <w:t>）</w:t>
      </w:r>
      <w:r>
        <w:rPr>
          <w:rStyle w:val="13"/>
          <w:rFonts w:hint="eastAsia"/>
          <w:b w:val="0"/>
          <w:bCs/>
          <w:color w:val="000000"/>
          <w:lang w:val="en-US" w:eastAsia="zh-CN"/>
        </w:rPr>
        <w:t>其他社会保障和就业支出</w:t>
      </w:r>
      <w:r>
        <w:rPr>
          <w:rFonts w:hint="eastAsia"/>
          <w:color w:val="000000"/>
        </w:rPr>
        <w:t>（</w:t>
      </w:r>
      <w:r>
        <w:rPr>
          <w:rFonts w:hint="eastAsia"/>
          <w:color w:val="000000"/>
          <w:lang w:val="en-US" w:eastAsia="zh-CN"/>
        </w:rPr>
        <w:t>99</w:t>
      </w:r>
      <w:r>
        <w:rPr>
          <w:rFonts w:hint="eastAsia"/>
          <w:color w:val="000000"/>
        </w:rPr>
        <w:t>款）</w:t>
      </w:r>
      <w:r>
        <w:rPr>
          <w:rStyle w:val="13"/>
          <w:rFonts w:hint="eastAsia"/>
          <w:b w:val="0"/>
          <w:bCs/>
          <w:color w:val="000000"/>
          <w:lang w:val="en-US" w:eastAsia="zh-CN"/>
        </w:rPr>
        <w:t>其他社会保障和就业支出</w:t>
      </w:r>
      <w:r>
        <w:rPr>
          <w:rStyle w:val="13"/>
          <w:rFonts w:hint="eastAsia"/>
          <w:b w:val="0"/>
          <w:bCs/>
          <w:color w:val="000000"/>
        </w:rPr>
        <w:t>（</w:t>
      </w:r>
      <w:r>
        <w:rPr>
          <w:rStyle w:val="13"/>
          <w:rFonts w:hint="eastAsia"/>
          <w:b w:val="0"/>
          <w:bCs/>
          <w:color w:val="000000"/>
          <w:lang w:val="en-US" w:eastAsia="zh-CN"/>
        </w:rPr>
        <w:t>01</w:t>
      </w:r>
      <w:r>
        <w:rPr>
          <w:rFonts w:hint="eastAsia"/>
          <w:color w:val="000000"/>
        </w:rPr>
        <w:t>项）：反映除上述项目以外其他用于</w:t>
      </w:r>
      <w:r>
        <w:rPr>
          <w:rStyle w:val="13"/>
          <w:rFonts w:hint="eastAsia"/>
          <w:b w:val="0"/>
          <w:bCs/>
          <w:color w:val="000000"/>
          <w:lang w:val="en-US" w:eastAsia="zh-CN"/>
        </w:rPr>
        <w:t>社会保障和就业支出</w:t>
      </w:r>
      <w:r>
        <w:rPr>
          <w:rStyle w:val="13"/>
          <w:rFonts w:hint="eastAsia"/>
          <w:b w:val="0"/>
          <w:bCs/>
          <w:color w:val="000000"/>
        </w:rPr>
        <w:t>方面支出。</w:t>
      </w:r>
    </w:p>
    <w:p>
      <w:pPr>
        <w:pStyle w:val="19"/>
        <w:rPr>
          <w:rFonts w:hint="eastAsia"/>
          <w:lang w:val="en-US" w:eastAsia="zh-CN"/>
        </w:rPr>
      </w:pPr>
    </w:p>
    <w:p>
      <w:pPr>
        <w:pStyle w:val="19"/>
      </w:pPr>
      <w:r>
        <w:rPr>
          <w:rStyle w:val="13"/>
          <w:rFonts w:hint="eastAsia"/>
          <w:b w:val="0"/>
          <w:bCs/>
          <w:color w:val="000000"/>
          <w:lang w:val="en-US" w:eastAsia="zh-CN"/>
        </w:rPr>
        <w:t>十八、</w:t>
      </w:r>
      <w:r>
        <w:rPr>
          <w:rStyle w:val="13"/>
          <w:rFonts w:hint="eastAsia"/>
          <w:b w:val="0"/>
          <w:bCs/>
          <w:color w:val="000000"/>
        </w:rPr>
        <w:t>卫生健康支出（</w:t>
      </w:r>
      <w:r>
        <w:rPr>
          <w:rStyle w:val="13"/>
          <w:b w:val="0"/>
          <w:bCs/>
          <w:color w:val="000000"/>
        </w:rPr>
        <w:t>210</w:t>
      </w:r>
      <w:r>
        <w:rPr>
          <w:rFonts w:hint="eastAsia"/>
          <w:color w:val="000000"/>
        </w:rPr>
        <w:t>类</w:t>
      </w:r>
      <w:r>
        <w:rPr>
          <w:rStyle w:val="13"/>
          <w:rFonts w:hint="eastAsia"/>
          <w:b w:val="0"/>
          <w:bCs/>
          <w:color w:val="000000"/>
        </w:rPr>
        <w:t>）医疗保障</w:t>
      </w:r>
      <w:r>
        <w:rPr>
          <w:rFonts w:hint="eastAsia"/>
          <w:color w:val="000000"/>
        </w:rPr>
        <w:t>（</w:t>
      </w:r>
      <w:r>
        <w:rPr>
          <w:color w:val="000000"/>
        </w:rPr>
        <w:t>11</w:t>
      </w:r>
      <w:r>
        <w:rPr>
          <w:rFonts w:hint="eastAsia"/>
          <w:color w:val="000000"/>
        </w:rPr>
        <w:t>款）</w:t>
      </w:r>
      <w:r>
        <w:rPr>
          <w:rStyle w:val="13"/>
          <w:rFonts w:hint="eastAsia"/>
          <w:b w:val="0"/>
          <w:bCs/>
          <w:color w:val="000000"/>
        </w:rPr>
        <w:t>行政单位医疗（</w:t>
      </w:r>
      <w:r>
        <w:rPr>
          <w:rStyle w:val="13"/>
          <w:b w:val="0"/>
          <w:bCs/>
          <w:color w:val="000000"/>
        </w:rPr>
        <w:t>01</w:t>
      </w:r>
      <w:r>
        <w:rPr>
          <w:rFonts w:hint="eastAsia"/>
          <w:color w:val="000000"/>
        </w:rPr>
        <w:t>项）</w:t>
      </w:r>
      <w:r>
        <w:rPr>
          <w:rFonts w:hint="eastAsia"/>
        </w:rPr>
        <w:t>：指行政单位及参公管理事业单位用于缴纳单位基本医疗保险支出。</w:t>
      </w:r>
    </w:p>
    <w:p>
      <w:pPr>
        <w:spacing w:line="600" w:lineRule="exact"/>
        <w:ind w:firstLine="640" w:firstLineChars="200"/>
        <w:outlineLvl w:val="1"/>
        <w:rPr>
          <w:rStyle w:val="13"/>
          <w:rFonts w:hint="eastAsia" w:ascii="仿宋_GB2312" w:hAnsi="Times New Roman" w:eastAsia="仿宋_GB2312" w:cs="Times New Roman"/>
          <w:b w:val="0"/>
          <w:color w:val="000000"/>
          <w:sz w:val="32"/>
          <w:szCs w:val="32"/>
        </w:rPr>
      </w:pPr>
      <w:r>
        <w:rPr>
          <w:rFonts w:hint="eastAsia" w:ascii="仿宋_GB2312" w:eastAsia="仿宋_GB2312"/>
          <w:color w:val="000000"/>
          <w:sz w:val="32"/>
          <w:szCs w:val="32"/>
          <w:lang w:val="en-US" w:eastAsia="zh-CN"/>
        </w:rPr>
        <w:t>十九、</w:t>
      </w:r>
      <w:r>
        <w:rPr>
          <w:rFonts w:hint="eastAsia" w:ascii="仿宋_GB2312" w:eastAsia="仿宋_GB2312"/>
          <w:color w:val="000000"/>
          <w:sz w:val="32"/>
          <w:szCs w:val="32"/>
        </w:rPr>
        <w:t>城乡社区支出</w:t>
      </w:r>
      <w:r>
        <w:rPr>
          <w:rStyle w:val="13"/>
          <w:rFonts w:hint="eastAsia" w:ascii="仿宋_GB2312" w:eastAsia="仿宋_GB2312"/>
          <w:b w:val="0"/>
          <w:color w:val="000000"/>
          <w:sz w:val="32"/>
          <w:szCs w:val="32"/>
        </w:rPr>
        <w:t>（</w:t>
      </w:r>
      <w:r>
        <w:rPr>
          <w:rStyle w:val="13"/>
          <w:rFonts w:ascii="仿宋_GB2312" w:eastAsia="仿宋_GB2312"/>
          <w:b w:val="0"/>
          <w:color w:val="000000"/>
          <w:sz w:val="32"/>
          <w:szCs w:val="32"/>
        </w:rPr>
        <w:t>212</w:t>
      </w:r>
      <w:r>
        <w:rPr>
          <w:rFonts w:hint="eastAsia" w:ascii="仿宋_GB2312" w:eastAsia="仿宋_GB2312"/>
          <w:color w:val="000000"/>
          <w:sz w:val="32"/>
          <w:szCs w:val="32"/>
        </w:rPr>
        <w:t>类</w:t>
      </w:r>
      <w:r>
        <w:rPr>
          <w:rStyle w:val="13"/>
          <w:rFonts w:hint="eastAsia" w:ascii="仿宋_GB2312" w:eastAsia="仿宋_GB2312"/>
          <w:b w:val="0"/>
          <w:color w:val="000000"/>
          <w:sz w:val="32"/>
          <w:szCs w:val="32"/>
        </w:rPr>
        <w:t>）国有土地使用权出让收入及对应专项债务收入安排的支出</w:t>
      </w:r>
      <w:r>
        <w:rPr>
          <w:rFonts w:hint="eastAsia" w:ascii="仿宋_GB2312" w:eastAsia="仿宋_GB2312"/>
          <w:color w:val="000000"/>
          <w:sz w:val="32"/>
          <w:szCs w:val="32"/>
        </w:rPr>
        <w:t>（</w:t>
      </w:r>
      <w:r>
        <w:rPr>
          <w:rFonts w:ascii="仿宋_GB2312" w:eastAsia="仿宋_GB2312"/>
          <w:color w:val="000000"/>
          <w:sz w:val="32"/>
          <w:szCs w:val="32"/>
        </w:rPr>
        <w:t>08</w:t>
      </w:r>
      <w:r>
        <w:rPr>
          <w:rFonts w:hint="eastAsia" w:ascii="仿宋_GB2312" w:eastAsia="仿宋_GB2312"/>
          <w:color w:val="000000"/>
          <w:sz w:val="32"/>
          <w:szCs w:val="32"/>
        </w:rPr>
        <w:t>款）</w:t>
      </w:r>
      <w:r>
        <w:rPr>
          <w:rStyle w:val="13"/>
          <w:rFonts w:hint="eastAsia" w:ascii="仿宋_GB2312" w:eastAsia="仿宋_GB2312"/>
          <w:b w:val="0"/>
          <w:color w:val="000000"/>
          <w:sz w:val="32"/>
          <w:szCs w:val="32"/>
        </w:rPr>
        <w:t>其他国有土地使用权出让收入安排的支出（</w:t>
      </w:r>
      <w:r>
        <w:rPr>
          <w:rStyle w:val="13"/>
          <w:rFonts w:ascii="仿宋_GB2312" w:eastAsia="仿宋_GB2312"/>
          <w:b w:val="0"/>
          <w:color w:val="000000"/>
          <w:sz w:val="32"/>
          <w:szCs w:val="32"/>
        </w:rPr>
        <w:t>99</w:t>
      </w:r>
      <w:r>
        <w:rPr>
          <w:rFonts w:hint="eastAsia" w:ascii="仿宋_GB2312" w:eastAsia="仿宋_GB2312"/>
          <w:color w:val="000000"/>
          <w:sz w:val="32"/>
          <w:szCs w:val="32"/>
        </w:rPr>
        <w:t>项）指</w:t>
      </w:r>
      <w:r>
        <w:rPr>
          <w:rFonts w:hint="eastAsia" w:ascii="仿宋_GB2312" w:hAnsi="Calibri" w:eastAsia="仿宋_GB2312" w:cs="仿宋"/>
          <w:color w:val="000000"/>
          <w:kern w:val="0"/>
          <w:sz w:val="32"/>
          <w:szCs w:val="32"/>
        </w:rPr>
        <w:t>景区违建补偿</w:t>
      </w:r>
      <w:r>
        <w:rPr>
          <w:rStyle w:val="13"/>
          <w:rFonts w:hint="eastAsia" w:ascii="仿宋_GB2312" w:eastAsia="仿宋_GB2312"/>
          <w:b w:val="0"/>
          <w:color w:val="000000"/>
          <w:sz w:val="32"/>
          <w:szCs w:val="32"/>
        </w:rPr>
        <w:t>支出</w:t>
      </w:r>
      <w:r>
        <w:rPr>
          <w:rFonts w:hint="eastAsia" w:ascii="仿宋_GB2312" w:eastAsia="仿宋_GB2312"/>
          <w:sz w:val="32"/>
          <w:szCs w:val="32"/>
        </w:rPr>
        <w:t>。</w:t>
      </w:r>
      <w:r>
        <w:br w:type="textWrapping"/>
      </w:r>
      <w:r>
        <w:rPr>
          <w:rFonts w:hint="eastAsia"/>
        </w:rPr>
        <w:t>　</w:t>
      </w:r>
      <w:r>
        <w:rPr>
          <w:rStyle w:val="13"/>
          <w:rFonts w:hint="eastAsia" w:ascii="仿宋_GB2312" w:hAnsi="Times New Roman" w:eastAsia="仿宋_GB2312" w:cs="Times New Roman"/>
          <w:b w:val="0"/>
          <w:color w:val="000000"/>
          <w:sz w:val="32"/>
          <w:szCs w:val="32"/>
        </w:rPr>
        <w:t>　</w:t>
      </w:r>
      <w:r>
        <w:rPr>
          <w:rStyle w:val="13"/>
          <w:rFonts w:hint="eastAsia" w:ascii="仿宋_GB2312" w:hAnsi="Times New Roman" w:eastAsia="仿宋_GB2312" w:cs="Times New Roman"/>
          <w:b w:val="0"/>
          <w:color w:val="000000"/>
          <w:sz w:val="32"/>
          <w:szCs w:val="32"/>
          <w:lang w:val="en-US" w:eastAsia="zh-CN"/>
        </w:rPr>
        <w:t>二十、</w:t>
      </w:r>
      <w:r>
        <w:rPr>
          <w:rStyle w:val="13"/>
          <w:rFonts w:hint="eastAsia" w:ascii="仿宋_GB2312" w:hAnsi="Times New Roman" w:eastAsia="仿宋_GB2312" w:cs="Times New Roman"/>
          <w:b w:val="0"/>
          <w:color w:val="000000"/>
          <w:sz w:val="32"/>
          <w:szCs w:val="32"/>
        </w:rPr>
        <w:t>住房保障（221类）住房改革支出（02款）住房公积金（01项）：指由单位及其在职职工按规定缴存的住房公积金支出。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w:t>
      </w:r>
      <w:r>
        <w:rPr>
          <w:rFonts w:hint="eastAsia" w:ascii="仿宋_GB2312" w:hAnsi="仿宋_GB2312" w:eastAsia="仿宋_GB2312" w:cs="仿宋_GB2312"/>
          <w:b w:val="0"/>
          <w:bCs/>
          <w:color w:val="000000"/>
          <w:sz w:val="32"/>
          <w:szCs w:val="32"/>
          <w:lang w:val="en-US" w:eastAsia="zh-CN"/>
        </w:rPr>
        <w:t>一</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基本支出：指为保障机构正常运转、完成日常工作任务而发生的人员支出和公用支出。</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w:t>
      </w:r>
      <w:r>
        <w:rPr>
          <w:rFonts w:hint="eastAsia" w:ascii="仿宋_GB2312" w:hAnsi="仿宋_GB2312" w:eastAsia="仿宋_GB2312" w:cs="仿宋_GB2312"/>
          <w:b w:val="0"/>
          <w:bCs/>
          <w:color w:val="000000"/>
          <w:sz w:val="32"/>
          <w:szCs w:val="32"/>
          <w:lang w:val="en-US" w:eastAsia="zh-CN"/>
        </w:rPr>
        <w:t>二</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 xml:space="preserve">项目支出：指在基本支出之外为完成特定行政任务和事业发展目标所发生的支出。 </w:t>
      </w:r>
    </w:p>
    <w:p>
      <w:pPr>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二十</w:t>
      </w:r>
      <w:r>
        <w:rPr>
          <w:rFonts w:hint="eastAsia" w:ascii="仿宋_GB2312" w:hAnsi="仿宋_GB2312" w:eastAsia="仿宋_GB2312" w:cs="仿宋_GB2312"/>
          <w:b w:val="0"/>
          <w:bCs/>
          <w:color w:val="000000"/>
          <w:sz w:val="32"/>
          <w:szCs w:val="32"/>
          <w:lang w:val="en-US" w:eastAsia="zh-CN"/>
        </w:rPr>
        <w:t>三</w:t>
      </w:r>
      <w:r>
        <w:rPr>
          <w:rFonts w:hint="eastAsia" w:ascii="仿宋_GB2312" w:hAnsi="仿宋_GB2312" w:eastAsia="仿宋_GB2312" w:cs="仿宋_GB2312"/>
          <w:b w:val="0"/>
          <w:bCs/>
          <w:color w:val="000000"/>
          <w:sz w:val="32"/>
          <w:szCs w:val="32"/>
          <w:lang w:eastAsia="zh-CN"/>
        </w:rPr>
        <w:t>、</w:t>
      </w:r>
      <w:r>
        <w:rPr>
          <w:rFonts w:hint="eastAsia" w:ascii="仿宋_GB2312" w:hAnsi="仿宋_GB2312" w:eastAsia="仿宋_GB2312" w:cs="仿宋_GB2312"/>
          <w:b w:val="0"/>
          <w:bCs/>
          <w:color w:val="000000"/>
          <w:sz w:val="32"/>
          <w:szCs w:val="32"/>
        </w:rPr>
        <w:t>经营支出：指事业单位在专业业务活动及其辅助活动之外开展非独立核算经营活动发生的支出。</w:t>
      </w:r>
    </w:p>
    <w:p>
      <w:pPr>
        <w:pStyle w:val="18"/>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二十四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8"/>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二十五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bookmarkStart w:id="57" w:name="_Toc15396614"/>
      <w:bookmarkStart w:id="58" w:name="_Toc15377226"/>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jc w:val="center"/>
        <w:textAlignment w:val="auto"/>
        <w:outlineLvl w:val="0"/>
        <w:rPr>
          <w:rFonts w:hint="eastAsia" w:ascii="方正小标宋_GBK" w:hAnsi="方正小标宋_GBK" w:eastAsia="方正小标宋_GBK" w:cs="方正小标宋_GBK"/>
          <w:b w:val="0"/>
          <w:bCs w:val="0"/>
          <w:color w:val="000000"/>
          <w:sz w:val="44"/>
          <w:szCs w:val="44"/>
        </w:rPr>
      </w:pPr>
    </w:p>
    <w:p>
      <w:pPr>
        <w:keepNext w:val="0"/>
        <w:keepLines w:val="0"/>
        <w:pageBreakBefore w:val="0"/>
        <w:kinsoku/>
        <w:wordWrap/>
        <w:overflowPunct/>
        <w:topLinePunct w:val="0"/>
        <w:autoSpaceDE/>
        <w:autoSpaceDN/>
        <w:bidi w:val="0"/>
        <w:snapToGrid/>
        <w:spacing w:line="600" w:lineRule="exact"/>
        <w:ind w:firstLine="440" w:firstLineChars="100"/>
        <w:jc w:val="center"/>
        <w:textAlignment w:val="auto"/>
        <w:outlineLvl w:val="0"/>
        <w:rPr>
          <w:rStyle w:val="15"/>
          <w:rFonts w:hint="eastAsia" w:ascii="方正小标宋_GBK" w:hAnsi="方正小标宋_GBK" w:eastAsia="方正小标宋_GBK" w:cs="方正小标宋_GBK"/>
          <w:b w:val="0"/>
          <w:bCs w:val="0"/>
        </w:rPr>
      </w:pPr>
      <w:r>
        <w:rPr>
          <w:rFonts w:hint="eastAsia" w:ascii="方正小标宋_GBK" w:hAnsi="方正小标宋_GBK" w:eastAsia="方正小标宋_GBK" w:cs="方正小标宋_GBK"/>
          <w:b w:val="0"/>
          <w:bCs w:val="0"/>
          <w:color w:val="000000"/>
          <w:sz w:val="44"/>
          <w:szCs w:val="44"/>
        </w:rPr>
        <w:t>第</w:t>
      </w:r>
      <w:r>
        <w:rPr>
          <w:rStyle w:val="15"/>
          <w:rFonts w:hint="eastAsia" w:ascii="方正小标宋_GBK" w:hAnsi="方正小标宋_GBK" w:eastAsia="方正小标宋_GBK" w:cs="方正小标宋_GBK"/>
          <w:b w:val="0"/>
          <w:bCs w:val="0"/>
        </w:rPr>
        <w:t>四部分 附件</w:t>
      </w:r>
      <w:bookmarkEnd w:id="57"/>
    </w:p>
    <w:p>
      <w:pPr>
        <w:keepNext w:val="0"/>
        <w:keepLines w:val="0"/>
        <w:pageBreakBefore w:val="0"/>
        <w:kinsoku/>
        <w:wordWrap/>
        <w:overflowPunct/>
        <w:topLinePunct w:val="0"/>
        <w:autoSpaceDE/>
        <w:autoSpaceDN/>
        <w:bidi w:val="0"/>
        <w:spacing w:line="600" w:lineRule="exact"/>
        <w:jc w:val="left"/>
        <w:textAlignment w:val="auto"/>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ascii="黑体" w:hAnsi="黑体" w:eastAsia="黑体" w:cs="黑体"/>
          <w:sz w:val="32"/>
          <w:szCs w:val="32"/>
        </w:rPr>
        <w:t>1</w:t>
      </w: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spacing w:line="600" w:lineRule="exact"/>
        <w:jc w:val="center"/>
        <w:textAlignment w:val="auto"/>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lang w:val="en-US" w:eastAsia="zh-CN"/>
        </w:rPr>
        <w:t>峨眉山市人民政府办公室</w:t>
      </w:r>
      <w:r>
        <w:rPr>
          <w:rFonts w:hint="eastAsia" w:ascii="方正小标宋简体" w:hAnsi="宋体" w:eastAsia="方正小标宋简体"/>
          <w:color w:val="000000"/>
          <w:kern w:val="0"/>
          <w:sz w:val="40"/>
          <w:szCs w:val="44"/>
          <w:lang w:val="zh-CN"/>
        </w:rPr>
        <w:t>部门</w:t>
      </w:r>
      <w:r>
        <w:rPr>
          <w:rFonts w:ascii="方正小标宋简体" w:hAnsi="宋体" w:eastAsia="方正小标宋简体"/>
          <w:color w:val="000000"/>
          <w:kern w:val="0"/>
          <w:sz w:val="40"/>
          <w:szCs w:val="44"/>
        </w:rPr>
        <w:t>2020</w:t>
      </w:r>
      <w:r>
        <w:rPr>
          <w:rFonts w:hint="eastAsia" w:ascii="方正小标宋简体" w:hAnsi="宋体" w:eastAsia="方正小标宋简体"/>
          <w:color w:val="000000"/>
          <w:kern w:val="0"/>
          <w:sz w:val="40"/>
          <w:szCs w:val="44"/>
        </w:rPr>
        <w:t>年部门</w:t>
      </w:r>
      <w:r>
        <w:rPr>
          <w:rFonts w:hint="eastAsia" w:ascii="方正小标宋简体" w:hAnsi="宋体" w:eastAsia="方正小标宋简体"/>
          <w:color w:val="000000"/>
          <w:kern w:val="0"/>
          <w:sz w:val="40"/>
          <w:szCs w:val="44"/>
          <w:lang w:val="zh-CN"/>
        </w:rPr>
        <w:t>整体支出绩效评价报告</w:t>
      </w:r>
    </w:p>
    <w:p>
      <w:pPr>
        <w:pStyle w:val="2"/>
        <w:jc w:val="both"/>
      </w:pP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（一）机构组成：</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lang w:val="en-US" w:eastAsia="zh-CN"/>
        </w:rPr>
        <w:t>20</w:t>
      </w:r>
      <w:r>
        <w:rPr>
          <w:rFonts w:hint="eastAsia" w:ascii="仿宋_GB2312" w:hAnsi="Calibri" w:eastAsia="仿宋_GB2312" w:cs="仿宋"/>
          <w:color w:val="000000"/>
          <w:kern w:val="0"/>
          <w:sz w:val="32"/>
          <w:szCs w:val="32"/>
        </w:rPr>
        <w:t>年度，纳入政府办本部门决算汇编范围的独立核算单位共</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个，其中：</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）单户录入</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户，其中含本单位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个，占单位总数的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w:t>
      </w:r>
      <w:r>
        <w:rPr>
          <w:rFonts w:hint="eastAsia" w:ascii="仿宋_GB2312" w:hAnsi="Calibri" w:eastAsia="仿宋_GB2312" w:cs="仿宋"/>
          <w:color w:val="000000"/>
          <w:kern w:val="0"/>
          <w:sz w:val="32"/>
          <w:szCs w:val="32"/>
        </w:rPr>
        <w:t>）行政单位汇总录入</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户，其中含本单位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户，占单位总数的</w:t>
      </w:r>
      <w:r>
        <w:rPr>
          <w:rFonts w:ascii="仿宋_GB2312" w:hAnsi="Calibri" w:eastAsia="仿宋_GB2312" w:cs="仿宋"/>
          <w:color w:val="000000"/>
          <w:kern w:val="0"/>
          <w:sz w:val="32"/>
          <w:szCs w:val="32"/>
        </w:rPr>
        <w:t>100%</w:t>
      </w:r>
      <w:r>
        <w:rPr>
          <w:rFonts w:hint="eastAsia" w:ascii="仿宋_GB2312" w:hAnsi="Calibri" w:eastAsia="仿宋_GB2312" w:cs="仿宋"/>
          <w:color w:val="000000"/>
          <w:kern w:val="0"/>
          <w:sz w:val="32"/>
          <w:szCs w:val="32"/>
        </w:rPr>
        <w:t>；与去年相比无增减。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行政单位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个，与去年相比无增减，执行行政单位会计制度的单位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个，与去年相比无增减。</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一级预算单位</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rPr>
        <w:t>户，与去年相比无增减。</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机构职能</w:t>
      </w:r>
    </w:p>
    <w:p>
      <w:pPr>
        <w:spacing w:line="500" w:lineRule="exact"/>
        <w:ind w:firstLine="641"/>
        <w:rPr>
          <w:rFonts w:hint="eastAsia"/>
          <w:lang w:val="zh-CN"/>
        </w:rPr>
      </w:pPr>
      <w:r>
        <w:rPr>
          <w:rFonts w:hint="eastAsia" w:ascii="仿宋_GB2312" w:hAnsi="Calibri" w:eastAsia="仿宋_GB2312" w:cs="仿宋"/>
          <w:color w:val="000000"/>
          <w:kern w:val="0"/>
          <w:sz w:val="32"/>
          <w:szCs w:val="32"/>
        </w:rPr>
        <w:t>峨眉山市人民政府办公室（以下简称：政府办）是为协助市政府领导处理市政府日常工作的机构。主要职能：负责市政府、市政府办公室日常文书处理和事务工作；负责市政府会议的筹备工作，协助市政府领导组织实施会议决定事项；组织起草或审核以市政府、市政府办公室名义发布的公文。研究市政府各部门和各乡镇（街道）人民政府（办事处）请示市政府的事项，提出审核意见后，报市政府审批。负责市政府领导参加的重要公务活动的安排和组织工作；围绕政府总体工作部署，组织开展调查研究，提出建议。指导、监督全市人民政府信息公开工作，负责全市政府系统政务信息收集和编报工作，反映各方面动态。督促检查市政府各部门和各乡镇（街道）人民政府（办事处）对市政府公文、决定事项及省、市、县领导有关指示的执行落实情况。组织办理和答复人大代表建议和政协委员提案；负责市人民政府值班工作，及时报告重要情况，传达和督促落实市政府领导指示；负责乐山市“心连心服务热线”交办转办事项的催办、督办、回访等工作。负责市人民政府机关大院行政事务、安全保卫和有关公务服务工作。承办市委、市人民政府交办的其他事项。</w:t>
      </w:r>
    </w:p>
    <w:p>
      <w:pPr>
        <w:keepNext w:val="0"/>
        <w:keepLines w:val="0"/>
        <w:pageBreakBefore w:val="0"/>
        <w:widowControl/>
        <w:numPr>
          <w:ilvl w:val="0"/>
          <w:numId w:val="4"/>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人员概况</w:t>
      </w:r>
    </w:p>
    <w:p>
      <w:pPr>
        <w:spacing w:line="500" w:lineRule="exact"/>
        <w:ind w:firstLine="641"/>
        <w:rPr>
          <w:rFonts w:hint="default" w:eastAsia="仿宋_GB2312"/>
          <w:color w:val="000000" w:themeColor="text1"/>
          <w:lang w:val="en-US" w:eastAsia="zh-CN"/>
          <w14:textFill>
            <w14:solidFill>
              <w14:schemeClr w14:val="tx1"/>
            </w14:solidFill>
          </w14:textFill>
        </w:rPr>
      </w:pPr>
      <w:r>
        <w:rPr>
          <w:rFonts w:hint="eastAsia" w:ascii="仿宋_GB2312" w:hAnsi="Calibri" w:eastAsia="仿宋_GB2312" w:cs="仿宋"/>
          <w:color w:val="000000" w:themeColor="text1"/>
          <w:kern w:val="0"/>
          <w:sz w:val="32"/>
          <w:szCs w:val="32"/>
          <w:lang w:val="en-US" w:eastAsia="zh-CN"/>
          <w14:textFill>
            <w14:solidFill>
              <w14:schemeClr w14:val="tx1"/>
            </w14:solidFill>
          </w14:textFill>
        </w:rPr>
        <w:t>2020</w:t>
      </w:r>
      <w:r>
        <w:rPr>
          <w:rFonts w:hint="eastAsia" w:ascii="仿宋_GB2312" w:hAnsi="Calibri" w:eastAsia="仿宋_GB2312" w:cs="仿宋"/>
          <w:color w:val="000000" w:themeColor="text1"/>
          <w:kern w:val="0"/>
          <w:sz w:val="32"/>
          <w:szCs w:val="32"/>
          <w14:textFill>
            <w14:solidFill>
              <w14:schemeClr w14:val="tx1"/>
            </w14:solidFill>
          </w14:textFill>
        </w:rPr>
        <w:t>年年末人员</w:t>
      </w:r>
      <w:r>
        <w:rPr>
          <w:rFonts w:hint="eastAsia" w:ascii="仿宋_GB2312" w:hAnsi="Calibri" w:eastAsia="仿宋_GB2312" w:cs="仿宋"/>
          <w:color w:val="000000" w:themeColor="text1"/>
          <w:kern w:val="0"/>
          <w:sz w:val="32"/>
          <w:szCs w:val="32"/>
          <w:lang w:val="en-US" w:eastAsia="zh-CN"/>
          <w14:textFill>
            <w14:solidFill>
              <w14:schemeClr w14:val="tx1"/>
            </w14:solidFill>
          </w14:textFill>
        </w:rPr>
        <w:t>58</w:t>
      </w:r>
      <w:r>
        <w:rPr>
          <w:rFonts w:hint="eastAsia" w:ascii="仿宋_GB2312" w:hAnsi="Calibri" w:eastAsia="仿宋_GB2312" w:cs="仿宋"/>
          <w:color w:val="000000" w:themeColor="text1"/>
          <w:kern w:val="0"/>
          <w:sz w:val="32"/>
          <w:szCs w:val="32"/>
          <w14:textFill>
            <w14:solidFill>
              <w14:schemeClr w14:val="tx1"/>
            </w14:solidFill>
          </w14:textFill>
        </w:rPr>
        <w:t>人，</w:t>
      </w:r>
      <w:r>
        <w:rPr>
          <w:rFonts w:hint="eastAsia" w:ascii="仿宋_GB2312" w:hAnsi="Calibri" w:eastAsia="仿宋_GB2312" w:cs="仿宋"/>
          <w:color w:val="000000" w:themeColor="text1"/>
          <w:kern w:val="0"/>
          <w:sz w:val="32"/>
          <w:szCs w:val="32"/>
          <w:lang w:val="en-US" w:eastAsia="zh-CN"/>
          <w14:textFill>
            <w14:solidFill>
              <w14:schemeClr w14:val="tx1"/>
            </w14:solidFill>
          </w14:textFill>
        </w:rPr>
        <w:t>其中公务员及参照公务员管理人员45名、事业编制人员12名、离休人员1名。</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themeColor="text1"/>
          <w:kern w:val="0"/>
          <w:sz w:val="32"/>
          <w:szCs w:val="32"/>
          <w:shd w:val="clear" w:color="auto" w:fill="FFFFFF"/>
          <w14:textFill>
            <w14:solidFill>
              <w14:schemeClr w14:val="tx1"/>
            </w14:solidFill>
          </w14:textFill>
        </w:rPr>
      </w:pPr>
      <w:r>
        <w:rPr>
          <w:rFonts w:hint="eastAsia" w:ascii="黑体" w:hAnsi="宋体" w:eastAsia="黑体" w:cs="宋体"/>
          <w:color w:val="000000" w:themeColor="text1"/>
          <w:kern w:val="0"/>
          <w:sz w:val="32"/>
          <w:szCs w:val="32"/>
          <w:shd w:val="clear" w:color="auto" w:fill="FFFFFF"/>
          <w14:textFill>
            <w14:solidFill>
              <w14:schemeClr w14:val="tx1"/>
            </w14:solidFill>
          </w14:textFill>
        </w:rPr>
        <w:t>二、部门财政资金收支情况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（一）部门财政资金收入情况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eastAsia="仿宋_GB2312"/>
          <w:color w:val="000000" w:themeColor="text1"/>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2020年财政拨款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收入总计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2160.6万元，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与2019年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2574.63万元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相比，财政拨款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收入</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总计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减少414.03</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下降16.08</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其中一般公共预算收入2151.65万元，政府性基金收入8.95万元。</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color w:val="000000" w:themeColor="text1"/>
          <w:lang w:val="zh-CN"/>
          <w14:textFill>
            <w14:solidFill>
              <w14:schemeClr w14:val="tx1"/>
            </w14:solidFill>
          </w14:textFill>
        </w:rPr>
      </w:pPr>
      <w:r>
        <w:rPr>
          <w:rFonts w:hint="eastAsia" w:ascii="楷体_GB2312" w:hAnsi="楷体_GB2312" w:eastAsia="楷体_GB2312" w:cs="楷体_GB2312"/>
          <w:color w:val="000000" w:themeColor="text1"/>
          <w:kern w:val="0"/>
          <w:sz w:val="32"/>
          <w:szCs w:val="32"/>
          <w:shd w:val="clear" w:color="auto" w:fill="FFFFFF"/>
          <w:lang w:val="zh-CN"/>
          <w14:textFill>
            <w14:solidFill>
              <w14:schemeClr w14:val="tx1"/>
            </w14:solidFill>
          </w14:textFill>
        </w:rPr>
        <w:t>（二）部门财政资金支出情况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2020年财政拨款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支出总计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2155.45万元，</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与2019年</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2578.51万元</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相比，财政拨款</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支出</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总计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减少423.06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下降16.41</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w:t>
      </w:r>
    </w:p>
    <w:p>
      <w:pPr>
        <w:pStyle w:val="2"/>
        <w:jc w:val="both"/>
        <w:rPr>
          <w:rFonts w:hint="default"/>
          <w:color w:val="000000" w:themeColor="text1"/>
          <w:lang w:val="en-US"/>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其中一般公共预算支出2146.5万元，政府性基金支出8.95万元。</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（一）部门预算管理</w:t>
      </w:r>
    </w:p>
    <w:p>
      <w:pPr>
        <w:pStyle w:val="2"/>
        <w:ind w:firstLine="640" w:firstLineChars="200"/>
        <w:jc w:val="both"/>
        <w:rPr>
          <w:rFonts w:hint="eastAsia"/>
          <w:b w:val="0"/>
          <w:bCs w:val="0"/>
          <w:lang w:val="zh-CN"/>
        </w:rPr>
      </w:pPr>
      <w:r>
        <w:rPr>
          <w:rFonts w:hint="eastAsia" w:ascii="楷体_GB2312" w:hAnsi="楷体_GB2312" w:eastAsia="楷体_GB2312" w:cs="楷体_GB2312"/>
          <w:b w:val="0"/>
          <w:bCs w:val="0"/>
          <w:color w:val="000000"/>
          <w:kern w:val="0"/>
          <w:sz w:val="32"/>
          <w:szCs w:val="32"/>
          <w:shd w:val="clear" w:color="auto" w:fill="FFFFFF"/>
          <w:lang w:val="en-US" w:eastAsia="zh-CN" w:bidi="ar-SA"/>
        </w:rPr>
        <w:t>1、预决算编制情况</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（1）按照峨眉山市财政局关于编制2019年部门预算的通知和有关要求，按时完成基础款、项目库报送工作，按时完成预算编制工作并提交部门预算草案。</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2）峨眉山市人民政府办公室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（3）进一步强化绩效理念，健全管理制度，提高绩效评价工作质量，细化部门预算编制。</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（4）在财政部门批复后二十日内向社会公开本部门预算，包括财政资金安排的“三公经费”、机关运行经费的安排、使用情况等。</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（5）认真编报决算报表，无应编未编、虚假混编等现象。并按要求对重点支出项目、三公经费及结余结转情况进行公开。</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2、预算完成及执行进度情况</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本单位的资金使用严格遵循财经制度的规定，有严格的财政资金拨付程序，项目资金严格按照项目开展进度拨款支付。6月支出执行达到全年预算的38%，9月支出执行达到全年预算的67%。。全年执行进度除一般公共服务支出结转外，其余均达100%。</w:t>
      </w:r>
    </w:p>
    <w:p>
      <w:pPr>
        <w:pStyle w:val="9"/>
        <w:ind w:left="0" w:leftChars="0" w:firstLine="640" w:firstLineChars="200"/>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3、支出绩效情况</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严格执行行政事业单位会计制度，制定并严格执行业务工作规程、内部权力运行流程，有严格的财政资金拨付程序和资产管理、现金管理、票据管理、资金监管等制度，严格做到不相容岗位分设，明确各个岗位职责和权限，分工合理，相互牵制。</w:t>
      </w:r>
    </w:p>
    <w:p>
      <w:pPr>
        <w:pStyle w:val="9"/>
        <w:ind w:left="0" w:leftChars="0" w:firstLine="640" w:firstLineChars="200"/>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en-US" w:eastAsia="zh-CN"/>
        </w:rPr>
        <w:t>我办财务预算编制、审核专人负责，部门绩效目标制定明确；我办2020预算编制较准确、2020预算公开工作在规定时间及时公开。支出控制较好，预算动态调整及时，预算完成情况较好，无违规记录；全面完成目标。</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（二）结果应用情况</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绩效目标部门自评得分98分，绩效目标随2019年预算公开，自评暂时未公开，评价结果整改和应用结果反馈较好。</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一级项目和二级项目绩效目标完成98%。</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圆满完成项目绩效目标：1．加快应急体系建设，协助市政府领导处置突发事件，编制全市应急体系建设规划，组织指导、培训全市应急队伍、应急指挥平台和应急保障能力建设。负责市政府、市政府办值班工作，负责心连心热线的日常受理、办理工作。2．组织起草《政府工作报告》、围绕市政府中心工作研究制订调研课题，组织开展调查研究和政务信息会议纪要的编辑工作，加快全市政务公开建设。3．在峨眉山市政府门户网站首页，公众可随时通过互联网上进入峨眉山市电子政务大厅，进行浏览、查阅、咨询峨眉山市行政权力事项和具体行政权力运行情况，对办件不及时或办件不合理等问题，还可以进行在线投诉，权力事项运行监察平台属于内部监督平台，市纪检监察部门对正在运行的权力事项进行实时监督，对权力事项案件办理不及时、不合规、不合法等情况，进行监察并督促相关权力部门进行整改。4．贯彻执行有关地方志工作的法律、法规、规章等；统筹规划、组织协调、督促指导全市地方志工作；组织、指导市级部门、行业、单位编纂部门志、行业志、专业志、年鉴等，管理地方史编写工作，收集、整理、保存地方文献资料；组织开展旧志资料整理工作，推动地方志工作信息化建设。印刷《峨眉山市年鉴》500册。5．保障市政府机构正常运转，完成市涉及市政府工作的人大代表议案、批评、建议和政协委员提案、建议案工作，及时办理各项文电。市政府各部门和各乡镇（街道）人民政府（办事处）请示市政府的事项，提出审核意见，报市政府领导审批。督促检查市政府各部门和各乡镇（街道）人民政府（办事处）对市政府决定事项及市政府领导指示的贯彻。</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市政府办整体支出绩效目标全面完成：1．保障市政府机构正常运转，完成市涉及市政府工作的人大代表议案、批评、建议和政协委员提案、建议案工作，及时办理各项文电。2．对市政府各部门和各乡镇（街道）人民政府（办事处）请示市政府的事项，提出审核意见，报市政府领导审批。督促检查市政府各部门和各镇（乡）政府对市政府决定事项及市政府领导指示的贯彻落实情况，及时向市政府领导报告。3．发挥行政权力平台的政务公开和单兵联通作战平台的应急处置工作，开展政府门户网站迁移改版升级工作。4．加快全市公车改革。5．为政府决策提供意见，清理市政府制定的措施和规范性文件，编辑市政府规范性文件。6．编制出版《峨眉山市年鉴》，加快地方志建设。7．组织开发利用地方志资源、编纂有关地情文献、提供市情咨询服务；组织开展旧志资料整理工作，推动地方志工作信息化建设。</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（一）评价结论</w:t>
      </w:r>
    </w:p>
    <w:p>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lang w:val="zh-CN"/>
        </w:rPr>
      </w:pPr>
      <w:r>
        <w:rPr>
          <w:rFonts w:hint="eastAsia" w:ascii="仿宋_GB2312" w:hAnsi="仿宋_GB2312" w:eastAsia="仿宋_GB2312" w:cs="仿宋_GB2312"/>
          <w:color w:val="000000"/>
          <w:kern w:val="0"/>
          <w:sz w:val="32"/>
          <w:szCs w:val="32"/>
          <w:shd w:val="clear" w:color="auto" w:fill="FFFFFF"/>
          <w:lang w:val="zh-CN" w:eastAsia="zh-CN" w:bidi="ar-SA"/>
        </w:rPr>
        <w:t>评价结论：优（</w:t>
      </w:r>
      <w:r>
        <w:rPr>
          <w:rFonts w:hint="eastAsia" w:ascii="仿宋_GB2312" w:hAnsi="仿宋_GB2312" w:eastAsia="仿宋_GB2312" w:cs="仿宋_GB2312"/>
          <w:color w:val="000000"/>
          <w:kern w:val="0"/>
          <w:sz w:val="32"/>
          <w:szCs w:val="32"/>
          <w:shd w:val="clear" w:color="auto" w:fill="FFFFFF"/>
          <w:lang w:val="en-US" w:eastAsia="zh-CN" w:bidi="ar-SA"/>
        </w:rPr>
        <w:t>98</w:t>
      </w:r>
      <w:r>
        <w:rPr>
          <w:rFonts w:hint="eastAsia" w:ascii="仿宋_GB2312" w:hAnsi="仿宋_GB2312" w:eastAsia="仿宋_GB2312" w:cs="仿宋_GB2312"/>
          <w:color w:val="000000"/>
          <w:kern w:val="0"/>
          <w:sz w:val="32"/>
          <w:szCs w:val="32"/>
          <w:shd w:val="clear" w:color="auto" w:fill="FFFFFF"/>
          <w:lang w:val="zh-CN" w:eastAsia="zh-CN" w:bidi="ar-SA"/>
        </w:rPr>
        <w:t>分）。</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仿宋_GB2312" w:eastAsia="仿宋_GB2312" w:cs="仿宋_GB2312"/>
          <w:b w:val="0"/>
          <w:bCs w:val="0"/>
          <w:color w:val="000000"/>
          <w:kern w:val="0"/>
          <w:sz w:val="32"/>
          <w:szCs w:val="32"/>
          <w:shd w:val="clear" w:color="auto" w:fill="FFFFFF"/>
          <w:lang w:val="zh-CN" w:eastAsia="zh-CN" w:bidi="ar-SA"/>
        </w:rPr>
      </w:pPr>
      <w:r>
        <w:rPr>
          <w:rFonts w:hint="eastAsia" w:ascii="楷体_GB2312" w:hAnsi="楷体_GB2312" w:eastAsia="楷体_GB2312" w:cs="楷体_GB2312"/>
          <w:color w:val="000000"/>
          <w:kern w:val="0"/>
          <w:sz w:val="32"/>
          <w:szCs w:val="32"/>
          <w:shd w:val="clear" w:color="auto" w:fill="FFFFFF"/>
          <w:lang w:val="zh-CN"/>
        </w:rPr>
        <w:t>存在问题</w:t>
      </w:r>
    </w:p>
    <w:p>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default" w:ascii="仿宋_GB2312" w:hAnsi="仿宋_GB2312" w:eastAsia="仿宋_GB2312" w:cs="仿宋_GB2312"/>
          <w:b w:val="0"/>
          <w:bCs w:val="0"/>
          <w:color w:val="000000"/>
          <w:kern w:val="0"/>
          <w:sz w:val="32"/>
          <w:szCs w:val="32"/>
          <w:shd w:val="clear" w:color="auto" w:fill="FFFFFF"/>
          <w:lang w:val="en-US" w:eastAsia="zh-CN" w:bidi="ar-SA"/>
        </w:rPr>
      </w:pPr>
      <w:r>
        <w:rPr>
          <w:rFonts w:hint="eastAsia" w:ascii="仿宋_GB2312" w:hAnsi="仿宋_GB2312" w:eastAsia="仿宋_GB2312" w:cs="仿宋_GB2312"/>
          <w:b w:val="0"/>
          <w:bCs w:val="0"/>
          <w:color w:val="000000"/>
          <w:kern w:val="0"/>
          <w:sz w:val="32"/>
          <w:szCs w:val="32"/>
          <w:shd w:val="clear" w:color="auto" w:fill="FFFFFF"/>
          <w:lang w:val="zh-CN" w:eastAsia="zh-CN" w:bidi="ar-SA"/>
        </w:rPr>
        <w:t>由于政府办职能，</w:t>
      </w:r>
      <w:r>
        <w:rPr>
          <w:rFonts w:hint="eastAsia" w:ascii="仿宋_GB2312" w:hAnsi="仿宋_GB2312" w:eastAsia="仿宋_GB2312" w:cs="仿宋_GB2312"/>
          <w:b w:val="0"/>
          <w:bCs w:val="0"/>
          <w:color w:val="000000"/>
          <w:kern w:val="0"/>
          <w:sz w:val="32"/>
          <w:szCs w:val="32"/>
          <w:shd w:val="clear" w:color="auto" w:fill="FFFFFF"/>
          <w:lang w:val="en-US" w:eastAsia="zh-CN" w:bidi="ar-SA"/>
        </w:rPr>
        <w:t>管理范围广、涉及项目多，部分项目支出每年波动较大，不能精准预算，如全市公车平台2019年支出262.27万元，2020年支出218.44万元，由于公车修理、保养费用开支具有不确定性，为了保障预算年度车辆正常维修和运转，会预算部分突发性备用资金，导致预算执行率低于预期。</w:t>
      </w:r>
    </w:p>
    <w:p>
      <w:pPr>
        <w:keepNext w:val="0"/>
        <w:keepLines w:val="0"/>
        <w:pageBreakBefore w:val="0"/>
        <w:widowControl/>
        <w:numPr>
          <w:ilvl w:val="0"/>
          <w:numId w:val="5"/>
        </w:numPr>
        <w:kinsoku/>
        <w:wordWrap/>
        <w:overflowPunct/>
        <w:topLinePunct w:val="0"/>
        <w:autoSpaceDE/>
        <w:autoSpaceDN/>
        <w:bidi w:val="0"/>
        <w:adjustRightInd w:val="0"/>
        <w:snapToGrid w:val="0"/>
        <w:spacing w:line="600" w:lineRule="exact"/>
        <w:ind w:left="0" w:leftChars="0" w:firstLine="640" w:firstLineChars="200"/>
        <w:contextualSpacing/>
        <w:jc w:val="left"/>
        <w:textAlignment w:val="auto"/>
        <w:rPr>
          <w:rFonts w:hint="eastAsia" w:ascii="楷体_GB2312" w:hAnsi="楷体_GB2312" w:eastAsia="楷体_GB2312" w:cs="楷体_GB2312"/>
          <w:color w:val="000000"/>
          <w:kern w:val="0"/>
          <w:sz w:val="32"/>
          <w:szCs w:val="32"/>
          <w:shd w:val="clear" w:color="auto" w:fill="FFFFFF"/>
          <w:lang w:val="zh-CN"/>
        </w:rPr>
      </w:pPr>
      <w:r>
        <w:rPr>
          <w:rFonts w:hint="eastAsia" w:ascii="楷体_GB2312" w:hAnsi="楷体_GB2312" w:eastAsia="楷体_GB2312" w:cs="楷体_GB2312"/>
          <w:color w:val="000000"/>
          <w:kern w:val="0"/>
          <w:sz w:val="32"/>
          <w:szCs w:val="32"/>
          <w:shd w:val="clear" w:color="auto" w:fill="FFFFFF"/>
          <w:lang w:val="zh-CN"/>
        </w:rPr>
        <w:t>改进建议</w:t>
      </w:r>
    </w:p>
    <w:p>
      <w:pPr>
        <w:pStyle w:val="2"/>
        <w:numPr>
          <w:ilvl w:val="0"/>
          <w:numId w:val="0"/>
        </w:numPr>
        <w:ind w:leftChars="200"/>
        <w:jc w:val="both"/>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b w:val="0"/>
          <w:bCs w:val="0"/>
          <w:color w:val="000000"/>
          <w:kern w:val="0"/>
          <w:sz w:val="32"/>
          <w:szCs w:val="32"/>
          <w:shd w:val="clear" w:color="auto" w:fill="FFFFFF"/>
          <w:lang w:val="en-US" w:eastAsia="zh-CN" w:bidi="ar-SA"/>
        </w:rPr>
        <w:t xml:space="preserve"> 根据前两年支出情况，多方进行需求采集，征求意见，本着节约预算资金的原则，尽量科学准确地编制预算。</w:t>
      </w:r>
    </w:p>
    <w:p>
      <w:pPr>
        <w:keepNext w:val="0"/>
        <w:keepLines w:val="0"/>
        <w:pageBreakBefore w:val="0"/>
        <w:kinsoku/>
        <w:wordWrap/>
        <w:overflowPunct/>
        <w:topLinePunct w:val="0"/>
        <w:autoSpaceDE/>
        <w:autoSpaceDN/>
        <w:bidi w:val="0"/>
        <w:spacing w:line="600" w:lineRule="exact"/>
        <w:textAlignment w:val="auto"/>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2</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政府新综合办公大楼物业服务经费项目</w:t>
      </w:r>
      <w:r>
        <w:rPr>
          <w:rFonts w:hint="eastAsia" w:ascii="方正小标宋简体" w:hAnsi="宋体" w:eastAsia="方正小标宋简体"/>
          <w:color w:val="000000"/>
          <w:kern w:val="0"/>
          <w:sz w:val="44"/>
          <w:szCs w:val="44"/>
          <w:lang w:val="zh-CN"/>
        </w:rPr>
        <w:t>项目</w:t>
      </w:r>
      <w:r>
        <w:rPr>
          <w:rFonts w:ascii="方正小标宋简体" w:hAnsi="宋体" w:eastAsia="方正小标宋简体"/>
          <w:color w:val="000000"/>
          <w:kern w:val="0"/>
          <w:sz w:val="44"/>
          <w:szCs w:val="44"/>
        </w:rPr>
        <w:t>20</w:t>
      </w:r>
      <w:r>
        <w:rPr>
          <w:rFonts w:hint="eastAsia" w:ascii="方正小标宋简体" w:hAnsi="宋体" w:eastAsia="方正小标宋简体"/>
          <w:color w:val="000000"/>
          <w:kern w:val="0"/>
          <w:sz w:val="44"/>
          <w:szCs w:val="44"/>
          <w:lang w:val="en-US" w:eastAsia="zh-CN"/>
        </w:rPr>
        <w:t>20</w:t>
      </w:r>
      <w:r>
        <w:rPr>
          <w:rFonts w:hint="eastAsia" w:ascii="方正小标宋简体" w:hAnsi="宋体" w:eastAsia="方正小标宋简体"/>
          <w:color w:val="000000"/>
          <w:kern w:val="0"/>
          <w:sz w:val="44"/>
          <w:szCs w:val="44"/>
        </w:rPr>
        <w:t>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sz w:val="32"/>
          <w:szCs w:val="32"/>
          <w:lang w:val="zh-CN"/>
        </w:rPr>
      </w:pP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一、</w:t>
      </w:r>
      <w:r>
        <w:rPr>
          <w:rFonts w:hint="eastAsia" w:ascii="仿宋_GB2312" w:hAnsi="Calibri" w:eastAsia="仿宋_GB2312" w:cs="仿宋"/>
          <w:color w:val="000000"/>
          <w:kern w:val="0"/>
          <w:sz w:val="32"/>
          <w:szCs w:val="32"/>
          <w:lang w:val="zh-CN"/>
        </w:rPr>
        <w:t>项目概况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（一）项目资金申报及批复情况</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根据峨眉山市市人民政府办公室、峨眉山市民政局</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峨府办（</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19</w:t>
      </w:r>
      <w:r>
        <w:rPr>
          <w:rFonts w:hint="eastAsia" w:ascii="仿宋_GB2312" w:hAnsi="Calibri" w:eastAsia="仿宋_GB2312" w:cs="仿宋"/>
          <w:color w:val="000000"/>
          <w:kern w:val="0"/>
          <w:sz w:val="32"/>
          <w:szCs w:val="32"/>
        </w:rPr>
        <w:t>号文件“关于解决新综合办公大楼</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w:t>
      </w:r>
      <w:r>
        <w:rPr>
          <w:rFonts w:ascii="仿宋_GB2312" w:hAnsi="Calibri" w:eastAsia="仿宋_GB2312" w:cs="仿宋"/>
          <w:color w:val="000000"/>
          <w:kern w:val="0"/>
          <w:sz w:val="32"/>
          <w:szCs w:val="32"/>
        </w:rPr>
        <w:t>10</w:t>
      </w:r>
      <w:r>
        <w:rPr>
          <w:rFonts w:hint="eastAsia" w:ascii="仿宋_GB2312" w:hAnsi="Calibri" w:eastAsia="仿宋_GB2312" w:cs="仿宋"/>
          <w:color w:val="000000"/>
          <w:kern w:val="0"/>
          <w:sz w:val="32"/>
          <w:szCs w:val="32"/>
        </w:rPr>
        <w:t>月至</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年</w:t>
      </w:r>
      <w:r>
        <w:rPr>
          <w:rFonts w:ascii="仿宋_GB2312" w:hAnsi="Calibri" w:eastAsia="仿宋_GB2312" w:cs="仿宋"/>
          <w:color w:val="000000"/>
          <w:kern w:val="0"/>
          <w:sz w:val="32"/>
          <w:szCs w:val="32"/>
        </w:rPr>
        <w:t>12</w:t>
      </w:r>
      <w:r>
        <w:rPr>
          <w:rFonts w:hint="eastAsia" w:ascii="仿宋_GB2312" w:hAnsi="Calibri" w:eastAsia="仿宋_GB2312" w:cs="仿宋"/>
          <w:color w:val="000000"/>
          <w:kern w:val="0"/>
          <w:sz w:val="32"/>
          <w:szCs w:val="32"/>
        </w:rPr>
        <w:t>月公共部分运转费用的请示”、（</w:t>
      </w:r>
      <w:r>
        <w:rPr>
          <w:rFonts w:ascii="仿宋_GB2312" w:hAnsi="Calibri" w:eastAsia="仿宋_GB2312" w:cs="仿宋"/>
          <w:color w:val="000000"/>
          <w:kern w:val="0"/>
          <w:sz w:val="32"/>
          <w:szCs w:val="32"/>
        </w:rPr>
        <w:t>2018</w:t>
      </w:r>
      <w:r>
        <w:rPr>
          <w:rFonts w:hint="eastAsia" w:ascii="仿宋_GB2312" w:hAnsi="Calibri" w:eastAsia="仿宋_GB2312" w:cs="仿宋"/>
          <w:color w:val="000000"/>
          <w:kern w:val="0"/>
          <w:sz w:val="32"/>
          <w:szCs w:val="32"/>
        </w:rPr>
        <w:t>）</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rPr>
        <w:t>号文件“关于将新综合办公大楼物业服务项目经费列入</w:t>
      </w:r>
      <w:r>
        <w:rPr>
          <w:rFonts w:ascii="仿宋_GB2312" w:hAnsi="Calibri" w:eastAsia="仿宋_GB2312" w:cs="仿宋"/>
          <w:color w:val="000000"/>
          <w:kern w:val="0"/>
          <w:sz w:val="32"/>
          <w:szCs w:val="32"/>
        </w:rPr>
        <w:t>2019</w:t>
      </w:r>
      <w:r>
        <w:rPr>
          <w:rFonts w:hint="eastAsia" w:ascii="仿宋_GB2312" w:hAnsi="Calibri" w:eastAsia="仿宋_GB2312" w:cs="仿宋"/>
          <w:color w:val="000000"/>
          <w:kern w:val="0"/>
          <w:sz w:val="32"/>
          <w:szCs w:val="32"/>
        </w:rPr>
        <w:t>年财政预算的请示”及批复进行申报。按照市政府批复，</w:t>
      </w:r>
      <w:r>
        <w:rPr>
          <w:rFonts w:hint="eastAsia" w:ascii="仿宋_GB2312" w:hAnsi="Calibri" w:eastAsia="仿宋_GB2312" w:cs="仿宋"/>
          <w:color w:val="000000"/>
          <w:kern w:val="0"/>
          <w:sz w:val="32"/>
          <w:szCs w:val="32"/>
          <w:lang w:val="en-US" w:eastAsia="zh-CN"/>
        </w:rPr>
        <w:t>2020</w:t>
      </w:r>
      <w:r>
        <w:rPr>
          <w:rFonts w:hint="eastAsia" w:ascii="仿宋_GB2312" w:hAnsi="Calibri" w:eastAsia="仿宋_GB2312" w:cs="仿宋"/>
          <w:color w:val="000000"/>
          <w:kern w:val="0"/>
          <w:sz w:val="32"/>
          <w:szCs w:val="32"/>
        </w:rPr>
        <w:t>年政府新综合办公大楼物业服务经费总预算</w:t>
      </w:r>
      <w:r>
        <w:rPr>
          <w:rFonts w:hint="eastAsia" w:ascii="仿宋_GB2312" w:hAnsi="Calibri" w:eastAsia="仿宋_GB2312" w:cs="仿宋"/>
          <w:color w:val="000000"/>
          <w:kern w:val="0"/>
          <w:sz w:val="32"/>
          <w:szCs w:val="32"/>
          <w:lang w:val="en-US" w:eastAsia="zh-CN"/>
        </w:rPr>
        <w:t>66.02</w:t>
      </w:r>
      <w:r>
        <w:rPr>
          <w:rFonts w:hint="eastAsia" w:ascii="仿宋_GB2312" w:hAnsi="Calibri" w:eastAsia="仿宋_GB2312" w:cs="仿宋"/>
          <w:color w:val="000000"/>
          <w:kern w:val="0"/>
          <w:sz w:val="32"/>
          <w:szCs w:val="32"/>
        </w:rPr>
        <w:t>万元；实际支出</w:t>
      </w:r>
      <w:r>
        <w:rPr>
          <w:rFonts w:hint="eastAsia" w:ascii="仿宋_GB2312" w:hAnsi="Calibri" w:eastAsia="仿宋_GB2312" w:cs="仿宋"/>
          <w:color w:val="000000"/>
          <w:kern w:val="0"/>
          <w:sz w:val="32"/>
          <w:szCs w:val="32"/>
          <w:lang w:val="en-US" w:eastAsia="zh-CN"/>
        </w:rPr>
        <w:t>66.2</w:t>
      </w:r>
      <w:r>
        <w:rPr>
          <w:rFonts w:hint="eastAsia" w:ascii="仿宋_GB2312" w:hAnsi="Calibri" w:eastAsia="仿宋_GB2312" w:cs="仿宋"/>
          <w:color w:val="000000"/>
          <w:kern w:val="0"/>
          <w:sz w:val="32"/>
          <w:szCs w:val="32"/>
        </w:rPr>
        <w:t>万元</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lang w:val="en-US" w:eastAsia="zh-CN"/>
        </w:rPr>
        <w:t>年初预算74万元</w:t>
      </w:r>
      <w:r>
        <w:rPr>
          <w:rFonts w:hint="eastAsia" w:ascii="仿宋_GB2312" w:hAnsi="Calibri" w:eastAsia="仿宋_GB2312" w:cs="仿宋"/>
          <w:color w:val="000000"/>
          <w:kern w:val="0"/>
          <w:sz w:val="32"/>
          <w:szCs w:val="32"/>
          <w:lang w:eastAsia="zh-CN"/>
        </w:rPr>
        <w:t>）</w:t>
      </w:r>
      <w:r>
        <w:rPr>
          <w:rFonts w:hint="eastAsia"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lang w:val="zh-CN"/>
        </w:rPr>
        <w:t>对项目资金申报、批复符合资金管理办法等相关规定。</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（二）项目绩效目标</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项目主要内容：</w:t>
      </w:r>
      <w:r>
        <w:rPr>
          <w:rFonts w:hint="eastAsia" w:ascii="仿宋_GB2312" w:hAnsi="Calibri" w:eastAsia="仿宋_GB2312" w:cs="仿宋"/>
          <w:color w:val="000000"/>
          <w:kern w:val="0"/>
          <w:sz w:val="32"/>
          <w:szCs w:val="32"/>
        </w:rPr>
        <w:t>政府新综合办公大楼物业管理服务</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总体目标：保障</w:t>
      </w:r>
      <w:r>
        <w:rPr>
          <w:rFonts w:hint="eastAsia" w:ascii="仿宋_GB2312" w:hAnsi="Calibri" w:eastAsia="仿宋_GB2312" w:cs="仿宋"/>
          <w:color w:val="000000"/>
          <w:kern w:val="0"/>
          <w:sz w:val="32"/>
          <w:szCs w:val="32"/>
        </w:rPr>
        <w:t>新综合办公大楼（即：</w:t>
      </w:r>
      <w:r>
        <w:rPr>
          <w:rFonts w:hint="eastAsia" w:ascii="仿宋_GB2312" w:hAnsi="Calibri" w:eastAsia="仿宋_GB2312" w:cs="仿宋"/>
          <w:color w:val="000000"/>
          <w:kern w:val="0"/>
          <w:sz w:val="32"/>
          <w:szCs w:val="32"/>
          <w:lang w:val="zh-CN"/>
        </w:rPr>
        <w:t>政府第二办公区）正常运行</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lang w:val="zh-CN"/>
        </w:rPr>
        <w:t>数量指标：保障</w:t>
      </w:r>
      <w:r>
        <w:rPr>
          <w:rFonts w:hint="eastAsia" w:ascii="仿宋_GB2312" w:hAnsi="Calibri" w:eastAsia="仿宋_GB2312" w:cs="仿宋"/>
          <w:color w:val="000000"/>
          <w:kern w:val="0"/>
          <w:sz w:val="32"/>
          <w:szCs w:val="32"/>
        </w:rPr>
        <w:t>新综合办公大楼（即：</w:t>
      </w:r>
      <w:r>
        <w:rPr>
          <w:rFonts w:hint="eastAsia" w:ascii="仿宋_GB2312" w:hAnsi="Calibri" w:eastAsia="仿宋_GB2312" w:cs="仿宋"/>
          <w:color w:val="000000"/>
          <w:kern w:val="0"/>
          <w:sz w:val="32"/>
          <w:szCs w:val="32"/>
          <w:lang w:val="zh-CN"/>
        </w:rPr>
        <w:t>政府第二办公区）的安保和公共区域的保洁不少于</w:t>
      </w:r>
      <w:r>
        <w:rPr>
          <w:rFonts w:ascii="仿宋_GB2312" w:hAnsi="Calibri" w:eastAsia="仿宋_GB2312" w:cs="仿宋"/>
          <w:color w:val="000000"/>
          <w:kern w:val="0"/>
          <w:sz w:val="32"/>
          <w:szCs w:val="32"/>
        </w:rPr>
        <w:t>9</w:t>
      </w:r>
      <w:r>
        <w:rPr>
          <w:rFonts w:hint="eastAsia" w:ascii="仿宋_GB2312" w:hAnsi="Calibri" w:eastAsia="仿宋_GB2312" w:cs="仿宋"/>
          <w:color w:val="000000"/>
          <w:kern w:val="0"/>
          <w:sz w:val="32"/>
          <w:szCs w:val="32"/>
        </w:rPr>
        <w:t>人。</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质量指标：保障政府第二办公区的安保，安全事故</w:t>
      </w:r>
      <w:r>
        <w:rPr>
          <w:rFonts w:hint="eastAsia" w:ascii="仿宋_GB2312" w:hAnsi="Calibri" w:eastAsia="仿宋_GB2312" w:cs="仿宋"/>
          <w:color w:val="000000"/>
          <w:kern w:val="0"/>
          <w:sz w:val="32"/>
          <w:szCs w:val="32"/>
          <w:lang w:val="zh-CN"/>
        </w:rPr>
        <w:t>小于</w:t>
      </w:r>
      <w:r>
        <w:rPr>
          <w:rFonts w:ascii="仿宋_GB2312" w:hAnsi="Calibri" w:eastAsia="仿宋_GB2312" w:cs="仿宋"/>
          <w:color w:val="000000"/>
          <w:kern w:val="0"/>
          <w:sz w:val="32"/>
          <w:szCs w:val="32"/>
          <w:lang w:val="zh-CN"/>
        </w:rPr>
        <w:t>2</w:t>
      </w:r>
      <w:r>
        <w:rPr>
          <w:rFonts w:hint="eastAsia" w:ascii="仿宋_GB2312" w:hAnsi="Calibri" w:eastAsia="仿宋_GB2312" w:cs="仿宋"/>
          <w:color w:val="000000"/>
          <w:kern w:val="0"/>
          <w:sz w:val="32"/>
          <w:szCs w:val="32"/>
          <w:lang w:val="zh-CN"/>
        </w:rPr>
        <w:t>件；保障政府第二办公区的公共区域的整洁、卫生满意度≥</w:t>
      </w:r>
      <w:r>
        <w:rPr>
          <w:rFonts w:ascii="仿宋_GB2312" w:hAnsi="Calibri" w:eastAsia="仿宋_GB2312" w:cs="仿宋"/>
          <w:color w:val="000000"/>
          <w:kern w:val="0"/>
          <w:sz w:val="32"/>
          <w:szCs w:val="32"/>
          <w:lang w:val="zh-CN"/>
        </w:rPr>
        <w:t>95%</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项目实施进度计划：</w:t>
      </w:r>
      <w:r>
        <w:rPr>
          <w:rFonts w:ascii="仿宋_GB2312" w:hAnsi="Calibri" w:eastAsia="仿宋_GB2312" w:cs="仿宋"/>
          <w:color w:val="000000"/>
          <w:kern w:val="0"/>
          <w:sz w:val="32"/>
          <w:szCs w:val="32"/>
          <w:lang w:val="zh-CN"/>
        </w:rPr>
        <w:t>20</w:t>
      </w:r>
      <w:r>
        <w:rPr>
          <w:rFonts w:hint="eastAsia" w:ascii="仿宋_GB2312" w:hAnsi="Calibri" w:eastAsia="仿宋_GB2312" w:cs="仿宋"/>
          <w:color w:val="000000"/>
          <w:kern w:val="0"/>
          <w:sz w:val="32"/>
          <w:szCs w:val="32"/>
          <w:lang w:val="en-US" w:eastAsia="zh-CN"/>
        </w:rPr>
        <w:t>20</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日起。</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（三）项目资金申报相符性</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申报内容与具体实施内容相符、申报目标合理可行。</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二、项目实施及管理情况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（一）资金计划、到位及使用情况</w:t>
      </w:r>
    </w:p>
    <w:p>
      <w:pPr>
        <w:spacing w:line="500" w:lineRule="exact"/>
        <w:ind w:firstLine="641"/>
        <w:rPr>
          <w:rFonts w:ascii="仿宋_GB2312" w:hAnsi="Calibri" w:eastAsia="仿宋_GB2312" w:cs="仿宋"/>
          <w:color w:val="000000"/>
          <w:kern w:val="0"/>
          <w:sz w:val="32"/>
          <w:szCs w:val="32"/>
          <w:lang w:val="zh-CN"/>
        </w:rPr>
      </w:pPr>
      <w:r>
        <w:rPr>
          <w:rFonts w:ascii="仿宋_GB2312" w:hAnsi="Calibri" w:eastAsia="仿宋_GB2312" w:cs="仿宋"/>
          <w:color w:val="000000"/>
          <w:kern w:val="0"/>
          <w:sz w:val="32"/>
          <w:szCs w:val="32"/>
          <w:lang w:val="zh-CN"/>
        </w:rPr>
        <w:t>1</w:t>
      </w:r>
      <w:r>
        <w:rPr>
          <w:rFonts w:hint="eastAsia" w:ascii="仿宋_GB2312" w:hAnsi="Calibri" w:eastAsia="仿宋_GB2312" w:cs="仿宋"/>
          <w:color w:val="000000"/>
          <w:kern w:val="0"/>
          <w:sz w:val="32"/>
          <w:szCs w:val="32"/>
          <w:lang w:val="zh-CN"/>
        </w:rPr>
        <w:t>、资金计划及时到位。</w:t>
      </w:r>
      <w:r>
        <w:rPr>
          <w:rFonts w:hint="eastAsia" w:ascii="仿宋_GB2312" w:hAnsi="Calibri" w:eastAsia="仿宋_GB2312" w:cs="仿宋"/>
          <w:color w:val="000000"/>
          <w:kern w:val="0"/>
          <w:sz w:val="32"/>
          <w:szCs w:val="32"/>
        </w:rPr>
        <w:t>政府新综合办公大楼物业服务经费</w:t>
      </w:r>
      <w:r>
        <w:rPr>
          <w:rFonts w:hint="eastAsia" w:ascii="仿宋_GB2312" w:hAnsi="Calibri" w:eastAsia="仿宋_GB2312" w:cs="仿宋"/>
          <w:color w:val="000000"/>
          <w:kern w:val="0"/>
          <w:sz w:val="32"/>
          <w:szCs w:val="32"/>
          <w:lang w:val="zh-CN"/>
        </w:rPr>
        <w:t>资金计划</w:t>
      </w:r>
      <w:r>
        <w:rPr>
          <w:rFonts w:ascii="仿宋_GB2312" w:hAnsi="Calibri" w:eastAsia="仿宋_GB2312" w:cs="仿宋"/>
          <w:color w:val="000000"/>
          <w:kern w:val="0"/>
          <w:sz w:val="32"/>
          <w:szCs w:val="32"/>
        </w:rPr>
        <w:t>20</w:t>
      </w:r>
      <w:r>
        <w:rPr>
          <w:rFonts w:hint="eastAsia" w:ascii="仿宋_GB2312" w:hAnsi="Calibri" w:eastAsia="仿宋_GB2312" w:cs="仿宋"/>
          <w:color w:val="000000"/>
          <w:kern w:val="0"/>
          <w:sz w:val="32"/>
          <w:szCs w:val="32"/>
          <w:lang w:val="en-US" w:eastAsia="zh-CN"/>
        </w:rPr>
        <w:t>20</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rPr>
        <w:t>1</w:t>
      </w:r>
      <w:r>
        <w:rPr>
          <w:rFonts w:hint="eastAsia" w:ascii="仿宋_GB2312" w:hAnsi="Calibri" w:eastAsia="仿宋_GB2312" w:cs="仿宋"/>
          <w:color w:val="000000"/>
          <w:kern w:val="0"/>
          <w:sz w:val="32"/>
          <w:szCs w:val="32"/>
          <w:lang w:val="zh-CN"/>
        </w:rPr>
        <w:t>月达到。</w:t>
      </w:r>
      <w:r>
        <w:rPr>
          <w:rFonts w:hint="eastAsia" w:ascii="仿宋_GB2312" w:hAnsi="Calibri" w:eastAsia="仿宋_GB2312" w:cs="仿宋"/>
          <w:color w:val="000000"/>
          <w:kern w:val="0"/>
          <w:sz w:val="32"/>
          <w:szCs w:val="32"/>
          <w:lang w:val="en-US" w:eastAsia="zh-CN"/>
        </w:rPr>
        <w:t>我办按季度申报计划，财政局根据计划审核，资金</w:t>
      </w:r>
      <w:r>
        <w:rPr>
          <w:rFonts w:hint="eastAsia" w:ascii="仿宋_GB2312" w:hAnsi="Calibri" w:eastAsia="仿宋_GB2312" w:cs="仿宋"/>
          <w:color w:val="000000"/>
          <w:kern w:val="0"/>
          <w:sz w:val="32"/>
          <w:szCs w:val="32"/>
          <w:lang w:val="zh-CN"/>
        </w:rPr>
        <w:t>及时到账，到位率</w:t>
      </w:r>
      <w:r>
        <w:rPr>
          <w:rFonts w:ascii="仿宋_GB2312" w:hAnsi="Calibri" w:eastAsia="仿宋_GB2312" w:cs="仿宋"/>
          <w:color w:val="000000"/>
          <w:kern w:val="0"/>
          <w:sz w:val="32"/>
          <w:szCs w:val="32"/>
          <w:lang w:val="zh-CN"/>
        </w:rPr>
        <w:t>100%</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lang w:val="zh-CN"/>
        </w:rPr>
      </w:pPr>
      <w:r>
        <w:rPr>
          <w:rFonts w:ascii="仿宋_GB2312" w:hAnsi="Calibri" w:eastAsia="仿宋_GB2312" w:cs="仿宋"/>
          <w:color w:val="000000"/>
          <w:kern w:val="0"/>
          <w:sz w:val="32"/>
          <w:szCs w:val="32"/>
          <w:lang w:val="zh-CN"/>
        </w:rPr>
        <w:t>2</w:t>
      </w:r>
      <w:r>
        <w:rPr>
          <w:rFonts w:hint="eastAsia" w:ascii="仿宋_GB2312" w:hAnsi="Calibri" w:eastAsia="仿宋_GB2312" w:cs="仿宋"/>
          <w:color w:val="000000"/>
          <w:kern w:val="0"/>
          <w:sz w:val="32"/>
          <w:szCs w:val="32"/>
          <w:lang w:val="zh-CN"/>
        </w:rPr>
        <w:t>、资金使用。截止评价时点项目资金的实际支出</w:t>
      </w:r>
      <w:r>
        <w:rPr>
          <w:rFonts w:hint="eastAsia" w:ascii="仿宋_GB2312" w:hAnsi="Calibri" w:eastAsia="仿宋_GB2312" w:cs="仿宋"/>
          <w:color w:val="000000"/>
          <w:kern w:val="0"/>
          <w:sz w:val="32"/>
          <w:szCs w:val="32"/>
          <w:lang w:val="en-US" w:eastAsia="zh-CN"/>
        </w:rPr>
        <w:t>66.02</w:t>
      </w:r>
      <w:r>
        <w:rPr>
          <w:rFonts w:hint="eastAsia" w:ascii="仿宋_GB2312" w:hAnsi="Calibri" w:eastAsia="仿宋_GB2312" w:cs="仿宋"/>
          <w:color w:val="000000"/>
          <w:kern w:val="0"/>
          <w:sz w:val="32"/>
          <w:szCs w:val="32"/>
          <w:lang w:val="zh-CN"/>
        </w:rPr>
        <w:t>万元，资金开支范围、标准及支付进度符合规定，支付依据合规合法，资金支付同预算一致</w:t>
      </w:r>
      <w:r>
        <w:rPr>
          <w:rFonts w:hint="eastAsia" w:ascii="仿宋_GB2312" w:hAnsi="Calibri" w:eastAsia="仿宋_GB2312" w:cs="仿宋"/>
          <w:color w:val="000000"/>
          <w:kern w:val="0"/>
          <w:sz w:val="32"/>
          <w:szCs w:val="32"/>
          <w:lang w:val="en-US" w:eastAsia="zh-CN"/>
        </w:rPr>
        <w:t>66.02</w:t>
      </w:r>
      <w:r>
        <w:rPr>
          <w:rFonts w:hint="eastAsia" w:ascii="仿宋_GB2312" w:hAnsi="Calibri" w:eastAsia="仿宋_GB2312" w:cs="仿宋"/>
          <w:color w:val="000000"/>
          <w:kern w:val="0"/>
          <w:sz w:val="32"/>
          <w:szCs w:val="32"/>
          <w:lang w:val="zh-CN"/>
        </w:rPr>
        <w:t>万元，依法按照规定用途支付。</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（二）项目财务管理情况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政府新综合办公大楼物业服务经费项目管理工作</w:t>
      </w:r>
      <w:r>
        <w:rPr>
          <w:rFonts w:hint="eastAsia" w:ascii="仿宋_GB2312" w:hAnsi="Calibri" w:eastAsia="仿宋_GB2312" w:cs="仿宋"/>
          <w:color w:val="000000"/>
          <w:kern w:val="0"/>
          <w:sz w:val="32"/>
          <w:szCs w:val="32"/>
          <w:lang w:val="zh-CN"/>
        </w:rPr>
        <w:t>财务管理制度健全、机构设置合规、会计核算及账务处理</w:t>
      </w:r>
      <w:r>
        <w:rPr>
          <w:rFonts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rPr>
        <w:t>并入政府办统一核算</w:t>
      </w:r>
      <w:r>
        <w:rPr>
          <w:rFonts w:ascii="仿宋_GB2312" w:hAnsi="Calibri" w:eastAsia="仿宋_GB2312" w:cs="仿宋"/>
          <w:color w:val="000000"/>
          <w:kern w:val="0"/>
          <w:sz w:val="32"/>
          <w:szCs w:val="32"/>
          <w:lang w:val="zh-CN"/>
        </w:rPr>
        <w:t>)</w:t>
      </w:r>
      <w:r>
        <w:rPr>
          <w:rFonts w:hint="eastAsia" w:ascii="仿宋_GB2312" w:hAnsi="Calibri" w:eastAsia="仿宋_GB2312" w:cs="仿宋"/>
          <w:color w:val="000000"/>
          <w:kern w:val="0"/>
          <w:sz w:val="32"/>
          <w:szCs w:val="32"/>
          <w:lang w:val="zh-CN"/>
        </w:rPr>
        <w:t>合法。对照项目资金管理办法，</w:t>
      </w:r>
      <w:r>
        <w:rPr>
          <w:rFonts w:hint="eastAsia" w:ascii="仿宋_GB2312" w:hAnsi="Calibri" w:eastAsia="仿宋_GB2312" w:cs="仿宋"/>
          <w:color w:val="000000"/>
          <w:kern w:val="0"/>
          <w:sz w:val="32"/>
          <w:szCs w:val="32"/>
        </w:rPr>
        <w:t>政府新综合办公大楼物业服务经费项目管理工作</w:t>
      </w:r>
      <w:r>
        <w:rPr>
          <w:rFonts w:hint="eastAsia" w:ascii="仿宋_GB2312" w:hAnsi="Calibri" w:eastAsia="仿宋_GB2312" w:cs="仿宋"/>
          <w:color w:val="000000"/>
          <w:kern w:val="0"/>
          <w:sz w:val="32"/>
          <w:szCs w:val="32"/>
          <w:lang w:val="zh-CN"/>
        </w:rPr>
        <w:t>严格执行财务管理制度、财务处理及时、会计核算规范。</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（三）项目组织实施情况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组织管理架构及具体实施流程符合规定，机构设置合规、监管措施得力、执行相关管理制度到位，严格执行招投标（</w:t>
      </w:r>
      <w:r>
        <w:rPr>
          <w:rFonts w:ascii="仿宋_GB2312" w:hAnsi="Calibri" w:eastAsia="仿宋_GB2312" w:cs="仿宋"/>
          <w:color w:val="000000"/>
          <w:kern w:val="0"/>
          <w:sz w:val="32"/>
          <w:szCs w:val="32"/>
          <w:lang w:val="zh-CN"/>
        </w:rPr>
        <w:t>2018</w:t>
      </w:r>
      <w:r>
        <w:rPr>
          <w:rFonts w:hint="eastAsia" w:ascii="仿宋_GB2312" w:hAnsi="Calibri" w:eastAsia="仿宋_GB2312" w:cs="仿宋"/>
          <w:color w:val="000000"/>
          <w:kern w:val="0"/>
          <w:sz w:val="32"/>
          <w:szCs w:val="32"/>
          <w:lang w:val="zh-CN"/>
        </w:rPr>
        <w:t>年</w:t>
      </w:r>
      <w:r>
        <w:rPr>
          <w:rFonts w:ascii="仿宋_GB2312" w:hAnsi="Calibri" w:eastAsia="仿宋_GB2312" w:cs="仿宋"/>
          <w:color w:val="000000"/>
          <w:kern w:val="0"/>
          <w:sz w:val="32"/>
          <w:szCs w:val="32"/>
          <w:lang w:val="zh-CN"/>
        </w:rPr>
        <w:t>10</w:t>
      </w:r>
      <w:r>
        <w:rPr>
          <w:rFonts w:hint="eastAsia" w:ascii="仿宋_GB2312" w:hAnsi="Calibri" w:eastAsia="仿宋_GB2312" w:cs="仿宋"/>
          <w:color w:val="000000"/>
          <w:kern w:val="0"/>
          <w:sz w:val="32"/>
          <w:szCs w:val="32"/>
          <w:lang w:val="zh-CN"/>
        </w:rPr>
        <w:t>月份发布公开招标文件，</w:t>
      </w:r>
      <w:r>
        <w:rPr>
          <w:rFonts w:ascii="仿宋_GB2312" w:hAnsi="Calibri" w:eastAsia="仿宋_GB2312" w:cs="仿宋"/>
          <w:color w:val="000000"/>
          <w:kern w:val="0"/>
          <w:sz w:val="32"/>
          <w:szCs w:val="32"/>
          <w:lang w:val="zh-CN"/>
        </w:rPr>
        <w:t>11</w:t>
      </w:r>
      <w:r>
        <w:rPr>
          <w:rFonts w:hint="eastAsia" w:ascii="仿宋_GB2312" w:hAnsi="Calibri" w:eastAsia="仿宋_GB2312" w:cs="仿宋"/>
          <w:color w:val="000000"/>
          <w:kern w:val="0"/>
          <w:sz w:val="32"/>
          <w:szCs w:val="32"/>
          <w:lang w:val="zh-CN"/>
        </w:rPr>
        <w:t>月</w:t>
      </w:r>
      <w:r>
        <w:rPr>
          <w:rFonts w:ascii="仿宋_GB2312" w:hAnsi="Calibri" w:eastAsia="仿宋_GB2312" w:cs="仿宋"/>
          <w:color w:val="000000"/>
          <w:kern w:val="0"/>
          <w:sz w:val="32"/>
          <w:szCs w:val="32"/>
          <w:lang w:val="zh-CN"/>
        </w:rPr>
        <w:t>29</w:t>
      </w:r>
      <w:r>
        <w:rPr>
          <w:rFonts w:hint="eastAsia" w:ascii="仿宋_GB2312" w:hAnsi="Calibri" w:eastAsia="仿宋_GB2312" w:cs="仿宋"/>
          <w:color w:val="000000"/>
          <w:kern w:val="0"/>
          <w:sz w:val="32"/>
          <w:szCs w:val="32"/>
          <w:lang w:val="zh-CN"/>
        </w:rPr>
        <w:t>日确定中标公司）、政府采购、按照规定进行项目公示、程序合法。</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三、项目绩效情况</w:t>
      </w:r>
      <w:r>
        <w:rPr>
          <w:rFonts w:ascii="仿宋_GB2312" w:hAnsi="Calibri" w:eastAsia="仿宋_GB2312" w:cs="仿宋"/>
          <w:color w:val="000000"/>
          <w:kern w:val="0"/>
          <w:sz w:val="32"/>
          <w:szCs w:val="32"/>
          <w:lang w:val="zh-CN"/>
        </w:rPr>
        <w:tab/>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（一）项目完成情况</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项目完成数量（预算至少</w:t>
      </w:r>
      <w:r>
        <w:rPr>
          <w:rFonts w:ascii="仿宋_GB2312" w:hAnsi="Calibri" w:eastAsia="仿宋_GB2312" w:cs="仿宋"/>
          <w:color w:val="000000"/>
          <w:kern w:val="0"/>
          <w:sz w:val="32"/>
          <w:szCs w:val="32"/>
          <w:lang w:val="zh-CN"/>
        </w:rPr>
        <w:t>9</w:t>
      </w:r>
      <w:r>
        <w:rPr>
          <w:rFonts w:hint="eastAsia" w:ascii="仿宋_GB2312" w:hAnsi="Calibri" w:eastAsia="仿宋_GB2312" w:cs="仿宋"/>
          <w:color w:val="000000"/>
          <w:kern w:val="0"/>
          <w:sz w:val="32"/>
          <w:szCs w:val="32"/>
          <w:lang w:val="zh-CN"/>
        </w:rPr>
        <w:t>人提供服务，实际</w:t>
      </w:r>
      <w:r>
        <w:rPr>
          <w:rFonts w:ascii="仿宋_GB2312" w:hAnsi="Calibri" w:eastAsia="仿宋_GB2312" w:cs="仿宋"/>
          <w:color w:val="000000"/>
          <w:kern w:val="0"/>
          <w:sz w:val="32"/>
          <w:szCs w:val="32"/>
          <w:lang w:val="zh-CN"/>
        </w:rPr>
        <w:t>13</w:t>
      </w:r>
      <w:r>
        <w:rPr>
          <w:rFonts w:hint="eastAsia" w:ascii="仿宋_GB2312" w:hAnsi="Calibri" w:eastAsia="仿宋_GB2312" w:cs="仿宋"/>
          <w:color w:val="000000"/>
          <w:kern w:val="0"/>
          <w:sz w:val="32"/>
          <w:szCs w:val="32"/>
          <w:lang w:val="zh-CN"/>
        </w:rPr>
        <w:t>人提供服务）、质量（</w:t>
      </w:r>
      <w:r>
        <w:rPr>
          <w:rFonts w:ascii="仿宋_GB2312" w:hAnsi="Calibri" w:eastAsia="仿宋_GB2312" w:cs="仿宋"/>
          <w:color w:val="000000"/>
          <w:kern w:val="0"/>
          <w:sz w:val="32"/>
          <w:szCs w:val="32"/>
          <w:lang w:val="zh-CN"/>
        </w:rPr>
        <w:t>20</w:t>
      </w:r>
      <w:r>
        <w:rPr>
          <w:rFonts w:hint="eastAsia" w:ascii="仿宋_GB2312" w:hAnsi="Calibri" w:eastAsia="仿宋_GB2312" w:cs="仿宋"/>
          <w:color w:val="000000"/>
          <w:kern w:val="0"/>
          <w:sz w:val="32"/>
          <w:szCs w:val="32"/>
          <w:lang w:val="en-US" w:eastAsia="zh-CN"/>
        </w:rPr>
        <w:t>20</w:t>
      </w:r>
      <w:r>
        <w:rPr>
          <w:rFonts w:hint="eastAsia" w:ascii="仿宋_GB2312" w:hAnsi="Calibri" w:eastAsia="仿宋_GB2312" w:cs="仿宋"/>
          <w:color w:val="000000"/>
          <w:kern w:val="0"/>
          <w:sz w:val="32"/>
          <w:szCs w:val="32"/>
          <w:lang w:val="zh-CN"/>
        </w:rPr>
        <w:t>年无一起安全事故，办公区域整洁卫生，办公秩序好）、时效（按时完成）、成本控制较好。</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（二）项目效益情况</w:t>
      </w:r>
    </w:p>
    <w:p>
      <w:pPr>
        <w:spacing w:line="500" w:lineRule="exact"/>
        <w:ind w:firstLine="641"/>
        <w:rPr>
          <w:rFonts w:hint="eastAsia"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rPr>
        <w:t>政府新综合办公大楼物业服务经费项目</w:t>
      </w:r>
      <w:r>
        <w:rPr>
          <w:rFonts w:hint="eastAsia" w:ascii="仿宋_GB2312" w:hAnsi="Calibri" w:eastAsia="仿宋_GB2312" w:cs="仿宋"/>
          <w:color w:val="000000"/>
          <w:kern w:val="0"/>
          <w:sz w:val="32"/>
          <w:szCs w:val="32"/>
          <w:lang w:val="zh-CN"/>
        </w:rPr>
        <w:t>经济合理、取得了</w:t>
      </w:r>
      <w:r>
        <w:rPr>
          <w:rFonts w:hint="eastAsia" w:ascii="仿宋_GB2312" w:hAnsi="Calibri" w:eastAsia="仿宋_GB2312" w:cs="仿宋"/>
          <w:color w:val="000000"/>
          <w:kern w:val="0"/>
          <w:sz w:val="32"/>
          <w:szCs w:val="32"/>
          <w:lang w:val="en-US" w:eastAsia="zh-CN"/>
        </w:rPr>
        <w:t>服务区域内</w:t>
      </w:r>
      <w:r>
        <w:rPr>
          <w:rFonts w:hint="eastAsia" w:ascii="仿宋_GB2312" w:hAnsi="Calibri" w:eastAsia="仿宋_GB2312" w:cs="仿宋"/>
          <w:color w:val="000000"/>
          <w:kern w:val="0"/>
          <w:sz w:val="32"/>
          <w:szCs w:val="32"/>
          <w:lang w:val="zh-CN"/>
        </w:rPr>
        <w:t>正常办公秩序和办公环境整洁卫生的社会效益和生态效益、可持续效益，服务对象满意度大于</w:t>
      </w:r>
      <w:r>
        <w:rPr>
          <w:rFonts w:ascii="仿宋_GB2312" w:hAnsi="Calibri" w:eastAsia="仿宋_GB2312" w:cs="仿宋"/>
          <w:color w:val="000000"/>
          <w:kern w:val="0"/>
          <w:sz w:val="32"/>
          <w:szCs w:val="32"/>
          <w:lang w:val="zh-CN"/>
        </w:rPr>
        <w:t>85%</w:t>
      </w:r>
      <w:r>
        <w:rPr>
          <w:rFonts w:hint="eastAsia" w:ascii="仿宋_GB2312" w:hAnsi="Calibri" w:eastAsia="仿宋_GB2312" w:cs="仿宋"/>
          <w:color w:val="000000"/>
          <w:kern w:val="0"/>
          <w:sz w:val="32"/>
          <w:szCs w:val="32"/>
          <w:lang w:val="zh-CN"/>
        </w:rPr>
        <w:t>。</w:t>
      </w:r>
    </w:p>
    <w:p>
      <w:pPr>
        <w:spacing w:line="500" w:lineRule="exact"/>
        <w:ind w:firstLine="641"/>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四、问题及建议</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（一）存在的问题：物业提供服务质量有时不能得到单位和来访群众的满意。</w:t>
      </w:r>
    </w:p>
    <w:p>
      <w:pPr>
        <w:spacing w:line="500" w:lineRule="exact"/>
        <w:ind w:firstLine="641"/>
        <w:rPr>
          <w:rFonts w:ascii="仿宋_GB2312" w:hAnsi="Calibri" w:eastAsia="仿宋_GB2312" w:cs="仿宋"/>
          <w:color w:val="000000"/>
          <w:kern w:val="0"/>
          <w:sz w:val="32"/>
          <w:szCs w:val="32"/>
          <w:lang w:val="zh-CN"/>
        </w:rPr>
      </w:pPr>
      <w:r>
        <w:rPr>
          <w:rFonts w:hint="eastAsia" w:ascii="仿宋_GB2312" w:hAnsi="Calibri" w:eastAsia="仿宋_GB2312" w:cs="仿宋"/>
          <w:color w:val="000000"/>
          <w:kern w:val="0"/>
          <w:sz w:val="32"/>
          <w:szCs w:val="32"/>
          <w:lang w:val="zh-CN"/>
        </w:rPr>
        <w:t>（二）相关建议</w:t>
      </w:r>
    </w:p>
    <w:p>
      <w:pPr>
        <w:pStyle w:val="2"/>
        <w:ind w:firstLine="640" w:firstLineChars="200"/>
        <w:jc w:val="left"/>
        <w:rPr>
          <w:rFonts w:hint="eastAsia" w:ascii="仿宋_GB2312" w:hAnsi="Calibri" w:eastAsia="仿宋_GB2312" w:cs="仿宋"/>
          <w:b w:val="0"/>
          <w:bCs w:val="0"/>
          <w:color w:val="000000"/>
          <w:kern w:val="0"/>
          <w:sz w:val="32"/>
          <w:szCs w:val="32"/>
          <w:lang w:val="zh-CN" w:eastAsia="zh-CN" w:bidi="ar-SA"/>
        </w:rPr>
      </w:pPr>
      <w:r>
        <w:rPr>
          <w:rFonts w:hint="eastAsia" w:ascii="仿宋_GB2312" w:hAnsi="Calibri" w:eastAsia="仿宋_GB2312" w:cs="仿宋"/>
          <w:b w:val="0"/>
          <w:bCs w:val="0"/>
          <w:color w:val="000000"/>
          <w:kern w:val="0"/>
          <w:sz w:val="32"/>
          <w:szCs w:val="32"/>
          <w:lang w:val="zh-CN" w:eastAsia="zh-CN" w:bidi="ar-SA"/>
        </w:rPr>
        <w:t>待合同期满，将委托公共资源交易中心重新对政府新综合大楼物业服务项目进行招标，我办将细化招标文件，多方征求意见进行需求论证，提高物业服务质量。</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pStyle w:val="5"/>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zh-CN"/>
        </w:rPr>
        <w:t>行政权力平台运行维护费项目</w:t>
      </w: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zh-CN"/>
        </w:rPr>
        <w:t>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1．我办负责指导、监督全市人民政府信息公开工作，负责全市政府系统政务信息收集和编报工作，反映各方面动态。行政权力平台为峨眉山市人民政府政务信息公开平台。</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2．该项目为我单位长期性项目，2020年年初我办按严格预算编制要求，对行政权力平台运行维护费项目进行预算编制，经市政府同意，报峨眉山市人民代表大会会议批准通过。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1．项目主要内容：保证行政权力平台正常使用所产生的维护费、服务费、电费等。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2．通过预算编制，规划绩效目标：行政权力平台高效稳定运转，保障群众知情权，政府阳光下运行。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zh-CN" w:eastAsia="zh-CN"/>
        </w:rPr>
        <w:t>3．行政权力平台，是峨眉山市政务信息公开的主要渠道，维持权力平台正常运转是建立阳光政府的有效举措之一，我单位没有专业的技术人员来解决网站偶尔出现的问题，支付必要的维护费合理可行。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资金到位。</w:t>
      </w:r>
      <w:r>
        <w:rPr>
          <w:rFonts w:hint="eastAsia" w:ascii="仿宋_GB2312" w:hAnsi="宋体" w:eastAsia="仿宋_GB2312" w:cs="Times New Roman"/>
          <w:sz w:val="32"/>
          <w:szCs w:val="32"/>
          <w:lang w:val="en-US" w:eastAsia="zh-CN"/>
        </w:rPr>
        <w:t>行政权力平台运行维护费</w:t>
      </w:r>
      <w:r>
        <w:rPr>
          <w:rFonts w:hint="eastAsia" w:ascii="仿宋_GB2312" w:hAnsi="宋体" w:eastAsia="仿宋_GB2312"/>
          <w:sz w:val="32"/>
          <w:szCs w:val="32"/>
          <w:lang w:val="zh-CN"/>
        </w:rPr>
        <w:t>财政拨款2020年预算</w:t>
      </w:r>
      <w:r>
        <w:rPr>
          <w:rFonts w:hint="eastAsia" w:ascii="仿宋_GB2312" w:hAnsi="宋体" w:eastAsia="仿宋_GB2312"/>
          <w:sz w:val="32"/>
          <w:szCs w:val="32"/>
          <w:lang w:val="en-US" w:eastAsia="zh-CN"/>
        </w:rPr>
        <w:t>40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调整预算38.43万元</w:t>
      </w:r>
      <w:r>
        <w:rPr>
          <w:rFonts w:hint="eastAsia" w:ascii="仿宋_GB2312" w:hAnsi="宋体" w:eastAsia="仿宋_GB2312"/>
          <w:sz w:val="32"/>
          <w:szCs w:val="32"/>
          <w:lang w:val="zh-CN"/>
        </w:rPr>
        <w:t>），经市人代会会议结束后到位。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val="0"/>
          <w:bCs/>
          <w:sz w:val="32"/>
          <w:szCs w:val="32"/>
          <w:lang w:val="zh-CN" w:eastAsia="zh-CN"/>
        </w:rPr>
      </w:pPr>
      <w:r>
        <w:rPr>
          <w:rFonts w:hint="eastAsia" w:ascii="楷体_GB2312" w:hAnsi="宋体" w:eastAsia="楷体_GB2312" w:cs="Times New Roman"/>
          <w:b w:val="0"/>
          <w:bCs/>
          <w:sz w:val="32"/>
          <w:szCs w:val="32"/>
          <w:lang w:val="zh-CN"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cs="Times New Roman"/>
          <w:sz w:val="32"/>
          <w:szCs w:val="32"/>
          <w:lang w:val="en-US" w:eastAsia="zh-CN"/>
        </w:rPr>
        <w:t>行政权力平台运行维护费</w:t>
      </w:r>
      <w:r>
        <w:rPr>
          <w:rFonts w:hint="eastAsia" w:ascii="仿宋_GB2312" w:hAnsi="宋体" w:eastAsia="仿宋_GB2312"/>
          <w:sz w:val="32"/>
          <w:szCs w:val="32"/>
          <w:lang w:val="zh-CN"/>
        </w:rPr>
        <w:t>经费使用</w:t>
      </w:r>
      <w:r>
        <w:rPr>
          <w:rFonts w:hint="eastAsia" w:ascii="仿宋_GB2312" w:hAnsi="宋体" w:eastAsia="仿宋_GB2312"/>
          <w:sz w:val="32"/>
          <w:szCs w:val="32"/>
          <w:lang w:val="en-US" w:eastAsia="zh-CN"/>
        </w:rPr>
        <w:t>38.43</w:t>
      </w:r>
      <w:r>
        <w:rPr>
          <w:rFonts w:hint="eastAsia" w:ascii="仿宋_GB2312" w:hAnsi="宋体" w:eastAsia="仿宋_GB2312"/>
          <w:sz w:val="32"/>
          <w:szCs w:val="32"/>
          <w:lang w:val="zh-CN"/>
        </w:rPr>
        <w:t>万元，使用率100%，用于</w:t>
      </w:r>
      <w:r>
        <w:rPr>
          <w:rFonts w:hint="eastAsia" w:ascii="仿宋_GB2312" w:hAnsi="宋体" w:eastAsia="仿宋_GB2312"/>
          <w:sz w:val="32"/>
          <w:szCs w:val="32"/>
          <w:lang w:val="en-US" w:eastAsia="zh-CN"/>
        </w:rPr>
        <w:t>支付好易通公司行政权力平台维护费用、支付宽带费用等</w:t>
      </w:r>
      <w:r>
        <w:rPr>
          <w:rFonts w:hint="eastAsia" w:ascii="仿宋_GB2312" w:hAnsi="宋体" w:eastAsia="仿宋_GB2312"/>
          <w:sz w:val="32"/>
          <w:szCs w:val="32"/>
          <w:lang w:val="zh-CN"/>
        </w:rPr>
        <w:t>。会计核算、现金管理、转账支付等均按规章制度执行，做到专款专用，资金支付依据齐全、开支标准合理合法、专项资金专项管理、专项使用，年初的绩效目标也基本完成。</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pStyle w:val="2"/>
        <w:ind w:firstLine="640" w:firstLineChars="200"/>
        <w:jc w:val="left"/>
        <w:rPr>
          <w:rFonts w:hint="eastAsia" w:ascii="仿宋_GB2312" w:hAnsi="宋体" w:eastAsia="仿宋_GB2312" w:cs="Times New Roman"/>
          <w:b w:val="0"/>
          <w:bCs w:val="0"/>
          <w:kern w:val="2"/>
          <w:sz w:val="32"/>
          <w:szCs w:val="32"/>
          <w:lang w:val="zh-CN" w:eastAsia="zh-CN" w:bidi="ar-SA"/>
        </w:rPr>
      </w:pPr>
      <w:r>
        <w:rPr>
          <w:rFonts w:hint="eastAsia" w:ascii="仿宋_GB2312" w:hAnsi="宋体" w:eastAsia="仿宋_GB2312" w:cs="Times New Roman"/>
          <w:b w:val="0"/>
          <w:bCs w:val="0"/>
          <w:kern w:val="2"/>
          <w:sz w:val="32"/>
          <w:szCs w:val="32"/>
          <w:lang w:val="zh-CN" w:eastAsia="zh-CN" w:bidi="ar-SA"/>
        </w:rPr>
        <w:t>项目财务管理情况。财务管理制度健全，严格执行财管管理制度，账务处理及时，会计核算规范。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我办按照《中华人民共和国政府信息公开条例》推进、指导全市政府部门和乡镇（街道）完成了政府信息公开工作。确保政务信息公开工作有序推进。</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在政务门户网站规范建设了“政府信息公开”和“政策”“规划”栏目。便于按照规范公开信息。</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组织采购小组，对当年运行维护费进行多方询价，经对比经验、技术、价格，最终确定好易通作为维护方，提高了财政资金的使用效率。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黑体" w:hAnsi="宋体" w:eastAsia="黑体"/>
          <w:sz w:val="32"/>
          <w:szCs w:val="32"/>
          <w:lang w:val="zh-CN"/>
        </w:rPr>
      </w:pPr>
      <w:r>
        <w:rPr>
          <w:rFonts w:hint="eastAsia" w:ascii="黑体" w:hAnsi="宋体" w:eastAsia="黑体"/>
          <w:sz w:val="32"/>
          <w:szCs w:val="32"/>
          <w:lang w:val="zh-CN"/>
        </w:rPr>
        <w:t>四、项目绩效情况</w:t>
      </w:r>
      <w:r>
        <w:rPr>
          <w:rFonts w:hint="eastAsia" w:ascii="黑体" w:hAnsi="宋体" w:eastAsia="黑体"/>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全年行政权力平台高效稳定运行。通过一年工作，承办各单位以市政府和市政府办名义制发文件的公开属性定性和公开工作，共对45个文件进行了公开属性认定；通过政府门户网站主动公开政府信息5316条。</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en-US" w:eastAsia="zh-CN"/>
        </w:rPr>
        <w:t>结合年初制定目标，该项目执行总体评价优</w:t>
      </w:r>
      <w:r>
        <w:rPr>
          <w:rFonts w:hint="eastAsia" w:ascii="仿宋_GB2312" w:hAnsi="宋体" w:eastAsia="仿宋_GB2312"/>
          <w:sz w:val="32"/>
          <w:szCs w:val="32"/>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pStyle w:val="5"/>
        <w:numPr>
          <w:ilvl w:val="0"/>
          <w:numId w:val="0"/>
        </w:numPr>
        <w:rPr>
          <w:rFonts w:hint="default" w:eastAsia="仿宋_GB2312"/>
          <w:lang w:val="en-US" w:eastAsia="zh-CN"/>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 xml:space="preserve">   网站</w:t>
      </w:r>
      <w:r>
        <w:rPr>
          <w:rFonts w:hint="eastAsia" w:hAnsi="宋体" w:cs="Times New Roman"/>
          <w:kern w:val="2"/>
          <w:sz w:val="32"/>
          <w:szCs w:val="32"/>
          <w:lang w:val="en-US" w:eastAsia="zh-CN" w:bidi="ar-SA"/>
        </w:rPr>
        <w:t>在被全市各单位集中使用，公开数据时容易卡顿，公开信息不能及时显示。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sz w:val="32"/>
          <w:szCs w:val="32"/>
          <w:lang w:val="en-US" w:eastAsia="zh-CN"/>
        </w:rPr>
        <w:t>将问题反馈给维护单位，及时完善。</w:t>
      </w:r>
    </w:p>
    <w:p>
      <w:pPr>
        <w:keepNext w:val="0"/>
        <w:keepLines w:val="0"/>
        <w:pageBreakBefore w:val="0"/>
        <w:kinsoku/>
        <w:wordWrap/>
        <w:overflowPunct/>
        <w:topLinePunct w:val="0"/>
        <w:autoSpaceDE/>
        <w:autoSpaceDN/>
        <w:bidi w:val="0"/>
        <w:spacing w:line="600" w:lineRule="exact"/>
        <w:ind w:firstLine="640"/>
        <w:textAlignment w:val="auto"/>
        <w:rPr>
          <w:rFonts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spacing w:line="600" w:lineRule="exact"/>
        <w:jc w:val="left"/>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15"/>
          <w:rFonts w:ascii="黑体" w:hAnsi="黑体" w:eastAsia="黑体"/>
          <w:b w:val="0"/>
        </w:rPr>
      </w:pPr>
    </w:p>
    <w:p>
      <w:pPr>
        <w:pStyle w:val="5"/>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en-US" w:eastAsia="zh-CN"/>
        </w:rPr>
        <w:t>车辆租赁费</w:t>
      </w:r>
      <w:r>
        <w:rPr>
          <w:rFonts w:hint="eastAsia" w:ascii="方正小标宋_GBK" w:hAnsi="方正小标宋_GBK" w:eastAsia="方正小标宋_GBK" w:cs="方正小标宋_GBK"/>
          <w:b w:val="0"/>
          <w:bCs w:val="0"/>
          <w:color w:val="000000"/>
          <w:kern w:val="0"/>
          <w:sz w:val="44"/>
          <w:szCs w:val="44"/>
          <w:lang w:val="zh-CN"/>
        </w:rPr>
        <w:t>项目</w:t>
      </w: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eastAsia="zh-CN"/>
        </w:rPr>
        <w:t>1．</w:t>
      </w:r>
      <w:r>
        <w:rPr>
          <w:rFonts w:hint="eastAsia" w:ascii="仿宋_GB2312" w:hAnsi="宋体" w:eastAsia="仿宋_GB2312" w:cs="Times New Roman"/>
          <w:sz w:val="32"/>
          <w:szCs w:val="32"/>
          <w:lang w:val="en-US" w:eastAsia="zh-CN"/>
        </w:rPr>
        <w:t>2020年市接待办更名为市公务服务中心，并划入我办下属事业单位，市公务服务中心职能职责调整为：承担重要公务接待和主要领导外出政务活动、行政事业单位办公用房调配维护、公务用车调配维护、采购、报废、核销等相关事务性工作、公共机构节能相关事务性等工作。随着公车改革的进展，部分车辆核销、归还国企，部分新成立单位没有公车等原因导致公务出行得不到保障，需要向外租赁车辆。</w:t>
      </w:r>
    </w:p>
    <w:p>
      <w:pPr>
        <w:adjustRightInd w:val="0"/>
        <w:snapToGrid w:val="0"/>
        <w:spacing w:line="56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该项目为我单位长期性项目，</w:t>
      </w:r>
      <w:r>
        <w:rPr>
          <w:rFonts w:hint="eastAsia" w:ascii="仿宋_GB2312" w:hAnsi="宋体" w:eastAsia="仿宋_GB2312"/>
          <w:sz w:val="32"/>
          <w:szCs w:val="32"/>
          <w:lang w:val="zh-CN"/>
        </w:rPr>
        <w:t>20</w:t>
      </w:r>
      <w:r>
        <w:rPr>
          <w:rFonts w:hint="eastAsia" w:ascii="仿宋_GB2312" w:hAnsi="宋体" w:eastAsia="仿宋_GB2312"/>
          <w:sz w:val="32"/>
          <w:szCs w:val="32"/>
        </w:rPr>
        <w:t>20</w:t>
      </w:r>
      <w:r>
        <w:rPr>
          <w:rFonts w:hint="eastAsia" w:ascii="仿宋_GB2312" w:hAnsi="宋体" w:eastAsia="仿宋_GB2312"/>
          <w:sz w:val="32"/>
          <w:szCs w:val="32"/>
          <w:lang w:val="zh-CN"/>
        </w:rPr>
        <w:t>年年初我</w:t>
      </w:r>
      <w:r>
        <w:rPr>
          <w:rFonts w:hint="eastAsia" w:ascii="仿宋_GB2312" w:hAnsi="宋体" w:eastAsia="仿宋_GB2312"/>
          <w:sz w:val="32"/>
          <w:szCs w:val="32"/>
          <w:lang w:val="en-US" w:eastAsia="zh-CN"/>
        </w:rPr>
        <w:t>办</w:t>
      </w:r>
      <w:r>
        <w:rPr>
          <w:rFonts w:hint="eastAsia" w:ascii="仿宋_GB2312" w:hAnsi="宋体" w:eastAsia="仿宋_GB2312"/>
          <w:sz w:val="32"/>
          <w:szCs w:val="32"/>
          <w:lang w:val="zh-CN"/>
        </w:rPr>
        <w:t>按严格预算编制要求，对车辆租赁费项目进行预算编制，经市政府同意，报峨眉山市人民代表大会会议批准通过。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1．项目主要内容：</w:t>
      </w:r>
      <w:r>
        <w:rPr>
          <w:rFonts w:hint="eastAsia" w:ascii="仿宋_GB2312" w:hAnsi="宋体" w:eastAsia="仿宋_GB2312" w:cs="Times New Roman"/>
          <w:sz w:val="32"/>
          <w:szCs w:val="32"/>
          <w:lang w:val="en-US" w:eastAsia="zh-CN"/>
        </w:rPr>
        <w:t>按照峨眉山市公务出行保障办法，租赁汽车开展公务出行活动。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2．通过预算编制，规划绩效目标：</w:t>
      </w:r>
      <w:r>
        <w:rPr>
          <w:rFonts w:hint="eastAsia" w:ascii="仿宋_GB2312" w:hAnsi="宋体" w:eastAsia="仿宋_GB2312" w:cs="Times New Roman"/>
          <w:sz w:val="32"/>
          <w:szCs w:val="32"/>
          <w:lang w:val="en-US" w:eastAsia="zh-CN"/>
        </w:rPr>
        <w:t>通过租赁汽车，保障机关事业单位公务出行。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rPr>
      </w:pPr>
      <w:r>
        <w:rPr>
          <w:rFonts w:hint="eastAsia" w:ascii="仿宋_GB2312" w:hAnsi="宋体" w:eastAsia="仿宋_GB2312" w:cs="Times New Roman"/>
          <w:sz w:val="32"/>
          <w:szCs w:val="32"/>
          <w:lang w:val="zh-CN"/>
        </w:rPr>
        <w:t>3．</w:t>
      </w:r>
      <w:r>
        <w:rPr>
          <w:rFonts w:hint="eastAsia" w:ascii="仿宋_GB2312" w:hAnsi="宋体" w:eastAsia="仿宋_GB2312" w:cs="Times New Roman"/>
          <w:sz w:val="32"/>
          <w:szCs w:val="32"/>
          <w:lang w:val="en-US" w:eastAsia="zh-CN"/>
        </w:rPr>
        <w:t>在公车调配不足的情况下，在规定范围内，严格执行一事一租原则，租赁符合公务出行的社会车辆，保障公务活动开展。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资金到位。财政拨款2020年预算</w:t>
      </w:r>
      <w:r>
        <w:rPr>
          <w:rFonts w:hint="eastAsia" w:ascii="仿宋_GB2312" w:hAnsi="宋体" w:eastAsia="仿宋_GB2312"/>
          <w:sz w:val="32"/>
          <w:szCs w:val="32"/>
          <w:lang w:val="en-US" w:eastAsia="zh-CN"/>
        </w:rPr>
        <w:t>50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调整预算27.09万元</w:t>
      </w:r>
      <w:r>
        <w:rPr>
          <w:rFonts w:hint="eastAsia" w:ascii="仿宋_GB2312" w:hAnsi="宋体" w:eastAsia="仿宋_GB2312"/>
          <w:sz w:val="32"/>
          <w:szCs w:val="32"/>
          <w:lang w:val="zh-CN"/>
        </w:rPr>
        <w:t>），经市人代会会议结束后到位。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val="0"/>
          <w:bCs/>
          <w:sz w:val="32"/>
          <w:szCs w:val="32"/>
          <w:lang w:val="zh-CN" w:eastAsia="zh-CN"/>
        </w:rPr>
      </w:pPr>
      <w:r>
        <w:rPr>
          <w:rFonts w:hint="eastAsia" w:ascii="楷体_GB2312" w:hAnsi="宋体" w:eastAsia="楷体_GB2312" w:cs="Times New Roman"/>
          <w:b w:val="0"/>
          <w:bCs/>
          <w:sz w:val="32"/>
          <w:szCs w:val="32"/>
          <w:lang w:val="zh-CN"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经费使用</w:t>
      </w:r>
      <w:r>
        <w:rPr>
          <w:rFonts w:hint="eastAsia" w:ascii="仿宋_GB2312" w:hAnsi="宋体" w:eastAsia="仿宋_GB2312"/>
          <w:sz w:val="32"/>
          <w:szCs w:val="32"/>
          <w:lang w:val="en-US" w:eastAsia="zh-CN"/>
        </w:rPr>
        <w:t>27.09</w:t>
      </w:r>
      <w:r>
        <w:rPr>
          <w:rFonts w:hint="eastAsia" w:ascii="仿宋_GB2312" w:hAnsi="宋体" w:eastAsia="仿宋_GB2312"/>
          <w:sz w:val="32"/>
          <w:szCs w:val="32"/>
          <w:lang w:val="zh-CN"/>
        </w:rPr>
        <w:t>万元，使用率100%，</w:t>
      </w:r>
      <w:r>
        <w:rPr>
          <w:rFonts w:hint="eastAsia" w:ascii="仿宋_GB2312" w:hAnsi="宋体" w:eastAsia="仿宋_GB2312"/>
          <w:sz w:val="32"/>
          <w:szCs w:val="32"/>
          <w:lang w:val="en-US" w:eastAsia="zh-CN"/>
        </w:rPr>
        <w:t>主要用于支付胜利镇、扶贫开发协会、教育局、农业农村局等车辆租赁费</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该项目管理工作</w:t>
      </w:r>
      <w:r>
        <w:rPr>
          <w:rFonts w:hint="eastAsia" w:ascii="仿宋_GB2312" w:hAnsi="宋体" w:eastAsia="仿宋_GB2312" w:cs="Times New Roman"/>
          <w:sz w:val="32"/>
          <w:szCs w:val="32"/>
          <w:lang w:val="zh-CN" w:eastAsia="zh-CN"/>
        </w:rPr>
        <w:t>财务管理制度健全、机构设置合规、会计核算及账务处理(并入政府办统一核算)合法。对照项目资金管理办法，</w:t>
      </w:r>
      <w:r>
        <w:rPr>
          <w:rFonts w:hint="eastAsia" w:ascii="仿宋_GB2312" w:hAnsi="宋体" w:eastAsia="仿宋_GB2312" w:cs="Times New Roman"/>
          <w:sz w:val="32"/>
          <w:szCs w:val="32"/>
          <w:lang w:val="en-US" w:eastAsia="zh-CN"/>
        </w:rPr>
        <w:t>经费项目管理工作</w:t>
      </w:r>
      <w:r>
        <w:rPr>
          <w:rFonts w:hint="eastAsia" w:ascii="仿宋_GB2312" w:hAnsi="宋体" w:eastAsia="仿宋_GB2312" w:cs="Times New Roman"/>
          <w:sz w:val="32"/>
          <w:szCs w:val="32"/>
          <w:lang w:val="zh-CN" w:eastAsia="zh-CN"/>
        </w:rPr>
        <w:t>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我市公务服务中心负责统筹管理和安排车辆租赁费使用，对申请租赁费的单位统一考察、审核，车辆租赁单位的确在公车不能满足使用，而公务出行业务十分重要的情况下，才予以划拨部分车辆租赁费。同时，对车辆租赁单位租赁情况进行监督，保证租赁费使用效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四、项目绩效情况</w:t>
      </w:r>
      <w:r>
        <w:rPr>
          <w:rFonts w:hint="eastAsia" w:ascii="仿宋_GB2312" w:hAnsi="宋体" w:eastAsia="仿宋_GB2312"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全年共计8个单位使用车辆租赁费，租赁和使用公车。</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en-US" w:eastAsia="zh-CN"/>
        </w:rPr>
        <w:t>结合年初制定目标，该项目执行总体评价优</w:t>
      </w:r>
      <w:r>
        <w:rPr>
          <w:rFonts w:hint="eastAsia" w:ascii="仿宋_GB2312" w:hAnsi="宋体" w:eastAsia="仿宋_GB2312"/>
          <w:sz w:val="32"/>
          <w:szCs w:val="32"/>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pStyle w:val="5"/>
        <w:numPr>
          <w:ilvl w:val="0"/>
          <w:numId w:val="0"/>
        </w:numPr>
        <w:rPr>
          <w:rFonts w:hint="default" w:eastAsia="仿宋_GB2312"/>
          <w:lang w:val="en-US" w:eastAsia="zh-CN"/>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 xml:space="preserve">   </w:t>
      </w:r>
      <w:r>
        <w:rPr>
          <w:rFonts w:hint="eastAsia" w:hAnsi="宋体" w:cs="Times New Roman"/>
          <w:kern w:val="2"/>
          <w:sz w:val="32"/>
          <w:szCs w:val="32"/>
          <w:lang w:val="en-US" w:eastAsia="zh-CN" w:bidi="ar-SA"/>
        </w:rPr>
        <w:t>租赁单位司机不在公务服务中心管理范围内，有时司机交通安全意识不过关，导致租赁车辆违章。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spacing w:line="600" w:lineRule="exact"/>
        <w:ind w:firstLine="640"/>
        <w:textAlignment w:val="auto"/>
        <w:rPr>
          <w:rFonts w:hint="default" w:ascii="仿宋_GB2312" w:hAnsi="仿宋_GB2312" w:eastAsia="仿宋_GB2312" w:cs="仿宋_GB2312"/>
          <w:sz w:val="32"/>
          <w:szCs w:val="32"/>
          <w:lang w:val="en-US"/>
        </w:rPr>
      </w:pPr>
      <w:r>
        <w:rPr>
          <w:rFonts w:hint="eastAsia" w:ascii="仿宋_GB2312" w:hAnsi="宋体" w:eastAsia="仿宋_GB2312"/>
          <w:sz w:val="32"/>
          <w:szCs w:val="32"/>
          <w:lang w:val="en-US" w:eastAsia="zh-CN"/>
        </w:rPr>
        <w:t>对每个租赁单位进行交通安全知识宣传，要求加强司机管理，租赁车辆固定驾驶人员，保障人员和车辆安全。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pStyle w:val="2"/>
        <w:rPr>
          <w:rStyle w:val="15"/>
          <w:rFonts w:ascii="黑体" w:hAnsi="黑体" w:eastAsia="黑体"/>
          <w:b w:val="0"/>
          <w:bCs/>
        </w:rPr>
      </w:pPr>
    </w:p>
    <w:p/>
    <w:p>
      <w:pPr>
        <w:pStyle w:val="5"/>
        <w:rPr>
          <w:rStyle w:val="15"/>
          <w:rFonts w:ascii="黑体" w:hAnsi="黑体" w:eastAsia="黑体"/>
          <w:b w:val="0"/>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Style w:val="15"/>
          <w:rFonts w:ascii="黑体" w:hAnsi="黑体" w:eastAsia="黑体"/>
          <w:b w:val="0"/>
        </w:rPr>
      </w:pP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en-US" w:eastAsia="zh-CN"/>
        </w:rPr>
        <w:t>公车平台运行维护费</w:t>
      </w:r>
      <w:r>
        <w:rPr>
          <w:rFonts w:hint="eastAsia" w:ascii="方正小标宋_GBK" w:hAnsi="方正小标宋_GBK" w:eastAsia="方正小标宋_GBK" w:cs="方正小标宋_GBK"/>
          <w:b w:val="0"/>
          <w:bCs w:val="0"/>
          <w:color w:val="000000"/>
          <w:kern w:val="0"/>
          <w:sz w:val="44"/>
          <w:szCs w:val="44"/>
          <w:lang w:val="zh-CN"/>
        </w:rPr>
        <w:t>项目</w:t>
      </w: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Fonts w:hint="eastAsia" w:ascii="方正小标宋_GBK" w:hAnsi="方正小标宋_GBK" w:eastAsia="方正小标宋_GBK" w:cs="方正小标宋_GBK"/>
          <w:b w:val="0"/>
          <w:bCs w:val="0"/>
          <w:color w:val="000000"/>
          <w:kern w:val="0"/>
          <w:sz w:val="44"/>
          <w:szCs w:val="44"/>
          <w:lang w:val="zh-CN"/>
        </w:rPr>
        <w:t>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1．2020年市接待办更名为市公务服务中心，并划入我办下属事业单位，市公务服务中心职能职责调整为：承担重要公务接待和主要领导外出政务活动、行政事业单位办公用房调配维护、公务用车调配维护、采购、报废、核销等相关事务性工作、公共机构节能相关事务性等工作。</w:t>
      </w:r>
      <w:r>
        <w:rPr>
          <w:rFonts w:hint="eastAsia" w:ascii="仿宋_GB2312" w:hAnsi="宋体" w:eastAsia="仿宋_GB2312" w:cs="Times New Roman"/>
          <w:sz w:val="32"/>
          <w:szCs w:val="32"/>
          <w:lang w:val="en-US" w:eastAsia="zh-CN"/>
        </w:rPr>
        <w:t>全市公务用车调配管理由市公务服务中心统一管理。归口我办统一管理的公车维修保养、保险、燃油由公务服务中心集中采购，统一从公车平台运行维护费中列支。</w:t>
      </w:r>
    </w:p>
    <w:p>
      <w:pPr>
        <w:adjustRightInd w:val="0"/>
        <w:snapToGrid w:val="0"/>
        <w:spacing w:line="56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该项目为我单位长期性项目，</w:t>
      </w:r>
      <w:r>
        <w:rPr>
          <w:rFonts w:hint="eastAsia" w:ascii="仿宋_GB2312" w:hAnsi="宋体" w:eastAsia="仿宋_GB2312"/>
          <w:sz w:val="32"/>
          <w:szCs w:val="32"/>
          <w:lang w:val="zh-CN"/>
        </w:rPr>
        <w:t>20</w:t>
      </w:r>
      <w:r>
        <w:rPr>
          <w:rFonts w:hint="eastAsia" w:ascii="仿宋_GB2312" w:hAnsi="宋体" w:eastAsia="仿宋_GB2312"/>
          <w:sz w:val="32"/>
          <w:szCs w:val="32"/>
        </w:rPr>
        <w:t>20</w:t>
      </w:r>
      <w:r>
        <w:rPr>
          <w:rFonts w:hint="eastAsia" w:ascii="仿宋_GB2312" w:hAnsi="宋体" w:eastAsia="仿宋_GB2312"/>
          <w:sz w:val="32"/>
          <w:szCs w:val="32"/>
          <w:lang w:val="zh-CN"/>
        </w:rPr>
        <w:t>年年初我</w:t>
      </w:r>
      <w:r>
        <w:rPr>
          <w:rFonts w:hint="eastAsia" w:ascii="仿宋_GB2312" w:hAnsi="宋体" w:eastAsia="仿宋_GB2312"/>
          <w:sz w:val="32"/>
          <w:szCs w:val="32"/>
          <w:lang w:val="en-US" w:eastAsia="zh-CN"/>
        </w:rPr>
        <w:t>办</w:t>
      </w:r>
      <w:r>
        <w:rPr>
          <w:rFonts w:hint="eastAsia" w:ascii="仿宋_GB2312" w:hAnsi="宋体" w:eastAsia="仿宋_GB2312"/>
          <w:sz w:val="32"/>
          <w:szCs w:val="32"/>
          <w:lang w:val="zh-CN"/>
        </w:rPr>
        <w:t>按严格预算编制要求，对公车平台运行维护费</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进行预算编制，经市政府同意，报峨眉山市人民代表大会会议批准通过。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1．项目主要内容：</w:t>
      </w:r>
      <w:r>
        <w:rPr>
          <w:rFonts w:hint="eastAsia" w:ascii="仿宋_GB2312" w:hAnsi="宋体" w:eastAsia="仿宋_GB2312" w:cs="Times New Roman"/>
          <w:sz w:val="32"/>
          <w:szCs w:val="32"/>
          <w:lang w:val="en-US" w:eastAsia="zh-CN"/>
        </w:rPr>
        <w:t>由我单位统一归口管理的公车全年的</w:t>
      </w:r>
      <w:r>
        <w:rPr>
          <w:rFonts w:hint="eastAsia" w:ascii="仿宋_GB2312" w:hAnsi="宋体" w:eastAsia="仿宋_GB2312" w:cs="Times New Roman"/>
          <w:sz w:val="32"/>
          <w:szCs w:val="32"/>
          <w:lang w:val="zh-CN"/>
        </w:rPr>
        <w:t>维修保养、保险、燃油、</w:t>
      </w:r>
      <w:r>
        <w:rPr>
          <w:rFonts w:hint="eastAsia" w:ascii="仿宋_GB2312" w:hAnsi="宋体" w:eastAsia="仿宋_GB2312" w:cs="Times New Roman"/>
          <w:sz w:val="32"/>
          <w:szCs w:val="32"/>
          <w:lang w:val="en-US" w:eastAsia="zh-CN"/>
        </w:rPr>
        <w:t>过路费等费用。</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仿宋_GB2312" w:hAnsi="宋体" w:eastAsia="仿宋_GB2312" w:cs="Times New Roman"/>
          <w:sz w:val="32"/>
          <w:szCs w:val="32"/>
          <w:lang w:val="zh-CN"/>
        </w:rPr>
        <w:t>2．通过预算编制，规划绩效目标：</w:t>
      </w:r>
      <w:r>
        <w:rPr>
          <w:rFonts w:hint="eastAsia" w:ascii="仿宋_GB2312" w:hAnsi="宋体" w:eastAsia="仿宋_GB2312" w:cs="Times New Roman"/>
          <w:sz w:val="32"/>
          <w:szCs w:val="32"/>
          <w:lang w:val="en-US" w:eastAsia="zh-CN"/>
        </w:rPr>
        <w:t>通过规范管理，保障机关事业单位公务出行，通过定期保养，保持公务用车的良好状态。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资金到位。</w:t>
      </w:r>
      <w:r>
        <w:rPr>
          <w:rFonts w:hint="eastAsia" w:ascii="仿宋_GB2312" w:hAnsi="宋体" w:eastAsia="仿宋_GB2312" w:cs="Times New Roman"/>
          <w:sz w:val="32"/>
          <w:szCs w:val="32"/>
          <w:lang w:val="en-US" w:eastAsia="zh-CN"/>
        </w:rPr>
        <w:t>行政权力平台运行维护费</w:t>
      </w:r>
      <w:r>
        <w:rPr>
          <w:rFonts w:hint="eastAsia" w:ascii="仿宋_GB2312" w:hAnsi="宋体" w:eastAsia="仿宋_GB2312"/>
          <w:sz w:val="32"/>
          <w:szCs w:val="32"/>
          <w:lang w:val="zh-CN"/>
        </w:rPr>
        <w:t>财政拨款2020年预算</w:t>
      </w:r>
      <w:r>
        <w:rPr>
          <w:rFonts w:hint="eastAsia" w:ascii="仿宋_GB2312" w:hAnsi="宋体" w:eastAsia="仿宋_GB2312"/>
          <w:sz w:val="32"/>
          <w:szCs w:val="32"/>
          <w:lang w:val="en-US" w:eastAsia="zh-CN"/>
        </w:rPr>
        <w:t>370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调整预算218.44万元</w:t>
      </w:r>
      <w:r>
        <w:rPr>
          <w:rFonts w:hint="eastAsia" w:ascii="仿宋_GB2312" w:hAnsi="宋体" w:eastAsia="仿宋_GB2312"/>
          <w:sz w:val="32"/>
          <w:szCs w:val="32"/>
          <w:lang w:val="zh-CN"/>
        </w:rPr>
        <w:t>），经市人代会会议结束后到位。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val="0"/>
          <w:bCs/>
          <w:sz w:val="32"/>
          <w:szCs w:val="32"/>
          <w:lang w:val="zh-CN" w:eastAsia="zh-CN"/>
        </w:rPr>
      </w:pPr>
      <w:r>
        <w:rPr>
          <w:rFonts w:hint="eastAsia" w:ascii="楷体_GB2312" w:hAnsi="宋体" w:eastAsia="楷体_GB2312" w:cs="Times New Roman"/>
          <w:b w:val="0"/>
          <w:bCs/>
          <w:sz w:val="32"/>
          <w:szCs w:val="32"/>
          <w:lang w:val="zh-CN"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cs="Times New Roman"/>
          <w:sz w:val="32"/>
          <w:szCs w:val="32"/>
          <w:lang w:val="en-US" w:eastAsia="zh-CN"/>
        </w:rPr>
        <w:t>行政权力平台运行维护费</w:t>
      </w:r>
      <w:r>
        <w:rPr>
          <w:rFonts w:hint="eastAsia" w:ascii="仿宋_GB2312" w:hAnsi="宋体" w:eastAsia="仿宋_GB2312"/>
          <w:sz w:val="32"/>
          <w:szCs w:val="32"/>
          <w:lang w:val="zh-CN"/>
        </w:rPr>
        <w:t>经费使用</w:t>
      </w:r>
      <w:r>
        <w:rPr>
          <w:rFonts w:hint="eastAsia" w:ascii="仿宋_GB2312" w:hAnsi="宋体" w:eastAsia="仿宋_GB2312"/>
          <w:sz w:val="32"/>
          <w:szCs w:val="32"/>
          <w:lang w:val="en-US" w:eastAsia="zh-CN"/>
        </w:rPr>
        <w:t>218.44</w:t>
      </w:r>
      <w:r>
        <w:rPr>
          <w:rFonts w:hint="eastAsia" w:ascii="仿宋_GB2312" w:hAnsi="宋体" w:eastAsia="仿宋_GB2312"/>
          <w:sz w:val="32"/>
          <w:szCs w:val="32"/>
          <w:lang w:val="zh-CN"/>
        </w:rPr>
        <w:t>万元，使用率100%，</w:t>
      </w:r>
      <w:r>
        <w:rPr>
          <w:rFonts w:hint="eastAsia" w:ascii="仿宋_GB2312" w:hAnsi="宋体" w:eastAsia="仿宋_GB2312"/>
          <w:sz w:val="32"/>
          <w:szCs w:val="32"/>
          <w:lang w:val="en-US" w:eastAsia="zh-CN"/>
        </w:rPr>
        <w:t>主要用于挚友等汽车修理厂车辆维修保养费用、太平洋保险等保险公司车辆保险费、中石油车辆燃油费、etc过路费等</w:t>
      </w:r>
      <w:r>
        <w:rPr>
          <w:rFonts w:hint="eastAsia" w:ascii="仿宋_GB2312" w:hAnsi="宋体" w:eastAsia="仿宋_GB2312"/>
          <w:sz w:val="32"/>
          <w:szCs w:val="32"/>
          <w:lang w:val="zh-CN"/>
        </w:rPr>
        <w:t>。</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该项目管理工作</w:t>
      </w:r>
      <w:r>
        <w:rPr>
          <w:rFonts w:hint="eastAsia" w:ascii="仿宋_GB2312" w:hAnsi="宋体" w:eastAsia="仿宋_GB2312" w:cs="Times New Roman"/>
          <w:sz w:val="32"/>
          <w:szCs w:val="32"/>
          <w:lang w:val="zh-CN" w:eastAsia="zh-CN"/>
        </w:rPr>
        <w:t>财务管理制度健全、机构设置合规、会计核算及账务处理(并入政府办统一核算)合法。对照项目资金管理办法，</w:t>
      </w:r>
      <w:r>
        <w:rPr>
          <w:rFonts w:hint="eastAsia" w:ascii="仿宋_GB2312" w:hAnsi="宋体" w:eastAsia="仿宋_GB2312" w:cs="Times New Roman"/>
          <w:sz w:val="32"/>
          <w:szCs w:val="32"/>
          <w:lang w:val="en-US" w:eastAsia="zh-CN"/>
        </w:rPr>
        <w:t>经费项目管理工作</w:t>
      </w:r>
      <w:r>
        <w:rPr>
          <w:rFonts w:hint="eastAsia" w:ascii="仿宋_GB2312" w:hAnsi="宋体" w:eastAsia="仿宋_GB2312" w:cs="Times New Roman"/>
          <w:sz w:val="32"/>
          <w:szCs w:val="32"/>
          <w:lang w:val="zh-CN" w:eastAsia="zh-CN"/>
        </w:rPr>
        <w:t>严格执行财务管理制度、财务处理及时、会计核算规范。</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三、项目实施及管理情况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我市公务服务中心负责统筹管理和安排车辆使用，严格落实公务用车编制、配备、使用和监督管理要求，提升公务用车管理水平。强化公车科学调度，提高车辆使用效率，降低运行成本。  </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rPr>
      </w:pPr>
      <w:r>
        <w:rPr>
          <w:rFonts w:hint="eastAsia" w:ascii="黑体" w:hAnsi="宋体" w:eastAsia="黑体" w:cs="Times New Roman"/>
          <w:sz w:val="32"/>
          <w:szCs w:val="32"/>
          <w:lang w:val="zh-CN"/>
        </w:rPr>
        <w:t>四、项目绩效情况</w:t>
      </w:r>
      <w:r>
        <w:rPr>
          <w:rFonts w:hint="eastAsia" w:ascii="黑体" w:hAnsi="宋体" w:eastAsia="黑体" w:cs="Times New Roman"/>
          <w:sz w:val="32"/>
          <w:szCs w:val="32"/>
          <w:lang w:val="zh-CN"/>
        </w:rPr>
        <w:tab/>
      </w:r>
    </w:p>
    <w:p>
      <w:pPr>
        <w:spacing w:line="560" w:lineRule="exact"/>
        <w:ind w:firstLine="641"/>
        <w:rPr>
          <w:rFonts w:hint="eastAsia" w:ascii="仿宋_GB2312" w:hAnsi="宋体" w:eastAsia="仿宋_GB2312" w:cs="Times New Roman"/>
          <w:sz w:val="32"/>
          <w:szCs w:val="32"/>
        </w:rPr>
      </w:pPr>
      <w:r>
        <w:rPr>
          <w:rFonts w:hint="eastAsia" w:ascii="仿宋_GB2312" w:hAnsi="宋体" w:eastAsia="仿宋_GB2312" w:cs="Times New Roman"/>
          <w:sz w:val="32"/>
          <w:szCs w:val="32"/>
          <w:lang w:val="en-US" w:eastAsia="zh-CN"/>
        </w:rPr>
        <w:t>圆满完成防汛、环保、扶贫、应急等紧要工作用车任务，车辆运行费用较去年下降34%。加强司勤人员的教育管理，引导驾驶员安全出车、文明行车，提升公车服务形象。全年公车平台共出车10500次，未发生一起安全责任事故。</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en-US" w:eastAsia="zh-CN"/>
        </w:rPr>
        <w:t>结合年初制定目标，该项目执行总体评价优</w:t>
      </w:r>
      <w:r>
        <w:rPr>
          <w:rFonts w:hint="eastAsia" w:ascii="仿宋_GB2312" w:hAnsi="宋体" w:eastAsia="仿宋_GB2312"/>
          <w:sz w:val="32"/>
          <w:szCs w:val="32"/>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pStyle w:val="5"/>
        <w:numPr>
          <w:ilvl w:val="0"/>
          <w:numId w:val="0"/>
        </w:numPr>
        <w:rPr>
          <w:rFonts w:hint="default" w:eastAsia="仿宋_GB2312"/>
          <w:lang w:val="en-US" w:eastAsia="zh-CN"/>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 xml:space="preserve">   </w:t>
      </w:r>
      <w:r>
        <w:rPr>
          <w:rFonts w:hint="eastAsia" w:hAnsi="宋体" w:cs="Times New Roman"/>
          <w:kern w:val="2"/>
          <w:sz w:val="32"/>
          <w:szCs w:val="32"/>
          <w:lang w:val="en-US" w:eastAsia="zh-CN" w:bidi="ar-SA"/>
        </w:rPr>
        <w:t>部分司机对路线不熟悉，导致行车路线有时不合理，造成浪费。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spacing w:line="600" w:lineRule="exact"/>
        <w:ind w:firstLine="64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市公务服务中心加强司机管理培训，提高业务水平。</w:t>
      </w:r>
    </w:p>
    <w:p>
      <w:pPr>
        <w:keepNext w:val="0"/>
        <w:keepLines w:val="0"/>
        <w:pageBreakBefore w:val="0"/>
        <w:kinsoku/>
        <w:wordWrap/>
        <w:overflowPunct/>
        <w:topLinePunct w:val="0"/>
        <w:autoSpaceDE/>
        <w:autoSpaceDN/>
        <w:bidi w:val="0"/>
        <w:spacing w:line="600" w:lineRule="exact"/>
        <w:jc w:val="center"/>
        <w:textAlignment w:val="auto"/>
        <w:rPr>
          <w:rFonts w:hint="eastAsia" w:ascii="方正小标宋_GBK" w:hAnsi="方正小标宋_GBK" w:eastAsia="方正小标宋_GBK" w:cs="方正小标宋_GBK"/>
          <w:b w:val="0"/>
          <w:bCs w:val="0"/>
          <w:color w:val="000000"/>
          <w:kern w:val="0"/>
          <w:sz w:val="44"/>
          <w:szCs w:val="44"/>
          <w:lang w:val="zh-CN"/>
        </w:rPr>
      </w:pPr>
      <w:r>
        <w:rPr>
          <w:rStyle w:val="15"/>
          <w:rFonts w:ascii="黑体" w:hAnsi="黑体" w:eastAsia="黑体"/>
          <w:b w:val="0"/>
        </w:rPr>
        <w:br w:type="page"/>
      </w:r>
      <w:r>
        <w:rPr>
          <w:rStyle w:val="15"/>
          <w:rFonts w:hint="eastAsia" w:ascii="黑体" w:hAnsi="黑体" w:eastAsia="黑体"/>
          <w:b w:val="0"/>
        </w:rPr>
        <w:t>道路交通整治办公室专项业务费</w:t>
      </w:r>
      <w:r>
        <w:rPr>
          <w:rFonts w:hint="eastAsia" w:ascii="方正小标宋_GBK" w:hAnsi="方正小标宋_GBK" w:eastAsia="方正小标宋_GBK" w:cs="方正小标宋_GBK"/>
          <w:b w:val="0"/>
          <w:bCs w:val="0"/>
          <w:color w:val="000000"/>
          <w:kern w:val="0"/>
          <w:sz w:val="44"/>
          <w:szCs w:val="44"/>
          <w:lang w:val="zh-CN"/>
        </w:rPr>
        <w:t>项目</w:t>
      </w:r>
      <w:r>
        <w:rPr>
          <w:rFonts w:hint="eastAsia" w:ascii="方正小标宋_GBK" w:hAnsi="方正小标宋_GBK" w:eastAsia="方正小标宋_GBK" w:cs="方正小标宋_GBK"/>
          <w:b w:val="0"/>
          <w:bCs w:val="0"/>
          <w:color w:val="000000"/>
          <w:kern w:val="0"/>
          <w:sz w:val="44"/>
          <w:szCs w:val="44"/>
        </w:rPr>
        <w:t>2020年</w:t>
      </w:r>
      <w:r>
        <w:rPr>
          <w:rFonts w:hint="eastAsia" w:ascii="方正小标宋_GBK" w:hAnsi="方正小标宋_GBK" w:eastAsia="方正小标宋_GBK" w:cs="方正小标宋_GBK"/>
          <w:b w:val="0"/>
          <w:bCs w:val="0"/>
          <w:color w:val="000000"/>
          <w:kern w:val="0"/>
          <w:sz w:val="44"/>
          <w:szCs w:val="44"/>
          <w:lang w:val="zh-CN"/>
        </w:rPr>
        <w:t>绩效评价报告</w:t>
      </w:r>
    </w:p>
    <w:p>
      <w:pPr>
        <w:keepNext w:val="0"/>
        <w:keepLines w:val="0"/>
        <w:pageBreakBefore w:val="0"/>
        <w:kinsoku/>
        <w:wordWrap/>
        <w:overflowPunct/>
        <w:topLinePunct w:val="0"/>
        <w:autoSpaceDE/>
        <w:autoSpaceDN/>
        <w:bidi w:val="0"/>
        <w:spacing w:line="600" w:lineRule="exact"/>
        <w:textAlignment w:val="auto"/>
        <w:rPr>
          <w:rFonts w:ascii="宋体"/>
          <w:sz w:val="32"/>
          <w:szCs w:val="32"/>
          <w:lang w:val="zh-CN"/>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1．</w:t>
      </w:r>
      <w:r>
        <w:rPr>
          <w:rFonts w:hint="eastAsia" w:ascii="仿宋_GB2312" w:hAnsi="宋体" w:eastAsia="仿宋_GB2312" w:cs="Times New Roman"/>
          <w:sz w:val="32"/>
          <w:szCs w:val="32"/>
          <w:lang w:val="en-US" w:eastAsia="zh-CN"/>
        </w:rPr>
        <w:t>我办负责管理和指导道路交通安全委员会办公室日常工作。</w:t>
      </w:r>
    </w:p>
    <w:p>
      <w:pPr>
        <w:adjustRightInd w:val="0"/>
        <w:snapToGrid w:val="0"/>
        <w:spacing w:line="560" w:lineRule="exact"/>
        <w:ind w:firstLine="640" w:firstLineChars="200"/>
        <w:rPr>
          <w:rFonts w:hint="eastAsia" w:ascii="仿宋_GB2312" w:hAnsi="宋体" w:eastAsia="仿宋_GB2312"/>
          <w:sz w:val="32"/>
          <w:szCs w:val="32"/>
          <w:lang w:val="zh-CN"/>
        </w:rPr>
      </w:pPr>
      <w:r>
        <w:rPr>
          <w:rFonts w:ascii="仿宋_GB2312" w:hAnsi="宋体" w:eastAsia="仿宋_GB2312"/>
          <w:sz w:val="32"/>
          <w:szCs w:val="32"/>
          <w:lang w:val="zh-CN"/>
        </w:rPr>
        <w:t>2</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该项目为我单位长期性项目，</w:t>
      </w:r>
      <w:r>
        <w:rPr>
          <w:rFonts w:hint="eastAsia" w:ascii="仿宋_GB2312" w:hAnsi="宋体" w:eastAsia="仿宋_GB2312"/>
          <w:sz w:val="32"/>
          <w:szCs w:val="32"/>
          <w:lang w:val="zh-CN"/>
        </w:rPr>
        <w:t>20</w:t>
      </w:r>
      <w:r>
        <w:rPr>
          <w:rFonts w:hint="eastAsia" w:ascii="仿宋_GB2312" w:hAnsi="宋体" w:eastAsia="仿宋_GB2312"/>
          <w:sz w:val="32"/>
          <w:szCs w:val="32"/>
        </w:rPr>
        <w:t>20</w:t>
      </w:r>
      <w:r>
        <w:rPr>
          <w:rFonts w:hint="eastAsia" w:ascii="仿宋_GB2312" w:hAnsi="宋体" w:eastAsia="仿宋_GB2312"/>
          <w:sz w:val="32"/>
          <w:szCs w:val="32"/>
          <w:lang w:val="zh-CN"/>
        </w:rPr>
        <w:t>年年初我</w:t>
      </w:r>
      <w:r>
        <w:rPr>
          <w:rFonts w:hint="eastAsia" w:ascii="仿宋_GB2312" w:hAnsi="宋体" w:eastAsia="仿宋_GB2312"/>
          <w:sz w:val="32"/>
          <w:szCs w:val="32"/>
          <w:lang w:val="en-US" w:eastAsia="zh-CN"/>
        </w:rPr>
        <w:t>办</w:t>
      </w:r>
      <w:r>
        <w:rPr>
          <w:rFonts w:hint="eastAsia" w:ascii="仿宋_GB2312" w:hAnsi="宋体" w:eastAsia="仿宋_GB2312"/>
          <w:sz w:val="32"/>
          <w:szCs w:val="32"/>
          <w:lang w:val="zh-CN"/>
        </w:rPr>
        <w:t>按严格预算编制要求，对道路交通整治办公室专项业务费项目进行预算编制，经市政府同意，报峨眉山市人民代表大会会议批准通过。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1．项目主要内容：</w:t>
      </w:r>
      <w:r>
        <w:rPr>
          <w:rFonts w:hint="eastAsia" w:ascii="仿宋_GB2312" w:hAnsi="宋体" w:eastAsia="仿宋_GB2312" w:cs="Times New Roman"/>
          <w:sz w:val="32"/>
          <w:szCs w:val="32"/>
          <w:lang w:val="en-US" w:eastAsia="zh-CN"/>
        </w:rPr>
        <w:t>通过加强宣传、检查、监督的方式，开展道路交通安全整治。</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zh-CN"/>
        </w:rPr>
        <w:t>2．通过预算编制，规划绩效目标：</w:t>
      </w:r>
      <w:r>
        <w:rPr>
          <w:rFonts w:hint="eastAsia" w:ascii="仿宋_GB2312" w:hAnsi="宋体" w:eastAsia="仿宋_GB2312" w:cs="Times New Roman"/>
          <w:sz w:val="32"/>
          <w:szCs w:val="32"/>
          <w:lang w:val="en-US" w:eastAsia="zh-CN"/>
        </w:rPr>
        <w:t>通过印发宣传资料、到实地宣传、重点路段检查、督查等方式，强化安全意识，提高安全水平。</w:t>
      </w:r>
    </w:p>
    <w:p>
      <w:pPr>
        <w:pStyle w:val="5"/>
        <w:ind w:firstLine="640" w:firstLineChars="200"/>
        <w:rPr>
          <w:rFonts w:hint="default" w:ascii="仿宋_GB2312" w:hAnsi="宋体" w:eastAsia="仿宋_GB2312" w:cs="Times New Roman"/>
          <w:kern w:val="2"/>
          <w:sz w:val="32"/>
          <w:szCs w:val="32"/>
          <w:lang w:val="en-US" w:eastAsia="zh-CN" w:bidi="ar-SA"/>
        </w:rPr>
      </w:pPr>
      <w:r>
        <w:rPr>
          <w:rFonts w:hint="eastAsia" w:ascii="仿宋_GB2312" w:hAnsi="宋体" w:eastAsia="仿宋_GB2312" w:cs="Times New Roman"/>
          <w:kern w:val="2"/>
          <w:sz w:val="32"/>
          <w:szCs w:val="32"/>
          <w:lang w:val="en-US" w:eastAsia="zh-CN" w:bidi="ar-SA"/>
        </w:rPr>
        <w:t>3.</w:t>
      </w:r>
      <w:r>
        <w:rPr>
          <w:rFonts w:hint="eastAsia" w:hAnsi="宋体" w:cs="Times New Roman"/>
          <w:kern w:val="2"/>
          <w:sz w:val="32"/>
          <w:szCs w:val="32"/>
          <w:lang w:val="en-US" w:eastAsia="zh-CN" w:bidi="ar-SA"/>
        </w:rPr>
        <w:t>我市国道、省道纵横，每年由于不遵守交通规则导致的交通事故和安全隐患很多，为了提高司机和路人的交通安全意识，不时进行安全宣传十分必要。</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二、项目资金申报及使用情况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sz w:val="32"/>
          <w:szCs w:val="32"/>
          <w:lang w:val="zh-CN"/>
        </w:rPr>
      </w:pPr>
      <w:r>
        <w:rPr>
          <w:rFonts w:hint="eastAsia" w:ascii="仿宋_GB2312" w:hAnsi="宋体" w:eastAsia="仿宋_GB2312"/>
          <w:sz w:val="32"/>
          <w:szCs w:val="32"/>
          <w:lang w:val="zh-CN"/>
        </w:rPr>
        <w:t>资金到位。道路交通整治办公室专项业务费</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财政拨款2020年预算</w:t>
      </w:r>
      <w:r>
        <w:rPr>
          <w:rFonts w:hint="eastAsia" w:ascii="仿宋_GB2312" w:hAnsi="宋体" w:eastAsia="仿宋_GB2312"/>
          <w:sz w:val="32"/>
          <w:szCs w:val="32"/>
          <w:lang w:val="en-US" w:eastAsia="zh-CN"/>
        </w:rPr>
        <w:t>20</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调整预算12.88万元</w:t>
      </w:r>
      <w:r>
        <w:rPr>
          <w:rFonts w:hint="eastAsia" w:ascii="仿宋_GB2312" w:hAnsi="宋体" w:eastAsia="仿宋_GB2312"/>
          <w:sz w:val="32"/>
          <w:szCs w:val="32"/>
          <w:lang w:val="zh-CN"/>
        </w:rPr>
        <w:t>），经市人代会会议结束后到位。</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cs="Times New Roman"/>
          <w:b w:val="0"/>
          <w:bCs/>
          <w:sz w:val="32"/>
          <w:szCs w:val="32"/>
          <w:lang w:val="zh-CN" w:eastAsia="zh-CN"/>
        </w:rPr>
      </w:pPr>
      <w:r>
        <w:rPr>
          <w:rFonts w:hint="eastAsia" w:ascii="楷体_GB2312" w:hAnsi="宋体" w:eastAsia="楷体_GB2312" w:cs="Times New Roman"/>
          <w:b w:val="0"/>
          <w:bCs/>
          <w:sz w:val="32"/>
          <w:szCs w:val="32"/>
          <w:lang w:val="zh-CN" w:eastAsia="zh-CN"/>
        </w:rPr>
        <w:t>（二）资金计划、到位及使用情况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default" w:ascii="仿宋_GB2312" w:hAnsi="宋体" w:eastAsia="仿宋_GB2312"/>
          <w:sz w:val="32"/>
          <w:szCs w:val="32"/>
          <w:lang w:val="en-US" w:eastAsia="zh-CN"/>
        </w:rPr>
      </w:pPr>
      <w:r>
        <w:rPr>
          <w:rFonts w:hint="eastAsia" w:ascii="仿宋_GB2312" w:hAnsi="宋体" w:eastAsia="仿宋_GB2312"/>
          <w:sz w:val="32"/>
          <w:szCs w:val="32"/>
          <w:lang w:val="zh-CN"/>
        </w:rPr>
        <w:t>道路交通整治办公室专项业务费使用</w:t>
      </w:r>
      <w:r>
        <w:rPr>
          <w:rFonts w:hint="eastAsia" w:ascii="仿宋_GB2312" w:hAnsi="宋体" w:eastAsia="仿宋_GB2312"/>
          <w:sz w:val="32"/>
          <w:szCs w:val="32"/>
          <w:lang w:val="en-US" w:eastAsia="zh-CN"/>
        </w:rPr>
        <w:t>12.88</w:t>
      </w:r>
      <w:r>
        <w:rPr>
          <w:rFonts w:hint="eastAsia" w:ascii="仿宋_GB2312" w:hAnsi="宋体" w:eastAsia="仿宋_GB2312"/>
          <w:sz w:val="32"/>
          <w:szCs w:val="32"/>
          <w:lang w:val="zh-CN"/>
        </w:rPr>
        <w:t>万元，使用率100%，</w:t>
      </w:r>
      <w:r>
        <w:rPr>
          <w:rFonts w:hint="eastAsia" w:ascii="仿宋_GB2312" w:hAnsi="宋体" w:eastAsia="仿宋_GB2312"/>
          <w:sz w:val="32"/>
          <w:szCs w:val="32"/>
          <w:lang w:val="en-US" w:eastAsia="zh-CN"/>
        </w:rPr>
        <w:t>主要用于支付道安办办公室宣传资料印刷费、宣传和检查工作加班餐费、办公耗材费等费用。</w:t>
      </w:r>
    </w:p>
    <w:p>
      <w:pPr>
        <w:keepNext w:val="0"/>
        <w:keepLines w:val="0"/>
        <w:pageBreakBefore w:val="0"/>
        <w:tabs>
          <w:tab w:val="left" w:pos="7824"/>
        </w:tabs>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（三）项目财务管理情况</w:t>
      </w:r>
      <w:r>
        <w:rPr>
          <w:rFonts w:hint="eastAsia" w:ascii="楷体_GB2312" w:hAnsi="宋体" w:eastAsia="楷体_GB2312"/>
          <w:b w:val="0"/>
          <w:bCs/>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zh-CN" w:eastAsia="zh-CN"/>
        </w:rPr>
      </w:pPr>
      <w:r>
        <w:rPr>
          <w:rFonts w:hint="eastAsia" w:ascii="仿宋_GB2312" w:hAnsi="宋体" w:eastAsia="仿宋_GB2312" w:cs="Times New Roman"/>
          <w:sz w:val="32"/>
          <w:szCs w:val="32"/>
          <w:lang w:val="en-US" w:eastAsia="zh-CN"/>
        </w:rPr>
        <w:t>该项目管理工作</w:t>
      </w:r>
      <w:r>
        <w:rPr>
          <w:rFonts w:hint="eastAsia" w:ascii="仿宋_GB2312" w:hAnsi="宋体" w:eastAsia="仿宋_GB2312" w:cs="Times New Roman"/>
          <w:sz w:val="32"/>
          <w:szCs w:val="32"/>
          <w:lang w:val="zh-CN" w:eastAsia="zh-CN"/>
        </w:rPr>
        <w:t>财务管理制度健全、机构设置合规、会计核算及账务处理(并入政府办统一核算)合法。对照项目资金管理办法，</w:t>
      </w:r>
      <w:r>
        <w:rPr>
          <w:rFonts w:hint="eastAsia" w:ascii="仿宋_GB2312" w:hAnsi="宋体" w:eastAsia="仿宋_GB2312" w:cs="Times New Roman"/>
          <w:sz w:val="32"/>
          <w:szCs w:val="32"/>
          <w:lang w:val="en-US" w:eastAsia="zh-CN"/>
        </w:rPr>
        <w:t>经费项目管理工作</w:t>
      </w:r>
      <w:r>
        <w:rPr>
          <w:rFonts w:hint="eastAsia" w:ascii="仿宋_GB2312" w:hAnsi="宋体" w:eastAsia="仿宋_GB2312" w:cs="Times New Roman"/>
          <w:sz w:val="32"/>
          <w:szCs w:val="32"/>
          <w:lang w:val="zh-CN" w:eastAsia="zh-CN"/>
        </w:rPr>
        <w:t>严格执行财务管理制度、财务处理及时、会计核算规范。</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pPr>
      <w:r>
        <w:rPr>
          <w:rFonts w:hint="eastAsia" w:ascii="黑体" w:hAnsi="宋体" w:eastAsia="黑体"/>
          <w:sz w:val="32"/>
          <w:szCs w:val="32"/>
          <w:lang w:val="en-US" w:eastAsia="zh-CN"/>
        </w:rPr>
        <w:t>三、</w:t>
      </w:r>
      <w:r>
        <w:rPr>
          <w:rFonts w:hint="eastAsia" w:ascii="黑体" w:hAnsi="宋体" w:eastAsia="黑体"/>
          <w:sz w:val="32"/>
          <w:szCs w:val="32"/>
        </w:rPr>
        <w:t>项目实施及管理情况</w:t>
      </w:r>
    </w:p>
    <w:p>
      <w:pPr>
        <w:pStyle w:val="5"/>
        <w:rPr>
          <w:rFonts w:hint="eastAsia" w:hAnsi="宋体"/>
          <w:sz w:val="32"/>
          <w:szCs w:val="32"/>
          <w:lang w:val="en-US" w:eastAsia="zh-CN"/>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 xml:space="preserve">    </w:t>
      </w:r>
      <w:r>
        <w:rPr>
          <w:rFonts w:hint="eastAsia" w:hAnsi="宋体" w:cs="Times New Roman"/>
          <w:kern w:val="2"/>
          <w:sz w:val="32"/>
          <w:szCs w:val="32"/>
          <w:lang w:val="en-US" w:eastAsia="zh-CN" w:bidi="ar-SA"/>
        </w:rPr>
        <w:t>1.由</w:t>
      </w:r>
      <w:r>
        <w:rPr>
          <w:rFonts w:hint="eastAsia" w:hAnsi="宋体"/>
          <w:sz w:val="32"/>
          <w:szCs w:val="32"/>
          <w:lang w:val="en-US" w:eastAsia="zh-CN"/>
        </w:rPr>
        <w:t>道安办负责，收集和印刷宣传资料，组织各乡镇道安办及交通劝导员在重点路段分发和宣传交规宣传资料。</w:t>
      </w:r>
    </w:p>
    <w:p>
      <w:pPr>
        <w:pStyle w:val="5"/>
        <w:ind w:firstLine="640"/>
        <w:rPr>
          <w:rFonts w:hint="default" w:hAnsi="宋体"/>
          <w:sz w:val="32"/>
          <w:szCs w:val="32"/>
          <w:lang w:val="en-US" w:eastAsia="zh-CN"/>
        </w:rPr>
      </w:pPr>
      <w:r>
        <w:rPr>
          <w:rFonts w:hint="eastAsia" w:hAnsi="宋体"/>
          <w:sz w:val="32"/>
          <w:szCs w:val="32"/>
          <w:lang w:val="en-US" w:eastAsia="zh-CN"/>
        </w:rPr>
        <w:t>2.由道安办组织，每月不少于1次交通安全知识宣传活动，到事故频发路段、学校、街道等组织活动。</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left="640" w:leftChars="0"/>
        <w:textAlignment w:val="auto"/>
        <w:rPr>
          <w:rFonts w:hint="eastAsia"/>
          <w:lang w:val="zh-CN"/>
        </w:rPr>
      </w:pPr>
      <w:r>
        <w:rPr>
          <w:rFonts w:hint="eastAsia" w:ascii="黑体" w:hAnsi="宋体" w:eastAsia="黑体" w:cs="Times New Roman"/>
          <w:sz w:val="32"/>
          <w:szCs w:val="32"/>
          <w:lang w:val="en-US" w:eastAsia="zh-CN"/>
        </w:rPr>
        <w:t>四、</w:t>
      </w:r>
      <w:r>
        <w:rPr>
          <w:rFonts w:hint="eastAsia" w:ascii="黑体" w:hAnsi="宋体" w:eastAsia="黑体" w:cs="Times New Roman"/>
          <w:sz w:val="32"/>
          <w:szCs w:val="32"/>
          <w:lang w:val="zh-CN"/>
        </w:rPr>
        <w:t>项目绩效情况</w:t>
      </w:r>
      <w:r>
        <w:rPr>
          <w:rFonts w:hint="eastAsia" w:ascii="黑体" w:hAnsi="宋体" w:eastAsia="黑体" w:cs="Times New Roman"/>
          <w:sz w:val="32"/>
          <w:szCs w:val="32"/>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全年集中开展交通安全知识宣传活动12次，活动受众50000人次。</w:t>
      </w:r>
    </w:p>
    <w:p>
      <w:pPr>
        <w:pStyle w:val="5"/>
        <w:ind w:firstLine="640" w:firstLineChars="200"/>
        <w:rPr>
          <w:rFonts w:hint="default"/>
          <w:lang w:val="en-US" w:eastAsia="zh-CN"/>
        </w:rPr>
      </w:pPr>
      <w:r>
        <w:rPr>
          <w:rFonts w:hint="eastAsia" w:hAnsi="宋体" w:cs="Times New Roman"/>
          <w:sz w:val="32"/>
          <w:szCs w:val="32"/>
          <w:lang w:val="en-US" w:eastAsia="zh-CN"/>
        </w:rPr>
        <w:t>全年印发各类宣传资料15万份，极大提高了交通安全意识。</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黑体" w:hAnsi="宋体" w:eastAsia="黑体"/>
          <w:sz w:val="32"/>
          <w:szCs w:val="32"/>
        </w:rPr>
      </w:pPr>
      <w:r>
        <w:rPr>
          <w:rFonts w:hint="eastAsia" w:ascii="黑体" w:hAnsi="宋体" w:eastAsia="黑体"/>
          <w:sz w:val="32"/>
          <w:szCs w:val="32"/>
        </w:rPr>
        <w:t>五、评价结论及建议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sz w:val="32"/>
          <w:szCs w:val="32"/>
          <w:bdr w:val="single" w:color="auto" w:sz="4" w:space="0"/>
          <w:lang w:val="zh-CN"/>
        </w:rPr>
      </w:pPr>
      <w:r>
        <w:rPr>
          <w:rFonts w:hint="eastAsia" w:ascii="仿宋_GB2312" w:hAnsi="宋体" w:eastAsia="仿宋_GB2312"/>
          <w:sz w:val="32"/>
          <w:szCs w:val="32"/>
          <w:lang w:val="en-US" w:eastAsia="zh-CN"/>
        </w:rPr>
        <w:t>结合年初制定目标，该项目执行总体评价优</w:t>
      </w:r>
      <w:r>
        <w:rPr>
          <w:rFonts w:hint="eastAsia" w:ascii="仿宋_GB2312" w:hAnsi="宋体" w:eastAsia="仿宋_GB2312"/>
          <w:sz w:val="32"/>
          <w:szCs w:val="32"/>
          <w:lang w:val="zh-CN"/>
        </w:rPr>
        <w:t>。</w:t>
      </w:r>
    </w:p>
    <w:p>
      <w:pPr>
        <w:keepNext w:val="0"/>
        <w:keepLines w:val="0"/>
        <w:pageBreakBefore w:val="0"/>
        <w:numPr>
          <w:ilvl w:val="0"/>
          <w:numId w:val="6"/>
        </w:numPr>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val="0"/>
          <w:bCs/>
          <w:sz w:val="32"/>
          <w:szCs w:val="32"/>
          <w:lang w:val="zh-CN"/>
        </w:rPr>
      </w:pPr>
      <w:r>
        <w:rPr>
          <w:rFonts w:hint="eastAsia" w:ascii="楷体_GB2312" w:hAnsi="宋体" w:eastAsia="楷体_GB2312"/>
          <w:b w:val="0"/>
          <w:bCs/>
          <w:sz w:val="32"/>
          <w:szCs w:val="32"/>
          <w:lang w:val="zh-CN"/>
        </w:rPr>
        <w:t>存在的问题</w:t>
      </w:r>
    </w:p>
    <w:p>
      <w:pPr>
        <w:pStyle w:val="5"/>
        <w:numPr>
          <w:ilvl w:val="0"/>
          <w:numId w:val="0"/>
        </w:numPr>
        <w:rPr>
          <w:rFonts w:hint="default" w:eastAsia="仿宋_GB2312"/>
          <w:lang w:val="en-US" w:eastAsia="zh-CN"/>
        </w:rPr>
      </w:pPr>
      <w:r>
        <w:rPr>
          <w:rFonts w:hint="eastAsia"/>
          <w:lang w:val="en-US" w:eastAsia="zh-CN"/>
        </w:rPr>
        <w:t xml:space="preserve">   </w:t>
      </w:r>
      <w:r>
        <w:rPr>
          <w:rFonts w:hint="eastAsia" w:ascii="仿宋_GB2312" w:hAnsi="宋体" w:eastAsia="仿宋_GB2312" w:cs="Times New Roman"/>
          <w:kern w:val="2"/>
          <w:sz w:val="32"/>
          <w:szCs w:val="32"/>
          <w:lang w:val="en-US" w:eastAsia="zh-CN" w:bidi="ar-SA"/>
        </w:rPr>
        <w:t xml:space="preserve">   </w:t>
      </w:r>
      <w:r>
        <w:rPr>
          <w:rFonts w:hint="eastAsia" w:hAnsi="宋体" w:cs="Times New Roman"/>
          <w:kern w:val="2"/>
          <w:sz w:val="32"/>
          <w:szCs w:val="32"/>
          <w:lang w:val="en-US" w:eastAsia="zh-CN" w:bidi="ar-SA"/>
        </w:rPr>
        <w:t>租赁单位司机不在公务服务中心管理范围内，有时司机交通安全意识不过关，导致租赁车辆违章。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val="0"/>
          <w:bCs/>
          <w:sz w:val="32"/>
          <w:szCs w:val="32"/>
          <w:lang w:val="zh-CN"/>
        </w:rPr>
      </w:pPr>
      <w:r>
        <w:rPr>
          <w:rFonts w:hint="eastAsia" w:ascii="楷体_GB2312" w:hAnsi="宋体" w:eastAsia="楷体_GB2312"/>
          <w:b w:val="0"/>
          <w:bCs/>
          <w:sz w:val="32"/>
          <w:szCs w:val="32"/>
          <w:lang w:val="zh-CN"/>
        </w:rPr>
        <w:t>（三）相关建议</w:t>
      </w:r>
    </w:p>
    <w:p>
      <w:pPr>
        <w:keepNext w:val="0"/>
        <w:keepLines w:val="0"/>
        <w:pageBreakBefore w:val="0"/>
        <w:kinsoku/>
        <w:wordWrap/>
        <w:overflowPunct/>
        <w:topLinePunct w:val="0"/>
        <w:autoSpaceDE/>
        <w:autoSpaceDN/>
        <w:bidi w:val="0"/>
        <w:spacing w:line="600" w:lineRule="exact"/>
        <w:ind w:firstLine="640"/>
        <w:textAlignment w:val="auto"/>
        <w:rPr>
          <w:rFonts w:hint="default" w:ascii="仿宋_GB2312" w:hAnsi="仿宋_GB2312" w:eastAsia="仿宋_GB2312" w:cs="仿宋_GB2312"/>
          <w:sz w:val="32"/>
          <w:szCs w:val="32"/>
          <w:lang w:val="en-US"/>
        </w:rPr>
      </w:pPr>
      <w:r>
        <w:rPr>
          <w:rFonts w:hint="eastAsia" w:ascii="仿宋_GB2312" w:hAnsi="宋体" w:eastAsia="仿宋_GB2312"/>
          <w:sz w:val="32"/>
          <w:szCs w:val="32"/>
          <w:lang w:val="en-US" w:eastAsia="zh-CN"/>
        </w:rPr>
        <w:t>对每个租赁单位进行交通安全知识宣传，要求加强司机管理，租赁车辆固定驾驶人员，保障人员和车辆安全。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Style w:val="15"/>
          <w:rFonts w:ascii="黑体" w:hAnsi="黑体" w:eastAsia="黑体"/>
          <w:b w:val="0"/>
        </w:rPr>
        <w:br w:type="page"/>
      </w:r>
      <w:bookmarkStart w:id="59" w:name="_Toc15396618"/>
      <w:r>
        <w:rPr>
          <w:rFonts w:hint="eastAsia" w:ascii="方正小标宋_GBK" w:hAnsi="方正小标宋_GBK" w:eastAsia="方正小标宋_GBK" w:cs="方正小标宋_GBK"/>
          <w:sz w:val="44"/>
          <w:szCs w:val="44"/>
        </w:rPr>
        <w:t>第五部分 附表</w:t>
      </w:r>
      <w:bookmarkEnd w:id="58"/>
      <w:bookmarkEnd w:id="59"/>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0" w:name="_Toc15396619"/>
      <w:r>
        <w:rPr>
          <w:rFonts w:hint="eastAsia" w:ascii="仿宋_GB2312" w:hAnsi="仿宋_GB2312" w:eastAsia="仿宋_GB2312" w:cs="仿宋_GB2312"/>
          <w:sz w:val="32"/>
          <w:szCs w:val="32"/>
        </w:rPr>
        <w:t>一、收入支出决算总表</w:t>
      </w:r>
      <w:bookmarkEnd w:id="6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1" w:name="_Toc15396620"/>
      <w:r>
        <w:rPr>
          <w:rFonts w:hint="eastAsia" w:ascii="仿宋_GB2312" w:hAnsi="仿宋_GB2312" w:eastAsia="仿宋_GB2312" w:cs="仿宋_GB2312"/>
          <w:sz w:val="32"/>
          <w:szCs w:val="32"/>
        </w:rPr>
        <w:t>二、收入决算表</w:t>
      </w:r>
      <w:bookmarkEnd w:id="6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2" w:name="_Toc15396621"/>
      <w:r>
        <w:rPr>
          <w:rFonts w:hint="eastAsia" w:ascii="仿宋_GB2312" w:hAnsi="仿宋_GB2312" w:eastAsia="仿宋_GB2312" w:cs="仿宋_GB2312"/>
          <w:sz w:val="32"/>
          <w:szCs w:val="32"/>
        </w:rPr>
        <w:t>三、支出决算表</w:t>
      </w:r>
      <w:bookmarkEnd w:id="62"/>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3" w:name="_Toc15396622"/>
      <w:r>
        <w:rPr>
          <w:rFonts w:hint="eastAsia" w:ascii="仿宋_GB2312" w:hAnsi="仿宋_GB2312" w:eastAsia="仿宋_GB2312" w:cs="仿宋_GB2312"/>
          <w:sz w:val="32"/>
          <w:szCs w:val="32"/>
        </w:rPr>
        <w:t>四、财政拨款收入支出决算总表</w:t>
      </w:r>
      <w:bookmarkEnd w:id="6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4" w:name="_Toc15396623"/>
      <w:r>
        <w:rPr>
          <w:rFonts w:hint="eastAsia" w:ascii="仿宋_GB2312" w:hAnsi="仿宋_GB2312" w:eastAsia="仿宋_GB2312" w:cs="仿宋_GB2312"/>
          <w:sz w:val="32"/>
          <w:szCs w:val="32"/>
        </w:rPr>
        <w:t>五、财政拨款支出决算明细表</w:t>
      </w:r>
      <w:bookmarkEnd w:id="64"/>
      <w:bookmarkStart w:id="65" w:name="_Toc15396624"/>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6" w:name="_Toc15396625"/>
      <w:r>
        <w:rPr>
          <w:rFonts w:hint="eastAsia" w:ascii="仿宋_GB2312" w:hAnsi="仿宋_GB2312" w:eastAsia="仿宋_GB2312" w:cs="仿宋_GB2312"/>
          <w:sz w:val="32"/>
          <w:szCs w:val="32"/>
        </w:rPr>
        <w:t>七、一般公共预算财政拨款支出决算明细表</w:t>
      </w:r>
      <w:bookmarkEnd w:id="6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7" w:name="_Toc15396626"/>
      <w:r>
        <w:rPr>
          <w:rFonts w:hint="eastAsia" w:ascii="仿宋_GB2312" w:hAnsi="仿宋_GB2312" w:eastAsia="仿宋_GB2312" w:cs="仿宋_GB2312"/>
          <w:sz w:val="32"/>
          <w:szCs w:val="32"/>
        </w:rPr>
        <w:t>八、一般公共预算财政拨款基本支出决算表</w:t>
      </w:r>
      <w:bookmarkEnd w:id="67"/>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8" w:name="_Toc15396627"/>
      <w:r>
        <w:rPr>
          <w:rFonts w:hint="eastAsia" w:ascii="仿宋_GB2312" w:hAnsi="仿宋_GB2312" w:eastAsia="仿宋_GB2312" w:cs="仿宋_GB2312"/>
          <w:sz w:val="32"/>
          <w:szCs w:val="32"/>
        </w:rPr>
        <w:t>九、一般公共预算财政拨款项目支出决算表</w:t>
      </w:r>
      <w:bookmarkEnd w:id="68"/>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69" w:name="_Toc15396628"/>
      <w:r>
        <w:rPr>
          <w:rFonts w:hint="eastAsia" w:ascii="仿宋_GB2312" w:hAnsi="仿宋_GB2312" w:eastAsia="仿宋_GB2312" w:cs="仿宋_GB2312"/>
          <w:sz w:val="32"/>
          <w:szCs w:val="32"/>
        </w:rPr>
        <w:t>十、一般公共预算财政拨款“三公”经费支出决算表</w:t>
      </w:r>
      <w:bookmarkEnd w:id="6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0" w:name="_Toc15396629"/>
      <w:r>
        <w:rPr>
          <w:rFonts w:hint="eastAsia" w:ascii="仿宋_GB2312" w:hAnsi="仿宋_GB2312" w:eastAsia="仿宋_GB2312" w:cs="仿宋_GB2312"/>
          <w:sz w:val="32"/>
          <w:szCs w:val="32"/>
        </w:rPr>
        <w:t>十一、政府性基金预算财政拨款收入支出决算表</w:t>
      </w:r>
      <w:bookmarkEnd w:id="7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1" w:name="_Toc15396630"/>
      <w:r>
        <w:rPr>
          <w:rFonts w:hint="eastAsia" w:ascii="仿宋_GB2312" w:hAnsi="仿宋_GB2312" w:eastAsia="仿宋_GB2312" w:cs="仿宋_GB2312"/>
          <w:sz w:val="32"/>
          <w:szCs w:val="32"/>
        </w:rPr>
        <w:t>十二、政府性基金预算财政拨款“三公”经费支出决算表</w:t>
      </w:r>
      <w:bookmarkEnd w:id="71"/>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bookmarkStart w:id="72" w:name="_Toc15396631"/>
      <w:r>
        <w:rPr>
          <w:rFonts w:hint="eastAsia" w:ascii="仿宋_GB2312" w:hAnsi="仿宋_GB2312" w:eastAsia="仿宋_GB2312" w:cs="仿宋_GB2312"/>
          <w:sz w:val="32"/>
          <w:szCs w:val="32"/>
        </w:rPr>
        <w:t>十三、国有资本经营预算财政拨款支出决算表</w:t>
      </w:r>
      <w:bookmarkEnd w:id="72"/>
    </w:p>
    <w:p/>
    <w:sectPr>
      <w:headerReference r:id="rId3" w:type="default"/>
      <w:footerReference r:id="rId4" w:type="default"/>
      <w:pgSz w:w="11906" w:h="16838"/>
      <w:pgMar w:top="2041" w:right="1469" w:bottom="1587" w:left="1469" w:header="851" w:footer="1134" w:gutter="0"/>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-133350</wp:posOffset>
              </wp:positionV>
              <wp:extent cx="1037590" cy="28130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037590" cy="281305"/>
                      </a:xfrm>
                      <a:prstGeom prst="rect">
                        <a:avLst/>
                      </a:prstGeom>
                      <a:noFill/>
                      <a:ln>
                        <a:noFill/>
                      </a:ln>
                    </wps:spPr>
                    <wps:txbx>
                      <w:txbxContent>
                        <w:p>
                          <w:pPr>
                            <w:pStyle w:val="6"/>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lIns="0" tIns="0" rIns="0" bIns="0" upright="false"/>
                  </wps:wsp>
                </a:graphicData>
              </a:graphic>
            </wp:anchor>
          </w:drawing>
        </mc:Choice>
        <mc:Fallback>
          <w:pict>
            <v:shape id="_x0000_s1026" o:spid="_x0000_s1026" o:spt="202" type="#_x0000_t202" style="position:absolute;left:0pt;margin-top:-10.5pt;height:22.15pt;width:81.7pt;mso-position-horizontal:outside;mso-position-horizontal-relative:margin;z-index:251658240;mso-width-relative:page;mso-height-relative:page;" filled="f" stroked="f" coordsize="21600,21600" o:gfxdata="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BYAAABkcnMvUEsBAhQAFAAAAAgA&#10;h07iQIvnObzWAAAABwEAAA8AAAAAAAAAAQAgAAAAOAAAAGRycy9kb3ducmV2LnhtbFBLAQIUABQA&#10;AAAIAIdO4kD77tloowEAACsDAAAOAAAAAAAAAAEAIAAAADsBAABkcnMvZTJvRG9jLnhtbFBLBQYA&#10;AAAABgAGAFkBAABQBQAAAAA=&#10;">
              <v:fill on="f" focussize="0,0"/>
              <v:stroke on="f"/>
              <v:imagedata o:title=""/>
              <o:lock v:ext="edit" aspectratio="f"/>
              <v:textbox inset="0mm,0mm,0mm,0mm">
                <w:txbxContent>
                  <w:p>
                    <w:pPr>
                      <w:pStyle w:val="6"/>
                      <w:ind w:firstLine="280" w:firstLineChars="10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0D11A"/>
    <w:multiLevelType w:val="singleLevel"/>
    <w:tmpl w:val="9B80D11A"/>
    <w:lvl w:ilvl="0" w:tentative="0">
      <w:start w:val="2"/>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18FBAE2A"/>
    <w:multiLevelType w:val="singleLevel"/>
    <w:tmpl w:val="18FBAE2A"/>
    <w:lvl w:ilvl="0" w:tentative="0">
      <w:start w:val="1"/>
      <w:numFmt w:val="decimal"/>
      <w:suff w:val="nothing"/>
      <w:lvlText w:val="%1．"/>
      <w:lvlJc w:val="left"/>
    </w:lvl>
  </w:abstractNum>
  <w:abstractNum w:abstractNumId="4">
    <w:nsid w:val="242953B0"/>
    <w:multiLevelType w:val="singleLevel"/>
    <w:tmpl w:val="242953B0"/>
    <w:lvl w:ilvl="0" w:tentative="0">
      <w:start w:val="2"/>
      <w:numFmt w:val="chineseCounting"/>
      <w:suff w:val="nothing"/>
      <w:lvlText w:val="（%1）"/>
      <w:lvlJc w:val="left"/>
      <w:rPr>
        <w:rFonts w:hint="eastAsia"/>
      </w:rPr>
    </w:lvl>
  </w:abstractNum>
  <w:abstractNum w:abstractNumId="5">
    <w:nsid w:val="74C29652"/>
    <w:multiLevelType w:val="singleLevel"/>
    <w:tmpl w:val="74C29652"/>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B45888"/>
    <w:rsid w:val="011E718D"/>
    <w:rsid w:val="04676E7B"/>
    <w:rsid w:val="060B5AC7"/>
    <w:rsid w:val="06664CE4"/>
    <w:rsid w:val="0679221A"/>
    <w:rsid w:val="1324308B"/>
    <w:rsid w:val="132D59BC"/>
    <w:rsid w:val="13E95494"/>
    <w:rsid w:val="13FC76EF"/>
    <w:rsid w:val="15065401"/>
    <w:rsid w:val="163E4880"/>
    <w:rsid w:val="1FF52E66"/>
    <w:rsid w:val="233C57EE"/>
    <w:rsid w:val="23D34EE2"/>
    <w:rsid w:val="2627056E"/>
    <w:rsid w:val="33F41075"/>
    <w:rsid w:val="36207155"/>
    <w:rsid w:val="37924CD1"/>
    <w:rsid w:val="41FE3C7D"/>
    <w:rsid w:val="45DE333B"/>
    <w:rsid w:val="495D0B59"/>
    <w:rsid w:val="49BF0202"/>
    <w:rsid w:val="4DB45888"/>
    <w:rsid w:val="4DE41D50"/>
    <w:rsid w:val="56035AAB"/>
    <w:rsid w:val="585943AA"/>
    <w:rsid w:val="5B811B0B"/>
    <w:rsid w:val="5EB67FA7"/>
    <w:rsid w:val="63F618EC"/>
    <w:rsid w:val="680C4A5B"/>
    <w:rsid w:val="6DBE26AF"/>
    <w:rsid w:val="6F395861"/>
    <w:rsid w:val="71226D93"/>
    <w:rsid w:val="72E95484"/>
    <w:rsid w:val="76CE26C0"/>
    <w:rsid w:val="7BF21E48"/>
    <w:rsid w:val="DEFF9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qFormat/>
    <w:uiPriority w:val="9"/>
    <w:pPr>
      <w:keepNext/>
      <w:keepLines/>
      <w:spacing w:before="260" w:after="260" w:line="416" w:lineRule="auto"/>
      <w:outlineLvl w:val="1"/>
    </w:pPr>
    <w:rPr>
      <w:rFonts w:ascii="Cambria" w:hAnsi="Cambria"/>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5">
    <w:name w:val="Body Text"/>
    <w:basedOn w:val="1"/>
    <w:qFormat/>
    <w:uiPriority w:val="99"/>
    <w:pPr>
      <w:spacing w:beforeLines="30"/>
    </w:pPr>
    <w:rPr>
      <w:rFonts w:ascii="仿宋_GB2312" w:eastAsia="仿宋_GB2312"/>
      <w:kern w:val="0"/>
      <w:sz w:val="24"/>
      <w:szCs w:val="20"/>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able of figures"/>
    <w:basedOn w:val="1"/>
    <w:next w:val="1"/>
    <w:qFormat/>
    <w:uiPriority w:val="99"/>
    <w:pPr>
      <w:ind w:left="200" w:leftChars="200" w:hanging="200" w:hangingChars="200"/>
    </w:pPr>
  </w:style>
  <w:style w:type="paragraph" w:styleId="10">
    <w:name w:val="toc 2"/>
    <w:basedOn w:val="1"/>
    <w:next w:val="1"/>
    <w:unhideWhenUsed/>
    <w:qFormat/>
    <w:uiPriority w:val="39"/>
    <w:pPr>
      <w:tabs>
        <w:tab w:val="right" w:leader="dot" w:pos="8296"/>
      </w:tabs>
      <w:ind w:left="420" w:leftChars="200"/>
    </w:pPr>
  </w:style>
  <w:style w:type="character" w:styleId="13">
    <w:name w:val="Strong"/>
    <w:basedOn w:val="12"/>
    <w:qFormat/>
    <w:uiPriority w:val="99"/>
    <w:rPr>
      <w:rFonts w:cs="Times New Roman"/>
      <w:b/>
    </w:rPr>
  </w:style>
  <w:style w:type="character" w:styleId="14">
    <w:name w:val="Hyperlink"/>
    <w:unhideWhenUsed/>
    <w:qFormat/>
    <w:uiPriority w:val="99"/>
    <w:rPr>
      <w:rFonts w:cs="Times New Roman"/>
      <w:color w:val="0000FF"/>
      <w:u w:val="single"/>
    </w:rPr>
  </w:style>
  <w:style w:type="character" w:customStyle="1" w:styleId="15">
    <w:name w:val="标题 1 字符"/>
    <w:link w:val="3"/>
    <w:qFormat/>
    <w:locked/>
    <w:uiPriority w:val="9"/>
    <w:rPr>
      <w:b/>
      <w:bCs/>
      <w:kern w:val="44"/>
      <w:sz w:val="44"/>
      <w:szCs w:val="44"/>
    </w:rPr>
  </w:style>
  <w:style w:type="character" w:customStyle="1" w:styleId="16">
    <w:name w:val="标题 2 字符"/>
    <w:link w:val="4"/>
    <w:qFormat/>
    <w:locked/>
    <w:uiPriority w:val="9"/>
    <w:rPr>
      <w:rFonts w:ascii="Cambria" w:hAnsi="Cambria"/>
      <w:b/>
      <w:bCs/>
      <w:sz w:val="32"/>
      <w:szCs w:val="32"/>
    </w:rPr>
  </w:style>
  <w:style w:type="paragraph" w:customStyle="1"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9">
    <w:name w:val="〖C01〗正文"/>
    <w:basedOn w:val="1"/>
    <w:qFormat/>
    <w:uiPriority w:val="99"/>
    <w:pPr>
      <w:topLinePunct/>
      <w:spacing w:line="600" w:lineRule="exact"/>
      <w:ind w:firstLine="640"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chart" Target="charts/chart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cap="all" baseline="0">
                <a:solidFill>
                  <a:schemeClr val="tx1">
                    <a:lumMod val="65000"/>
                    <a:lumOff val="35000"/>
                  </a:schemeClr>
                </a:solidFill>
                <a:latin typeface="+mn-lt"/>
                <a:ea typeface="+mn-ea"/>
                <a:cs typeface="+mn-cs"/>
              </a:defRPr>
            </a:pPr>
            <a:r>
              <a:t>2020年收入决算结构图</a:t>
            </a:r>
          </a:p>
        </c:rich>
      </c:tx>
      <c:layout>
        <c:manualLayout>
          <c:xMode val="edge"/>
          <c:yMode val="edge"/>
          <c:x val="0.155"/>
          <c:y val="0.0513333333333333"/>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spPr>
              <a:solidFill>
                <a:schemeClr val="accent1"/>
              </a:solidFill>
              <a:ln>
                <a:noFill/>
              </a:ln>
              <a:effectLst>
                <a:outerShdw blurRad="63500" sx="102000" sy="102000" algn="ctr" rotWithShape="0">
                  <a:prstClr val="black">
                    <a:alpha val="20000"/>
                  </a:prstClr>
                </a:outerShdw>
              </a:effectLst>
            </c:spPr>
          </c:dPt>
          <c:dPt>
            <c:idx val="1"/>
            <c:bubble3D val="false"/>
            <c:spPr>
              <a:solidFill>
                <a:schemeClr val="accent2"/>
              </a:solidFill>
              <a:ln>
                <a:noFill/>
              </a:ln>
              <a:effectLst>
                <a:outerShdw blurRad="63500" sx="102000" sy="102000" algn="ctr" rotWithShape="0">
                  <a:prstClr val="black">
                    <a:alpha val="20000"/>
                  </a:prstClr>
                </a:outerShdw>
              </a:effectLst>
            </c:spPr>
          </c:dPt>
          <c:dPt>
            <c:idx val="2"/>
            <c:bubble3D val="false"/>
            <c:spPr>
              <a:solidFill>
                <a:schemeClr val="accent3"/>
              </a:solidFill>
              <a:ln>
                <a:noFill/>
              </a:ln>
              <a:effectLst>
                <a:outerShdw blurRad="63500" sx="102000" sy="102000" algn="ctr" rotWithShape="0">
                  <a:prstClr val="black">
                    <a:alpha val="20000"/>
                  </a:prstClr>
                </a:outerShdw>
              </a:effectLst>
            </c:spPr>
          </c:dPt>
          <c:dPt>
            <c:idx val="3"/>
            <c:bubble3D val="false"/>
            <c:spPr>
              <a:solidFill>
                <a:schemeClr val="accent4"/>
              </a:solidFill>
              <a:ln>
                <a:noFill/>
              </a:ln>
              <a:effectLst>
                <a:outerShdw blurRad="63500" sx="102000" sy="102000" algn="ctr" rotWithShape="0">
                  <a:prstClr val="black">
                    <a:alpha val="20000"/>
                  </a:prstClr>
                </a:outerShdw>
              </a:effectLst>
            </c:spPr>
          </c:dPt>
          <c:dLbls>
            <c:dLbl>
              <c:idx val="0"/>
              <c:layout>
                <c:manualLayout>
                  <c:x val="0.325625"/>
                  <c:y val="-0.144448195928598"/>
                </c:manualLayout>
              </c:layout>
              <c:tx>
                <c:rich>
                  <a:bodyPr rot="0" spcFirstLastPara="0" vertOverflow="ellipsis" vert="horz" wrap="square" lIns="38100" tIns="19050" rIns="38100" bIns="19050" anchor="ctr" anchorCtr="true"/>
                  <a:lstStyle/>
                  <a:p>
                    <a:pPr defTabSz="914400">
                      <a:defRPr lang="zh-CN" sz="1000" b="1" i="0" u="none" strike="noStrike" kern="1200" spc="0" baseline="0">
                        <a:solidFill>
                          <a:schemeClr val="accent1"/>
                        </a:solidFill>
                        <a:latin typeface="+mn-lt"/>
                        <a:ea typeface="+mn-ea"/>
                        <a:cs typeface="+mn-cs"/>
                      </a:defRPr>
                    </a:pPr>
                    <a:r>
                      <a:t>一般公共预算财政拨款98.46%</a:t>
                    </a:r>
                  </a:p>
                </c:rich>
              </c:tx>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delete val="true"/>
            </c:dLbl>
            <c:dLbl>
              <c:idx val="2"/>
              <c:delete val="true"/>
            </c:dLbl>
            <c:dLbl>
              <c:idx val="3"/>
              <c:delete val="true"/>
            </c:dLbl>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out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c:v>
                </c:pt>
                <c:pt idx="1">
                  <c:v>政府性基金预算财政拨款收入</c:v>
                </c:pt>
                <c:pt idx="2">
                  <c:v>上级补助收入</c:v>
                </c:pt>
                <c:pt idx="3">
                  <c:v>事业收入</c:v>
                </c:pt>
              </c:strCache>
            </c:strRef>
          </c:cat>
          <c:val>
            <c:numRef>
              <c:f>Sheet1!$B$2:$B$5</c:f>
              <c:numCache>
                <c:formatCode>General</c:formatCode>
                <c:ptCount val="4"/>
                <c:pt idx="0">
                  <c:v>2151.65</c:v>
                </c:pt>
                <c:pt idx="1">
                  <c:v>8.95</c:v>
                </c:pt>
                <c:pt idx="2">
                  <c:v>0</c:v>
                </c:pt>
                <c:pt idx="3">
                  <c:v>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cap="all"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经费财政拨款支出结构（万元）</a:t>
            </a:r>
            <a:endParaRPr lang="en-US" altLang="zh-CN"/>
          </a:p>
        </c:rich>
      </c:tx>
      <c:layout>
        <c:manualLayout>
          <c:xMode val="edge"/>
          <c:yMode val="edge"/>
          <c:x val="0.191375"/>
          <c:y val="0.0626666666666666"/>
        </c:manualLayout>
      </c:layout>
      <c:overlay val="false"/>
      <c:spPr>
        <a:noFill/>
        <a:ln>
          <a:noFill/>
        </a:ln>
        <a:effectLst/>
      </c:spPr>
    </c:title>
    <c:autoTitleDeleted val="false"/>
    <c:plotArea>
      <c:layout/>
      <c:pieChart>
        <c:varyColors val="true"/>
        <c:ser>
          <c:idx val="0"/>
          <c:order val="0"/>
          <c:tx>
            <c:strRef>
              <c:f>Sheet1!$B$1</c:f>
              <c:strCache>
                <c:ptCount val="1"/>
                <c:pt idx="0">
                  <c:v>销售额</c:v>
                </c:pt>
              </c:strCache>
            </c:strRef>
          </c:tx>
          <c:spPr/>
          <c:explosion val="0"/>
          <c:dPt>
            <c:idx val="0"/>
            <c:bubble3D val="false"/>
            <c:explosion val="0"/>
            <c:spPr>
              <a:solidFill>
                <a:schemeClr val="accent1"/>
              </a:solidFill>
              <a:ln>
                <a:noFill/>
              </a:ln>
              <a:effectLst>
                <a:outerShdw blurRad="63500" sx="102000" sy="102000" algn="ctr" rotWithShape="0">
                  <a:prstClr val="black">
                    <a:alpha val="20000"/>
                  </a:prstClr>
                </a:outerShdw>
              </a:effectLst>
            </c:spPr>
          </c:dPt>
          <c:dPt>
            <c:idx val="1"/>
            <c:bubble3D val="false"/>
            <c:spPr>
              <a:solidFill>
                <a:schemeClr val="accent2"/>
              </a:solidFill>
              <a:ln>
                <a:noFill/>
              </a:ln>
              <a:effectLst>
                <a:outerShdw blurRad="63500" sx="102000" sy="102000" algn="ctr" rotWithShape="0">
                  <a:prstClr val="black">
                    <a:alpha val="20000"/>
                  </a:prstClr>
                </a:outerShdw>
              </a:effectLst>
            </c:spPr>
          </c:dPt>
          <c:dLbls>
            <c:dLbl>
              <c:idx val="0"/>
              <c:layout>
                <c:manualLayout>
                  <c:x val="0.27175461113941"/>
                  <c:y val="-0.131397224982053"/>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manualLayout>
                      <c:w val="0.225125"/>
                      <c:h val="0.190833333333333"/>
                    </c:manualLayout>
                  </c15:layout>
                </c:ext>
              </c:extLst>
            </c:dLbl>
            <c:dLbl>
              <c:idx val="1"/>
              <c:layout>
                <c:manualLayout>
                  <c:x val="-0.17145227869629"/>
                  <c:y val="0.128597878620081"/>
                </c:manualLayout>
              </c:layout>
              <c:numFmt formatCode="General" sourceLinked="true"/>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2"/>
                      </a:solidFill>
                      <a:latin typeface="+mn-lt"/>
                      <a:ea typeface="+mn-ea"/>
                      <a:cs typeface="+mn-cs"/>
                    </a:defRPr>
                  </a:pPr>
                </a:p>
              </c:txPr>
              <c:dLblPos val="bestFit"/>
              <c:showLegendKey val="false"/>
              <c:showVal val="true"/>
              <c:showCatName val="true"/>
              <c:showSerName val="false"/>
              <c:showPercent val="false"/>
              <c:showBubbleSize val="false"/>
              <c:extLst>
                <c:ext xmlns:c15="http://schemas.microsoft.com/office/drawing/2012/chart" uri="{CE6537A1-D6FC-4f65-9D91-7224C49458BB}">
                  <c15:layout>
                    <c:manualLayout>
                      <c:w val="0.144"/>
                      <c:h val="0.154666666666667"/>
                    </c:manualLayout>
                  </c15:layout>
                </c:ext>
              </c:extLst>
            </c:dLbl>
            <c:spPr>
              <a:noFill/>
              <a:ln>
                <a:noFill/>
              </a:ln>
              <a:effectLst/>
            </c:spPr>
            <c:txPr>
              <a:bodyPr rot="0" spcFirstLastPara="0" vertOverflow="ellipsis" vert="horz" wrap="square" lIns="38100" tIns="19050" rIns="38100" bIns="19050" anchor="ctr" anchorCtr="true"/>
              <a:lstStyle/>
              <a:p>
                <a:pPr>
                  <a:defRPr lang="zh-CN" sz="1000" b="1" i="0" u="none" strike="noStrike" kern="1200" spc="0" baseline="0">
                    <a:solidFill>
                      <a:schemeClr val="accent1"/>
                    </a:solidFill>
                    <a:latin typeface="+mn-lt"/>
                    <a:ea typeface="+mn-ea"/>
                    <a:cs typeface="+mn-cs"/>
                  </a:defRPr>
                </a:pPr>
              </a:p>
            </c:txPr>
            <c:dLblPos val="bestFit"/>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公务用车运行维护费</c:v>
                </c:pt>
                <c:pt idx="1">
                  <c:v>国内接待费</c:v>
                </c:pt>
              </c:strCache>
            </c:strRef>
          </c:cat>
          <c:val>
            <c:numRef>
              <c:f>Sheet1!$B$2:$B$3</c:f>
              <c:numCache>
                <c:formatCode>General</c:formatCode>
                <c:ptCount val="2"/>
                <c:pt idx="0">
                  <c:v>220.37</c:v>
                </c:pt>
                <c:pt idx="1">
                  <c:v>19.62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true">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2021-10-21T14:08:00Z</dcterms:created>
  <dc:creator>zfb</dc:creator>
  <cp:lastModifiedBy>user</cp:lastModifiedBy>
  <dcterms:modified xsi:type="dcterms:W3CDTF">2025-07-09T15:27:55Z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