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B93E3">
      <w:pPr>
        <w:spacing w:line="600" w:lineRule="exact"/>
        <w:jc w:val="center"/>
        <w:outlineLvl w:val="0"/>
        <w:rPr>
          <w:rFonts w:ascii="方正小标宋简体" w:hAnsi="宋体" w:eastAsia="方正小标宋简体"/>
          <w:color w:val="000000"/>
          <w:sz w:val="72"/>
          <w:szCs w:val="72"/>
        </w:rPr>
      </w:pPr>
      <w:bookmarkStart w:id="0" w:name="_Toc15306267"/>
    </w:p>
    <w:p w14:paraId="4C142301">
      <w:pPr>
        <w:spacing w:line="600" w:lineRule="exact"/>
        <w:jc w:val="center"/>
        <w:outlineLvl w:val="0"/>
        <w:rPr>
          <w:rFonts w:ascii="方正小标宋简体" w:hAnsi="宋体" w:eastAsia="方正小标宋简体"/>
          <w:color w:val="000000"/>
          <w:sz w:val="72"/>
          <w:szCs w:val="72"/>
        </w:rPr>
      </w:pPr>
    </w:p>
    <w:p w14:paraId="3773F919">
      <w:pPr>
        <w:spacing w:line="600" w:lineRule="exact"/>
        <w:jc w:val="center"/>
        <w:outlineLvl w:val="0"/>
        <w:rPr>
          <w:rFonts w:ascii="方正小标宋简体" w:hAnsi="宋体" w:eastAsia="方正小标宋简体"/>
          <w:color w:val="000000"/>
          <w:sz w:val="72"/>
          <w:szCs w:val="72"/>
        </w:rPr>
      </w:pPr>
    </w:p>
    <w:p w14:paraId="1DA1D24A">
      <w:pPr>
        <w:spacing w:line="600" w:lineRule="exact"/>
        <w:jc w:val="center"/>
        <w:outlineLvl w:val="0"/>
        <w:rPr>
          <w:rFonts w:ascii="方正小标宋简体" w:hAnsi="宋体" w:eastAsia="方正小标宋简体"/>
          <w:color w:val="000000"/>
          <w:sz w:val="72"/>
          <w:szCs w:val="72"/>
        </w:rPr>
      </w:pPr>
    </w:p>
    <w:p w14:paraId="669C9A54">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8441"/>
      <w:bookmarkStart w:id="4" w:name="_Toc15377425"/>
      <w:bookmarkStart w:id="5" w:name="_Toc15396597"/>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14:paraId="5D7284A5">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194"/>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峨眉山市应急管理局部门决算</w:t>
      </w:r>
      <w:bookmarkEnd w:id="6"/>
      <w:bookmarkEnd w:id="7"/>
      <w:bookmarkEnd w:id="8"/>
      <w:bookmarkEnd w:id="9"/>
      <w:bookmarkEnd w:id="10"/>
      <w:bookmarkEnd w:id="11"/>
      <w:r>
        <w:rPr>
          <w:rFonts w:hint="eastAsia" w:ascii="方正小标宋简体" w:hAnsi="宋体" w:eastAsia="方正小标宋简体"/>
          <w:color w:val="000000"/>
          <w:sz w:val="72"/>
          <w:szCs w:val="72"/>
        </w:rPr>
        <w:t>（汇总）</w:t>
      </w:r>
    </w:p>
    <w:p w14:paraId="789801C8">
      <w:pPr>
        <w:widowControl/>
        <w:spacing w:line="600" w:lineRule="exact"/>
        <w:jc w:val="center"/>
        <w:rPr>
          <w:rFonts w:ascii="方正小标宋_GBK" w:hAnsi="方正小标宋_GBK" w:eastAsia="方正小标宋_GBK" w:cs="方正小标宋_GBK"/>
          <w:color w:val="000000"/>
          <w:sz w:val="44"/>
          <w:szCs w:val="44"/>
        </w:rPr>
      </w:pPr>
      <w:r>
        <w:rPr>
          <w:rFonts w:ascii="方正小标宋简体" w:hAnsi="宋体" w:eastAsia="方正小标宋简体"/>
          <w:color w:val="000000"/>
          <w:sz w:val="36"/>
          <w:szCs w:val="36"/>
        </w:rPr>
        <w:br w:type="page"/>
      </w:r>
      <w:r>
        <w:rPr>
          <w:rFonts w:hint="eastAsia" w:ascii="方正小标宋_GBK" w:hAnsi="方正小标宋_GBK" w:eastAsia="方正小标宋_GBK" w:cs="方正小标宋_GBK"/>
          <w:color w:val="000000"/>
          <w:sz w:val="44"/>
          <w:szCs w:val="44"/>
        </w:rPr>
        <w:t>目  录</w:t>
      </w:r>
    </w:p>
    <w:p w14:paraId="763ED246">
      <w:pPr>
        <w:pStyle w:val="1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公开时间：2021年10月22日</w:t>
      </w:r>
    </w:p>
    <w:p w14:paraId="2E1089A5">
      <w:pPr>
        <w:spacing w:line="600" w:lineRule="exact"/>
        <w:rPr>
          <w:rFonts w:ascii="仿宋_GB2312" w:hAnsi="仿宋_GB2312" w:eastAsia="仿宋_GB2312" w:cs="仿宋_GB2312"/>
          <w:sz w:val="32"/>
          <w:szCs w:val="32"/>
        </w:rPr>
      </w:pPr>
    </w:p>
    <w:p w14:paraId="6F2980E5">
      <w:pPr>
        <w:pStyle w:val="10"/>
        <w:adjustRightInd w:val="0"/>
        <w:snapToGrid w:val="0"/>
        <w:spacing w:before="0" w:line="600" w:lineRule="exact"/>
        <w:ind w:left="0" w:leftChars="0"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黑体" w:hAnsi="黑体" w:eastAsia="黑体" w:cs="黑体"/>
          <w:sz w:val="32"/>
          <w:szCs w:val="32"/>
          <w:lang w:val="en-US" w:eastAsia="zh-CN"/>
        </w:rPr>
        <w:t>...............................4</w:t>
      </w:r>
    </w:p>
    <w:p w14:paraId="7338A812">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14:paraId="31A2D5C3">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....................................11</w:t>
      </w:r>
    </w:p>
    <w:p w14:paraId="5D659DBC">
      <w:pPr>
        <w:pStyle w:val="10"/>
        <w:adjustRightInd w:val="0"/>
        <w:snapToGrid w:val="0"/>
        <w:spacing w:before="0" w:line="600" w:lineRule="exact"/>
        <w:ind w:left="0" w:leftChars="0"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rPr>
        <w:t>第二部分 部门决算情况说明</w:t>
      </w:r>
      <w:r>
        <w:rPr>
          <w:rFonts w:hint="eastAsia" w:ascii="黑体" w:hAnsi="黑体" w:eastAsia="黑体" w:cs="黑体"/>
          <w:sz w:val="32"/>
          <w:szCs w:val="32"/>
          <w:lang w:val="en-US" w:eastAsia="zh-CN"/>
        </w:rPr>
        <w:t>.......................12</w:t>
      </w:r>
    </w:p>
    <w:p w14:paraId="0B3C6D67">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....................12</w:t>
      </w:r>
    </w:p>
    <w:p w14:paraId="7DE35880">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............................12</w:t>
      </w:r>
    </w:p>
    <w:p w14:paraId="02C6368E">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............................13</w:t>
      </w:r>
    </w:p>
    <w:p w14:paraId="6F42672C">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............14</w:t>
      </w:r>
    </w:p>
    <w:p w14:paraId="73BF775E">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........15</w:t>
      </w:r>
    </w:p>
    <w:p w14:paraId="2981611B">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....19</w:t>
      </w:r>
    </w:p>
    <w:p w14:paraId="13A06D7A">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.........20</w:t>
      </w:r>
    </w:p>
    <w:p w14:paraId="190202BB">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..............23</w:t>
      </w:r>
    </w:p>
    <w:p w14:paraId="6482E250">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 国有资本经营预算支出决算情况说明</w:t>
      </w:r>
      <w:r>
        <w:rPr>
          <w:rFonts w:hint="eastAsia" w:ascii="仿宋_GB2312" w:hAnsi="仿宋_GB2312" w:eastAsia="仿宋_GB2312" w:cs="仿宋_GB2312"/>
          <w:sz w:val="32"/>
          <w:szCs w:val="32"/>
          <w:lang w:val="en-US" w:eastAsia="zh-CN"/>
        </w:rPr>
        <w:t>...........23</w:t>
      </w:r>
    </w:p>
    <w:p w14:paraId="6183D135">
      <w:pPr>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Style w:val="16"/>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val="en-US" w:eastAsia="zh-CN"/>
        </w:rPr>
        <w:t>......................23</w:t>
      </w:r>
    </w:p>
    <w:p w14:paraId="7DAB843C">
      <w:pPr>
        <w:pStyle w:val="10"/>
        <w:adjustRightInd w:val="0"/>
        <w:snapToGrid w:val="0"/>
        <w:spacing w:before="0" w:line="600" w:lineRule="exact"/>
        <w:ind w:left="0" w:leftChars="0"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...............................33</w:t>
      </w:r>
    </w:p>
    <w:p w14:paraId="49E9F8E3">
      <w:pPr>
        <w:pStyle w:val="10"/>
        <w:adjustRightInd w:val="0"/>
        <w:snapToGrid w:val="0"/>
        <w:spacing w:before="0" w:line="600" w:lineRule="exact"/>
        <w:ind w:left="0" w:leftChars="0"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...................................38</w:t>
      </w:r>
    </w:p>
    <w:p w14:paraId="50769772">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...........................................38</w:t>
      </w:r>
    </w:p>
    <w:p w14:paraId="512307A5">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val="en-US" w:eastAsia="zh-CN"/>
        </w:rPr>
        <w:t>...........................................44</w:t>
      </w:r>
    </w:p>
    <w:p w14:paraId="0C8D7B22">
      <w:pPr>
        <w:pStyle w:val="10"/>
        <w:adjustRightInd w:val="0"/>
        <w:snapToGrid w:val="0"/>
        <w:spacing w:before="0" w:line="600" w:lineRule="exact"/>
        <w:ind w:left="0" w:leftChars="0"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....................................48</w:t>
      </w:r>
    </w:p>
    <w:p w14:paraId="04B472F5">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.............................48</w:t>
      </w:r>
    </w:p>
    <w:p w14:paraId="1D155812">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val="en-US" w:eastAsia="zh-CN"/>
        </w:rPr>
        <w:t>...................................48</w:t>
      </w:r>
    </w:p>
    <w:p w14:paraId="33D2EAB3">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val="en-US" w:eastAsia="zh-CN"/>
        </w:rPr>
        <w:t>...................................48</w:t>
      </w:r>
    </w:p>
    <w:p w14:paraId="03397D9E">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val="en-US" w:eastAsia="zh-CN"/>
        </w:rPr>
        <w:t>.....................48</w:t>
      </w:r>
    </w:p>
    <w:p w14:paraId="4A4407EB">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val="en-US" w:eastAsia="zh-CN"/>
        </w:rPr>
        <w:t>.......................48</w:t>
      </w:r>
    </w:p>
    <w:p w14:paraId="19DDED85">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val="en-US" w:eastAsia="zh-CN"/>
        </w:rPr>
        <w:t>...............48</w:t>
      </w:r>
    </w:p>
    <w:p w14:paraId="59C430BE">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val="en-US" w:eastAsia="zh-CN"/>
        </w:rPr>
        <w:t>...........48</w:t>
      </w:r>
    </w:p>
    <w:p w14:paraId="2C5E7C8E">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lang w:val="en-US" w:eastAsia="zh-CN"/>
        </w:rPr>
        <w:t>............48</w:t>
      </w:r>
    </w:p>
    <w:p w14:paraId="709EAC21">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............48</w:t>
      </w:r>
    </w:p>
    <w:p w14:paraId="03CEDDF7">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lang w:val="en-US" w:eastAsia="zh-CN"/>
        </w:rPr>
        <w:t>....48</w:t>
      </w:r>
    </w:p>
    <w:p w14:paraId="5E626AF2">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lang w:val="en-US" w:eastAsia="zh-CN"/>
        </w:rPr>
        <w:t>........48</w:t>
      </w:r>
    </w:p>
    <w:p w14:paraId="60AECC71">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lang w:val="en-US" w:eastAsia="zh-CN"/>
        </w:rPr>
        <w:t>..48</w:t>
      </w:r>
    </w:p>
    <w:p w14:paraId="1EE02147">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十三、国有资本经营预算财政拨款收入支出决算表</w:t>
      </w:r>
      <w:r>
        <w:rPr>
          <w:rFonts w:hint="eastAsia" w:ascii="仿宋_GB2312" w:hAnsi="仿宋_GB2312" w:eastAsia="仿宋_GB2312" w:cs="仿宋_GB2312"/>
          <w:sz w:val="32"/>
          <w:szCs w:val="32"/>
          <w:lang w:val="en-US" w:eastAsia="zh-CN"/>
        </w:rPr>
        <w:t>......48</w:t>
      </w:r>
    </w:p>
    <w:p w14:paraId="1A4768DB">
      <w:pPr>
        <w:pStyle w:val="11"/>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十四、国有资本经营预算财政拨款支出决算表</w:t>
      </w:r>
      <w:r>
        <w:rPr>
          <w:rFonts w:hint="eastAsia" w:ascii="仿宋_GB2312" w:hAnsi="仿宋_GB2312" w:eastAsia="仿宋_GB2312" w:cs="仿宋_GB2312"/>
          <w:sz w:val="32"/>
          <w:szCs w:val="32"/>
          <w:lang w:val="en-US" w:eastAsia="zh-CN"/>
        </w:rPr>
        <w:t>..........48</w:t>
      </w:r>
    </w:p>
    <w:p w14:paraId="0924B3CC">
      <w:pPr>
        <w:widowControl/>
        <w:adjustRightInd w:val="0"/>
        <w:snapToGrid w:val="0"/>
        <w:spacing w:line="600" w:lineRule="exact"/>
        <w:ind w:firstLine="1760" w:firstLineChars="55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(注：请部门根据实际注明页码)</w:t>
      </w:r>
    </w:p>
    <w:p w14:paraId="502A9C53">
      <w:pPr>
        <w:widowControl/>
        <w:spacing w:line="60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154246CE">
      <w:pPr>
        <w:pStyle w:val="2"/>
        <w:spacing w:line="600" w:lineRule="exact"/>
        <w:jc w:val="center"/>
        <w:rPr>
          <w:rStyle w:val="24"/>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Style w:val="24"/>
          <w:rFonts w:hint="eastAsia" w:ascii="方正小标宋简体" w:hAnsi="方正小标宋简体" w:eastAsia="方正小标宋简体" w:cs="方正小标宋简体"/>
          <w:b w:val="0"/>
          <w:bCs w:val="0"/>
        </w:rPr>
        <w:t>部门概况</w:t>
      </w:r>
      <w:bookmarkEnd w:id="12"/>
      <w:bookmarkEnd w:id="13"/>
    </w:p>
    <w:p w14:paraId="3ED16DC8">
      <w:pPr>
        <w:pStyle w:val="3"/>
        <w:pageBreakBefore w:val="0"/>
        <w:widowControl w:val="0"/>
        <w:kinsoku/>
        <w:wordWrap/>
        <w:overflowPunct/>
        <w:topLinePunct w:val="0"/>
        <w:autoSpaceDE/>
        <w:autoSpaceDN/>
        <w:bidi w:val="0"/>
        <w:spacing w:before="0" w:after="0" w:line="600" w:lineRule="exact"/>
        <w:ind w:left="0" w:leftChars="0" w:firstLine="640" w:firstLineChars="200"/>
        <w:textAlignment w:val="auto"/>
        <w:rPr>
          <w:rStyle w:val="26"/>
          <w:rFonts w:ascii="仿宋" w:hAnsi="仿宋" w:eastAsia="仿宋"/>
          <w:b w:val="0"/>
          <w:bCs w:val="0"/>
          <w:color w:val="auto"/>
        </w:rPr>
      </w:pPr>
      <w:bookmarkStart w:id="14" w:name="_Toc15377197"/>
      <w:bookmarkStart w:id="15" w:name="_Toc15396600"/>
      <w:r>
        <w:rPr>
          <w:rFonts w:hint="eastAsia" w:ascii="黑体" w:hAnsi="黑体" w:eastAsia="黑体"/>
          <w:b w:val="0"/>
          <w:color w:val="auto"/>
        </w:rPr>
        <w:t>一、基</w:t>
      </w:r>
      <w:r>
        <w:rPr>
          <w:rStyle w:val="26"/>
          <w:rFonts w:hint="eastAsia" w:ascii="黑体" w:hAnsi="黑体" w:eastAsia="黑体"/>
          <w:b w:val="0"/>
          <w:bCs w:val="0"/>
          <w:color w:val="auto"/>
        </w:rPr>
        <w:t>本职能及主要工作</w:t>
      </w:r>
      <w:bookmarkEnd w:id="14"/>
      <w:bookmarkEnd w:id="15"/>
    </w:p>
    <w:p w14:paraId="4945DE03">
      <w:pPr>
        <w:pStyle w:val="5"/>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楷体_GB2312" w:hAnsi="楷体_GB2312" w:eastAsia="楷体_GB2312" w:cs="楷体_GB2312"/>
          <w:bCs/>
          <w:color w:val="C00000"/>
          <w:sz w:val="32"/>
          <w:szCs w:val="32"/>
        </w:rPr>
      </w:pPr>
      <w:bookmarkStart w:id="16" w:name="_Toc15377198"/>
      <w:bookmarkStart w:id="17" w:name="_Toc15378445"/>
      <w:r>
        <w:rPr>
          <w:rFonts w:hint="eastAsia" w:ascii="楷体_GB2312" w:hAnsi="楷体_GB2312" w:eastAsia="楷体_GB2312" w:cs="楷体_GB2312"/>
          <w:bCs/>
          <w:color w:val="auto"/>
          <w:sz w:val="32"/>
          <w:szCs w:val="32"/>
        </w:rPr>
        <w:t>（一）主要职能。（职能参照省政府批准的三定方案）</w:t>
      </w:r>
      <w:bookmarkEnd w:id="16"/>
      <w:bookmarkEnd w:id="17"/>
    </w:p>
    <w:p w14:paraId="79A4EED2">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负责应急管理工作，组织和指导各乡镇、</w:t>
      </w:r>
      <w:r>
        <w:rPr>
          <w:rFonts w:hint="eastAsia" w:ascii="仿宋_GB2312" w:eastAsia="仿宋_GB2312"/>
          <w:sz w:val="32"/>
        </w:rPr>
        <w:t>各部门应对安全生产类、自然</w:t>
      </w:r>
      <w:r>
        <w:rPr>
          <w:rFonts w:hint="eastAsia" w:ascii="仿宋_GB2312" w:eastAsia="仿宋_GB2312"/>
          <w:sz w:val="32"/>
          <w:szCs w:val="32"/>
        </w:rPr>
        <w:t>灾害类等突发事件和综合防灾减灾救灾工作。负责安全生产综合监督管理和工矿</w:t>
      </w:r>
      <w:r>
        <w:rPr>
          <w:rFonts w:hint="eastAsia" w:ascii="仿宋_GB2312" w:eastAsia="仿宋_GB2312"/>
          <w:sz w:val="32"/>
        </w:rPr>
        <w:t>商贸、煤炭行业安全生产监督管理工作。</w:t>
      </w:r>
    </w:p>
    <w:p w14:paraId="7CBD017E">
      <w:pPr>
        <w:widowControl/>
        <w:spacing w:line="560" w:lineRule="exact"/>
        <w:ind w:firstLine="640" w:firstLineChars="200"/>
        <w:jc w:val="left"/>
        <w:rPr>
          <w:rFonts w:ascii="仿宋_GB2312" w:eastAsia="仿宋_GB2312"/>
          <w:sz w:val="32"/>
        </w:rPr>
      </w:pPr>
      <w:r>
        <w:rPr>
          <w:rFonts w:ascii="仿宋_GB2312" w:eastAsia="仿宋_GB2312"/>
          <w:sz w:val="32"/>
        </w:rPr>
        <w:t>2.</w:t>
      </w:r>
      <w:r>
        <w:rPr>
          <w:rFonts w:hint="eastAsia" w:ascii="仿宋_GB2312" w:eastAsia="仿宋_GB2312"/>
          <w:sz w:val="32"/>
        </w:rPr>
        <w:t>拟订应急管理、安全生产等政策措施，组织编制应急体系建设、安全生产和综合防灾减灾规划，拟订相关规范性文件。</w:t>
      </w:r>
    </w:p>
    <w:p w14:paraId="4589F249">
      <w:pPr>
        <w:widowControl/>
        <w:spacing w:line="560" w:lineRule="exact"/>
        <w:ind w:firstLine="640" w:firstLineChars="200"/>
        <w:jc w:val="left"/>
        <w:rPr>
          <w:rFonts w:ascii="仿宋_GB2312" w:eastAsia="仿宋_GB2312"/>
          <w:sz w:val="32"/>
        </w:rPr>
      </w:pPr>
      <w:r>
        <w:rPr>
          <w:rFonts w:ascii="仿宋_GB2312" w:eastAsia="仿宋_GB2312"/>
          <w:sz w:val="32"/>
        </w:rPr>
        <w:t>3.</w:t>
      </w:r>
      <w:r>
        <w:rPr>
          <w:rFonts w:hint="eastAsia" w:ascii="仿宋_GB2312" w:eastAsia="仿宋_GB2312"/>
          <w:sz w:val="32"/>
        </w:rPr>
        <w:t>负责组织、指导应急预案体系建设，建立完善事故灾难和自然灾害分级应对制度，牵头组织编制综合应急防灾减灾预案和安全生产类、自然灾害类专项预案，负责应急预案衔接工作，组织开展预案演练，推动应急避难设施建设。</w:t>
      </w:r>
    </w:p>
    <w:p w14:paraId="3B582E0F">
      <w:pPr>
        <w:spacing w:line="560" w:lineRule="exact"/>
        <w:ind w:firstLine="640" w:firstLineChars="200"/>
        <w:jc w:val="left"/>
        <w:rPr>
          <w:rFonts w:ascii="仿宋_GB2312" w:eastAsia="仿宋_GB2312"/>
          <w:sz w:val="32"/>
        </w:rPr>
      </w:pPr>
      <w:r>
        <w:rPr>
          <w:rFonts w:ascii="仿宋_GB2312" w:eastAsia="仿宋_GB2312"/>
          <w:sz w:val="32"/>
        </w:rPr>
        <w:t>4.</w:t>
      </w:r>
      <w:r>
        <w:rPr>
          <w:rFonts w:hint="eastAsia" w:ascii="仿宋_GB2312" w:eastAsia="仿宋_GB2312"/>
          <w:sz w:val="32"/>
        </w:rPr>
        <w:t>牵头建立统一的应急管理信息系统，负责信息传输渠道的规划和布局，建立监测预警和灾情报告制度，健全自然灾害信息资源获取和共享机制，依法统一发布灾情。</w:t>
      </w:r>
    </w:p>
    <w:p w14:paraId="48233C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rPr>
      </w:pPr>
      <w:r>
        <w:rPr>
          <w:rFonts w:ascii="仿宋_GB2312" w:eastAsia="仿宋_GB2312"/>
          <w:sz w:val="32"/>
        </w:rPr>
        <w:t>5.</w:t>
      </w:r>
      <w:r>
        <w:rPr>
          <w:rFonts w:hint="eastAsia" w:ascii="仿宋_GB2312" w:eastAsia="仿宋_GB2312"/>
          <w:sz w:val="32"/>
        </w:rPr>
        <w:t>负责组织、指导、协调安全生产类、自然灾害类等突发事件应急救援的有关工作，承担全市应对一般及以上灾害指挥部工作，综合研判突发事件发展态势并提出应对建议，负责组织一般及以上灾害应急处置工作。</w:t>
      </w:r>
    </w:p>
    <w:p w14:paraId="4ADC06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rPr>
      </w:pPr>
      <w:r>
        <w:rPr>
          <w:rFonts w:ascii="仿宋_GB2312" w:eastAsia="仿宋_GB2312"/>
          <w:sz w:val="32"/>
        </w:rPr>
        <w:t>6.</w:t>
      </w:r>
      <w:r>
        <w:rPr>
          <w:rFonts w:hint="eastAsia" w:ascii="仿宋_GB2312" w:eastAsia="仿宋_GB2312"/>
          <w:sz w:val="32"/>
        </w:rPr>
        <w:t>统一协调指挥各类应急队伍，建立应急协调联动机制，推进指挥平台对接，提请衔接解放军和武警部队参与应急救援工作。</w:t>
      </w:r>
    </w:p>
    <w:p w14:paraId="62AE0A7B">
      <w:pPr>
        <w:widowControl/>
        <w:spacing w:line="560" w:lineRule="exact"/>
        <w:ind w:firstLine="640" w:firstLineChars="200"/>
        <w:jc w:val="left"/>
        <w:rPr>
          <w:rFonts w:ascii="仿宋_GB2312" w:eastAsia="仿宋_GB2312"/>
          <w:sz w:val="32"/>
        </w:rPr>
      </w:pPr>
      <w:r>
        <w:rPr>
          <w:rFonts w:ascii="仿宋_GB2312" w:eastAsia="仿宋_GB2312"/>
          <w:sz w:val="32"/>
        </w:rPr>
        <w:t>7.</w:t>
      </w:r>
      <w:r>
        <w:rPr>
          <w:rFonts w:hint="eastAsia" w:ascii="仿宋_GB2312" w:eastAsia="仿宋_GB2312"/>
          <w:sz w:val="32"/>
        </w:rPr>
        <w:t>按照国家相关政策和规定负责消防、森林火灾扑救、抗洪抢险、地震和地质灾害救援、生产安全事故救援等专业应急救援力量建设，依法依规统筹指导各类应急救援力量和保障能力建设。</w:t>
      </w:r>
    </w:p>
    <w:p w14:paraId="724AA267">
      <w:pPr>
        <w:widowControl/>
        <w:spacing w:line="560" w:lineRule="exact"/>
        <w:ind w:firstLine="640" w:firstLineChars="200"/>
        <w:jc w:val="left"/>
        <w:rPr>
          <w:rFonts w:ascii="仿宋_GB2312" w:eastAsia="仿宋_GB2312"/>
          <w:sz w:val="32"/>
        </w:rPr>
      </w:pPr>
      <w:r>
        <w:rPr>
          <w:rFonts w:ascii="仿宋_GB2312" w:eastAsia="仿宋_GB2312"/>
          <w:sz w:val="32"/>
        </w:rPr>
        <w:t>8.</w:t>
      </w:r>
      <w:r>
        <w:rPr>
          <w:rFonts w:hint="eastAsia" w:ascii="仿宋_GB2312" w:eastAsia="仿宋_GB2312"/>
          <w:sz w:val="32"/>
        </w:rPr>
        <w:t>按照上级相关政策和市委、市政府相关规定负责消防工作，组织和指导消防监督、火灾预防、火灾扑救等工作。</w:t>
      </w:r>
    </w:p>
    <w:p w14:paraId="492E3C35">
      <w:pPr>
        <w:widowControl/>
        <w:spacing w:line="560" w:lineRule="exact"/>
        <w:ind w:firstLine="640" w:firstLineChars="200"/>
        <w:jc w:val="left"/>
        <w:rPr>
          <w:rFonts w:ascii="仿宋_GB2312" w:eastAsia="仿宋_GB2312"/>
          <w:sz w:val="32"/>
        </w:rPr>
      </w:pPr>
      <w:r>
        <w:rPr>
          <w:rFonts w:ascii="仿宋_GB2312" w:eastAsia="仿宋_GB2312"/>
          <w:sz w:val="32"/>
        </w:rPr>
        <w:t>9.</w:t>
      </w:r>
      <w:r>
        <w:rPr>
          <w:rFonts w:hint="eastAsia" w:ascii="仿宋_GB2312" w:eastAsia="仿宋_GB2312"/>
          <w:sz w:val="32"/>
        </w:rPr>
        <w:t>负责自然灾害综合监测预警工作，承担自然灾害综合风险评估工作，指导协调森林火灾、水旱灾害、地震和地质灾害等防治工作。</w:t>
      </w:r>
    </w:p>
    <w:p w14:paraId="3FA124E9">
      <w:pPr>
        <w:widowControl/>
        <w:spacing w:line="560" w:lineRule="exact"/>
        <w:ind w:firstLine="640" w:firstLineChars="200"/>
        <w:jc w:val="left"/>
        <w:rPr>
          <w:rFonts w:ascii="仿宋_GB2312" w:eastAsia="仿宋_GB2312"/>
          <w:sz w:val="32"/>
        </w:rPr>
      </w:pPr>
      <w:r>
        <w:rPr>
          <w:rFonts w:ascii="仿宋_GB2312" w:eastAsia="仿宋_GB2312"/>
          <w:sz w:val="32"/>
        </w:rPr>
        <w:t>10.</w:t>
      </w:r>
      <w:r>
        <w:rPr>
          <w:rFonts w:hint="eastAsia" w:ascii="仿宋_GB2312" w:eastAsia="仿宋_GB2312"/>
          <w:sz w:val="32"/>
        </w:rPr>
        <w:t>负责组织、协调灾害救助工作。组织和指导灾情核查、损失评估、救灾捐赠工作，管理、分配中央、省、乐山市下拨及市本级救灾款物并监督使用。</w:t>
      </w:r>
    </w:p>
    <w:p w14:paraId="7779A2DE">
      <w:pPr>
        <w:spacing w:line="560" w:lineRule="exact"/>
        <w:ind w:firstLine="640" w:firstLineChars="200"/>
        <w:jc w:val="left"/>
        <w:rPr>
          <w:rFonts w:ascii="仿宋_GB2312" w:eastAsia="仿宋_GB2312"/>
          <w:sz w:val="32"/>
        </w:rPr>
      </w:pPr>
      <w:r>
        <w:rPr>
          <w:rFonts w:ascii="仿宋_GB2312" w:eastAsia="仿宋_GB2312"/>
          <w:sz w:val="32"/>
        </w:rPr>
        <w:t>11.</w:t>
      </w:r>
      <w:r>
        <w:rPr>
          <w:rFonts w:hint="eastAsia" w:ascii="仿宋_GB2312" w:eastAsia="仿宋_GB2312"/>
          <w:sz w:val="32"/>
        </w:rPr>
        <w:t>依法承担市政府安全生产综合监督管理责任，指导协调、监督检查市级有关部门和各乡镇人民政府安全生产工作，组织开展安全生产巡查、考核工作。</w:t>
      </w:r>
    </w:p>
    <w:p w14:paraId="63ABF810">
      <w:pPr>
        <w:spacing w:line="560" w:lineRule="exact"/>
        <w:ind w:firstLine="640" w:firstLineChars="200"/>
        <w:jc w:val="left"/>
        <w:rPr>
          <w:rFonts w:ascii="仿宋_GB2312" w:eastAsia="仿宋_GB2312"/>
          <w:sz w:val="32"/>
        </w:rPr>
      </w:pPr>
      <w:r>
        <w:rPr>
          <w:rFonts w:ascii="仿宋_GB2312" w:eastAsia="仿宋_GB2312"/>
          <w:sz w:val="32"/>
        </w:rPr>
        <w:t>12.</w:t>
      </w:r>
      <w:r>
        <w:rPr>
          <w:rFonts w:hint="eastAsia" w:ascii="仿宋_GB2312" w:eastAsia="仿宋_GB2312"/>
          <w:sz w:val="32"/>
        </w:rPr>
        <w:t>按照分级、属地原则，依法监督检查工矿商贸生产经营单位贯彻执行安全生产法律法规情况及其安全生产条件和有关设备（特种设备除外）、材料、劳动防护用品的安全生产管理工作。协助上级应急管理部门做好中央和省、乐山市在我市工矿商贸企业安全生产监督管理工作。</w:t>
      </w:r>
    </w:p>
    <w:p w14:paraId="61A8E6E2">
      <w:pPr>
        <w:widowControl/>
        <w:spacing w:line="560" w:lineRule="exact"/>
        <w:ind w:firstLine="640" w:firstLineChars="200"/>
        <w:jc w:val="left"/>
        <w:rPr>
          <w:rFonts w:ascii="仿宋_GB2312" w:eastAsia="仿宋_GB2312"/>
          <w:sz w:val="32"/>
        </w:rPr>
      </w:pPr>
      <w:r>
        <w:rPr>
          <w:rFonts w:ascii="仿宋_GB2312" w:eastAsia="仿宋_GB2312"/>
          <w:sz w:val="32"/>
        </w:rPr>
        <w:t>13.</w:t>
      </w:r>
      <w:r>
        <w:rPr>
          <w:rFonts w:hint="eastAsia" w:ascii="仿宋_GB2312" w:eastAsia="仿宋_GB2312"/>
          <w:sz w:val="32"/>
        </w:rPr>
        <w:t>承担煤矿、非煤矿山、危险化学品、非药品类易制毒化学品和烟花爆竹等生产经营单位安全生产准入管理责任。负责危险化学品安全监督管理综合工作和烟花爆竹安全生产监督管理工作。</w:t>
      </w:r>
    </w:p>
    <w:p w14:paraId="12851951">
      <w:pPr>
        <w:widowControl/>
        <w:spacing w:line="560" w:lineRule="exact"/>
        <w:ind w:firstLine="640" w:firstLineChars="200"/>
        <w:jc w:val="left"/>
        <w:rPr>
          <w:rFonts w:ascii="仿宋_GB2312" w:eastAsia="仿宋_GB2312"/>
          <w:sz w:val="32"/>
        </w:rPr>
      </w:pPr>
      <w:r>
        <w:rPr>
          <w:rFonts w:ascii="仿宋_GB2312" w:eastAsia="仿宋_GB2312"/>
          <w:sz w:val="32"/>
        </w:rPr>
        <w:t>14.</w:t>
      </w:r>
      <w:r>
        <w:rPr>
          <w:rFonts w:hint="eastAsia" w:ascii="仿宋_GB2312" w:eastAsia="仿宋_GB2312"/>
          <w:sz w:val="32"/>
        </w:rPr>
        <w:t>拟订煤炭产业发展计划，组织实施准入条件、行业标准，按权限审核、上报煤炭项目并负责建设管理，负责煤炭生产协调和监督管理，负责煤炭行业结构调整与产业升级，负责煤矿瓦斯等级鉴定、瓦斯治理与利用，推进煤炭体制改革。</w:t>
      </w:r>
    </w:p>
    <w:p w14:paraId="0142DD98">
      <w:pPr>
        <w:widowControl/>
        <w:spacing w:line="560" w:lineRule="exact"/>
        <w:ind w:firstLine="640" w:firstLineChars="200"/>
        <w:jc w:val="left"/>
        <w:rPr>
          <w:rFonts w:ascii="仿宋_GB2312" w:eastAsia="仿宋_GB2312"/>
          <w:sz w:val="32"/>
        </w:rPr>
      </w:pPr>
      <w:r>
        <w:rPr>
          <w:rFonts w:ascii="仿宋_GB2312" w:eastAsia="仿宋_GB2312"/>
          <w:sz w:val="32"/>
        </w:rPr>
        <w:t>15.</w:t>
      </w:r>
      <w:r>
        <w:rPr>
          <w:rFonts w:hint="eastAsia" w:ascii="仿宋_GB2312" w:eastAsia="仿宋_GB2312"/>
          <w:sz w:val="32"/>
        </w:rPr>
        <w:t>承担煤矿安全生产监督管理责任，依法监督检查煤矿企业贯彻执行安全生产法律法规情况及安全生产条件和有关设备（特种设备除外）、材料、劳动防护用品的安全生产管理工作。负责组织、指导煤矿企业安全专项整治、安全标准化、瓦斯和水害防治及相关安全科技发展工作，参与煤矿事故抢险救援和调查处理。</w:t>
      </w:r>
    </w:p>
    <w:p w14:paraId="60BED1B3">
      <w:pPr>
        <w:spacing w:line="560" w:lineRule="exact"/>
        <w:ind w:firstLine="640" w:firstLineChars="200"/>
        <w:jc w:val="left"/>
        <w:rPr>
          <w:rFonts w:ascii="仿宋_GB2312" w:eastAsia="仿宋_GB2312"/>
          <w:sz w:val="32"/>
        </w:rPr>
      </w:pPr>
      <w:r>
        <w:rPr>
          <w:rFonts w:ascii="仿宋_GB2312" w:eastAsia="仿宋_GB2312"/>
          <w:sz w:val="32"/>
        </w:rPr>
        <w:t>16.</w:t>
      </w:r>
      <w:r>
        <w:rPr>
          <w:rFonts w:hint="eastAsia" w:ascii="仿宋_GB2312" w:eastAsia="仿宋_GB2312"/>
          <w:sz w:val="32"/>
        </w:rPr>
        <w:t>依法组织、指导安全生产事故调查处理，监督事故查处和责任追究落实情况。组织开展自然灾害类突发事件的调查评估工作。</w:t>
      </w:r>
    </w:p>
    <w:p w14:paraId="3023DF00">
      <w:pPr>
        <w:spacing w:line="560" w:lineRule="exact"/>
        <w:ind w:firstLine="640" w:firstLineChars="200"/>
        <w:jc w:val="left"/>
        <w:rPr>
          <w:rFonts w:ascii="仿宋_GB2312" w:eastAsia="仿宋_GB2312"/>
          <w:sz w:val="32"/>
        </w:rPr>
      </w:pPr>
      <w:r>
        <w:rPr>
          <w:rFonts w:ascii="仿宋_GB2312" w:eastAsia="仿宋_GB2312"/>
          <w:sz w:val="32"/>
        </w:rPr>
        <w:t>17.</w:t>
      </w:r>
      <w:r>
        <w:rPr>
          <w:rFonts w:hint="eastAsia" w:ascii="仿宋_GB2312" w:eastAsia="仿宋_GB2312"/>
          <w:sz w:val="32"/>
        </w:rPr>
        <w:t>开展应急管理和安全生产方面的交流与合作，组织参与安全生产类、自然灾害类等突发事件的跨区域救援工作。</w:t>
      </w:r>
    </w:p>
    <w:p w14:paraId="3B65E5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rPr>
      </w:pPr>
      <w:r>
        <w:rPr>
          <w:rFonts w:ascii="仿宋_GB2312" w:eastAsia="仿宋_GB2312"/>
          <w:sz w:val="32"/>
        </w:rPr>
        <w:t>18.</w:t>
      </w:r>
      <w:r>
        <w:rPr>
          <w:rFonts w:hint="eastAsia" w:ascii="仿宋_GB2312" w:eastAsia="仿宋_GB2312"/>
          <w:sz w:val="32"/>
        </w:rPr>
        <w:t>制定应急物资储备和应急救援装备规划并组织实施，会同有关部门建立健全应急物资信息平台和调拨制度，在救灾时统一调度。</w:t>
      </w:r>
    </w:p>
    <w:p w14:paraId="704CDD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rPr>
      </w:pPr>
      <w:r>
        <w:rPr>
          <w:rFonts w:ascii="仿宋_GB2312" w:eastAsia="仿宋_GB2312"/>
          <w:sz w:val="32"/>
        </w:rPr>
        <w:t>19.</w:t>
      </w:r>
      <w:r>
        <w:rPr>
          <w:rFonts w:hint="eastAsia" w:ascii="仿宋_GB2312" w:eastAsia="仿宋_GB2312"/>
          <w:sz w:val="32"/>
        </w:rPr>
        <w:t>负责应急管理、安全生产宣传教育和培训工作，组织和指导应急管理、安全生产的科学技术研究、推广应用和信息化建设工作。</w:t>
      </w:r>
    </w:p>
    <w:p w14:paraId="408E0F60">
      <w:pPr>
        <w:widowControl/>
        <w:spacing w:line="560" w:lineRule="exact"/>
        <w:ind w:firstLine="640" w:firstLineChars="200"/>
        <w:jc w:val="left"/>
        <w:rPr>
          <w:rFonts w:hint="eastAsia" w:ascii="仿宋_GB2312" w:eastAsia="仿宋_GB2312"/>
          <w:sz w:val="32"/>
        </w:rPr>
      </w:pPr>
      <w:r>
        <w:rPr>
          <w:rFonts w:ascii="仿宋_GB2312" w:eastAsia="仿宋_GB2312"/>
          <w:sz w:val="32"/>
        </w:rPr>
        <w:t>20.</w:t>
      </w:r>
      <w:r>
        <w:rPr>
          <w:rFonts w:hint="eastAsia" w:ascii="仿宋_GB2312" w:eastAsia="仿宋_GB2312"/>
          <w:sz w:val="32"/>
        </w:rPr>
        <w:t>负责职责范围内的职业健康、生态环境保护、审批服务便民化工作。</w:t>
      </w:r>
    </w:p>
    <w:p w14:paraId="5965E2E5">
      <w:pPr>
        <w:widowControl/>
        <w:spacing w:line="560" w:lineRule="exact"/>
        <w:ind w:firstLine="620" w:firstLineChars="200"/>
        <w:jc w:val="left"/>
        <w:rPr>
          <w:rFonts w:ascii="仿宋_GB2312" w:eastAsia="仿宋_GB2312"/>
          <w:sz w:val="32"/>
        </w:rPr>
      </w:pPr>
      <w:r>
        <w:rPr>
          <w:rFonts w:hint="eastAsia" w:ascii="微软雅黑" w:hAnsi="微软雅黑" w:eastAsia="微软雅黑" w:cs="微软雅黑"/>
          <w:sz w:val="31"/>
          <w:szCs w:val="31"/>
        </w:rPr>
        <w:t xml:space="preserve">  </w:t>
      </w:r>
      <w:r>
        <w:rPr>
          <w:rFonts w:hint="eastAsia" w:ascii="仿宋_GB2312" w:eastAsia="仿宋_GB2312"/>
          <w:sz w:val="32"/>
        </w:rPr>
        <w:t>21.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提高全社会的防震减灾意识；并按照有关规定审核防震减灾宣传报道；承担市人民政府防震减灾工作领导机构的日常工作。</w:t>
      </w:r>
    </w:p>
    <w:p w14:paraId="3326FB4A">
      <w:pPr>
        <w:widowControl/>
        <w:spacing w:line="560" w:lineRule="exact"/>
        <w:ind w:firstLine="640" w:firstLineChars="200"/>
        <w:jc w:val="left"/>
        <w:rPr>
          <w:rFonts w:ascii="仿宋_GB2312" w:eastAsia="仿宋_GB2312"/>
          <w:sz w:val="32"/>
        </w:rPr>
      </w:pPr>
      <w:r>
        <w:rPr>
          <w:rFonts w:hint="eastAsia" w:ascii="仿宋_GB2312" w:eastAsia="仿宋_GB2312"/>
          <w:sz w:val="32"/>
        </w:rPr>
        <w:t>22</w:t>
      </w:r>
      <w:r>
        <w:rPr>
          <w:rFonts w:ascii="仿宋_GB2312" w:eastAsia="仿宋_GB2312"/>
          <w:sz w:val="32"/>
        </w:rPr>
        <w:t>.</w:t>
      </w:r>
      <w:r>
        <w:rPr>
          <w:rFonts w:hint="eastAsia" w:ascii="仿宋_GB2312" w:eastAsia="仿宋_GB2312"/>
          <w:sz w:val="32"/>
        </w:rPr>
        <w:t>完成市委、市政府交办的其他工作。</w:t>
      </w:r>
    </w:p>
    <w:p w14:paraId="4D01210B">
      <w:pPr>
        <w:pStyle w:val="5"/>
        <w:adjustRightInd w:val="0"/>
        <w:snapToGrid w:val="0"/>
        <w:spacing w:before="93" w:line="600" w:lineRule="exact"/>
        <w:ind w:firstLine="672" w:firstLineChars="210"/>
        <w:outlineLvl w:val="2"/>
        <w:rPr>
          <w:rFonts w:hint="eastAsia" w:ascii="楷体_GB2312" w:hAnsi="楷体_GB2312" w:eastAsia="楷体_GB2312" w:cs="楷体_GB2312"/>
          <w:bCs/>
          <w:color w:val="auto"/>
          <w:sz w:val="32"/>
          <w:szCs w:val="32"/>
        </w:rPr>
      </w:pPr>
      <w:bookmarkStart w:id="18" w:name="_Toc15378446"/>
      <w:bookmarkStart w:id="19" w:name="_Toc15377199"/>
      <w:r>
        <w:rPr>
          <w:rFonts w:hint="eastAsia" w:ascii="楷体_GB2312" w:hAnsi="楷体_GB2312" w:eastAsia="楷体_GB2312" w:cs="楷体_GB2312"/>
          <w:bCs/>
          <w:color w:val="auto"/>
          <w:sz w:val="32"/>
          <w:szCs w:val="32"/>
        </w:rPr>
        <w:t>（二）2020年重点工作完成情况</w:t>
      </w:r>
      <w:bookmarkEnd w:id="18"/>
      <w:bookmarkEnd w:id="19"/>
    </w:p>
    <w:p w14:paraId="333323F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全市共发生各类事故13起，死亡15人，受伤0人，直接经济损失294万元。与上年同期相比，事故起数、死亡人数上升15.4%，受伤人数下降100%，直接经济损失增加92.7%，未发生较大及以上生产安全事故，无自然灾害事故发生，全市安全生产形势总体平稳。</w:t>
      </w:r>
    </w:p>
    <w:p w14:paraId="41F4E9BE">
      <w:pPr>
        <w:spacing w:line="60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强化应急管理体系建设。</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牵头制定应急委调整完善方案。以“1+18”统专结合的模式，拟定《峨眉山市应急委员会工作规则》和《峨眉山市应急委员会办公室工作细则》。</w:t>
      </w:r>
      <w:r>
        <w:rPr>
          <w:rFonts w:hint="eastAsia" w:ascii="仿宋_GB2312" w:hAnsi="仿宋_GB2312" w:eastAsia="仿宋_GB2312" w:cs="仿宋_GB2312"/>
          <w:b/>
          <w:sz w:val="32"/>
          <w:szCs w:val="32"/>
        </w:rPr>
        <w:t>二是修订完善预案体系。</w:t>
      </w:r>
      <w:r>
        <w:rPr>
          <w:rFonts w:hint="eastAsia" w:ascii="仿宋_GB2312" w:hAnsi="仿宋_GB2312" w:eastAsia="仿宋_GB2312" w:cs="仿宋_GB2312"/>
          <w:sz w:val="32"/>
          <w:szCs w:val="32"/>
        </w:rPr>
        <w:t>目前已完成应对突发事件、防汛、地灾等17个主要应急预案的修订并报市政府审核印发。已启动总体应急预案修订工作，待省、乐山总体应急预案印发后报市政府常务会审核。</w:t>
      </w:r>
      <w:r>
        <w:rPr>
          <w:rFonts w:hint="eastAsia" w:ascii="仿宋_GB2312" w:hAnsi="仿宋_GB2312" w:eastAsia="仿宋_GB2312" w:cs="仿宋_GB2312"/>
          <w:b/>
          <w:sz w:val="32"/>
          <w:szCs w:val="32"/>
        </w:rPr>
        <w:t>三是强化应急力量建设。</w:t>
      </w:r>
      <w:r>
        <w:rPr>
          <w:rFonts w:hint="eastAsia" w:ascii="仿宋_GB2312" w:hAnsi="仿宋_GB2312" w:eastAsia="仿宋_GB2312" w:cs="仿宋_GB2312"/>
          <w:sz w:val="32"/>
          <w:szCs w:val="32"/>
        </w:rPr>
        <w:t>目前，市级现有应急救援队伍7支324人，各乡镇均备有基干民兵和村民组成的30人救援小分队。组织2020桌面推演和抗震救灾应急救援综合演练。</w:t>
      </w:r>
      <w:r>
        <w:rPr>
          <w:rFonts w:hint="eastAsia" w:ascii="仿宋_GB2312" w:hAnsi="仿宋_GB2312" w:eastAsia="仿宋_GB2312" w:cs="仿宋_GB2312"/>
          <w:b/>
          <w:sz w:val="32"/>
          <w:szCs w:val="32"/>
        </w:rPr>
        <w:t>四是加强应急物资储备。</w:t>
      </w:r>
      <w:r>
        <w:rPr>
          <w:rFonts w:hint="eastAsia" w:ascii="仿宋_GB2312" w:hAnsi="仿宋_GB2312" w:eastAsia="仿宋_GB2312" w:cs="仿宋_GB2312"/>
          <w:sz w:val="32"/>
          <w:szCs w:val="32"/>
        </w:rPr>
        <w:t>按照“急需急备、常规配置”原则，全市现储备折叠床171张，帐篷25顶，夏季T恤套装1070套、夏季单衣裤套装1080套，应急发电机2台。</w:t>
      </w:r>
      <w:r>
        <w:rPr>
          <w:rFonts w:hint="eastAsia" w:ascii="仿宋_GB2312" w:hAnsi="仿宋_GB2312" w:eastAsia="仿宋_GB2312" w:cs="仿宋_GB2312"/>
          <w:b/>
          <w:sz w:val="32"/>
          <w:szCs w:val="32"/>
        </w:rPr>
        <w:t>五是完善应急避难设施。</w:t>
      </w:r>
      <w:r>
        <w:rPr>
          <w:rFonts w:hint="eastAsia" w:ascii="仿宋_GB2312" w:hAnsi="仿宋_GB2312" w:eastAsia="仿宋_GB2312" w:cs="仿宋_GB2312"/>
          <w:sz w:val="32"/>
          <w:szCs w:val="32"/>
        </w:rPr>
        <w:t>建成峨眉四中、符溪径山社区两个市级应急避险场所、龙门乡王山村应急避难点，可容纳约1万人应急避险。中心城区建成6个减灾示范社区12个临时应急避险点，符溪镇和桂花桥镇建设2个减灾示范社区5个临时应急避险点。</w:t>
      </w:r>
      <w:r>
        <w:rPr>
          <w:rFonts w:hint="eastAsia" w:ascii="仿宋_GB2312" w:hAnsi="仿宋_GB2312" w:eastAsia="仿宋_GB2312" w:cs="仿宋_GB2312"/>
          <w:b/>
          <w:sz w:val="32"/>
          <w:szCs w:val="32"/>
        </w:rPr>
        <w:t>六是厘清应急管理职责划分。</w:t>
      </w:r>
      <w:r>
        <w:rPr>
          <w:rFonts w:hint="eastAsia" w:ascii="仿宋_GB2312" w:hAnsi="仿宋_GB2312" w:eastAsia="仿宋_GB2312" w:cs="仿宋_GB2312"/>
          <w:sz w:val="32"/>
          <w:szCs w:val="32"/>
        </w:rPr>
        <w:t>草拟《峨眉山市应急管理体系职责划分的建议》，厘清市应急局、市自然资源局、市水务局、市防震减灾中心应急管理职责和内设机构应急管理职责。</w:t>
      </w:r>
    </w:p>
    <w:p w14:paraId="27A710A5">
      <w:pPr>
        <w:pStyle w:val="12"/>
        <w:overflowPunct w:val="0"/>
        <w:spacing w:before="0" w:beforeAutospacing="0" w:after="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2.做好防灾减灾救灾工作。</w:t>
      </w:r>
      <w:r>
        <w:rPr>
          <w:rFonts w:hint="eastAsia" w:ascii="仿宋_GB2312" w:hAnsi="仿宋_GB2312" w:eastAsia="仿宋_GB2312" w:cs="仿宋_GB2312"/>
          <w:kern w:val="2"/>
          <w:sz w:val="32"/>
          <w:szCs w:val="32"/>
        </w:rPr>
        <w:t>根据机构改革实际，重新调整减灾委员会成员单位，明确各乡镇（街道）防灾减灾责任领导、联络员，确保防灾减灾救灾机制运作顺畅。主动协调防汛、地灾等指挥部开展4次风险会商研判。今年我市遭受4次强降雨，紧急转移9375人次，无一人伤亡。</w:t>
      </w:r>
      <w:r>
        <w:rPr>
          <w:rFonts w:hint="eastAsia" w:ascii="仿宋_GB2312" w:hAnsi="仿宋_GB2312" w:eastAsia="仿宋_GB2312" w:cs="仿宋_GB2312"/>
          <w:sz w:val="32"/>
          <w:szCs w:val="32"/>
        </w:rPr>
        <w:t>开展乡镇（街道）灾情信息员培训，进一步提高灾情收集能力。</w:t>
      </w:r>
      <w:r>
        <w:rPr>
          <w:rFonts w:hint="eastAsia" w:ascii="仿宋_GB2312" w:hAnsi="仿宋_GB2312" w:eastAsia="仿宋_GB2312" w:cs="仿宋_GB2312"/>
          <w:kern w:val="2"/>
          <w:sz w:val="32"/>
          <w:szCs w:val="32"/>
        </w:rPr>
        <w:t>下拨冬春救助资金130.49万元，救济冬令春荒困难群众3079户16333人。发放2019年度维修加固资金8万元，40户农户受损房屋完成维修加固。紧急借用红外线测温仪6台、搭建帐篷17顶用于新冠肺炎疫情防控。</w:t>
      </w:r>
    </w:p>
    <w:p w14:paraId="541B13FB">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全力做好森林防灭火专项整治工作。</w:t>
      </w:r>
      <w:r>
        <w:rPr>
          <w:rFonts w:hint="eastAsia" w:ascii="仿宋_GB2312" w:hAnsi="仿宋_GB2312" w:eastAsia="仿宋_GB2312" w:cs="仿宋_GB2312"/>
          <w:kern w:val="0"/>
          <w:sz w:val="32"/>
          <w:szCs w:val="32"/>
        </w:rPr>
        <w:t>成立峨眉山市森林防灭火专项整治工作领导小组，制定下发《峨眉山市森林防灭火专项整治工作方案》《峨眉山市森林防灭火专项整治工作推进方案》《峨眉山市森林防灭火整治工作十个实施方案和“四个清单”》，分阶段组织召开森林防灭火专项整治工作推进会，全面推动森林防灭火专项整治工作的开展。印发《习近平总书记关于应急管理、安全生产、防灾减灾救灾、森林草原防灭火工作重要指示批示精神汇编》200本。</w:t>
      </w:r>
    </w:p>
    <w:p w14:paraId="51DE4F55">
      <w:pPr>
        <w:pStyle w:val="12"/>
        <w:widowControl w:val="0"/>
        <w:spacing w:before="0" w:beforeAutospacing="0" w:after="0" w:afterAutospacing="0" w:line="600" w:lineRule="exact"/>
        <w:ind w:firstLine="640" w:firstLineChars="200"/>
        <w:rPr>
          <w:rFonts w:ascii="仿宋" w:hAnsi="仿宋" w:eastAsia="仿宋" w:cs="Times New Roman"/>
          <w:kern w:val="2"/>
          <w:sz w:val="32"/>
          <w:szCs w:val="32"/>
        </w:rPr>
      </w:pPr>
      <w:r>
        <w:rPr>
          <w:rFonts w:hint="eastAsia" w:ascii="仿宋_GB2312" w:hAnsi="仿宋_GB2312" w:eastAsia="仿宋_GB2312" w:cs="仿宋_GB2312"/>
          <w:kern w:val="2"/>
          <w:sz w:val="32"/>
          <w:szCs w:val="32"/>
          <w:lang w:val="en-US" w:eastAsia="zh-CN" w:bidi="ar-SA"/>
        </w:rPr>
        <w:t>4.扎实抓好疫情期间企业复工复产。</w:t>
      </w:r>
      <w:r>
        <w:rPr>
          <w:rFonts w:hint="eastAsia" w:ascii="仿宋_GB2312" w:eastAsia="仿宋_GB2312"/>
          <w:sz w:val="32"/>
          <w:szCs w:val="32"/>
          <w:shd w:val="clear" w:color="auto" w:fill="FFFFFF"/>
        </w:rPr>
        <w:t>按照上级要求，结合我市实际，严格落实企业复产复工程序、标准和各部门的职能职责，疫情期间，不降低标准、不通融迁就、严把验收关口。目前，全市35家非煤矿山22家复产复工，5家危化生产企业4家复工复产，全市70家规模以上工业企业已全部复工。</w:t>
      </w:r>
    </w:p>
    <w:p w14:paraId="4E77C1BC">
      <w:pPr>
        <w:spacing w:line="600" w:lineRule="exact"/>
        <w:ind w:firstLine="640" w:firstLineChars="200"/>
        <w:jc w:val="left"/>
        <w:rPr>
          <w:rFonts w:ascii="楷体_GB2312" w:hAnsi="宋体" w:eastAsia="楷体_GB2312" w:cs="宋体"/>
          <w:bCs/>
          <w:kern w:val="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扎实推进2020年煤矿分类处置工作。</w:t>
      </w:r>
      <w:r>
        <w:rPr>
          <w:rFonts w:hint="eastAsia" w:ascii="仿宋_GB2312" w:hAnsi="宋体" w:eastAsia="仿宋_GB2312" w:cs="宋体"/>
          <w:kern w:val="0"/>
          <w:sz w:val="32"/>
          <w:szCs w:val="32"/>
        </w:rPr>
        <w:t>按照省政府批复的分类处置方案，苗圃煤矿、张沟煤矿于今年关闭退出。已组织相关部门召开煤矿关闭工作会议，制定下发煤矿关闭工作方案，明确部门、煤矿工作职责。目前，苗圃煤矿和张沟煤矿已完成井下设备回撤，苗圃井口已永久封闭，张沟煤矿已设置密闭墙和栅栏。</w:t>
      </w:r>
    </w:p>
    <w:p w14:paraId="3A0ECA55">
      <w:pPr>
        <w:pStyle w:val="5"/>
        <w:spacing w:before="93" w:line="600" w:lineRule="exact"/>
        <w:ind w:firstLine="640" w:firstLineChars="200"/>
        <w:rPr>
          <w:rFonts w:hAnsi="仿宋" w:cs="仿宋"/>
          <w:sz w:val="32"/>
          <w:szCs w:val="32"/>
          <w:shd w:val="clear" w:color="auto" w:fill="FFFFFF"/>
        </w:rPr>
      </w:pPr>
      <w:r>
        <w:rPr>
          <w:rFonts w:hint="eastAsia" w:hAnsi="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全面开展安全生产专项行动。</w:t>
      </w:r>
      <w:r>
        <w:rPr>
          <w:rFonts w:hint="eastAsia" w:hAnsi="宋体" w:cs="宋体"/>
          <w:sz w:val="32"/>
          <w:szCs w:val="32"/>
        </w:rPr>
        <w:t>按照省、乐山市的统一部署，我市下发了</w:t>
      </w:r>
      <w:r>
        <w:rPr>
          <w:rFonts w:hint="eastAsia" w:hAnsi="仿宋" w:cs="仿宋"/>
          <w:sz w:val="32"/>
          <w:szCs w:val="32"/>
          <w:shd w:val="clear" w:color="auto" w:fill="FFFFFF"/>
        </w:rPr>
        <w:t>《全市安全生产集中整治工作实施方案》、《开展疫情防控期间安全生产暗访检查工作方案》、《全国两会</w:t>
      </w:r>
      <w:bookmarkStart w:id="73" w:name="_GoBack"/>
      <w:bookmarkEnd w:id="73"/>
      <w:r>
        <w:rPr>
          <w:rFonts w:hint="eastAsia" w:hAnsi="仿宋" w:cs="仿宋"/>
          <w:sz w:val="32"/>
          <w:szCs w:val="32"/>
          <w:shd w:val="clear" w:color="auto" w:fill="FFFFFF"/>
        </w:rPr>
        <w:t xml:space="preserve">期间峨眉山市安全生产大检查方案》。各乡镇（街道）、行业主管部门、企业以安全生产清单制管理为抓手，在煤矿、非煤矿、危险化学品、道路交通、建筑施工、城市消防、冶金、特种设备等重点行业领域全面开展隐患排查整治。截至目前，全市共检查企业250家次，排查安全隐患625条，整改625条，按期整改率100%，全市211家生产经营单位落实安全生产隐患排查整治联网上报，自查、自改、自报事故隐患2814条，完成整改2814条，按期整改率100%，生产安全事故网上直报率达100%。 </w:t>
      </w:r>
    </w:p>
    <w:p w14:paraId="37F48B73">
      <w:pPr>
        <w:adjustRightInd w:val="0"/>
        <w:snapToGrid w:val="0"/>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严格监管执法。</w:t>
      </w:r>
      <w:r>
        <w:rPr>
          <w:rFonts w:hint="eastAsia" w:ascii="仿宋_GB2312" w:eastAsia="仿宋_GB2312"/>
          <w:sz w:val="32"/>
          <w:szCs w:val="32"/>
        </w:rPr>
        <w:t>落实“四个一律”、“五个一批”要求，对企业安全生产责任未落实、不能满足安全生产条件或无法保障安全生产的，一律依法予以停产停业整顿。持续保持严管重罚的高压态势，倒逼生产经营单位有效落实安全生产主体责任，2020年1-10月全市打击非法违法行为7起，行政处罚42万元，问责曝光责任单位2家。</w:t>
      </w:r>
    </w:p>
    <w:p w14:paraId="68A078B5">
      <w:pPr>
        <w:pStyle w:val="12"/>
        <w:spacing w:beforeAutospacing="0" w:afterAutospacing="0" w:line="600" w:lineRule="atLeast"/>
        <w:ind w:left="0" w:leftChars="0" w:firstLine="640" w:firstLineChars="0"/>
        <w:rPr>
          <w:rFonts w:ascii="楷体_GB2312" w:hAnsi="楷体_GB2312" w:eastAsia="楷体_GB2312" w:cs="楷体_GB2312"/>
          <w:kern w:val="2"/>
          <w:sz w:val="32"/>
          <w:szCs w:val="32"/>
        </w:rPr>
      </w:pPr>
      <w:r>
        <w:rPr>
          <w:rFonts w:hint="eastAsia" w:ascii="仿宋_GB2312" w:hAnsi="仿宋_GB2312" w:eastAsia="仿宋_GB2312" w:cs="仿宋_GB2312"/>
          <w:kern w:val="2"/>
          <w:sz w:val="32"/>
          <w:szCs w:val="32"/>
          <w:lang w:val="en-US" w:eastAsia="zh-CN" w:bidi="ar-SA"/>
        </w:rPr>
        <w:t>8.进一步加强地震监测预警网络建设。</w:t>
      </w:r>
      <w:r>
        <w:rPr>
          <w:rFonts w:hint="eastAsia" w:ascii="仿宋_GB2312" w:hAnsi="仿宋_GB2312" w:eastAsia="仿宋_GB2312" w:cs="仿宋_GB2312"/>
          <w:kern w:val="2"/>
          <w:sz w:val="32"/>
          <w:szCs w:val="32"/>
        </w:rPr>
        <w:t>积极配合省地震局开展国家地震烈度速报与预警工程我市龙池中学基本站项目工作，保障我市3台“多分量AETA地震监测系统”试验站正常运行和监测数据及时上传，保障县级紧急信息服务转发平台正常运行。</w:t>
      </w:r>
    </w:p>
    <w:p w14:paraId="1D842080">
      <w:pPr>
        <w:pStyle w:val="12"/>
        <w:spacing w:beforeAutospacing="0" w:afterAutospacing="0" w:line="600" w:lineRule="atLeast"/>
        <w:ind w:left="0" w:leftChars="0" w:firstLine="64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SA"/>
        </w:rPr>
        <w:t>9.进一步健全群测群防网络。</w:t>
      </w:r>
      <w:r>
        <w:rPr>
          <w:rFonts w:hint="eastAsia" w:ascii="仿宋_GB2312" w:hAnsi="仿宋_GB2312" w:eastAsia="仿宋_GB2312" w:cs="仿宋_GB2312"/>
          <w:kern w:val="2"/>
          <w:sz w:val="32"/>
          <w:szCs w:val="32"/>
        </w:rPr>
        <w:t>科学规划、加大投入，进一步健全群测群防网点、应急通讯网络和灾情信息速报网络，重点抓好 “三网一员”队伍建设，加强工作人员业务培训，提高业务素质和能力。</w:t>
      </w:r>
    </w:p>
    <w:p w14:paraId="1A9E818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firstLine="42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SA"/>
        </w:rPr>
        <w:t xml:space="preserve"> 10.进一步强化震情跟踪。</w:t>
      </w:r>
      <w:r>
        <w:rPr>
          <w:rFonts w:hint="eastAsia" w:ascii="仿宋_GB2312" w:hAnsi="仿宋_GB2312" w:eastAsia="仿宋_GB2312" w:cs="仿宋_GB2312"/>
          <w:kern w:val="2"/>
          <w:sz w:val="32"/>
          <w:szCs w:val="32"/>
        </w:rPr>
        <w:t>制订《2021年震情跟踪工作方案》，对震情跟踪工作领导小组成员及时更新备案，对震情跟踪各项工作进行布署，全面加强异常核实工作，实行分级负责、责任包干制度，坚决做到异常核实“不过夜”。</w:t>
      </w:r>
    </w:p>
    <w:p w14:paraId="4C6AE35E">
      <w:pPr>
        <w:pStyle w:val="3"/>
        <w:keepNext/>
        <w:keepLines/>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Style w:val="26"/>
          <w:b w:val="0"/>
          <w:bCs w:val="0"/>
          <w:color w:val="auto"/>
        </w:rPr>
      </w:pPr>
      <w:bookmarkStart w:id="20" w:name="_Toc15377200"/>
      <w:bookmarkStart w:id="21" w:name="_Toc15396601"/>
      <w:r>
        <w:rPr>
          <w:rFonts w:hint="eastAsia" w:ascii="黑体" w:eastAsia="黑体"/>
          <w:b w:val="0"/>
          <w:color w:val="auto"/>
        </w:rPr>
        <w:t>二、</w:t>
      </w:r>
      <w:r>
        <w:rPr>
          <w:rFonts w:hint="eastAsia" w:ascii="黑体" w:hAnsi="黑体" w:eastAsia="黑体"/>
          <w:b w:val="0"/>
          <w:color w:val="auto"/>
        </w:rPr>
        <w:t>机</w:t>
      </w:r>
      <w:r>
        <w:rPr>
          <w:rStyle w:val="26"/>
          <w:rFonts w:hint="eastAsia" w:ascii="黑体" w:hAnsi="黑体" w:eastAsia="黑体"/>
          <w:b w:val="0"/>
          <w:bCs w:val="0"/>
          <w:color w:val="auto"/>
        </w:rPr>
        <w:t>构设置</w:t>
      </w:r>
      <w:bookmarkEnd w:id="20"/>
      <w:bookmarkEnd w:id="21"/>
    </w:p>
    <w:p w14:paraId="4731429F">
      <w:pPr>
        <w:spacing w:line="600" w:lineRule="exact"/>
        <w:ind w:left="0" w:leftChars="0" w:firstLine="640" w:firstLineChars="200"/>
        <w:rPr>
          <w:rFonts w:ascii="仿宋_GB2312" w:hAnsi="仿宋_GB2312" w:eastAsia="仿宋_GB2312" w:cs="仿宋_GB2312"/>
          <w:sz w:val="32"/>
          <w:szCs w:val="32"/>
        </w:rPr>
      </w:pPr>
      <w:r>
        <w:rPr>
          <w:rFonts w:hint="eastAsia" w:ascii="仿宋_GB2312" w:eastAsia="仿宋_GB2312"/>
          <w:sz w:val="32"/>
          <w:szCs w:val="32"/>
        </w:rPr>
        <w:t>峨眉山市应急管理局下属二级预算单位5个，其中行政单位</w:t>
      </w:r>
      <w:r>
        <w:rPr>
          <w:rFonts w:ascii="仿宋_GB2312" w:eastAsia="仿宋_GB2312"/>
          <w:sz w:val="32"/>
          <w:szCs w:val="32"/>
        </w:rPr>
        <w:t>1</w:t>
      </w:r>
      <w:r>
        <w:rPr>
          <w:rFonts w:hint="eastAsia" w:ascii="仿宋_GB2312" w:eastAsia="仿宋_GB2312"/>
          <w:sz w:val="32"/>
          <w:szCs w:val="32"/>
        </w:rPr>
        <w:t>个，参照公务员法管理的事业单位</w:t>
      </w:r>
      <w:r>
        <w:rPr>
          <w:rFonts w:ascii="仿宋_GB2312" w:eastAsia="仿宋_GB2312"/>
          <w:sz w:val="32"/>
          <w:szCs w:val="32"/>
        </w:rPr>
        <w:t>2</w:t>
      </w:r>
      <w:r>
        <w:rPr>
          <w:rFonts w:hint="eastAsia" w:ascii="仿宋_GB2312" w:eastAsia="仿宋_GB2312"/>
          <w:sz w:val="32"/>
          <w:szCs w:val="32"/>
        </w:rPr>
        <w:t>个，其他事业单位2个。主要包括：峨眉山市应急管理局、峨眉山市安全生产执法大队、</w:t>
      </w:r>
      <w:r>
        <w:rPr>
          <w:rFonts w:hint="eastAsia" w:ascii="仿宋_GB2312" w:eastAsia="仿宋_GB2312"/>
          <w:sz w:val="32"/>
        </w:rPr>
        <w:t>峨眉山市防震减灾服务中心、</w:t>
      </w:r>
      <w:r>
        <w:rPr>
          <w:rFonts w:hint="eastAsia" w:ascii="仿宋_GB2312" w:eastAsia="仿宋_GB2312"/>
          <w:sz w:val="32"/>
          <w:szCs w:val="32"/>
        </w:rPr>
        <w:t>峨眉山市安全生产技术服务中心、峨眉山市应急救援服务中心。</w:t>
      </w:r>
    </w:p>
    <w:p w14:paraId="426C3F68">
      <w:pPr>
        <w:pStyle w:val="5"/>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rPr>
          <w:rFonts w:hAnsi="仿宋_GB2312" w:cs="仿宋_GB2312"/>
          <w:sz w:val="32"/>
          <w:szCs w:val="32"/>
        </w:rPr>
      </w:pPr>
      <w:r>
        <w:rPr>
          <w:rFonts w:hint="eastAsia" w:hAnsi="仿宋_GB2312" w:cs="仿宋_GB2312"/>
          <w:sz w:val="32"/>
          <w:szCs w:val="32"/>
        </w:rPr>
        <w:t>纳入2020年度部门决算编制范围的二级预算单位包括：</w:t>
      </w:r>
    </w:p>
    <w:p w14:paraId="19D79C09">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Lines="0" w:line="600" w:lineRule="exact"/>
        <w:ind w:left="-42" w:leftChars="0" w:firstLine="640" w:firstLineChars="0"/>
        <w:textAlignment w:val="auto"/>
        <w:outlineLvl w:val="2"/>
        <w:rPr>
          <w:rFonts w:hAnsi="仿宋_GB2312" w:cs="仿宋_GB2312"/>
          <w:sz w:val="32"/>
          <w:szCs w:val="32"/>
        </w:rPr>
      </w:pPr>
      <w:r>
        <w:rPr>
          <w:rFonts w:hint="eastAsia" w:hAnsi="仿宋_GB2312" w:cs="仿宋_GB2312"/>
          <w:sz w:val="32"/>
          <w:szCs w:val="32"/>
        </w:rPr>
        <w:t>峨眉山市应急管理局</w:t>
      </w:r>
    </w:p>
    <w:p w14:paraId="49350F8C">
      <w:pPr>
        <w:pStyle w:val="5"/>
        <w:numPr>
          <w:ilvl w:val="0"/>
          <w:numId w:val="0"/>
        </w:numPr>
        <w:adjustRightInd w:val="0"/>
        <w:snapToGrid w:val="0"/>
        <w:spacing w:before="93" w:line="600" w:lineRule="exact"/>
        <w:ind w:left="630" w:leftChars="0"/>
        <w:outlineLvl w:val="2"/>
        <w:rPr>
          <w:rFonts w:hint="eastAsia" w:ascii="方正小标宋简体" w:hAnsi="方正小标宋简体" w:eastAsia="方正小标宋简体" w:cs="方正小标宋简体"/>
          <w:sz w:val="44"/>
          <w:szCs w:val="44"/>
        </w:rPr>
      </w:pPr>
      <w:r>
        <w:rPr>
          <w:rFonts w:hint="eastAsia" w:hAnsi="仿宋_GB2312" w:cs="仿宋_GB2312"/>
          <w:sz w:val="32"/>
          <w:szCs w:val="32"/>
          <w:lang w:val="en-US" w:eastAsia="zh-CN"/>
        </w:rPr>
        <w:t>2.</w:t>
      </w:r>
      <w:r>
        <w:rPr>
          <w:rFonts w:hint="eastAsia" w:hAnsi="仿宋_GB2312" w:cs="仿宋_GB2312"/>
          <w:sz w:val="32"/>
          <w:szCs w:val="32"/>
        </w:rPr>
        <w:t>峨眉山市防震减灾服务中心</w:t>
      </w:r>
      <w:r>
        <w:rPr>
          <w:rFonts w:ascii="仿宋" w:hAnsi="仿宋" w:eastAsia="仿宋"/>
          <w:color w:val="000000"/>
          <w:sz w:val="32"/>
          <w:szCs w:val="32"/>
        </w:rPr>
        <w:br w:type="page"/>
      </w:r>
      <w:bookmarkStart w:id="22" w:name="_Toc15377204"/>
      <w:bookmarkStart w:id="23" w:name="_Toc15396602"/>
      <w:r>
        <w:rPr>
          <w:rFonts w:hint="eastAsia" w:ascii="方正小标宋简体" w:hAnsi="方正小标宋简体" w:eastAsia="方正小标宋简体" w:cs="方正小标宋简体"/>
          <w:sz w:val="44"/>
          <w:szCs w:val="44"/>
        </w:rPr>
        <w:t>第二部分 2020年度部门决算情况说明</w:t>
      </w:r>
      <w:bookmarkEnd w:id="22"/>
      <w:bookmarkEnd w:id="23"/>
    </w:p>
    <w:p w14:paraId="7D89D8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p>
    <w:p w14:paraId="03680A70">
      <w:pPr>
        <w:pStyle w:val="27"/>
        <w:numPr>
          <w:ilvl w:val="0"/>
          <w:numId w:val="2"/>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14:paraId="3ACDC4F4">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2020年度收、支总计2321.67万元。与2019年相比，收、支总计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665.36万元，增长40.17%。主要变动原因是单位职能调整，民政救灾救济调整给应急管理局。</w:t>
      </w:r>
    </w:p>
    <w:p w14:paraId="2536416E">
      <w:pPr>
        <w:spacing w:line="600" w:lineRule="exact"/>
        <w:ind w:firstLine="640" w:firstLineChars="200"/>
        <w:rPr>
          <w:rFonts w:ascii="仿宋_GB2312" w:hAnsi="仿宋_GB2312" w:eastAsia="仿宋_GB2312" w:cs="仿宋_GB2312"/>
          <w:color w:val="000000"/>
          <w:sz w:val="32"/>
          <w:szCs w:val="32"/>
        </w:rPr>
      </w:pPr>
    </w:p>
    <w:p w14:paraId="7F7FB011">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anchor distT="0" distB="0" distL="114300" distR="114300" simplePos="0" relativeHeight="251660288" behindDoc="0" locked="0" layoutInCell="1" allowOverlap="1">
            <wp:simplePos x="0" y="0"/>
            <wp:positionH relativeFrom="column">
              <wp:posOffset>492125</wp:posOffset>
            </wp:positionH>
            <wp:positionV relativeFrom="paragraph">
              <wp:posOffset>45720</wp:posOffset>
            </wp:positionV>
            <wp:extent cx="4598035" cy="2289175"/>
            <wp:effectExtent l="19050" t="0" r="0" b="0"/>
            <wp:wrapNone/>
            <wp:docPr id="2" name="图片 2" descr="{CD5AE169-0724-426C-960F-2C0B633810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5AE169-0724-426C-960F-2C0B633810A3}"/>
                    <pic:cNvPicPr>
                      <a:picLocks noChangeAspect="1" noChangeArrowheads="1"/>
                    </pic:cNvPicPr>
                  </pic:nvPicPr>
                  <pic:blipFill>
                    <a:blip r:embed="rId6"/>
                    <a:stretch>
                      <a:fillRect/>
                    </a:stretch>
                  </pic:blipFill>
                  <pic:spPr>
                    <a:xfrm>
                      <a:off x="0" y="0"/>
                      <a:ext cx="4598035" cy="2289175"/>
                    </a:xfrm>
                    <a:prstGeom prst="rect">
                      <a:avLst/>
                    </a:prstGeom>
                    <a:noFill/>
                    <a:ln w="9525">
                      <a:noFill/>
                      <a:miter lim="800000"/>
                      <a:headEnd/>
                      <a:tailEnd/>
                    </a:ln>
                  </pic:spPr>
                </pic:pic>
              </a:graphicData>
            </a:graphic>
          </wp:anchor>
        </w:drawing>
      </w:r>
    </w:p>
    <w:p w14:paraId="6FAB25FA">
      <w:pPr>
        <w:spacing w:line="600" w:lineRule="exact"/>
        <w:ind w:firstLine="640" w:firstLineChars="200"/>
        <w:rPr>
          <w:rFonts w:ascii="仿宋_GB2312" w:hAnsi="仿宋_GB2312" w:eastAsia="仿宋_GB2312" w:cs="仿宋_GB2312"/>
          <w:color w:val="000000"/>
          <w:sz w:val="32"/>
          <w:szCs w:val="32"/>
        </w:rPr>
      </w:pPr>
    </w:p>
    <w:p w14:paraId="0D687B2A">
      <w:pPr>
        <w:spacing w:line="600" w:lineRule="exact"/>
        <w:ind w:firstLine="640" w:firstLineChars="200"/>
        <w:rPr>
          <w:rFonts w:ascii="仿宋_GB2312" w:hAnsi="仿宋_GB2312" w:eastAsia="仿宋_GB2312" w:cs="仿宋_GB2312"/>
          <w:color w:val="000000"/>
          <w:sz w:val="32"/>
          <w:szCs w:val="32"/>
        </w:rPr>
      </w:pPr>
    </w:p>
    <w:p w14:paraId="6AEC6709">
      <w:pPr>
        <w:spacing w:line="600" w:lineRule="exact"/>
        <w:ind w:firstLine="640" w:firstLineChars="200"/>
        <w:rPr>
          <w:rFonts w:ascii="仿宋_GB2312" w:hAnsi="仿宋_GB2312" w:eastAsia="仿宋_GB2312" w:cs="仿宋_GB2312"/>
          <w:color w:val="000000"/>
          <w:sz w:val="32"/>
          <w:szCs w:val="32"/>
        </w:rPr>
      </w:pPr>
    </w:p>
    <w:p w14:paraId="0BA34273">
      <w:pPr>
        <w:spacing w:line="600" w:lineRule="exact"/>
        <w:ind w:firstLine="640" w:firstLineChars="200"/>
        <w:rPr>
          <w:rFonts w:ascii="仿宋_GB2312" w:hAnsi="仿宋_GB2312" w:eastAsia="仿宋_GB2312" w:cs="仿宋_GB2312"/>
          <w:color w:val="000000"/>
          <w:sz w:val="32"/>
          <w:szCs w:val="32"/>
        </w:rPr>
      </w:pPr>
    </w:p>
    <w:p w14:paraId="60FAE17A">
      <w:pPr>
        <w:spacing w:line="600" w:lineRule="exact"/>
        <w:ind w:firstLine="640" w:firstLineChars="200"/>
        <w:rPr>
          <w:rFonts w:ascii="仿宋_GB2312" w:hAnsi="仿宋_GB2312" w:eastAsia="仿宋_GB2312" w:cs="仿宋_GB2312"/>
          <w:color w:val="000000"/>
          <w:sz w:val="32"/>
          <w:szCs w:val="32"/>
        </w:rPr>
      </w:pPr>
    </w:p>
    <w:p w14:paraId="2A5F259D">
      <w:pPr>
        <w:spacing w:line="600" w:lineRule="exact"/>
        <w:ind w:firstLine="640" w:firstLineChars="200"/>
        <w:rPr>
          <w:rFonts w:ascii="仿宋_GB2312" w:hAnsi="仿宋_GB2312" w:eastAsia="仿宋_GB2312" w:cs="仿宋_GB2312"/>
          <w:color w:val="000000"/>
          <w:sz w:val="32"/>
          <w:szCs w:val="32"/>
        </w:rPr>
      </w:pPr>
    </w:p>
    <w:p w14:paraId="5CA3296E">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（图1：收、支决算总计变动情况图）（柱状图）</w:t>
      </w:r>
    </w:p>
    <w:p w14:paraId="7F7B3D86">
      <w:pPr>
        <w:pStyle w:val="27"/>
        <w:numPr>
          <w:ilvl w:val="0"/>
          <w:numId w:val="2"/>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14:paraId="648EF16F">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收入合计2099.58万元，其中：一般公共预算财政拨款收入1864.58万元，占总收入的88.81%；政府性基金预算财政拨款收入235.00万元，占11.19%；上级补助收入0万元，占0%；事业收入0万元，占0%；经营收入0万元，占0%；附属单位上缴收入0万元，占0%；其他收入0万元，占0%。</w:t>
      </w:r>
    </w:p>
    <w:p w14:paraId="6CB539B1">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（注：数据来源于财决01表）</w:t>
      </w:r>
    </w:p>
    <w:p w14:paraId="78C393B4">
      <w:pPr>
        <w:spacing w:line="600" w:lineRule="exact"/>
        <w:ind w:firstLine="420" w:firstLineChars="200"/>
        <w:rPr>
          <w:rFonts w:ascii="仿宋_GB2312" w:hAnsi="仿宋_GB2312" w:eastAsia="仿宋_GB2312" w:cs="仿宋_GB2312"/>
          <w:color w:val="000000"/>
          <w:sz w:val="32"/>
          <w:szCs w:val="32"/>
        </w:rPr>
      </w:pPr>
      <w:r>
        <w:drawing>
          <wp:anchor distT="0" distB="0" distL="114300" distR="114300" simplePos="0" relativeHeight="251661312" behindDoc="0" locked="0" layoutInCell="1" allowOverlap="1">
            <wp:simplePos x="0" y="0"/>
            <wp:positionH relativeFrom="column">
              <wp:posOffset>522605</wp:posOffset>
            </wp:positionH>
            <wp:positionV relativeFrom="paragraph">
              <wp:posOffset>-3175</wp:posOffset>
            </wp:positionV>
            <wp:extent cx="4399280" cy="2639695"/>
            <wp:effectExtent l="19050" t="0" r="1059" b="0"/>
            <wp:wrapNone/>
            <wp:docPr id="3" name="图片 3"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2"/>
                    <pic:cNvPicPr>
                      <a:picLocks noChangeAspect="1" noChangeArrowheads="1"/>
                    </pic:cNvPicPr>
                  </pic:nvPicPr>
                  <pic:blipFill>
                    <a:blip r:embed="rId7"/>
                    <a:stretch>
                      <a:fillRect/>
                    </a:stretch>
                  </pic:blipFill>
                  <pic:spPr>
                    <a:xfrm>
                      <a:off x="0" y="0"/>
                      <a:ext cx="4399491" cy="2639695"/>
                    </a:xfrm>
                    <a:prstGeom prst="rect">
                      <a:avLst/>
                    </a:prstGeom>
                    <a:noFill/>
                    <a:ln w="9525">
                      <a:noFill/>
                      <a:miter lim="800000"/>
                      <a:headEnd/>
                      <a:tailEnd/>
                    </a:ln>
                  </pic:spPr>
                </pic:pic>
              </a:graphicData>
            </a:graphic>
          </wp:anchor>
        </w:drawing>
      </w:r>
    </w:p>
    <w:p w14:paraId="4479130E">
      <w:pPr>
        <w:spacing w:line="600" w:lineRule="exact"/>
        <w:ind w:firstLine="640" w:firstLineChars="200"/>
        <w:rPr>
          <w:rFonts w:ascii="仿宋_GB2312" w:hAnsi="仿宋_GB2312" w:eastAsia="仿宋_GB2312" w:cs="仿宋_GB2312"/>
          <w:color w:val="000000"/>
          <w:sz w:val="32"/>
          <w:szCs w:val="32"/>
        </w:rPr>
      </w:pPr>
    </w:p>
    <w:p w14:paraId="6A1856F7">
      <w:pPr>
        <w:spacing w:line="600" w:lineRule="exact"/>
        <w:ind w:firstLine="640" w:firstLineChars="200"/>
        <w:rPr>
          <w:rFonts w:ascii="仿宋_GB2312" w:hAnsi="仿宋_GB2312" w:eastAsia="仿宋_GB2312" w:cs="仿宋_GB2312"/>
          <w:color w:val="000000"/>
          <w:sz w:val="32"/>
          <w:szCs w:val="32"/>
        </w:rPr>
      </w:pPr>
    </w:p>
    <w:p w14:paraId="52D0FB2C">
      <w:pPr>
        <w:spacing w:line="600" w:lineRule="exact"/>
        <w:ind w:firstLine="640" w:firstLineChars="200"/>
        <w:rPr>
          <w:rFonts w:ascii="仿宋_GB2312" w:hAnsi="仿宋_GB2312" w:eastAsia="仿宋_GB2312" w:cs="仿宋_GB2312"/>
          <w:color w:val="000000"/>
          <w:sz w:val="32"/>
          <w:szCs w:val="32"/>
        </w:rPr>
      </w:pPr>
    </w:p>
    <w:p w14:paraId="66A2B3C0">
      <w:pPr>
        <w:spacing w:line="600" w:lineRule="exact"/>
        <w:ind w:firstLine="640" w:firstLineChars="200"/>
        <w:rPr>
          <w:rFonts w:ascii="仿宋_GB2312" w:hAnsi="仿宋_GB2312" w:eastAsia="仿宋_GB2312" w:cs="仿宋_GB2312"/>
          <w:color w:val="000000"/>
          <w:sz w:val="32"/>
          <w:szCs w:val="32"/>
        </w:rPr>
      </w:pPr>
    </w:p>
    <w:p w14:paraId="318D01C3">
      <w:pPr>
        <w:spacing w:line="600" w:lineRule="exact"/>
        <w:ind w:firstLine="640" w:firstLineChars="200"/>
        <w:rPr>
          <w:rFonts w:ascii="仿宋_GB2312" w:hAnsi="仿宋_GB2312" w:eastAsia="仿宋_GB2312" w:cs="仿宋_GB2312"/>
          <w:color w:val="000000"/>
          <w:sz w:val="32"/>
          <w:szCs w:val="32"/>
        </w:rPr>
      </w:pPr>
    </w:p>
    <w:p w14:paraId="37F31DF7">
      <w:pPr>
        <w:spacing w:line="600" w:lineRule="exact"/>
        <w:ind w:firstLine="640" w:firstLineChars="200"/>
        <w:rPr>
          <w:rFonts w:ascii="仿宋_GB2312" w:hAnsi="仿宋_GB2312" w:eastAsia="仿宋_GB2312" w:cs="仿宋_GB2312"/>
          <w:color w:val="000000"/>
          <w:sz w:val="32"/>
          <w:szCs w:val="32"/>
        </w:rPr>
      </w:pPr>
    </w:p>
    <w:p w14:paraId="3676C308">
      <w:pPr>
        <w:spacing w:line="600" w:lineRule="exact"/>
        <w:ind w:firstLine="640" w:firstLineChars="200"/>
        <w:rPr>
          <w:rFonts w:ascii="仿宋_GB2312" w:hAnsi="仿宋_GB2312" w:eastAsia="仿宋_GB2312" w:cs="仿宋_GB2312"/>
          <w:color w:val="000000"/>
          <w:sz w:val="32"/>
          <w:szCs w:val="32"/>
        </w:rPr>
      </w:pPr>
    </w:p>
    <w:p w14:paraId="491089AD">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（图2：收入决算结构图）（饼状图）</w:t>
      </w:r>
      <w:bookmarkStart w:id="28" w:name="_Toc15396605"/>
      <w:bookmarkStart w:id="29" w:name="_Toc15377207"/>
    </w:p>
    <w:p w14:paraId="60310BE8">
      <w:pPr>
        <w:pStyle w:val="27"/>
        <w:numPr>
          <w:ilvl w:val="0"/>
          <w:numId w:val="2"/>
        </w:numPr>
        <w:spacing w:line="600" w:lineRule="exact"/>
        <w:ind w:firstLineChars="0"/>
        <w:outlineLvl w:val="1"/>
        <w:rPr>
          <w:rStyle w:val="26"/>
          <w:rFonts w:ascii="黑体" w:hAnsi="黑体" w:eastAsia="黑体"/>
          <w:b w:val="0"/>
        </w:rPr>
      </w:pPr>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14:paraId="4F65ED35">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2020年本年支出合计1516.4万元，其中：基本支出675.23万元，占总支出的44.53%；项目支出841.27万元，占总支出的55.47%；上缴上级支出0万元，占0%；经营支出0万元，占0%；对附属单位补助支出0万元，占0%。</w:t>
      </w:r>
    </w:p>
    <w:p w14:paraId="1F1B605C">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（注：数据来源于财决04表）</w:t>
      </w:r>
    </w:p>
    <w:p w14:paraId="02E64D3B">
      <w:pPr>
        <w:spacing w:line="600" w:lineRule="exact"/>
        <w:ind w:firstLine="640" w:firstLineChars="200"/>
        <w:rPr>
          <w:rFonts w:ascii="仿宋_GB2312" w:hAnsi="仿宋_GB2312" w:eastAsia="仿宋_GB2312" w:cs="仿宋_GB2312"/>
          <w:color w:val="000000"/>
          <w:sz w:val="32"/>
          <w:szCs w:val="32"/>
        </w:rPr>
      </w:pPr>
    </w:p>
    <w:p w14:paraId="1B6F73CC">
      <w:pPr>
        <w:spacing w:line="600" w:lineRule="exact"/>
        <w:ind w:firstLine="640" w:firstLineChars="200"/>
        <w:rPr>
          <w:rFonts w:ascii="仿宋_GB2312" w:hAnsi="仿宋_GB2312" w:eastAsia="仿宋_GB2312" w:cs="仿宋_GB2312"/>
          <w:color w:val="000000"/>
          <w:sz w:val="32"/>
          <w:szCs w:val="32"/>
        </w:rPr>
      </w:pPr>
    </w:p>
    <w:p w14:paraId="0951E7D3">
      <w:pPr>
        <w:spacing w:line="600" w:lineRule="exact"/>
        <w:ind w:firstLine="640" w:firstLineChars="200"/>
        <w:rPr>
          <w:rFonts w:ascii="仿宋_GB2312" w:hAnsi="仿宋_GB2312" w:eastAsia="仿宋_GB2312" w:cs="仿宋_GB2312"/>
          <w:color w:val="000000"/>
          <w:sz w:val="32"/>
          <w:szCs w:val="32"/>
        </w:rPr>
      </w:pPr>
    </w:p>
    <w:p w14:paraId="3EF7FE68">
      <w:pPr>
        <w:spacing w:line="600" w:lineRule="exact"/>
        <w:ind w:firstLine="640" w:firstLineChars="200"/>
        <w:rPr>
          <w:rFonts w:ascii="仿宋_GB2312" w:hAnsi="仿宋_GB2312" w:eastAsia="仿宋_GB2312" w:cs="仿宋_GB2312"/>
          <w:color w:val="000000"/>
          <w:sz w:val="32"/>
          <w:szCs w:val="32"/>
        </w:rPr>
      </w:pPr>
    </w:p>
    <w:p w14:paraId="2ECC771F">
      <w:pPr>
        <w:spacing w:line="600" w:lineRule="exact"/>
        <w:ind w:firstLine="640" w:firstLineChars="200"/>
        <w:rPr>
          <w:rFonts w:ascii="仿宋_GB2312" w:hAnsi="仿宋_GB2312" w:eastAsia="仿宋_GB2312" w:cs="仿宋_GB2312"/>
          <w:color w:val="000000"/>
          <w:sz w:val="32"/>
          <w:szCs w:val="32"/>
        </w:rPr>
      </w:pPr>
    </w:p>
    <w:p w14:paraId="679723EB">
      <w:pPr>
        <w:spacing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anchor distT="0" distB="0" distL="114300" distR="114300" simplePos="0" relativeHeight="251662336" behindDoc="0" locked="0" layoutInCell="1" allowOverlap="1">
            <wp:simplePos x="0" y="0"/>
            <wp:positionH relativeFrom="column">
              <wp:posOffset>520065</wp:posOffset>
            </wp:positionH>
            <wp:positionV relativeFrom="paragraph">
              <wp:posOffset>-158750</wp:posOffset>
            </wp:positionV>
            <wp:extent cx="4271645" cy="2559050"/>
            <wp:effectExtent l="0" t="0" r="14605" b="12700"/>
            <wp:wrapNone/>
            <wp:docPr id="4" name="图片 4"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3"/>
                    <pic:cNvPicPr>
                      <a:picLocks noChangeAspect="1" noChangeArrowheads="1"/>
                    </pic:cNvPicPr>
                  </pic:nvPicPr>
                  <pic:blipFill>
                    <a:blip r:embed="rId8"/>
                    <a:stretch>
                      <a:fillRect/>
                    </a:stretch>
                  </pic:blipFill>
                  <pic:spPr>
                    <a:xfrm>
                      <a:off x="0" y="0"/>
                      <a:ext cx="4271645" cy="2559050"/>
                    </a:xfrm>
                    <a:prstGeom prst="rect">
                      <a:avLst/>
                    </a:prstGeom>
                    <a:noFill/>
                    <a:ln w="9525">
                      <a:noFill/>
                      <a:miter lim="800000"/>
                      <a:headEnd/>
                      <a:tailEnd/>
                    </a:ln>
                  </pic:spPr>
                </pic:pic>
              </a:graphicData>
            </a:graphic>
          </wp:anchor>
        </w:drawing>
      </w:r>
    </w:p>
    <w:p w14:paraId="2931BB36">
      <w:pPr>
        <w:spacing w:line="600" w:lineRule="exact"/>
        <w:ind w:firstLine="640" w:firstLineChars="200"/>
        <w:rPr>
          <w:rFonts w:ascii="仿宋_GB2312" w:hAnsi="仿宋_GB2312" w:eastAsia="仿宋_GB2312" w:cs="仿宋_GB2312"/>
          <w:color w:val="000000"/>
          <w:sz w:val="32"/>
          <w:szCs w:val="32"/>
        </w:rPr>
      </w:pPr>
    </w:p>
    <w:p w14:paraId="4A7561E2">
      <w:pPr>
        <w:spacing w:line="600" w:lineRule="exact"/>
        <w:ind w:firstLine="640" w:firstLineChars="200"/>
        <w:rPr>
          <w:rFonts w:ascii="仿宋_GB2312" w:hAnsi="仿宋_GB2312" w:eastAsia="仿宋_GB2312" w:cs="仿宋_GB2312"/>
          <w:color w:val="000000"/>
          <w:sz w:val="32"/>
          <w:szCs w:val="32"/>
        </w:rPr>
      </w:pPr>
    </w:p>
    <w:p w14:paraId="6C39E201">
      <w:pPr>
        <w:spacing w:line="600" w:lineRule="exact"/>
        <w:ind w:firstLine="640" w:firstLineChars="200"/>
        <w:rPr>
          <w:rFonts w:ascii="仿宋_GB2312" w:hAnsi="仿宋_GB2312" w:eastAsia="仿宋_GB2312" w:cs="仿宋_GB2312"/>
          <w:color w:val="000000"/>
          <w:sz w:val="32"/>
          <w:szCs w:val="32"/>
        </w:rPr>
      </w:pPr>
    </w:p>
    <w:p w14:paraId="70500C93">
      <w:pPr>
        <w:spacing w:line="600" w:lineRule="exact"/>
        <w:ind w:firstLine="640" w:firstLineChars="200"/>
        <w:rPr>
          <w:rFonts w:ascii="仿宋_GB2312" w:hAnsi="仿宋_GB2312" w:eastAsia="仿宋_GB2312" w:cs="仿宋_GB2312"/>
          <w:color w:val="000000"/>
          <w:sz w:val="32"/>
          <w:szCs w:val="32"/>
        </w:rPr>
      </w:pPr>
    </w:p>
    <w:p w14:paraId="1AE6FEB3">
      <w:pPr>
        <w:spacing w:line="600" w:lineRule="exact"/>
        <w:ind w:firstLine="640" w:firstLineChars="200"/>
        <w:rPr>
          <w:rFonts w:ascii="仿宋_GB2312" w:hAnsi="仿宋_GB2312" w:eastAsia="仿宋_GB2312" w:cs="仿宋_GB2312"/>
          <w:color w:val="000000"/>
          <w:sz w:val="32"/>
          <w:szCs w:val="32"/>
        </w:rPr>
      </w:pPr>
    </w:p>
    <w:p w14:paraId="289D476C">
      <w:pPr>
        <w:spacing w:line="600" w:lineRule="exact"/>
        <w:ind w:firstLine="640" w:firstLineChars="200"/>
        <w:rPr>
          <w:rFonts w:hint="eastAsia" w:ascii="仿宋_GB2312" w:hAnsi="仿宋_GB2312" w:eastAsia="仿宋_GB2312" w:cs="仿宋_GB2312"/>
          <w:color w:val="000000"/>
          <w:sz w:val="32"/>
          <w:szCs w:val="32"/>
        </w:rPr>
      </w:pPr>
    </w:p>
    <w:p w14:paraId="170171AE">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（图3：支出决算结构图）（饼状图）</w:t>
      </w:r>
    </w:p>
    <w:p w14:paraId="1D30870A">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14:paraId="46A429F2">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2020年财政拨款收、支总计2321.51万元。与2019年相比，财政拨款收、支总计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665.2万元，增长40.16%。主要变动原因是是单位职能调整，民政救灾救济调整给应急管理局。（注：除国有资本经营预算外，数据来源于财决Z01-1表，口径为“总计”数+国有资本经营预算。）</w:t>
      </w:r>
    </w:p>
    <w:p w14:paraId="5A13565E">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anchor distT="0" distB="0" distL="114300" distR="114300" simplePos="0" relativeHeight="251663360" behindDoc="0" locked="0" layoutInCell="1" allowOverlap="1">
            <wp:simplePos x="0" y="0"/>
            <wp:positionH relativeFrom="column">
              <wp:posOffset>674370</wp:posOffset>
            </wp:positionH>
            <wp:positionV relativeFrom="paragraph">
              <wp:posOffset>55880</wp:posOffset>
            </wp:positionV>
            <wp:extent cx="4342765" cy="2101215"/>
            <wp:effectExtent l="0" t="0" r="635" b="13335"/>
            <wp:wrapNone/>
            <wp:docPr id="5" name="图片 5"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4"/>
                    <pic:cNvPicPr>
                      <a:picLocks noChangeAspect="1" noChangeArrowheads="1"/>
                    </pic:cNvPicPr>
                  </pic:nvPicPr>
                  <pic:blipFill>
                    <a:blip r:embed="rId9"/>
                    <a:stretch>
                      <a:fillRect/>
                    </a:stretch>
                  </pic:blipFill>
                  <pic:spPr>
                    <a:xfrm>
                      <a:off x="0" y="0"/>
                      <a:ext cx="4342765" cy="2101215"/>
                    </a:xfrm>
                    <a:prstGeom prst="rect">
                      <a:avLst/>
                    </a:prstGeom>
                    <a:noFill/>
                    <a:ln w="9525">
                      <a:noFill/>
                      <a:miter lim="800000"/>
                      <a:headEnd/>
                      <a:tailEnd/>
                    </a:ln>
                  </pic:spPr>
                </pic:pic>
              </a:graphicData>
            </a:graphic>
          </wp:anchor>
        </w:drawing>
      </w:r>
    </w:p>
    <w:p w14:paraId="495C8C6E">
      <w:pPr>
        <w:spacing w:line="600" w:lineRule="exact"/>
        <w:ind w:firstLine="640"/>
        <w:rPr>
          <w:rFonts w:ascii="仿宋_GB2312" w:hAnsi="仿宋_GB2312" w:eastAsia="仿宋_GB2312" w:cs="仿宋_GB2312"/>
          <w:color w:val="000000"/>
          <w:sz w:val="32"/>
          <w:szCs w:val="32"/>
        </w:rPr>
      </w:pPr>
    </w:p>
    <w:p w14:paraId="0529DA94">
      <w:pPr>
        <w:spacing w:line="600" w:lineRule="exact"/>
        <w:ind w:firstLine="640"/>
        <w:rPr>
          <w:rFonts w:ascii="仿宋_GB2312" w:hAnsi="仿宋_GB2312" w:eastAsia="仿宋_GB2312" w:cs="仿宋_GB2312"/>
          <w:color w:val="000000"/>
          <w:sz w:val="32"/>
          <w:szCs w:val="32"/>
        </w:rPr>
      </w:pPr>
    </w:p>
    <w:p w14:paraId="42B322B0">
      <w:pPr>
        <w:spacing w:line="600" w:lineRule="exact"/>
        <w:ind w:firstLine="640"/>
        <w:rPr>
          <w:rFonts w:ascii="仿宋_GB2312" w:hAnsi="仿宋_GB2312" w:eastAsia="仿宋_GB2312" w:cs="仿宋_GB2312"/>
          <w:color w:val="000000"/>
          <w:sz w:val="32"/>
          <w:szCs w:val="32"/>
        </w:rPr>
      </w:pPr>
    </w:p>
    <w:p w14:paraId="0AF78801">
      <w:pPr>
        <w:spacing w:line="600" w:lineRule="exact"/>
        <w:ind w:firstLine="640"/>
        <w:rPr>
          <w:rFonts w:ascii="仿宋_GB2312" w:hAnsi="仿宋_GB2312" w:eastAsia="仿宋_GB2312" w:cs="仿宋_GB2312"/>
          <w:color w:val="000000"/>
          <w:sz w:val="32"/>
          <w:szCs w:val="32"/>
        </w:rPr>
      </w:pPr>
    </w:p>
    <w:p w14:paraId="02559ECA">
      <w:pPr>
        <w:spacing w:line="600" w:lineRule="exact"/>
        <w:ind w:firstLine="640"/>
        <w:rPr>
          <w:rFonts w:ascii="仿宋_GB2312" w:hAnsi="仿宋_GB2312" w:eastAsia="仿宋_GB2312" w:cs="仿宋_GB2312"/>
          <w:color w:val="000000"/>
          <w:sz w:val="32"/>
          <w:szCs w:val="32"/>
        </w:rPr>
      </w:pPr>
    </w:p>
    <w:p w14:paraId="5840F974">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（图4：财政拨款收、支决算总计变动情况）（柱状图）</w:t>
      </w:r>
    </w:p>
    <w:p w14:paraId="5171D7A9">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14:paraId="0D6AB23C">
      <w:pPr>
        <w:spacing w:line="600" w:lineRule="exact"/>
        <w:ind w:firstLine="640" w:firstLineChars="200"/>
        <w:outlineLvl w:val="2"/>
        <w:rPr>
          <w:rFonts w:ascii="楷体_GB2312" w:hAnsi="楷体_GB2312" w:eastAsia="楷体_GB2312" w:cs="楷体_GB2312"/>
          <w:color w:val="000000"/>
          <w:sz w:val="32"/>
          <w:szCs w:val="32"/>
        </w:rPr>
      </w:pPr>
      <w:bookmarkStart w:id="34" w:name="_Toc15377210"/>
      <w:r>
        <w:rPr>
          <w:rFonts w:hint="eastAsia" w:ascii="楷体_GB2312" w:hAnsi="楷体_GB2312" w:eastAsia="楷体_GB2312" w:cs="楷体_GB2312"/>
          <w:color w:val="000000"/>
          <w:sz w:val="32"/>
          <w:szCs w:val="32"/>
        </w:rPr>
        <w:t>（一）一般公共预算财政拨款支出决算总体情况</w:t>
      </w:r>
      <w:bookmarkEnd w:id="34"/>
    </w:p>
    <w:p w14:paraId="6A0DFBF7">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2020年一般公共预算财政拨款支出1281.27万元，占本年支出合计的84.49%。与2019年相比，一般公共预算财政拨款支出增加139.84万元，增长12.25%。主要变动原因是单位职能调整，民政救灾救济调整给应急管理局。</w:t>
      </w:r>
    </w:p>
    <w:p w14:paraId="7D581C97">
      <w:pPr>
        <w:spacing w:line="600" w:lineRule="exact"/>
        <w:ind w:firstLine="640" w:firstLineChars="200"/>
        <w:rPr>
          <w:rFonts w:hint="eastAsia" w:ascii="仿宋_GB2312" w:hAnsi="仿宋_GB2312" w:eastAsia="仿宋_GB2312" w:cs="仿宋_GB2312"/>
          <w:color w:val="000000"/>
          <w:sz w:val="32"/>
          <w:szCs w:val="32"/>
        </w:rPr>
      </w:pPr>
    </w:p>
    <w:p w14:paraId="53BD984C">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64384" behindDoc="0" locked="0" layoutInCell="1" allowOverlap="1">
            <wp:simplePos x="0" y="0"/>
            <wp:positionH relativeFrom="column">
              <wp:posOffset>405765</wp:posOffset>
            </wp:positionH>
            <wp:positionV relativeFrom="paragraph">
              <wp:posOffset>-215900</wp:posOffset>
            </wp:positionV>
            <wp:extent cx="4641215" cy="2807335"/>
            <wp:effectExtent l="19050" t="0" r="6985" b="0"/>
            <wp:wrapNone/>
            <wp:docPr id="6" name="图片 6"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5"/>
                    <pic:cNvPicPr>
                      <a:picLocks noChangeAspect="1" noChangeArrowheads="1"/>
                    </pic:cNvPicPr>
                  </pic:nvPicPr>
                  <pic:blipFill>
                    <a:blip r:embed="rId10"/>
                    <a:stretch>
                      <a:fillRect/>
                    </a:stretch>
                  </pic:blipFill>
                  <pic:spPr>
                    <a:xfrm>
                      <a:off x="0" y="0"/>
                      <a:ext cx="4641215" cy="2807335"/>
                    </a:xfrm>
                    <a:prstGeom prst="rect">
                      <a:avLst/>
                    </a:prstGeom>
                    <a:noFill/>
                    <a:ln w="9525">
                      <a:noFill/>
                      <a:miter lim="800000"/>
                      <a:headEnd/>
                      <a:tailEnd/>
                    </a:ln>
                  </pic:spPr>
                </pic:pic>
              </a:graphicData>
            </a:graphic>
          </wp:anchor>
        </w:drawing>
      </w:r>
    </w:p>
    <w:p w14:paraId="438FBBE7">
      <w:pPr>
        <w:spacing w:line="600" w:lineRule="exact"/>
        <w:ind w:firstLine="640" w:firstLineChars="200"/>
        <w:rPr>
          <w:rFonts w:hint="eastAsia" w:ascii="仿宋_GB2312" w:hAnsi="仿宋_GB2312" w:eastAsia="仿宋_GB2312" w:cs="仿宋_GB2312"/>
          <w:color w:val="000000"/>
          <w:sz w:val="32"/>
          <w:szCs w:val="32"/>
        </w:rPr>
      </w:pPr>
    </w:p>
    <w:p w14:paraId="46C608C8">
      <w:pPr>
        <w:spacing w:line="600" w:lineRule="exact"/>
        <w:ind w:firstLine="640" w:firstLineChars="200"/>
        <w:rPr>
          <w:rFonts w:hint="eastAsia" w:ascii="仿宋_GB2312" w:hAnsi="仿宋_GB2312" w:eastAsia="仿宋_GB2312" w:cs="仿宋_GB2312"/>
          <w:color w:val="000000"/>
          <w:sz w:val="32"/>
          <w:szCs w:val="32"/>
        </w:rPr>
      </w:pPr>
    </w:p>
    <w:p w14:paraId="576C5950">
      <w:pPr>
        <w:spacing w:line="600" w:lineRule="exact"/>
        <w:ind w:firstLine="640" w:firstLineChars="200"/>
        <w:rPr>
          <w:rFonts w:hint="eastAsia" w:ascii="仿宋_GB2312" w:hAnsi="仿宋_GB2312" w:eastAsia="仿宋_GB2312" w:cs="仿宋_GB2312"/>
          <w:color w:val="000000"/>
          <w:sz w:val="32"/>
          <w:szCs w:val="32"/>
        </w:rPr>
      </w:pPr>
    </w:p>
    <w:p w14:paraId="2CC6F821">
      <w:pPr>
        <w:spacing w:line="600" w:lineRule="exact"/>
        <w:ind w:firstLine="640" w:firstLineChars="200"/>
        <w:rPr>
          <w:rFonts w:hint="eastAsia" w:ascii="仿宋_GB2312" w:hAnsi="仿宋_GB2312" w:eastAsia="仿宋_GB2312" w:cs="仿宋_GB2312"/>
          <w:color w:val="000000"/>
          <w:sz w:val="32"/>
          <w:szCs w:val="32"/>
        </w:rPr>
      </w:pPr>
    </w:p>
    <w:p w14:paraId="01BC9EC1">
      <w:pPr>
        <w:spacing w:line="600" w:lineRule="exact"/>
        <w:ind w:firstLine="640" w:firstLineChars="200"/>
        <w:rPr>
          <w:rFonts w:ascii="仿宋_GB2312" w:hAnsi="仿宋_GB2312" w:eastAsia="仿宋_GB2312" w:cs="仿宋_GB2312"/>
          <w:color w:val="000000"/>
          <w:sz w:val="32"/>
          <w:szCs w:val="32"/>
        </w:rPr>
      </w:pPr>
    </w:p>
    <w:p w14:paraId="11E0E93D">
      <w:pPr>
        <w:spacing w:line="600" w:lineRule="exact"/>
        <w:ind w:firstLine="640" w:firstLineChars="200"/>
        <w:rPr>
          <w:rFonts w:ascii="仿宋_GB2312" w:hAnsi="仿宋_GB2312" w:eastAsia="仿宋_GB2312" w:cs="仿宋_GB2312"/>
          <w:color w:val="000000"/>
          <w:sz w:val="32"/>
          <w:szCs w:val="32"/>
        </w:rPr>
      </w:pPr>
    </w:p>
    <w:p w14:paraId="2F28C95C">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（图5：一般公共预算财政拨款支出决算变动情况）（柱状图）</w:t>
      </w:r>
    </w:p>
    <w:p w14:paraId="1095BF92">
      <w:pPr>
        <w:spacing w:line="600" w:lineRule="exact"/>
        <w:ind w:firstLine="640" w:firstLineChars="200"/>
        <w:outlineLvl w:val="2"/>
        <w:rPr>
          <w:rFonts w:ascii="楷体_GB2312" w:hAnsi="楷体_GB2312" w:eastAsia="楷体_GB2312" w:cs="楷体_GB2312"/>
          <w:color w:val="000000"/>
          <w:sz w:val="32"/>
          <w:szCs w:val="32"/>
        </w:rPr>
      </w:pPr>
      <w:bookmarkStart w:id="35" w:name="_Toc15377211"/>
      <w:r>
        <w:rPr>
          <w:rFonts w:hint="eastAsia" w:ascii="楷体_GB2312" w:hAnsi="楷体_GB2312" w:eastAsia="楷体_GB2312" w:cs="楷体_GB2312"/>
          <w:color w:val="000000"/>
          <w:sz w:val="32"/>
          <w:szCs w:val="32"/>
        </w:rPr>
        <w:t>（二）一般公共预算财政拨款支出决算结构情况</w:t>
      </w:r>
      <w:bookmarkEnd w:id="35"/>
    </w:p>
    <w:p w14:paraId="032F3C9B">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1281.27万元，主要用于以下方面:一般公共服务（类）支出0万元，占0%；教育支出（类）0万元，占0%；科学技术（类）支出0万元，占0%；文化旅游体育与传媒（类）支出0万元，占0%；社会保障和就业（类）支出68.4万元，占5.34%；卫生健康（类）支出14.03万元，占1.1%；住房保障（类）支出50.75万元，占3.96%；灾害防治及应急管理（类）支出1148.08万元，占89.6%…。（罗列全部功能分类科目，至类级。）</w:t>
      </w:r>
    </w:p>
    <w:p w14:paraId="49FFDE7D">
      <w:pPr>
        <w:spacing w:line="600" w:lineRule="exact"/>
        <w:ind w:firstLine="640"/>
        <w:rPr>
          <w:rFonts w:hint="eastAsia" w:ascii="仿宋_GB2312" w:hAnsi="仿宋_GB2312" w:eastAsia="仿宋_GB2312" w:cs="仿宋_GB2312"/>
          <w:color w:val="000000"/>
          <w:sz w:val="32"/>
          <w:szCs w:val="32"/>
        </w:rPr>
      </w:pPr>
    </w:p>
    <w:p w14:paraId="3C3162E5">
      <w:pPr>
        <w:spacing w:line="600" w:lineRule="exact"/>
        <w:ind w:firstLine="640"/>
        <w:rPr>
          <w:rFonts w:ascii="仿宋_GB2312" w:hAnsi="仿宋_GB2312" w:eastAsia="仿宋_GB2312" w:cs="仿宋_GB2312"/>
          <w:color w:val="000000"/>
          <w:sz w:val="32"/>
          <w:szCs w:val="32"/>
        </w:rPr>
      </w:pPr>
    </w:p>
    <w:p w14:paraId="16CC2294">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anchor distT="0" distB="0" distL="114300" distR="114300" simplePos="0" relativeHeight="251665408" behindDoc="0" locked="0" layoutInCell="1" allowOverlap="1">
            <wp:simplePos x="0" y="0"/>
            <wp:positionH relativeFrom="column">
              <wp:posOffset>408940</wp:posOffset>
            </wp:positionH>
            <wp:positionV relativeFrom="paragraph">
              <wp:posOffset>-554355</wp:posOffset>
            </wp:positionV>
            <wp:extent cx="4599305" cy="2769235"/>
            <wp:effectExtent l="19050" t="0" r="0" b="0"/>
            <wp:wrapNone/>
            <wp:docPr id="7" name="图片 7"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6"/>
                    <pic:cNvPicPr>
                      <a:picLocks noChangeAspect="1" noChangeArrowheads="1"/>
                    </pic:cNvPicPr>
                  </pic:nvPicPr>
                  <pic:blipFill>
                    <a:blip r:embed="rId11"/>
                    <a:stretch>
                      <a:fillRect/>
                    </a:stretch>
                  </pic:blipFill>
                  <pic:spPr>
                    <a:xfrm>
                      <a:off x="0" y="0"/>
                      <a:ext cx="4599305" cy="2769235"/>
                    </a:xfrm>
                    <a:prstGeom prst="rect">
                      <a:avLst/>
                    </a:prstGeom>
                    <a:noFill/>
                    <a:ln w="9525">
                      <a:noFill/>
                      <a:miter lim="800000"/>
                      <a:headEnd/>
                      <a:tailEnd/>
                    </a:ln>
                  </pic:spPr>
                </pic:pic>
              </a:graphicData>
            </a:graphic>
          </wp:anchor>
        </w:drawing>
      </w:r>
    </w:p>
    <w:p w14:paraId="6165ACA2">
      <w:pPr>
        <w:spacing w:line="600" w:lineRule="exact"/>
        <w:ind w:firstLine="640"/>
        <w:rPr>
          <w:rFonts w:ascii="仿宋_GB2312" w:hAnsi="仿宋_GB2312" w:eastAsia="仿宋_GB2312" w:cs="仿宋_GB2312"/>
          <w:color w:val="000000"/>
          <w:sz w:val="32"/>
          <w:szCs w:val="32"/>
        </w:rPr>
      </w:pPr>
    </w:p>
    <w:p w14:paraId="2DF57918">
      <w:pPr>
        <w:spacing w:line="600" w:lineRule="exact"/>
        <w:ind w:firstLine="640"/>
        <w:rPr>
          <w:rFonts w:ascii="仿宋_GB2312" w:hAnsi="仿宋_GB2312" w:eastAsia="仿宋_GB2312" w:cs="仿宋_GB2312"/>
          <w:color w:val="000000"/>
          <w:sz w:val="32"/>
          <w:szCs w:val="32"/>
        </w:rPr>
      </w:pPr>
    </w:p>
    <w:p w14:paraId="5EF2AF5C">
      <w:pPr>
        <w:spacing w:line="600" w:lineRule="exact"/>
        <w:ind w:firstLine="640"/>
        <w:rPr>
          <w:rFonts w:ascii="仿宋_GB2312" w:hAnsi="仿宋_GB2312" w:eastAsia="仿宋_GB2312" w:cs="仿宋_GB2312"/>
          <w:color w:val="000000"/>
          <w:sz w:val="32"/>
          <w:szCs w:val="32"/>
        </w:rPr>
      </w:pPr>
    </w:p>
    <w:p w14:paraId="6DC0922E">
      <w:pPr>
        <w:spacing w:line="600" w:lineRule="exact"/>
        <w:ind w:firstLine="640"/>
        <w:rPr>
          <w:rFonts w:ascii="仿宋_GB2312" w:hAnsi="仿宋_GB2312" w:eastAsia="仿宋_GB2312" w:cs="仿宋_GB2312"/>
          <w:color w:val="000000"/>
          <w:sz w:val="32"/>
          <w:szCs w:val="32"/>
        </w:rPr>
      </w:pPr>
    </w:p>
    <w:p w14:paraId="3AB0AA69">
      <w:pPr>
        <w:spacing w:line="600" w:lineRule="exact"/>
        <w:ind w:firstLine="640"/>
        <w:rPr>
          <w:rFonts w:ascii="仿宋_GB2312" w:hAnsi="仿宋_GB2312" w:eastAsia="仿宋_GB2312" w:cs="仿宋_GB2312"/>
          <w:color w:val="000000"/>
          <w:sz w:val="32"/>
          <w:szCs w:val="32"/>
        </w:rPr>
      </w:pPr>
    </w:p>
    <w:p w14:paraId="4D629FE8">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（图6：一般公共预算财政拨款支出决算结构）（饼状图）</w:t>
      </w:r>
    </w:p>
    <w:p w14:paraId="78582299">
      <w:pPr>
        <w:spacing w:line="600" w:lineRule="exact"/>
        <w:ind w:firstLine="640" w:firstLineChars="200"/>
        <w:outlineLvl w:val="2"/>
        <w:rPr>
          <w:rFonts w:ascii="楷体_GB2312" w:hAnsi="楷体_GB2312" w:eastAsia="楷体_GB2312" w:cs="楷体_GB2312"/>
          <w:bCs/>
          <w:color w:val="000000"/>
          <w:sz w:val="32"/>
          <w:szCs w:val="32"/>
        </w:rPr>
      </w:pPr>
      <w:bookmarkStart w:id="36" w:name="_Toc15377212"/>
      <w:r>
        <w:rPr>
          <w:rFonts w:hint="eastAsia" w:ascii="楷体_GB2312" w:hAnsi="楷体_GB2312" w:eastAsia="楷体_GB2312" w:cs="楷体_GB2312"/>
          <w:bCs/>
          <w:color w:val="000000"/>
          <w:sz w:val="32"/>
          <w:szCs w:val="32"/>
        </w:rPr>
        <w:t>（三）一般公共预算财政拨款支出决算具体情况</w:t>
      </w:r>
      <w:bookmarkEnd w:id="36"/>
    </w:p>
    <w:p w14:paraId="18E3B68B">
      <w:pPr>
        <w:spacing w:line="600" w:lineRule="exact"/>
        <w:ind w:firstLine="640" w:firstLineChars="200"/>
        <w:outlineLvl w:val="2"/>
        <w:rPr>
          <w:rFonts w:ascii="仿宋_GB2312" w:hAnsi="仿宋_GB2312" w:eastAsia="仿宋_GB2312" w:cs="仿宋_GB2312"/>
          <w:bCs/>
          <w:color w:val="000000"/>
          <w:sz w:val="32"/>
          <w:szCs w:val="32"/>
        </w:rPr>
      </w:pPr>
      <w:bookmarkStart w:id="37" w:name="_Toc15378460"/>
      <w:bookmarkStart w:id="38" w:name="_Toc15377444"/>
      <w:bookmarkStart w:id="39" w:name="_Toc15377213"/>
      <w:r>
        <w:rPr>
          <w:rFonts w:hint="eastAsia" w:ascii="仿宋_GB2312" w:hAnsi="仿宋_GB2312" w:eastAsia="仿宋_GB2312" w:cs="仿宋_GB2312"/>
          <w:bCs/>
          <w:color w:val="000000"/>
          <w:sz w:val="32"/>
          <w:szCs w:val="32"/>
        </w:rPr>
        <w:t>2020年一般公共预算支出决算数为1281.27万元，</w:t>
      </w:r>
      <w:r>
        <w:rPr>
          <w:rStyle w:val="15"/>
          <w:rFonts w:hint="eastAsia" w:ascii="仿宋_GB2312" w:hAnsi="仿宋_GB2312" w:eastAsia="仿宋_GB2312" w:cs="仿宋_GB2312"/>
          <w:b w:val="0"/>
          <w:bCs/>
          <w:color w:val="000000"/>
          <w:sz w:val="32"/>
          <w:szCs w:val="32"/>
        </w:rPr>
        <w:t>完成预算100%。其中：</w:t>
      </w:r>
      <w:bookmarkEnd w:id="37"/>
      <w:bookmarkEnd w:id="38"/>
      <w:bookmarkEnd w:id="39"/>
    </w:p>
    <w:p w14:paraId="058D0732">
      <w:pPr>
        <w:spacing w:line="600" w:lineRule="exact"/>
        <w:ind w:firstLine="640" w:firstLineChars="200"/>
        <w:rPr>
          <w:rFonts w:ascii="仿宋_GB2312" w:hAnsi="仿宋_GB2312" w:eastAsia="仿宋_GB2312" w:cs="仿宋_GB2312"/>
          <w:bCs/>
          <w:color w:val="000000"/>
          <w:sz w:val="32"/>
          <w:szCs w:val="32"/>
        </w:rPr>
      </w:pPr>
      <w:r>
        <w:rPr>
          <w:rStyle w:val="15"/>
          <w:rFonts w:hint="eastAsia" w:ascii="仿宋_GB2312" w:hAnsi="仿宋_GB2312" w:eastAsia="仿宋_GB2312" w:cs="仿宋_GB2312"/>
          <w:b w:val="0"/>
          <w:bCs/>
          <w:color w:val="000000"/>
          <w:sz w:val="32"/>
          <w:szCs w:val="32"/>
        </w:rPr>
        <w:t>1．一般公共服务（类）***（款）***（项）: 支出决算为0万元，完成预算0%，决算数小于/等于预算数的主要原因是…。</w:t>
      </w:r>
    </w:p>
    <w:p w14:paraId="0169665F">
      <w:pPr>
        <w:spacing w:line="600" w:lineRule="exact"/>
        <w:ind w:firstLine="640" w:firstLineChars="200"/>
        <w:rPr>
          <w:rFonts w:ascii="仿宋_GB2312" w:hAnsi="仿宋_GB2312" w:eastAsia="仿宋_GB2312" w:cs="仿宋_GB2312"/>
          <w:bCs/>
          <w:color w:val="000000"/>
          <w:sz w:val="32"/>
          <w:szCs w:val="32"/>
        </w:rPr>
      </w:pPr>
      <w:r>
        <w:rPr>
          <w:rStyle w:val="15"/>
          <w:rFonts w:hint="eastAsia" w:ascii="仿宋_GB2312" w:hAnsi="仿宋_GB2312" w:eastAsia="仿宋_GB2312" w:cs="仿宋_GB2312"/>
          <w:b w:val="0"/>
          <w:bCs/>
          <w:color w:val="000000"/>
          <w:sz w:val="32"/>
          <w:szCs w:val="32"/>
        </w:rPr>
        <w:t>2．教育（类）***（款）***（项）: 支出决算为0万元，完成预算0%，决算数小于/等于预算数的主要原因是…。</w:t>
      </w:r>
    </w:p>
    <w:p w14:paraId="28BE391F">
      <w:pPr>
        <w:spacing w:line="600" w:lineRule="exact"/>
        <w:ind w:firstLine="640" w:firstLineChars="200"/>
        <w:rPr>
          <w:rFonts w:ascii="仿宋_GB2312" w:hAnsi="仿宋_GB2312" w:eastAsia="仿宋_GB2312" w:cs="仿宋_GB2312"/>
          <w:bCs/>
          <w:color w:val="000000"/>
          <w:sz w:val="32"/>
          <w:szCs w:val="32"/>
        </w:rPr>
      </w:pPr>
      <w:r>
        <w:rPr>
          <w:rStyle w:val="15"/>
          <w:rFonts w:hint="eastAsia" w:ascii="仿宋_GB2312" w:hAnsi="仿宋_GB2312" w:eastAsia="仿宋_GB2312" w:cs="仿宋_GB2312"/>
          <w:b w:val="0"/>
          <w:bCs/>
          <w:color w:val="000000"/>
          <w:sz w:val="32"/>
          <w:szCs w:val="32"/>
        </w:rPr>
        <w:t>3．科学技术（类）***（款）***（项）: 支出决算为0万元，完成预算0%，决算数小于/等于预算数的主要原因是…。</w:t>
      </w:r>
    </w:p>
    <w:p w14:paraId="2A1DEECE">
      <w:pPr>
        <w:spacing w:line="600" w:lineRule="exact"/>
        <w:ind w:firstLine="640" w:firstLineChars="200"/>
        <w:rPr>
          <w:rFonts w:ascii="仿宋_GB2312" w:hAnsi="仿宋_GB2312" w:eastAsia="仿宋_GB2312" w:cs="仿宋_GB2312"/>
          <w:bCs/>
          <w:color w:val="000000"/>
          <w:sz w:val="32"/>
          <w:szCs w:val="32"/>
        </w:rPr>
      </w:pPr>
      <w:r>
        <w:rPr>
          <w:rStyle w:val="15"/>
          <w:rFonts w:hint="eastAsia" w:ascii="仿宋_GB2312" w:hAnsi="仿宋_GB2312" w:eastAsia="仿宋_GB2312" w:cs="仿宋_GB2312"/>
          <w:b w:val="0"/>
          <w:bCs/>
          <w:color w:val="000000"/>
          <w:sz w:val="32"/>
          <w:szCs w:val="32"/>
        </w:rPr>
        <w:t>4．文化旅游体育与传媒（类）***（款）***（项）: 支出决算为0万元，完成预算0%，决算数小于/等于预算数的主要原因是…。</w:t>
      </w:r>
    </w:p>
    <w:p w14:paraId="46375120">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 xml:space="preserve">5．社会保障和就业（类）208（款）***（项）: </w:t>
      </w:r>
    </w:p>
    <w:p w14:paraId="66E28FA3">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A</w:t>
      </w:r>
      <w:r>
        <w:rPr>
          <w:rStyle w:val="15"/>
          <w:rFonts w:hint="eastAsia" w:ascii="仿宋_GB2312" w:hAnsi="仿宋_GB2312" w:eastAsia="仿宋_GB2312" w:cs="仿宋_GB2312"/>
          <w:b w:val="0"/>
          <w:bCs/>
          <w:color w:val="000000"/>
          <w:sz w:val="32"/>
          <w:szCs w:val="32"/>
          <w:lang w:val="en-US" w:eastAsia="zh-CN"/>
        </w:rPr>
        <w:t>.</w:t>
      </w:r>
      <w:r>
        <w:rPr>
          <w:rStyle w:val="15"/>
          <w:rFonts w:hint="eastAsia" w:ascii="仿宋_GB2312" w:hAnsi="仿宋_GB2312" w:eastAsia="仿宋_GB2312" w:cs="仿宋_GB2312"/>
          <w:b w:val="0"/>
          <w:bCs/>
          <w:color w:val="000000"/>
          <w:sz w:val="32"/>
          <w:szCs w:val="32"/>
        </w:rPr>
        <w:t>机关事业单位基本养老保险缴费支出（类）208（款）05（项）05：支出决算为35.16万元，完成预算的100%，决算数等于预算数。</w:t>
      </w:r>
    </w:p>
    <w:p w14:paraId="2C103C4D">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B</w:t>
      </w:r>
      <w:r>
        <w:rPr>
          <w:rStyle w:val="15"/>
          <w:rFonts w:hint="eastAsia" w:ascii="仿宋_GB2312" w:hAnsi="仿宋_GB2312" w:eastAsia="仿宋_GB2312" w:cs="仿宋_GB2312"/>
          <w:b w:val="0"/>
          <w:bCs/>
          <w:color w:val="000000"/>
          <w:sz w:val="32"/>
          <w:szCs w:val="32"/>
          <w:lang w:val="en-US" w:eastAsia="zh-CN"/>
        </w:rPr>
        <w:t>.</w:t>
      </w:r>
      <w:r>
        <w:rPr>
          <w:rStyle w:val="15"/>
          <w:rFonts w:hint="eastAsia" w:ascii="仿宋_GB2312" w:hAnsi="仿宋_GB2312" w:eastAsia="仿宋_GB2312" w:cs="仿宋_GB2312"/>
          <w:b w:val="0"/>
          <w:bCs/>
          <w:color w:val="000000"/>
          <w:sz w:val="32"/>
          <w:szCs w:val="32"/>
        </w:rPr>
        <w:t>机关事业单位职业年金缴费支出（类）208（款）05（项）06 ：支出决算为17.66万元，完成预算的100%，决算数等于预算数。</w:t>
      </w:r>
    </w:p>
    <w:p w14:paraId="651D4931">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C</w:t>
      </w:r>
      <w:r>
        <w:rPr>
          <w:rStyle w:val="15"/>
          <w:rFonts w:hint="eastAsia" w:ascii="仿宋_GB2312" w:hAnsi="仿宋_GB2312" w:eastAsia="仿宋_GB2312" w:cs="仿宋_GB2312"/>
          <w:b w:val="0"/>
          <w:bCs/>
          <w:color w:val="000000"/>
          <w:sz w:val="32"/>
          <w:szCs w:val="32"/>
          <w:lang w:val="en-US" w:eastAsia="zh-CN"/>
        </w:rPr>
        <w:t>.</w:t>
      </w:r>
      <w:r>
        <w:rPr>
          <w:rStyle w:val="15"/>
          <w:rFonts w:hint="eastAsia" w:ascii="仿宋_GB2312" w:hAnsi="仿宋_GB2312" w:eastAsia="仿宋_GB2312" w:cs="仿宋_GB2312"/>
          <w:b w:val="0"/>
          <w:bCs/>
          <w:color w:val="000000"/>
          <w:sz w:val="32"/>
          <w:szCs w:val="32"/>
        </w:rPr>
        <w:t>其他企业改革发展补助（类）208（款）06（项）99：支出决算为11.89万元，完成预算的100%，决算数等于预算数。</w:t>
      </w:r>
    </w:p>
    <w:p w14:paraId="4A8C6092">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D</w:t>
      </w:r>
      <w:r>
        <w:rPr>
          <w:rStyle w:val="15"/>
          <w:rFonts w:hint="eastAsia" w:ascii="仿宋_GB2312" w:hAnsi="仿宋_GB2312" w:eastAsia="仿宋_GB2312" w:cs="仿宋_GB2312"/>
          <w:b w:val="0"/>
          <w:bCs/>
          <w:color w:val="000000"/>
          <w:sz w:val="32"/>
          <w:szCs w:val="32"/>
          <w:lang w:val="en-US" w:eastAsia="zh-CN"/>
        </w:rPr>
        <w:t>.</w:t>
      </w:r>
      <w:r>
        <w:rPr>
          <w:rStyle w:val="15"/>
          <w:rFonts w:hint="eastAsia" w:ascii="仿宋_GB2312" w:hAnsi="仿宋_GB2312" w:eastAsia="仿宋_GB2312" w:cs="仿宋_GB2312"/>
          <w:b w:val="0"/>
          <w:bCs/>
          <w:color w:val="000000"/>
          <w:sz w:val="32"/>
          <w:szCs w:val="32"/>
        </w:rPr>
        <w:t>其他优抚支出（类）208（款）08（项）99 ：支出决算为2.03万元，完成预算的100%，决算数等于预算数。</w:t>
      </w:r>
    </w:p>
    <w:p w14:paraId="36FB3898">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E</w:t>
      </w:r>
      <w:r>
        <w:rPr>
          <w:rStyle w:val="15"/>
          <w:rFonts w:hint="eastAsia" w:ascii="仿宋_GB2312" w:hAnsi="仿宋_GB2312" w:eastAsia="仿宋_GB2312" w:cs="仿宋_GB2312"/>
          <w:b w:val="0"/>
          <w:bCs/>
          <w:color w:val="000000"/>
          <w:sz w:val="32"/>
          <w:szCs w:val="32"/>
          <w:lang w:val="en-US" w:eastAsia="zh-CN"/>
        </w:rPr>
        <w:t>.</w:t>
      </w:r>
      <w:r>
        <w:rPr>
          <w:rStyle w:val="15"/>
          <w:rFonts w:hint="eastAsia" w:ascii="仿宋_GB2312" w:hAnsi="仿宋_GB2312" w:eastAsia="仿宋_GB2312" w:cs="仿宋_GB2312"/>
          <w:b w:val="0"/>
          <w:bCs/>
          <w:color w:val="000000"/>
          <w:sz w:val="32"/>
          <w:szCs w:val="32"/>
        </w:rPr>
        <w:t>其他社会保障和就业支出（类）208（款）99（项）01 ：支出决算为1.66万元，完成预算的100%，决算数等于预算数。</w:t>
      </w:r>
    </w:p>
    <w:p w14:paraId="2BE48F3D">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Cs/>
          <w:color w:val="000000"/>
          <w:sz w:val="32"/>
          <w:szCs w:val="32"/>
        </w:rPr>
        <w:t>卫生健康</w:t>
      </w:r>
      <w:r>
        <w:rPr>
          <w:rStyle w:val="15"/>
          <w:rFonts w:hint="eastAsia" w:ascii="仿宋_GB2312" w:hAnsi="仿宋_GB2312" w:eastAsia="仿宋_GB2312" w:cs="仿宋_GB2312"/>
          <w:b w:val="0"/>
          <w:bCs/>
          <w:color w:val="000000"/>
          <w:sz w:val="32"/>
          <w:szCs w:val="32"/>
        </w:rPr>
        <w:t>（类）210（款）11（项）:</w:t>
      </w:r>
    </w:p>
    <w:p w14:paraId="32D57872">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A</w:t>
      </w:r>
      <w:r>
        <w:rPr>
          <w:rStyle w:val="15"/>
          <w:rFonts w:hint="eastAsia" w:ascii="仿宋_GB2312" w:hAnsi="仿宋_GB2312" w:eastAsia="仿宋_GB2312" w:cs="仿宋_GB2312"/>
          <w:b w:val="0"/>
          <w:bCs/>
          <w:color w:val="000000"/>
          <w:sz w:val="32"/>
          <w:szCs w:val="32"/>
          <w:lang w:val="en-US" w:eastAsia="zh-CN"/>
        </w:rPr>
        <w:t>.</w:t>
      </w:r>
      <w:r>
        <w:rPr>
          <w:rStyle w:val="15"/>
          <w:rFonts w:hint="eastAsia" w:ascii="仿宋_GB2312" w:hAnsi="仿宋_GB2312" w:eastAsia="仿宋_GB2312" w:cs="仿宋_GB2312"/>
          <w:b w:val="0"/>
          <w:bCs/>
          <w:color w:val="000000"/>
          <w:sz w:val="32"/>
          <w:szCs w:val="32"/>
        </w:rPr>
        <w:t>行政单位医疗支出（类）210（款）11（项）01：决算为11.23万元，完成预算100%，决算数等于预算数。</w:t>
      </w:r>
    </w:p>
    <w:p w14:paraId="48AF3810">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B</w:t>
      </w:r>
      <w:r>
        <w:rPr>
          <w:rStyle w:val="15"/>
          <w:rFonts w:hint="eastAsia" w:ascii="仿宋_GB2312" w:hAnsi="仿宋_GB2312" w:eastAsia="仿宋_GB2312" w:cs="仿宋_GB2312"/>
          <w:b w:val="0"/>
          <w:bCs/>
          <w:color w:val="000000"/>
          <w:sz w:val="32"/>
          <w:szCs w:val="32"/>
          <w:lang w:val="en-US" w:eastAsia="zh-CN"/>
        </w:rPr>
        <w:t>.</w:t>
      </w:r>
      <w:r>
        <w:rPr>
          <w:rStyle w:val="15"/>
          <w:rFonts w:hint="eastAsia" w:ascii="仿宋_GB2312" w:hAnsi="仿宋_GB2312" w:eastAsia="仿宋_GB2312" w:cs="仿宋_GB2312"/>
          <w:b w:val="0"/>
          <w:bCs/>
          <w:color w:val="000000"/>
          <w:sz w:val="32"/>
          <w:szCs w:val="32"/>
        </w:rPr>
        <w:t>事业单位医疗支出（类）210（款）11（项）02：决算为2.80万元，完成预算100%，决算数等于预算数。</w:t>
      </w:r>
    </w:p>
    <w:p w14:paraId="1F5A8A2E">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7</w:t>
      </w:r>
      <w:r>
        <w:rPr>
          <w:rStyle w:val="15"/>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Cs/>
          <w:color w:val="000000"/>
          <w:sz w:val="32"/>
          <w:szCs w:val="32"/>
        </w:rPr>
        <w:t>住房保障支出</w:t>
      </w:r>
      <w:r>
        <w:rPr>
          <w:rStyle w:val="15"/>
          <w:rFonts w:hint="eastAsia" w:ascii="仿宋_GB2312" w:hAnsi="仿宋_GB2312" w:eastAsia="仿宋_GB2312" w:cs="仿宋_GB2312"/>
          <w:b w:val="0"/>
          <w:bCs/>
          <w:color w:val="000000"/>
          <w:sz w:val="32"/>
          <w:szCs w:val="32"/>
        </w:rPr>
        <w:t>（类）221（款）02（项）:</w:t>
      </w:r>
    </w:p>
    <w:p w14:paraId="5BFA5E97">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住房保障支出（类）221（款）02（项）01：决算为50.75万元，完成预算100%，决算数等于预算数。</w:t>
      </w:r>
    </w:p>
    <w:p w14:paraId="1E60163F">
      <w:pPr>
        <w:spacing w:line="600" w:lineRule="exact"/>
        <w:ind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8</w:t>
      </w:r>
      <w:r>
        <w:rPr>
          <w:rStyle w:val="15"/>
          <w:rFonts w:hint="eastAsia" w:ascii="仿宋_GB2312" w:hAnsi="仿宋_GB2312" w:eastAsia="仿宋_GB2312" w:cs="仿宋_GB2312"/>
          <w:b w:val="0"/>
          <w:bCs/>
          <w:color w:val="000000"/>
          <w:sz w:val="32"/>
          <w:szCs w:val="32"/>
          <w:lang w:val="en-US" w:eastAsia="zh-CN"/>
        </w:rPr>
        <w:t>.</w:t>
      </w:r>
      <w:r>
        <w:rPr>
          <w:rStyle w:val="15"/>
          <w:rFonts w:hint="eastAsia" w:ascii="仿宋_GB2312" w:hAnsi="仿宋_GB2312" w:eastAsia="仿宋_GB2312" w:cs="仿宋_GB2312"/>
          <w:b w:val="0"/>
          <w:bCs/>
          <w:color w:val="000000"/>
          <w:sz w:val="32"/>
          <w:szCs w:val="32"/>
        </w:rPr>
        <w:t>灾害防治及应急管理支出（类）224（款）***（项）:</w:t>
      </w:r>
    </w:p>
    <w:p w14:paraId="7AC9B972">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A.</w:t>
      </w:r>
      <w:r>
        <w:rPr>
          <w:rStyle w:val="15"/>
          <w:rFonts w:hint="eastAsia" w:ascii="仿宋_GB2312" w:hAnsi="仿宋_GB2312" w:eastAsia="仿宋_GB2312" w:cs="仿宋_GB2312"/>
          <w:b w:val="0"/>
          <w:bCs/>
          <w:color w:val="000000"/>
          <w:sz w:val="32"/>
          <w:szCs w:val="32"/>
        </w:rPr>
        <w:t>行政运行（类）224（款）01（项）01:决算为429.22万元，完成预算100%，决算数等于预算数。</w:t>
      </w:r>
    </w:p>
    <w:p w14:paraId="298982CF">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B.</w:t>
      </w:r>
      <w:r>
        <w:rPr>
          <w:rStyle w:val="15"/>
          <w:rFonts w:hint="eastAsia" w:ascii="仿宋_GB2312" w:hAnsi="仿宋_GB2312" w:eastAsia="仿宋_GB2312" w:cs="仿宋_GB2312"/>
          <w:b w:val="0"/>
          <w:bCs/>
          <w:color w:val="000000"/>
          <w:sz w:val="32"/>
          <w:szCs w:val="32"/>
        </w:rPr>
        <w:t xml:space="preserve"> 一般行政管理事务（类）224（款）01（项）02:决算为0.24万元，完成预算100%，决算数等于预算数。</w:t>
      </w:r>
    </w:p>
    <w:p w14:paraId="3033B658">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C.</w:t>
      </w:r>
      <w:r>
        <w:rPr>
          <w:rStyle w:val="15"/>
          <w:rFonts w:hint="eastAsia" w:ascii="仿宋_GB2312" w:hAnsi="仿宋_GB2312" w:eastAsia="仿宋_GB2312" w:cs="仿宋_GB2312"/>
          <w:b w:val="0"/>
          <w:bCs/>
          <w:color w:val="000000"/>
          <w:sz w:val="32"/>
          <w:szCs w:val="32"/>
        </w:rPr>
        <w:t>安全监管（类）224（款）01（项）06:决算为39.00万元，完成预算100%，决算数等于预算数。</w:t>
      </w:r>
    </w:p>
    <w:p w14:paraId="50CE3B62">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D.</w:t>
      </w:r>
      <w:r>
        <w:rPr>
          <w:rStyle w:val="15"/>
          <w:rFonts w:hint="eastAsia" w:ascii="仿宋_GB2312" w:hAnsi="仿宋_GB2312" w:eastAsia="仿宋_GB2312" w:cs="仿宋_GB2312"/>
          <w:b w:val="0"/>
          <w:bCs/>
          <w:color w:val="000000"/>
          <w:sz w:val="32"/>
          <w:szCs w:val="32"/>
        </w:rPr>
        <w:t xml:space="preserve"> 应急救援（类）224（款）01（项）08:决算为50.00万元，完成预算100%，决算数等于预算数（2019年结余）。</w:t>
      </w:r>
    </w:p>
    <w:p w14:paraId="52D782ED">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E.</w:t>
      </w:r>
      <w:r>
        <w:rPr>
          <w:rStyle w:val="15"/>
          <w:rFonts w:hint="eastAsia" w:ascii="仿宋_GB2312" w:hAnsi="仿宋_GB2312" w:eastAsia="仿宋_GB2312" w:cs="仿宋_GB2312"/>
          <w:b w:val="0"/>
          <w:bCs/>
          <w:color w:val="000000"/>
          <w:sz w:val="32"/>
          <w:szCs w:val="32"/>
        </w:rPr>
        <w:t>应急管理（类）224（款）01（项）09:决算为180.56万元，完成预算100%，决算数等于预算数。</w:t>
      </w:r>
    </w:p>
    <w:p w14:paraId="4031CACA">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F.</w:t>
      </w:r>
      <w:r>
        <w:rPr>
          <w:rStyle w:val="15"/>
          <w:rFonts w:hint="eastAsia" w:ascii="仿宋_GB2312" w:hAnsi="仿宋_GB2312" w:eastAsia="仿宋_GB2312" w:cs="仿宋_GB2312"/>
          <w:b w:val="0"/>
          <w:bCs/>
          <w:color w:val="000000"/>
          <w:sz w:val="32"/>
          <w:szCs w:val="32"/>
        </w:rPr>
        <w:t>事业运行（类）224（款）01（项）50:决算为64.73万元，完成预算100%，决算数等于预算数。</w:t>
      </w:r>
    </w:p>
    <w:p w14:paraId="61EAD7E2">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G.</w:t>
      </w:r>
      <w:r>
        <w:rPr>
          <w:rStyle w:val="15"/>
          <w:rFonts w:hint="eastAsia" w:ascii="仿宋_GB2312" w:hAnsi="仿宋_GB2312" w:eastAsia="仿宋_GB2312" w:cs="仿宋_GB2312"/>
          <w:b w:val="0"/>
          <w:bCs/>
          <w:color w:val="000000"/>
          <w:sz w:val="32"/>
          <w:szCs w:val="32"/>
        </w:rPr>
        <w:t>其他应急管理支出（类）224（款）01（项）99:决算为5.00万元，完成预算1.15%，决算数小于预算数，项目未完工，资金未支付。</w:t>
      </w:r>
    </w:p>
    <w:p w14:paraId="41400564">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H.</w:t>
      </w:r>
      <w:r>
        <w:rPr>
          <w:rStyle w:val="15"/>
          <w:rFonts w:hint="eastAsia" w:ascii="仿宋_GB2312" w:hAnsi="仿宋_GB2312" w:eastAsia="仿宋_GB2312" w:cs="仿宋_GB2312"/>
          <w:b w:val="0"/>
          <w:bCs/>
          <w:color w:val="000000"/>
          <w:sz w:val="32"/>
          <w:szCs w:val="32"/>
        </w:rPr>
        <w:t>消防事务的一般行政管理事务（类）224（款）02（项）02:决算为8.00万元，完成预算100%，决算数等于预算数。</w:t>
      </w:r>
    </w:p>
    <w:p w14:paraId="5641BE59">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I.</w:t>
      </w:r>
      <w:r>
        <w:rPr>
          <w:rStyle w:val="15"/>
          <w:rFonts w:hint="eastAsia" w:ascii="仿宋_GB2312" w:hAnsi="仿宋_GB2312" w:eastAsia="仿宋_GB2312" w:cs="仿宋_GB2312"/>
          <w:b w:val="0"/>
          <w:bCs/>
          <w:color w:val="000000"/>
          <w:sz w:val="32"/>
          <w:szCs w:val="32"/>
        </w:rPr>
        <w:t>中央自然灾害生活补助（类）224（款）07（项）01:决算为253.36万元，完成预算57.20%，决算数小于预算数，项目未完工，资金未支付。</w:t>
      </w:r>
    </w:p>
    <w:p w14:paraId="2EFF5D16">
      <w:pPr>
        <w:numPr>
          <w:ilvl w:val="0"/>
          <w:numId w:val="0"/>
        </w:numPr>
        <w:spacing w:line="600" w:lineRule="exact"/>
        <w:ind w:left="0" w:leftChars="0" w:firstLine="640"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J.</w:t>
      </w:r>
      <w:r>
        <w:rPr>
          <w:rStyle w:val="15"/>
          <w:rFonts w:hint="eastAsia" w:ascii="仿宋_GB2312" w:hAnsi="仿宋_GB2312" w:eastAsia="仿宋_GB2312" w:cs="仿宋_GB2312"/>
          <w:b w:val="0"/>
          <w:bCs/>
          <w:color w:val="000000"/>
          <w:sz w:val="32"/>
          <w:szCs w:val="32"/>
        </w:rPr>
        <w:t>地方自然灾害生活补助（类）224（款）07（项）02:决算为13.85万元，完成预算100%，决算数等于预算数。</w:t>
      </w:r>
    </w:p>
    <w:p w14:paraId="1A42B9BF">
      <w:pPr>
        <w:numPr>
          <w:ilvl w:val="0"/>
          <w:numId w:val="0"/>
        </w:numPr>
        <w:spacing w:line="600" w:lineRule="exact"/>
        <w:ind w:left="0" w:leftChars="0"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K.</w:t>
      </w:r>
      <w:r>
        <w:rPr>
          <w:rStyle w:val="15"/>
          <w:rFonts w:hint="eastAsia" w:ascii="仿宋_GB2312" w:hAnsi="仿宋_GB2312" w:eastAsia="仿宋_GB2312" w:cs="仿宋_GB2312"/>
          <w:b w:val="0"/>
          <w:bCs/>
          <w:color w:val="000000"/>
          <w:sz w:val="32"/>
          <w:szCs w:val="32"/>
        </w:rPr>
        <w:t>其他灾害防治及应急管理支出（类）224（款）99（项）00:决算为30.00万元，完成预算100%，决算数等于预算数（上年结余）。</w:t>
      </w:r>
    </w:p>
    <w:p w14:paraId="2C976C64">
      <w:pPr>
        <w:numPr>
          <w:ilvl w:val="0"/>
          <w:numId w:val="0"/>
        </w:numPr>
        <w:spacing w:line="600" w:lineRule="exact"/>
        <w:ind w:left="0" w:leftChars="0"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L.</w:t>
      </w:r>
      <w:r>
        <w:rPr>
          <w:rStyle w:val="15"/>
          <w:rFonts w:hint="eastAsia" w:ascii="仿宋_GB2312" w:hAnsi="仿宋_GB2312" w:eastAsia="仿宋_GB2312" w:cs="仿宋_GB2312"/>
          <w:b w:val="0"/>
          <w:bCs/>
          <w:color w:val="000000"/>
          <w:sz w:val="32"/>
          <w:szCs w:val="32"/>
        </w:rPr>
        <w:t>行政运行（类）224（款）05（项）01:决算为59.98万元，完成预算100%，决算数等于预算数。</w:t>
      </w:r>
    </w:p>
    <w:p w14:paraId="2F089E69">
      <w:pPr>
        <w:numPr>
          <w:ilvl w:val="0"/>
          <w:numId w:val="0"/>
        </w:numPr>
        <w:spacing w:line="600" w:lineRule="exact"/>
        <w:ind w:left="0" w:leftChars="0" w:firstLine="640" w:firstLineChars="200"/>
        <w:rPr>
          <w:rFonts w:ascii="仿宋_GB2312" w:hAnsi="仿宋_GB2312" w:eastAsia="仿宋_GB2312" w:cs="仿宋_GB2312"/>
          <w:bCs/>
          <w:color w:val="000000"/>
          <w:sz w:val="32"/>
          <w:szCs w:val="32"/>
        </w:rPr>
      </w:pPr>
      <w:r>
        <w:rPr>
          <w:rStyle w:val="15"/>
          <w:rFonts w:hint="eastAsia" w:ascii="仿宋_GB2312" w:hAnsi="仿宋_GB2312" w:eastAsia="仿宋_GB2312" w:cs="仿宋_GB2312"/>
          <w:b w:val="0"/>
          <w:bCs/>
          <w:color w:val="000000"/>
          <w:sz w:val="32"/>
          <w:szCs w:val="32"/>
          <w:lang w:val="en-US" w:eastAsia="zh-CN"/>
        </w:rPr>
        <w:t>M.</w:t>
      </w:r>
      <w:r>
        <w:rPr>
          <w:rStyle w:val="15"/>
          <w:rFonts w:hint="eastAsia" w:ascii="仿宋_GB2312" w:hAnsi="仿宋_GB2312" w:eastAsia="仿宋_GB2312" w:cs="仿宋_GB2312"/>
          <w:b w:val="0"/>
          <w:bCs/>
          <w:color w:val="000000"/>
          <w:sz w:val="32"/>
          <w:szCs w:val="32"/>
        </w:rPr>
        <w:t>其他地震事务支出（类）224（款）05（项）99:决算为14.14万元，完成预算100%，决算数等于预算数。</w:t>
      </w:r>
    </w:p>
    <w:p w14:paraId="6412C6ED">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（注：数据来源于财决Z01-1表，罗列全部功能分类科目至项级。上述“预算”口径为调整预算数。增减变动原因为决算数&lt;项级&gt;和调整预算数&lt;项级&gt;比较，与预算数持平可以不写原因。）</w:t>
      </w:r>
    </w:p>
    <w:p w14:paraId="1A4EB805">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14:paraId="234FFD8A">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2020年一般公共预算财政拨款基本支出675.22万元，其中：</w:t>
      </w:r>
    </w:p>
    <w:p w14:paraId="2681618B">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555.29万元，主要包括：基本工资126.39万元、津贴补贴258.03万元、奖金8.26万元、伙食补助费1.32万元、绩效工资20.02万元、机关事业单位基本养老保险缴费35.16万元、职业年金缴费17.66万元、职工基本医疗保险缴费14.03万元、其他社会保障缴费1.66万元、其他工资福利支出0.66万元、离休费0万元、退休费0万元、抚恤金0万元、生活补助21.29万元、医疗费补助0万元、奖励金0.05万元、住房公积金50.75万元、其他对个人和家庭的补助支出0万元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119.94万元，主要包括：办公费4.56万元、印刷费0万元、咨询费0万元、手续费0.01万元、水费0.53万元、电费0万元、邮电费1.71万元、取暖费0万元、物业管理费0万元、差旅费10.44万元、因公出国（境）费用0万元、维修（护）费0.36万元、租赁费0万元、会议费0.34万元、培训费0.10万元、公务接待费0.51万元、专用材料费0.06万元、劳务费54.38万元、委托业务费1.20万元、工会经费10.31万元、福利费0.53万元、公务用车运行维护费8.41万元、其他交通费20.74万元、税金及附加费用0万元、其他商品和服务支出5.75万元、办公设备购置0万元、专用设备购置0万元、信息网络及软件购置更新0万元、其他资本性支出0万元等。</w:t>
      </w:r>
    </w:p>
    <w:p w14:paraId="04A99AFB">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（注：数据来源于财决07表，根据本部门实际支出情况罗列全部经济分类科目。）</w:t>
      </w:r>
    </w:p>
    <w:p w14:paraId="0586D57D">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14:paraId="3AF04666">
      <w:pPr>
        <w:spacing w:line="600" w:lineRule="exact"/>
        <w:ind w:firstLine="640"/>
        <w:outlineLvl w:val="2"/>
        <w:rPr>
          <w:rFonts w:ascii="楷体_GB2312" w:hAnsi="楷体_GB2312" w:eastAsia="楷体_GB2312" w:cs="楷体_GB2312"/>
          <w:bCs/>
          <w:color w:val="000000"/>
          <w:sz w:val="32"/>
          <w:szCs w:val="32"/>
        </w:rPr>
      </w:pPr>
      <w:bookmarkStart w:id="44" w:name="_Toc15377216"/>
      <w:r>
        <w:rPr>
          <w:rFonts w:hint="eastAsia" w:ascii="楷体_GB2312" w:hAnsi="楷体_GB2312" w:eastAsia="楷体_GB2312" w:cs="楷体_GB2312"/>
          <w:bCs/>
          <w:color w:val="000000"/>
          <w:sz w:val="32"/>
          <w:szCs w:val="32"/>
        </w:rPr>
        <w:t>（一）“三公”经费财政拨款支出决算总体情况说明</w:t>
      </w:r>
      <w:bookmarkEnd w:id="44"/>
    </w:p>
    <w:p w14:paraId="09035C06">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2020年“三公”经费财政拨款支出决算为15.25万元，完成预算86.16%，决算数小于预算数的主要原因是单位职能调整，节约开支。（注：上述“预算”口径为调整预算数，包括政府性基金支出决算情况。）</w:t>
      </w:r>
    </w:p>
    <w:p w14:paraId="6B8B1978">
      <w:pPr>
        <w:spacing w:line="600" w:lineRule="exact"/>
        <w:ind w:firstLine="640"/>
        <w:outlineLvl w:val="2"/>
        <w:rPr>
          <w:rFonts w:ascii="楷体_GB2312" w:hAnsi="楷体_GB2312" w:eastAsia="楷体_GB2312" w:cs="楷体_GB2312"/>
          <w:bCs/>
          <w:color w:val="000000"/>
          <w:sz w:val="32"/>
          <w:szCs w:val="32"/>
        </w:rPr>
      </w:pPr>
      <w:bookmarkStart w:id="45" w:name="_Toc15377217"/>
      <w:r>
        <w:rPr>
          <w:rFonts w:hint="eastAsia" w:ascii="楷体_GB2312" w:hAnsi="楷体_GB2312" w:eastAsia="楷体_GB2312" w:cs="楷体_GB2312"/>
          <w:bCs/>
          <w:color w:val="000000"/>
          <w:sz w:val="32"/>
          <w:szCs w:val="32"/>
        </w:rPr>
        <w:t>（二）“三公”经费财政拨款支出决算具体情况说明</w:t>
      </w:r>
      <w:bookmarkEnd w:id="45"/>
    </w:p>
    <w:p w14:paraId="286D78EE">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2020年“三公”经费财政拨款支出决算中，因公出国（境）费支出决算0万元，占0%；公务用车购置及运行维护费支出决算14.1万元，占92.46%；公务接待费支出决算1.15万元，占7.54%。具体情况如下：</w:t>
      </w:r>
    </w:p>
    <w:p w14:paraId="63EFBDF4">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drawing>
          <wp:anchor distT="0" distB="0" distL="114300" distR="114300" simplePos="0" relativeHeight="251666432" behindDoc="0" locked="0" layoutInCell="1" allowOverlap="1">
            <wp:simplePos x="0" y="0"/>
            <wp:positionH relativeFrom="column">
              <wp:posOffset>459740</wp:posOffset>
            </wp:positionH>
            <wp:positionV relativeFrom="paragraph">
              <wp:posOffset>160020</wp:posOffset>
            </wp:positionV>
            <wp:extent cx="4661535" cy="2812415"/>
            <wp:effectExtent l="19050" t="0" r="5715" b="0"/>
            <wp:wrapNone/>
            <wp:docPr id="8" name="图片 8"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7"/>
                    <pic:cNvPicPr>
                      <a:picLocks noChangeAspect="1" noChangeArrowheads="1"/>
                    </pic:cNvPicPr>
                  </pic:nvPicPr>
                  <pic:blipFill>
                    <a:blip r:embed="rId12"/>
                    <a:stretch>
                      <a:fillRect/>
                    </a:stretch>
                  </pic:blipFill>
                  <pic:spPr>
                    <a:xfrm>
                      <a:off x="0" y="0"/>
                      <a:ext cx="4661535" cy="2812415"/>
                    </a:xfrm>
                    <a:prstGeom prst="rect">
                      <a:avLst/>
                    </a:prstGeom>
                    <a:noFill/>
                    <a:ln w="9525">
                      <a:noFill/>
                      <a:miter lim="800000"/>
                      <a:headEnd/>
                      <a:tailEnd/>
                    </a:ln>
                  </pic:spPr>
                </pic:pic>
              </a:graphicData>
            </a:graphic>
          </wp:anchor>
        </w:drawing>
      </w:r>
    </w:p>
    <w:p w14:paraId="76680740">
      <w:pPr>
        <w:spacing w:line="600" w:lineRule="exact"/>
        <w:ind w:firstLine="640"/>
        <w:rPr>
          <w:rFonts w:ascii="仿宋_GB2312" w:hAnsi="仿宋_GB2312" w:eastAsia="仿宋_GB2312" w:cs="仿宋_GB2312"/>
          <w:color w:val="000000"/>
          <w:sz w:val="32"/>
          <w:szCs w:val="32"/>
        </w:rPr>
      </w:pPr>
    </w:p>
    <w:p w14:paraId="30CFC259">
      <w:pPr>
        <w:spacing w:line="600" w:lineRule="exact"/>
        <w:ind w:firstLine="640"/>
        <w:rPr>
          <w:rFonts w:ascii="仿宋_GB2312" w:hAnsi="仿宋_GB2312" w:eastAsia="仿宋_GB2312" w:cs="仿宋_GB2312"/>
          <w:color w:val="000000"/>
          <w:sz w:val="32"/>
          <w:szCs w:val="32"/>
        </w:rPr>
      </w:pPr>
    </w:p>
    <w:p w14:paraId="2E9C9A4D">
      <w:pPr>
        <w:spacing w:line="600" w:lineRule="exact"/>
        <w:ind w:firstLine="640"/>
        <w:rPr>
          <w:rFonts w:ascii="仿宋_GB2312" w:hAnsi="仿宋_GB2312" w:eastAsia="仿宋_GB2312" w:cs="仿宋_GB2312"/>
          <w:color w:val="000000"/>
          <w:sz w:val="32"/>
          <w:szCs w:val="32"/>
        </w:rPr>
      </w:pPr>
    </w:p>
    <w:p w14:paraId="370BC4DB">
      <w:pPr>
        <w:spacing w:line="600" w:lineRule="exact"/>
        <w:ind w:firstLine="640"/>
        <w:rPr>
          <w:rFonts w:ascii="仿宋_GB2312" w:hAnsi="仿宋_GB2312" w:eastAsia="仿宋_GB2312" w:cs="仿宋_GB2312"/>
          <w:color w:val="000000"/>
          <w:sz w:val="32"/>
          <w:szCs w:val="32"/>
        </w:rPr>
      </w:pPr>
    </w:p>
    <w:p w14:paraId="5F4752E7">
      <w:pPr>
        <w:spacing w:line="600" w:lineRule="exact"/>
        <w:ind w:firstLine="640"/>
        <w:rPr>
          <w:rFonts w:ascii="仿宋_GB2312" w:hAnsi="仿宋_GB2312" w:eastAsia="仿宋_GB2312" w:cs="仿宋_GB2312"/>
          <w:color w:val="000000"/>
          <w:sz w:val="32"/>
          <w:szCs w:val="32"/>
        </w:rPr>
      </w:pPr>
    </w:p>
    <w:p w14:paraId="1FF8A3BF">
      <w:pPr>
        <w:spacing w:line="600" w:lineRule="exact"/>
        <w:ind w:firstLine="640"/>
        <w:rPr>
          <w:rFonts w:ascii="仿宋_GB2312" w:hAnsi="仿宋_GB2312" w:eastAsia="仿宋_GB2312" w:cs="仿宋_GB2312"/>
          <w:color w:val="000000"/>
          <w:sz w:val="32"/>
          <w:szCs w:val="32"/>
        </w:rPr>
      </w:pPr>
    </w:p>
    <w:p w14:paraId="440B9D4C">
      <w:pPr>
        <w:spacing w:line="600" w:lineRule="exact"/>
        <w:ind w:firstLine="640"/>
        <w:rPr>
          <w:rFonts w:ascii="仿宋_GB2312" w:hAnsi="仿宋_GB2312" w:eastAsia="仿宋_GB2312" w:cs="仿宋_GB2312"/>
          <w:color w:val="000000"/>
          <w:sz w:val="32"/>
          <w:szCs w:val="32"/>
        </w:rPr>
      </w:pPr>
    </w:p>
    <w:p w14:paraId="79A91E54">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（图7：“三公”经费财政拨款支出结构）（饼状图）</w:t>
      </w:r>
    </w:p>
    <w:p w14:paraId="3CEF03FB">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因公出国（境）经费支出0万元，</w:t>
      </w:r>
      <w:r>
        <w:rPr>
          <w:rStyle w:val="15"/>
          <w:rFonts w:hint="eastAsia" w:ascii="仿宋_GB2312" w:hAnsi="仿宋_GB2312" w:eastAsia="仿宋_GB2312" w:cs="仿宋_GB2312"/>
          <w:b w:val="0"/>
          <w:color w:val="000000"/>
          <w:sz w:val="32"/>
          <w:szCs w:val="32"/>
        </w:rPr>
        <w:t>完成预算0%。</w:t>
      </w:r>
      <w:r>
        <w:rPr>
          <w:rFonts w:hint="eastAsia" w:ascii="仿宋_GB2312" w:hAnsi="仿宋_GB2312" w:eastAsia="仿宋_GB2312" w:cs="仿宋_GB2312"/>
          <w:color w:val="000000"/>
          <w:sz w:val="32"/>
          <w:szCs w:val="32"/>
        </w:rPr>
        <w:t>全年安排因公出国（境）团组0次，出国（境）0人。因公出国（境）支出决算比2019年增加/减少0万元，增长/下降**%。主要原因是……。</w:t>
      </w:r>
    </w:p>
    <w:p w14:paraId="205F3C41">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开支内容包括：…（团组名称、出访地点、取得成效）等。</w:t>
      </w:r>
    </w:p>
    <w:p w14:paraId="4D9D3EDB">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2．公务用车购置及运行维护费支出14.1万元,</w:t>
      </w:r>
      <w:r>
        <w:rPr>
          <w:rStyle w:val="15"/>
          <w:rFonts w:hint="eastAsia" w:ascii="仿宋_GB2312" w:hAnsi="仿宋_GB2312" w:eastAsia="仿宋_GB2312" w:cs="仿宋_GB2312"/>
          <w:b w:val="0"/>
          <w:color w:val="000000"/>
          <w:sz w:val="32"/>
          <w:szCs w:val="32"/>
        </w:rPr>
        <w:t>完成预算94%。</w:t>
      </w:r>
      <w:r>
        <w:rPr>
          <w:rFonts w:hint="eastAsia" w:ascii="仿宋_GB2312" w:hAnsi="仿宋_GB2312" w:eastAsia="仿宋_GB2312" w:cs="仿宋_GB2312"/>
          <w:color w:val="000000"/>
          <w:sz w:val="32"/>
          <w:szCs w:val="32"/>
        </w:rPr>
        <w:t>公务用车购置及运行维护费支出决算比2019年减少2.11万元，下降13.02%。主要原因是单位职能调整，节约开支。</w:t>
      </w:r>
    </w:p>
    <w:p w14:paraId="649CD27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其中：公务用车购置支出0万元。全年按规定更新购置公务用车0辆，其中：轿车0辆、金额0万元，越野车0辆、金额0万元，载客汽车0辆、金额0万元，主要用于…。截至2020年12月底，单位共有公务用车3辆，其中：</w:t>
      </w:r>
      <w:r>
        <w:rPr>
          <w:rFonts w:hint="eastAsia" w:ascii="仿宋_GB2312" w:hAnsi="仿宋_GB2312" w:eastAsia="仿宋_GB2312" w:cs="仿宋_GB2312"/>
          <w:sz w:val="32"/>
          <w:szCs w:val="32"/>
        </w:rPr>
        <w:t>轿车0辆、越野车3辆、载客汽车0辆、其他汽车0辆。</w:t>
      </w:r>
    </w:p>
    <w:p w14:paraId="530BC40B">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公务用车运行维护费支出14.1万元。主要用于应急救援、安全检查、正常业务工作等所需的公务用车燃料费、维修费、过路过桥费、保险费等支出。</w:t>
      </w:r>
    </w:p>
    <w:p w14:paraId="7AC42AD1">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3．公务接待费支出1.15万元，</w:t>
      </w:r>
      <w:r>
        <w:rPr>
          <w:rStyle w:val="15"/>
          <w:rFonts w:hint="eastAsia" w:ascii="仿宋_GB2312" w:hAnsi="仿宋_GB2312" w:eastAsia="仿宋_GB2312" w:cs="仿宋_GB2312"/>
          <w:b w:val="0"/>
          <w:color w:val="000000"/>
          <w:sz w:val="32"/>
          <w:szCs w:val="32"/>
        </w:rPr>
        <w:t>完成预算42.59%。</w:t>
      </w:r>
      <w:r>
        <w:rPr>
          <w:rFonts w:hint="eastAsia" w:ascii="仿宋_GB2312" w:hAnsi="仿宋_GB2312" w:eastAsia="仿宋_GB2312" w:cs="仿宋_GB2312"/>
          <w:color w:val="000000"/>
          <w:sz w:val="32"/>
          <w:szCs w:val="32"/>
        </w:rPr>
        <w:t>公务接待费支出决算比2019年减少0.13万元，下降10.16%。主要原因是节约开支。其中：</w:t>
      </w:r>
    </w:p>
    <w:p w14:paraId="37BD19B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国内公务接待支出1.15万元，主要用于执行公务、开展业务活动开支的餐费。国内公务接待</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158</w:t>
      </w:r>
      <w:r>
        <w:rPr>
          <w:rFonts w:hint="eastAsia" w:ascii="仿宋_GB2312" w:hAnsi="仿宋_GB2312" w:eastAsia="仿宋_GB2312" w:cs="仿宋_GB2312"/>
          <w:color w:val="000000"/>
          <w:sz w:val="32"/>
          <w:szCs w:val="32"/>
        </w:rPr>
        <w:t>人次（不包括陪同人员），共计支出0.85万元，具体内容包括：接待省安委办巡查0.2万元，接待省安委办防汛工作巡查0.2万元，接待省煤监局关闭煤矿检查0.2万元，接待省应急局森林防灭火检查0.25万元</w:t>
      </w:r>
      <w:r>
        <w:rPr>
          <w:rFonts w:hint="eastAsia" w:ascii="仿宋_GB2312" w:hAnsi="仿宋_GB2312" w:eastAsia="仿宋_GB2312" w:cs="仿宋_GB2312"/>
          <w:color w:val="000000"/>
          <w:sz w:val="32"/>
          <w:szCs w:val="32"/>
          <w:lang w:eastAsia="zh-CN"/>
        </w:rPr>
        <w:t>，接待省地震局调研</w:t>
      </w:r>
      <w:r>
        <w:rPr>
          <w:rFonts w:hint="eastAsia" w:ascii="仿宋_GB2312" w:hAnsi="仿宋_GB2312" w:eastAsia="仿宋_GB2312" w:cs="仿宋_GB2312"/>
          <w:color w:val="000000"/>
          <w:sz w:val="32"/>
          <w:szCs w:val="32"/>
          <w:lang w:val="en-US" w:eastAsia="zh-CN"/>
        </w:rPr>
        <w:t>0.186万元，接待乐山市防震减灾服务中心检查0.04万元，接待省地震局调研0.11万元</w:t>
      </w:r>
      <w:r>
        <w:rPr>
          <w:rFonts w:hint="eastAsia" w:ascii="仿宋_GB2312" w:hAnsi="仿宋_GB2312" w:eastAsia="仿宋_GB2312" w:cs="仿宋_GB2312"/>
          <w:color w:val="000000"/>
          <w:sz w:val="32"/>
          <w:szCs w:val="32"/>
        </w:rPr>
        <w:t>。</w:t>
      </w:r>
    </w:p>
    <w:p w14:paraId="6DAC8A7A">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外事接待支出0万元，外事接待0批次，0人，共计支出0万元.</w:t>
      </w:r>
    </w:p>
    <w:p w14:paraId="790A1574">
      <w:pPr>
        <w:spacing w:line="600" w:lineRule="exact"/>
        <w:ind w:firstLine="640"/>
        <w:outlineLvl w:val="1"/>
        <w:rPr>
          <w:rStyle w:val="26"/>
          <w:rFonts w:ascii="黑体" w:hAnsi="黑体" w:eastAsia="黑体"/>
        </w:rPr>
      </w:pPr>
      <w:bookmarkStart w:id="46" w:name="_Toc15377218"/>
      <w:bookmarkStart w:id="47"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14:paraId="2C437F67">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年政府性基金预算拨款支出235万元。</w:t>
      </w:r>
    </w:p>
    <w:p w14:paraId="6872F629">
      <w:pPr>
        <w:numPr>
          <w:ilvl w:val="0"/>
          <w:numId w:val="3"/>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14:paraId="509D80B3">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6A3D53BE">
      <w:pPr>
        <w:spacing w:line="600" w:lineRule="exact"/>
        <w:ind w:left="0" w:leftChars="0" w:firstLine="640" w:firstLineChars="20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14:paraId="7082088C">
      <w:pPr>
        <w:spacing w:line="600" w:lineRule="exact"/>
        <w:ind w:firstLine="640" w:firstLineChars="200"/>
        <w:outlineLvl w:val="2"/>
        <w:rPr>
          <w:rFonts w:ascii="楷体_GB2312" w:hAnsi="楷体_GB2312" w:eastAsia="楷体_GB2312" w:cs="楷体_GB2312"/>
          <w:bCs/>
          <w:color w:val="000000"/>
          <w:sz w:val="32"/>
          <w:szCs w:val="32"/>
        </w:rPr>
      </w:pPr>
      <w:bookmarkStart w:id="52" w:name="_Toc15377222"/>
      <w:r>
        <w:rPr>
          <w:rFonts w:hint="eastAsia" w:ascii="楷体_GB2312" w:hAnsi="楷体_GB2312" w:eastAsia="楷体_GB2312" w:cs="楷体_GB2312"/>
          <w:bCs/>
          <w:color w:val="000000"/>
          <w:sz w:val="32"/>
          <w:szCs w:val="32"/>
        </w:rPr>
        <w:t>（一）机关运行经费支出情况</w:t>
      </w:r>
      <w:bookmarkEnd w:id="52"/>
    </w:p>
    <w:p w14:paraId="32404A10">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2020年，峨眉山市应急管理局机关运行经费支出119.94万元，比2019年减少0.22万元，下降0.18%。主要原因是节约开支。</w:t>
      </w:r>
    </w:p>
    <w:p w14:paraId="2DAD0409">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（注：数据来源于财决附03表）</w:t>
      </w:r>
    </w:p>
    <w:p w14:paraId="779B7152">
      <w:pPr>
        <w:autoSpaceDE w:val="0"/>
        <w:autoSpaceDN w:val="0"/>
        <w:adjustRightInd w:val="0"/>
        <w:spacing w:line="600" w:lineRule="exact"/>
        <w:ind w:firstLine="640" w:firstLineChars="200"/>
        <w:jc w:val="left"/>
        <w:outlineLvl w:val="2"/>
        <w:rPr>
          <w:rFonts w:ascii="楷体_GB2312" w:hAnsi="楷体_GB2312" w:eastAsia="楷体_GB2312" w:cs="楷体_GB2312"/>
          <w:bCs/>
          <w:color w:val="000000"/>
          <w:sz w:val="32"/>
          <w:szCs w:val="32"/>
        </w:rPr>
      </w:pPr>
      <w:bookmarkStart w:id="53" w:name="_Toc15377223"/>
      <w:r>
        <w:rPr>
          <w:rFonts w:hint="eastAsia" w:ascii="楷体_GB2312" w:hAnsi="楷体_GB2312" w:eastAsia="楷体_GB2312" w:cs="楷体_GB2312"/>
          <w:bCs/>
          <w:color w:val="000000"/>
          <w:sz w:val="32"/>
          <w:szCs w:val="32"/>
        </w:rPr>
        <w:t>（二）政府采购支出情况</w:t>
      </w:r>
      <w:bookmarkEnd w:id="53"/>
    </w:p>
    <w:p w14:paraId="3595C23A">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2020年，峨眉山市应急管理局政府采购支出总额0万元，其中：政府采购货物支出0万元、政府采购工程支出0万元、政府采购服务支出0万元。</w:t>
      </w:r>
      <w:r>
        <w:rPr>
          <w:rFonts w:hint="eastAsia" w:ascii="仿宋_GB2312" w:hAnsi="仿宋_GB2312" w:eastAsia="仿宋_GB2312" w:cs="仿宋_GB2312"/>
          <w:sz w:val="32"/>
          <w:szCs w:val="32"/>
        </w:rPr>
        <w:t>主要用于…（具体工作）</w:t>
      </w:r>
      <w:r>
        <w:rPr>
          <w:rFonts w:hint="eastAsia" w:ascii="仿宋_GB2312" w:hAnsi="仿宋_GB2312" w:eastAsia="仿宋_GB2312" w:cs="仿宋_GB2312"/>
          <w:color w:val="000000"/>
          <w:sz w:val="32"/>
          <w:szCs w:val="32"/>
        </w:rPr>
        <w:t>。授予中小企业合同金额0万元，占政府采购支出总额的0%，其中：授予小微企业合同金额0万元，占政府采购支出总额的0%。</w:t>
      </w:r>
    </w:p>
    <w:p w14:paraId="42C9FDEA">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（注：数据来源于财决附03表）</w:t>
      </w:r>
    </w:p>
    <w:p w14:paraId="67B90B4E">
      <w:pPr>
        <w:autoSpaceDE w:val="0"/>
        <w:autoSpaceDN w:val="0"/>
        <w:adjustRightInd w:val="0"/>
        <w:spacing w:line="600" w:lineRule="exact"/>
        <w:ind w:firstLine="640" w:firstLineChars="200"/>
        <w:jc w:val="left"/>
        <w:outlineLvl w:val="2"/>
        <w:rPr>
          <w:rFonts w:ascii="楷体_GB2312" w:hAnsi="楷体_GB2312" w:eastAsia="楷体_GB2312" w:cs="楷体_GB2312"/>
          <w:bCs/>
          <w:color w:val="000000"/>
          <w:sz w:val="32"/>
          <w:szCs w:val="32"/>
        </w:rPr>
      </w:pPr>
      <w:bookmarkStart w:id="54" w:name="_Toc15377224"/>
      <w:r>
        <w:rPr>
          <w:rFonts w:hint="eastAsia" w:ascii="楷体_GB2312" w:hAnsi="楷体_GB2312" w:eastAsia="楷体_GB2312" w:cs="楷体_GB2312"/>
          <w:bCs/>
          <w:color w:val="000000"/>
          <w:sz w:val="32"/>
          <w:szCs w:val="32"/>
        </w:rPr>
        <w:t>（三）国有资产占有使用情况</w:t>
      </w:r>
      <w:bookmarkEnd w:id="54"/>
    </w:p>
    <w:p w14:paraId="7B840F87">
      <w:pPr>
        <w:autoSpaceDE w:val="0"/>
        <w:autoSpaceDN w:val="0"/>
        <w:adjustRightInd w:val="0"/>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截至2020年12月31日，峨眉山市应急管理局共有车辆3辆，其中：主要领导干部用车0辆、机要通信用车0辆、应急保障用车0辆、特种专业技术用车辆、其他用车3辆……其他用车</w:t>
      </w:r>
      <w:r>
        <w:rPr>
          <w:rFonts w:hint="eastAsia" w:ascii="仿宋_GB2312" w:hAnsi="仿宋_GB2312" w:eastAsia="仿宋_GB2312" w:cs="仿宋_GB2312"/>
          <w:sz w:val="32"/>
          <w:szCs w:val="32"/>
        </w:rPr>
        <w:t>主要是用于</w:t>
      </w:r>
      <w:r>
        <w:rPr>
          <w:rFonts w:hint="eastAsia" w:ascii="仿宋_GB2312" w:hAnsi="仿宋_GB2312" w:eastAsia="仿宋_GB2312" w:cs="仿宋_GB2312"/>
          <w:color w:val="000000"/>
          <w:sz w:val="32"/>
          <w:szCs w:val="32"/>
        </w:rPr>
        <w:t>应急救援、安全检查、正常业务工作等……单价50万元以上通用设备0台（套），单价100万元以上专用设备0台（套）。（注：数据来源财决附03表，按部门决算报表填报数据罗列车辆情况。）</w:t>
      </w:r>
    </w:p>
    <w:p w14:paraId="1D327956">
      <w:pPr>
        <w:autoSpaceDE w:val="0"/>
        <w:autoSpaceDN w:val="0"/>
        <w:adjustRightInd w:val="0"/>
        <w:spacing w:line="600" w:lineRule="exact"/>
        <w:ind w:firstLine="640" w:firstLineChars="200"/>
        <w:jc w:val="left"/>
        <w:outlineLvl w:val="2"/>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（四）预算绩效管理情况</w:t>
      </w:r>
    </w:p>
    <w:p w14:paraId="2D65E8C9">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单位）在年初预算编制阶段，组织对安全生产监督检查、安全生产综合监管信息化平台运行维护、防灾减灾、煤矿关闭以奖代补、全市应急管理、事故调查、专家组劳务、自然灾害生活救助、抗震救灾应急项目（项目名称）开展了预算事前绩效评估，对8个项目编制了绩效目标，预算执行过程中，选取8个项目开展绩效监控，年终执行完毕后，对8个项目开展了绩效目标完成情况自评。</w:t>
      </w:r>
    </w:p>
    <w:p w14:paraId="3AE42B5B">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要求对2020年部门整体支出开展绩效自评，从评价情况来看我部门在履行职能职责、贯彻落实党中央、省委你关于应急工作的方针政策和乐山市委、峨眉山市委的决策部署方面取得了良好的成绩，圆满完成了各项任务。我单位还自行组织了8个项目支出绩效评价，从评价情况来看,我单位项目绩效管理成效显著，财政资金使用规范，效果明显，实现了绩效目标。</w:t>
      </w:r>
    </w:p>
    <w:p w14:paraId="2B4A53FF">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项目绩效目标完成情况</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我单位在2020年度部门决算中反映“安全生产监督检查””安全生产综合监管信息化平台运行维护”“防灾减灾”“”“煤矿关闭以奖代补”“”“自然灾害生活救助”等5个项目绩效目标实际完成情况。（本单位部门项目绩效目标个数在5个以上的，选取5个项目进行公开，目标个数在5个以下的，全部进行公开，公开内容包括选取的全部项目完成情况综述和完成情况表）。</w:t>
      </w:r>
    </w:p>
    <w:p w14:paraId="58242E07">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（1）安全生产监督检查项目绩效目标完成情况综述。项目全年预算数12万元，执行数为12万元，完成预算的100%。通过项目实施，完成了年度执法计划和安全生产专项行动。</w:t>
      </w:r>
    </w:p>
    <w:p w14:paraId="10CD908D">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安全生产综合监管信息化平台运行维护项目绩效目标完成情况综述。项目全年预算数27万元，执行数为27万元，完成预算的100%。通过项目实施，保障安全生产综合监管信息化平台全年24小时稳定运行，实现对部分重点企业的联网实时监控及省市级平台联网。</w:t>
      </w:r>
    </w:p>
    <w:p w14:paraId="629A6246">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（3）防灾减灾项目绩效目标完成情况综述。项目全年预算数5万元，执行数为5万元，完成预算的100%。通过项目实施，确保防灾减灾救灾机制运作顺畅。</w:t>
      </w:r>
    </w:p>
    <w:p w14:paraId="01798060">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（4）煤矿关闭以奖代补项目绩效目标完成情况综述。项目全年预算数230万元，执行数为230万元，完成预算的100%。通过项目实施，完成了省政府批复的煤矿分类处置工作。</w:t>
      </w:r>
    </w:p>
    <w:p w14:paraId="468DE10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（5）自然灾害生活项目绩效目标完成情况综述。项目全年预算数13.85万元，执行数为13.85万元，完成预算的100%。通过项目实施，及时对受灾群众进行了安置救助，保障了社会稳定和受灾群众基本生活权益。</w:t>
      </w:r>
    </w:p>
    <w:p w14:paraId="183199B3">
      <w:pPr>
        <w:spacing w:line="600" w:lineRule="exact"/>
        <w:ind w:firstLine="640" w:firstLineChars="200"/>
        <w:rPr>
          <w:rFonts w:hint="eastAsia" w:ascii="仿宋_GB2312" w:hAnsi="仿宋_GB2312" w:eastAsia="仿宋_GB2312" w:cs="仿宋_GB2312"/>
          <w:color w:val="auto"/>
          <w:sz w:val="32"/>
          <w:szCs w:val="32"/>
        </w:rPr>
      </w:pPr>
    </w:p>
    <w:p w14:paraId="5A7A5A17">
      <w:pPr>
        <w:spacing w:line="600" w:lineRule="exact"/>
        <w:ind w:firstLine="640" w:firstLineChars="200"/>
        <w:rPr>
          <w:rFonts w:hint="eastAsia" w:ascii="仿宋_GB2312" w:hAnsi="仿宋_GB2312" w:eastAsia="仿宋_GB2312" w:cs="仿宋_GB2312"/>
          <w:color w:val="auto"/>
          <w:sz w:val="32"/>
          <w:szCs w:val="32"/>
        </w:rPr>
      </w:pPr>
    </w:p>
    <w:p w14:paraId="6B6196E9">
      <w:pPr>
        <w:spacing w:line="600" w:lineRule="exact"/>
        <w:ind w:firstLine="640" w:firstLineChars="200"/>
        <w:rPr>
          <w:rFonts w:hint="eastAsia" w:ascii="仿宋_GB2312" w:hAnsi="仿宋_GB2312" w:eastAsia="仿宋_GB2312" w:cs="仿宋_GB2312"/>
          <w:color w:val="auto"/>
          <w:sz w:val="32"/>
          <w:szCs w:val="32"/>
        </w:rPr>
      </w:pPr>
    </w:p>
    <w:p w14:paraId="041314CF">
      <w:pPr>
        <w:spacing w:line="600" w:lineRule="exact"/>
        <w:ind w:firstLine="640" w:firstLineChars="200"/>
        <w:rPr>
          <w:rFonts w:hint="eastAsia" w:ascii="仿宋_GB2312" w:hAnsi="仿宋_GB2312" w:eastAsia="仿宋_GB2312" w:cs="仿宋_GB2312"/>
          <w:color w:val="auto"/>
          <w:sz w:val="32"/>
          <w:szCs w:val="32"/>
        </w:rPr>
      </w:pPr>
    </w:p>
    <w:p w14:paraId="355935B4">
      <w:pPr>
        <w:spacing w:line="600" w:lineRule="exact"/>
        <w:ind w:firstLine="640" w:firstLineChars="200"/>
        <w:rPr>
          <w:rFonts w:hint="eastAsia" w:ascii="仿宋_GB2312" w:hAnsi="仿宋_GB2312" w:eastAsia="仿宋_GB2312" w:cs="仿宋_GB2312"/>
          <w:color w:val="auto"/>
          <w:sz w:val="32"/>
          <w:szCs w:val="32"/>
        </w:rPr>
      </w:pPr>
    </w:p>
    <w:p w14:paraId="363200A1">
      <w:pPr>
        <w:spacing w:line="600" w:lineRule="exact"/>
        <w:ind w:firstLine="640" w:firstLineChars="200"/>
        <w:rPr>
          <w:rFonts w:hint="eastAsia" w:ascii="仿宋_GB2312" w:hAnsi="仿宋_GB2312" w:eastAsia="仿宋_GB2312" w:cs="仿宋_GB2312"/>
          <w:color w:val="auto"/>
          <w:sz w:val="32"/>
          <w:szCs w:val="32"/>
        </w:rPr>
      </w:pPr>
    </w:p>
    <w:p w14:paraId="4A59F390">
      <w:pPr>
        <w:spacing w:line="600" w:lineRule="exact"/>
        <w:ind w:firstLine="640" w:firstLineChars="200"/>
        <w:rPr>
          <w:rFonts w:hint="eastAsia" w:ascii="仿宋_GB2312" w:hAnsi="仿宋_GB2312" w:eastAsia="仿宋_GB2312" w:cs="仿宋_GB2312"/>
          <w:color w:val="auto"/>
          <w:sz w:val="32"/>
          <w:szCs w:val="32"/>
        </w:rPr>
      </w:pPr>
    </w:p>
    <w:p w14:paraId="718AC6BB">
      <w:pPr>
        <w:spacing w:line="600" w:lineRule="exact"/>
        <w:ind w:firstLine="640" w:firstLineChars="200"/>
        <w:rPr>
          <w:rFonts w:hint="eastAsia" w:ascii="仿宋_GB2312" w:hAnsi="仿宋_GB2312" w:eastAsia="仿宋_GB2312" w:cs="仿宋_GB2312"/>
          <w:color w:val="auto"/>
          <w:sz w:val="32"/>
          <w:szCs w:val="32"/>
        </w:rPr>
      </w:pPr>
    </w:p>
    <w:p w14:paraId="3CBE11E7">
      <w:pPr>
        <w:spacing w:line="600" w:lineRule="exact"/>
        <w:ind w:firstLine="640" w:firstLineChars="200"/>
        <w:rPr>
          <w:rFonts w:hint="eastAsia" w:ascii="仿宋_GB2312" w:hAnsi="仿宋_GB2312" w:eastAsia="仿宋_GB2312" w:cs="仿宋_GB2312"/>
          <w:color w:val="auto"/>
          <w:sz w:val="32"/>
          <w:szCs w:val="32"/>
        </w:rPr>
      </w:pPr>
    </w:p>
    <w:p w14:paraId="0FCF70E9">
      <w:pPr>
        <w:spacing w:line="600" w:lineRule="exact"/>
        <w:ind w:firstLine="640" w:firstLineChars="200"/>
        <w:rPr>
          <w:rFonts w:hint="eastAsia" w:ascii="仿宋_GB2312" w:hAnsi="仿宋_GB2312" w:eastAsia="仿宋_GB2312" w:cs="仿宋_GB2312"/>
          <w:color w:val="auto"/>
          <w:sz w:val="32"/>
          <w:szCs w:val="32"/>
        </w:rPr>
      </w:pPr>
    </w:p>
    <w:p w14:paraId="60D319D0">
      <w:pPr>
        <w:spacing w:line="600" w:lineRule="exact"/>
        <w:ind w:firstLine="640" w:firstLineChars="200"/>
        <w:rPr>
          <w:rFonts w:hint="eastAsia" w:ascii="仿宋_GB2312" w:hAnsi="仿宋_GB2312" w:eastAsia="仿宋_GB2312" w:cs="仿宋_GB2312"/>
          <w:color w:val="auto"/>
          <w:sz w:val="32"/>
          <w:szCs w:val="32"/>
        </w:rPr>
      </w:pPr>
    </w:p>
    <w:p w14:paraId="39F491C4">
      <w:pPr>
        <w:spacing w:line="600" w:lineRule="exact"/>
        <w:ind w:firstLine="640" w:firstLineChars="200"/>
        <w:rPr>
          <w:rFonts w:hint="eastAsia" w:ascii="仿宋_GB2312" w:hAnsi="仿宋_GB2312" w:eastAsia="仿宋_GB2312" w:cs="仿宋_GB2312"/>
          <w:color w:val="auto"/>
          <w:sz w:val="32"/>
          <w:szCs w:val="32"/>
        </w:rPr>
      </w:pPr>
    </w:p>
    <w:p w14:paraId="48873A4D">
      <w:pPr>
        <w:spacing w:line="600" w:lineRule="exact"/>
        <w:ind w:firstLine="640" w:firstLineChars="200"/>
        <w:rPr>
          <w:rFonts w:hint="eastAsia" w:ascii="仿宋_GB2312" w:hAnsi="仿宋_GB2312" w:eastAsia="仿宋_GB2312" w:cs="仿宋_GB2312"/>
          <w:color w:val="auto"/>
          <w:sz w:val="32"/>
          <w:szCs w:val="32"/>
        </w:rPr>
      </w:pPr>
    </w:p>
    <w:p w14:paraId="026A2857">
      <w:pPr>
        <w:spacing w:line="600" w:lineRule="exact"/>
        <w:ind w:firstLine="640" w:firstLineChars="200"/>
        <w:rPr>
          <w:rFonts w:hint="eastAsia" w:ascii="仿宋_GB2312" w:hAnsi="仿宋_GB2312" w:eastAsia="仿宋_GB2312" w:cs="仿宋_GB2312"/>
          <w:color w:val="auto"/>
          <w:sz w:val="32"/>
          <w:szCs w:val="32"/>
        </w:rPr>
      </w:pPr>
    </w:p>
    <w:p w14:paraId="1D3B9BDA">
      <w:pPr>
        <w:spacing w:line="600" w:lineRule="exact"/>
        <w:ind w:firstLine="640" w:firstLineChars="200"/>
        <w:rPr>
          <w:rFonts w:hint="eastAsia" w:ascii="仿宋_GB2312" w:hAnsi="仿宋_GB2312" w:eastAsia="仿宋_GB2312" w:cs="仿宋_GB2312"/>
          <w:color w:val="auto"/>
          <w:sz w:val="32"/>
          <w:szCs w:val="32"/>
        </w:rPr>
      </w:pPr>
    </w:p>
    <w:p w14:paraId="065F7811">
      <w:pPr>
        <w:spacing w:line="600" w:lineRule="exact"/>
        <w:ind w:firstLine="640" w:firstLineChars="200"/>
        <w:rPr>
          <w:rFonts w:hint="eastAsia" w:ascii="仿宋_GB2312" w:hAnsi="仿宋_GB2312" w:eastAsia="仿宋_GB2312" w:cs="仿宋_GB2312"/>
          <w:color w:val="auto"/>
          <w:sz w:val="32"/>
          <w:szCs w:val="32"/>
        </w:rPr>
      </w:pPr>
    </w:p>
    <w:p w14:paraId="2636F345">
      <w:pPr>
        <w:spacing w:line="600" w:lineRule="exact"/>
        <w:ind w:firstLine="640" w:firstLineChars="200"/>
        <w:rPr>
          <w:rFonts w:hint="eastAsia" w:ascii="仿宋_GB2312" w:hAnsi="仿宋_GB2312" w:eastAsia="仿宋_GB2312" w:cs="仿宋_GB2312"/>
          <w:color w:val="auto"/>
          <w:sz w:val="32"/>
          <w:szCs w:val="32"/>
        </w:rPr>
      </w:pPr>
    </w:p>
    <w:p w14:paraId="561BD509">
      <w:pPr>
        <w:spacing w:line="600" w:lineRule="exact"/>
        <w:ind w:firstLine="640" w:firstLineChars="200"/>
        <w:rPr>
          <w:rFonts w:hint="eastAsia" w:ascii="仿宋_GB2312" w:hAnsi="仿宋_GB2312" w:eastAsia="仿宋_GB2312" w:cs="仿宋_GB2312"/>
          <w:color w:val="auto"/>
          <w:sz w:val="32"/>
          <w:szCs w:val="32"/>
        </w:rPr>
      </w:pPr>
    </w:p>
    <w:p w14:paraId="36791E51">
      <w:pPr>
        <w:spacing w:line="600" w:lineRule="exact"/>
        <w:ind w:firstLine="640" w:firstLineChars="200"/>
        <w:rPr>
          <w:rFonts w:hint="eastAsia" w:ascii="仿宋_GB2312" w:hAnsi="仿宋_GB2312" w:eastAsia="仿宋_GB2312" w:cs="仿宋_GB2312"/>
          <w:color w:val="auto"/>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570"/>
        <w:gridCol w:w="169"/>
        <w:gridCol w:w="121"/>
        <w:gridCol w:w="1325"/>
        <w:gridCol w:w="354"/>
        <w:gridCol w:w="2040"/>
        <w:gridCol w:w="2392"/>
      </w:tblGrid>
      <w:tr w14:paraId="66EC3226">
        <w:tblPrEx>
          <w:tblCellMar>
            <w:top w:w="0" w:type="dxa"/>
            <w:left w:w="0" w:type="dxa"/>
            <w:bottom w:w="0" w:type="dxa"/>
            <w:right w:w="0" w:type="dxa"/>
          </w:tblCellMar>
        </w:tblPrEx>
        <w:trPr>
          <w:trHeight w:val="1515" w:hRule="atLeast"/>
          <w:jc w:val="center"/>
        </w:trPr>
        <w:tc>
          <w:tcPr>
            <w:tcW w:w="9960" w:type="dxa"/>
            <w:gridSpan w:val="9"/>
            <w:tcBorders>
              <w:top w:val="nil"/>
              <w:left w:val="nil"/>
              <w:bottom w:val="nil"/>
              <w:right w:val="nil"/>
            </w:tcBorders>
            <w:tcMar>
              <w:top w:w="15" w:type="dxa"/>
              <w:left w:w="15" w:type="dxa"/>
              <w:right w:w="15" w:type="dxa"/>
            </w:tcMar>
            <w:vAlign w:val="center"/>
          </w:tcPr>
          <w:p w14:paraId="54FAC2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cs="宋体"/>
                <w:color w:val="auto"/>
                <w:sz w:val="36"/>
                <w:szCs w:val="36"/>
              </w:rPr>
            </w:pPr>
            <w:r>
              <w:rPr>
                <w:rFonts w:hint="eastAsia" w:ascii="方正小标宋_GBK" w:hAnsi="方正小标宋_GBK" w:eastAsia="方正小标宋_GBK" w:cs="方正小标宋_GBK"/>
                <w:color w:val="auto"/>
                <w:kern w:val="0"/>
                <w:sz w:val="36"/>
                <w:szCs w:val="36"/>
              </w:rPr>
              <w:t>项目绩效目标完成情况表</w:t>
            </w:r>
            <w:r>
              <w:rPr>
                <w:rFonts w:hint="eastAsia" w:ascii="方正小标宋_GBK" w:hAnsi="方正小标宋_GBK" w:eastAsia="方正小标宋_GBK" w:cs="方正小标宋_GBK"/>
                <w:color w:val="auto"/>
                <w:kern w:val="0"/>
                <w:sz w:val="36"/>
                <w:szCs w:val="36"/>
              </w:rPr>
              <w:br w:type="textWrapping"/>
            </w:r>
            <w:r>
              <w:rPr>
                <w:rFonts w:hint="eastAsia" w:ascii="楷体_GB2312" w:hAnsi="楷体_GB2312" w:eastAsia="楷体_GB2312" w:cs="楷体_GB2312"/>
                <w:color w:val="auto"/>
                <w:kern w:val="0"/>
                <w:sz w:val="32"/>
                <w:szCs w:val="32"/>
              </w:rPr>
              <w:t>(2020年度)</w:t>
            </w:r>
          </w:p>
        </w:tc>
      </w:tr>
      <w:tr w14:paraId="1C1168DE">
        <w:tblPrEx>
          <w:tblCellMar>
            <w:top w:w="0" w:type="dxa"/>
            <w:left w:w="0" w:type="dxa"/>
            <w:bottom w:w="0" w:type="dxa"/>
            <w:right w:w="0" w:type="dxa"/>
          </w:tblCellMar>
        </w:tblPrEx>
        <w:trPr>
          <w:trHeight w:val="276" w:hRule="atLeast"/>
          <w:jc w:val="center"/>
        </w:trPr>
        <w:tc>
          <w:tcPr>
            <w:tcW w:w="37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4F349">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项目名称</w:t>
            </w:r>
          </w:p>
        </w:tc>
        <w:tc>
          <w:tcPr>
            <w:tcW w:w="623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13AC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安全生产监督检查</w:t>
            </w:r>
          </w:p>
        </w:tc>
      </w:tr>
      <w:tr w14:paraId="218CA9F4">
        <w:tblPrEx>
          <w:tblCellMar>
            <w:top w:w="0" w:type="dxa"/>
            <w:left w:w="0" w:type="dxa"/>
            <w:bottom w:w="0" w:type="dxa"/>
            <w:right w:w="0" w:type="dxa"/>
          </w:tblCellMar>
        </w:tblPrEx>
        <w:trPr>
          <w:trHeight w:val="276" w:hRule="atLeast"/>
          <w:jc w:val="center"/>
        </w:trPr>
        <w:tc>
          <w:tcPr>
            <w:tcW w:w="37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3FFD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预算单位</w:t>
            </w:r>
          </w:p>
        </w:tc>
        <w:tc>
          <w:tcPr>
            <w:tcW w:w="623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13AD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峨眉山市应急管理局</w:t>
            </w:r>
          </w:p>
        </w:tc>
      </w:tr>
      <w:tr w14:paraId="3A562394">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841B6">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预算执行情况(万元)</w:t>
            </w: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9988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预算数:</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B268B">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C9C1F">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EF435">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r>
      <w:tr w14:paraId="235766D1">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90813">
            <w:pPr>
              <w:jc w:val="center"/>
              <w:rPr>
                <w:rFonts w:ascii="仿宋_GB2312" w:hAnsi="仿宋_GB2312" w:eastAsia="仿宋_GB2312" w:cs="仿宋_GB2312"/>
                <w:color w:val="auto"/>
                <w:sz w:val="24"/>
              </w:rPr>
            </w:pP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1FA17">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其中-财政拨款:</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25740">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C4D5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18387">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r>
      <w:tr w14:paraId="22BB3F85">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6AF66">
            <w:pPr>
              <w:jc w:val="center"/>
              <w:rPr>
                <w:rFonts w:ascii="仿宋_GB2312" w:hAnsi="仿宋_GB2312" w:eastAsia="仿宋_GB2312" w:cs="仿宋_GB2312"/>
                <w:color w:val="auto"/>
                <w:sz w:val="24"/>
              </w:rPr>
            </w:pP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6D99C">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其它资金:</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03246">
            <w:pPr>
              <w:widowControl/>
              <w:jc w:val="center"/>
              <w:textAlignment w:val="center"/>
              <w:rPr>
                <w:rFonts w:ascii="仿宋_GB2312" w:hAnsi="仿宋_GB2312" w:eastAsia="仿宋_GB2312" w:cs="仿宋_GB2312"/>
                <w:color w:val="auto"/>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6E424">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1DBA1">
            <w:pPr>
              <w:jc w:val="center"/>
              <w:rPr>
                <w:rFonts w:ascii="仿宋_GB2312" w:hAnsi="仿宋_GB2312" w:eastAsia="仿宋_GB2312" w:cs="仿宋_GB2312"/>
                <w:color w:val="auto"/>
                <w:sz w:val="24"/>
              </w:rPr>
            </w:pPr>
          </w:p>
        </w:tc>
      </w:tr>
      <w:tr w14:paraId="3BCDA959">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17AA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年度目标完成情况</w:t>
            </w:r>
          </w:p>
        </w:tc>
        <w:tc>
          <w:tcPr>
            <w:tcW w:w="437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0CA61">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7750B">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实际完成目标</w:t>
            </w:r>
          </w:p>
        </w:tc>
      </w:tr>
      <w:tr w14:paraId="11A36D4A">
        <w:tblPrEx>
          <w:tblCellMar>
            <w:top w:w="0" w:type="dxa"/>
            <w:left w:w="0" w:type="dxa"/>
            <w:bottom w:w="0" w:type="dxa"/>
            <w:right w:w="0" w:type="dxa"/>
          </w:tblCellMar>
        </w:tblPrEx>
        <w:trPr>
          <w:trHeight w:val="7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89FDE">
            <w:pPr>
              <w:jc w:val="center"/>
              <w:rPr>
                <w:rFonts w:ascii="仿宋_GB2312" w:hAnsi="仿宋_GB2312" w:eastAsia="仿宋_GB2312" w:cs="仿宋_GB2312"/>
                <w:color w:val="auto"/>
                <w:sz w:val="24"/>
              </w:rPr>
            </w:pPr>
          </w:p>
        </w:tc>
        <w:tc>
          <w:tcPr>
            <w:tcW w:w="437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D4166">
            <w:pPr>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按年度执法计划和上级要求依法进行安全生产监督管理</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08B93">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r>
              <w:rPr>
                <w:rFonts w:hint="eastAsia" w:ascii="仿宋_GB2312" w:hAnsi="仿宋_GB2312" w:eastAsia="仿宋_GB2312" w:cs="仿宋_GB2312"/>
                <w:color w:val="auto"/>
                <w:kern w:val="0"/>
                <w:sz w:val="24"/>
              </w:rPr>
              <w:t>年度执法计划和各类安全生产专项行动</w:t>
            </w:r>
          </w:p>
        </w:tc>
      </w:tr>
      <w:tr w14:paraId="7D447767">
        <w:tblPrEx>
          <w:tblCellMar>
            <w:top w:w="0" w:type="dxa"/>
            <w:left w:w="0" w:type="dxa"/>
            <w:bottom w:w="0" w:type="dxa"/>
            <w:right w:w="0" w:type="dxa"/>
          </w:tblCellMar>
        </w:tblPrEx>
        <w:trPr>
          <w:trHeight w:val="712" w:hRule="atLeast"/>
          <w:jc w:val="center"/>
        </w:trPr>
        <w:tc>
          <w:tcPr>
            <w:tcW w:w="80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1D0046F">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7A291">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一级指标</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91AEF">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二级指标</w:t>
            </w:r>
          </w:p>
        </w:tc>
        <w:tc>
          <w:tcPr>
            <w:tcW w:w="16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73830">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CE409">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05D72">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实际完成指标值(包含数字及文字描述)</w:t>
            </w:r>
          </w:p>
        </w:tc>
      </w:tr>
      <w:tr w14:paraId="5178E281">
        <w:tblPrEx>
          <w:tblCellMar>
            <w:top w:w="0" w:type="dxa"/>
            <w:left w:w="0" w:type="dxa"/>
            <w:bottom w:w="0" w:type="dxa"/>
            <w:right w:w="0" w:type="dxa"/>
          </w:tblCellMar>
        </w:tblPrEx>
        <w:trPr>
          <w:trHeight w:val="748"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4C1DBC92">
            <w:pPr>
              <w:widowControl/>
              <w:jc w:val="center"/>
              <w:textAlignment w:val="center"/>
              <w:rPr>
                <w:rFonts w:ascii="仿宋_GB2312" w:hAnsi="仿宋_GB2312" w:eastAsia="仿宋_GB2312" w:cs="仿宋_GB2312"/>
                <w:color w:val="auto"/>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53818">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项目完成指标</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B19EB">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16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D8D45">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开展安全生产巡查、专项检查</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33DB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按年度执法计划进行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A76DA">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p>
        </w:tc>
      </w:tr>
      <w:tr w14:paraId="76BFC452">
        <w:tblPrEx>
          <w:tblCellMar>
            <w:top w:w="0" w:type="dxa"/>
            <w:left w:w="0" w:type="dxa"/>
            <w:bottom w:w="0" w:type="dxa"/>
            <w:right w:w="0" w:type="dxa"/>
          </w:tblCellMar>
        </w:tblPrEx>
        <w:trPr>
          <w:trHeight w:val="61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59657D11">
            <w:pPr>
              <w:widowControl/>
              <w:jc w:val="center"/>
              <w:textAlignment w:val="center"/>
              <w:rPr>
                <w:rFonts w:ascii="仿宋_GB2312" w:hAnsi="仿宋_GB2312" w:eastAsia="仿宋_GB2312" w:cs="仿宋_GB2312"/>
                <w:color w:val="auto"/>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E4E13">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项目完成指标</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11138">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16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A4D21">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开展安全生产考核</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7F624">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6460A">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w:t>
            </w:r>
          </w:p>
        </w:tc>
      </w:tr>
      <w:tr w14:paraId="0A06CC44">
        <w:tblPrEx>
          <w:tblCellMar>
            <w:top w:w="0" w:type="dxa"/>
            <w:left w:w="0" w:type="dxa"/>
            <w:bottom w:w="0" w:type="dxa"/>
            <w:right w:w="0" w:type="dxa"/>
          </w:tblCellMar>
        </w:tblPrEx>
        <w:trPr>
          <w:trHeight w:val="79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90FE56A">
            <w:pPr>
              <w:widowControl/>
              <w:jc w:val="center"/>
              <w:textAlignment w:val="center"/>
              <w:rPr>
                <w:rFonts w:ascii="仿宋_GB2312" w:hAnsi="仿宋_GB2312" w:eastAsia="仿宋_GB2312" w:cs="仿宋_GB2312"/>
                <w:color w:val="auto"/>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73E5D">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项目完成指标</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0283D">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16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98CE5">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配合协助上级单位开展企业安全生产监督管理工作</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DCB04">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按照上级文件要求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C03BB">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p>
        </w:tc>
      </w:tr>
      <w:tr w14:paraId="0560385A">
        <w:tblPrEx>
          <w:tblCellMar>
            <w:top w:w="0" w:type="dxa"/>
            <w:left w:w="0" w:type="dxa"/>
            <w:bottom w:w="0" w:type="dxa"/>
            <w:right w:w="0" w:type="dxa"/>
          </w:tblCellMar>
        </w:tblPrEx>
        <w:trPr>
          <w:trHeight w:val="762"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1BE1E045">
            <w:pPr>
              <w:widowControl/>
              <w:jc w:val="center"/>
              <w:textAlignment w:val="center"/>
              <w:rPr>
                <w:rFonts w:ascii="仿宋_GB2312" w:hAnsi="仿宋_GB2312" w:eastAsia="仿宋_GB2312" w:cs="仿宋_GB2312"/>
                <w:color w:val="auto"/>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80B40">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项目完成指标</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ACE93">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16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A5051">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开展安全生产差异化目标考核</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B953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按照目督办要求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9780F">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p>
        </w:tc>
      </w:tr>
      <w:tr w14:paraId="1066A757">
        <w:tblPrEx>
          <w:tblCellMar>
            <w:top w:w="0" w:type="dxa"/>
            <w:left w:w="0" w:type="dxa"/>
            <w:bottom w:w="0" w:type="dxa"/>
            <w:right w:w="0" w:type="dxa"/>
          </w:tblCellMar>
        </w:tblPrEx>
        <w:trPr>
          <w:trHeight w:val="82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35DB0B9D">
            <w:pPr>
              <w:widowControl/>
              <w:jc w:val="center"/>
              <w:textAlignment w:val="center"/>
              <w:rPr>
                <w:rFonts w:ascii="仿宋_GB2312" w:hAnsi="仿宋_GB2312" w:eastAsia="仿宋_GB2312" w:cs="仿宋_GB2312"/>
                <w:color w:val="auto"/>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FEAD4">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项目完成指标</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924F9">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16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5F8B4">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开展安全生产监督检查</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F21EE">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依法进行监督管理检查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6EE5A">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p>
        </w:tc>
      </w:tr>
      <w:tr w14:paraId="20611090">
        <w:tblPrEx>
          <w:tblCellMar>
            <w:top w:w="0" w:type="dxa"/>
            <w:left w:w="0" w:type="dxa"/>
            <w:bottom w:w="0" w:type="dxa"/>
            <w:right w:w="0" w:type="dxa"/>
          </w:tblCellMar>
        </w:tblPrEx>
        <w:trPr>
          <w:trHeight w:val="662"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366EE8F6">
            <w:pPr>
              <w:widowControl/>
              <w:jc w:val="center"/>
              <w:textAlignment w:val="center"/>
              <w:rPr>
                <w:rFonts w:ascii="仿宋_GB2312" w:hAnsi="仿宋_GB2312" w:eastAsia="仿宋_GB2312" w:cs="仿宋_GB2312"/>
                <w:color w:val="auto"/>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3E336">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效益指标</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F6D29">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经济效益指标</w:t>
            </w:r>
          </w:p>
        </w:tc>
        <w:tc>
          <w:tcPr>
            <w:tcW w:w="16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1E98C">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减少安全生产事故经济损失</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8BBF5">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1CC54">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经济损失降低</w:t>
            </w:r>
          </w:p>
        </w:tc>
      </w:tr>
      <w:tr w14:paraId="0C5F0165">
        <w:tblPrEx>
          <w:tblCellMar>
            <w:top w:w="0" w:type="dxa"/>
            <w:left w:w="0" w:type="dxa"/>
            <w:bottom w:w="0" w:type="dxa"/>
            <w:right w:w="0" w:type="dxa"/>
          </w:tblCellMar>
        </w:tblPrEx>
        <w:trPr>
          <w:trHeight w:val="64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721A72C7">
            <w:pPr>
              <w:widowControl/>
              <w:jc w:val="center"/>
              <w:textAlignment w:val="center"/>
              <w:rPr>
                <w:rFonts w:ascii="仿宋_GB2312" w:hAnsi="仿宋_GB2312" w:eastAsia="仿宋_GB2312" w:cs="仿宋_GB2312"/>
                <w:color w:val="auto"/>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2F67B">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效益指标</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CACBD">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社会效益指标</w:t>
            </w:r>
          </w:p>
        </w:tc>
        <w:tc>
          <w:tcPr>
            <w:tcW w:w="16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F632B">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防范化解安全生产风险</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4759F">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38F99">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显著</w:t>
            </w:r>
          </w:p>
        </w:tc>
      </w:tr>
      <w:tr w14:paraId="36A918E0">
        <w:tblPrEx>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14:paraId="39DF385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cs="宋体"/>
                <w:sz w:val="36"/>
                <w:szCs w:val="36"/>
              </w:rPr>
            </w:pPr>
            <w:r>
              <w:rPr>
                <w:rFonts w:hint="eastAsia" w:ascii="方正小标宋_GBK" w:hAnsi="方正小标宋_GBK" w:eastAsia="方正小标宋_GBK" w:cs="方正小标宋_GBK"/>
                <w:kern w:val="0"/>
                <w:sz w:val="36"/>
                <w:szCs w:val="36"/>
              </w:rPr>
              <w:t>项目绩效目标完成情况表</w:t>
            </w:r>
            <w:r>
              <w:rPr>
                <w:rFonts w:hint="eastAsia" w:ascii="方正小标宋_GBK" w:hAnsi="方正小标宋_GBK" w:eastAsia="方正小标宋_GBK" w:cs="方正小标宋_GBK"/>
                <w:kern w:val="0"/>
                <w:sz w:val="36"/>
                <w:szCs w:val="36"/>
              </w:rPr>
              <w:br w:type="textWrapping"/>
            </w:r>
            <w:r>
              <w:rPr>
                <w:rFonts w:hint="eastAsia" w:ascii="楷体_GB2312" w:hAnsi="楷体_GB2312" w:eastAsia="楷体_GB2312" w:cs="楷体_GB2312"/>
                <w:kern w:val="0"/>
                <w:sz w:val="32"/>
                <w:szCs w:val="32"/>
              </w:rPr>
              <w:t>(2020年度)</w:t>
            </w:r>
          </w:p>
        </w:tc>
      </w:tr>
      <w:tr w14:paraId="382AFD77">
        <w:tblPrEx>
          <w:tblCellMar>
            <w:top w:w="0" w:type="dxa"/>
            <w:left w:w="0" w:type="dxa"/>
            <w:bottom w:w="0" w:type="dxa"/>
            <w:right w:w="0" w:type="dxa"/>
          </w:tblCellMar>
        </w:tblPrEx>
        <w:trPr>
          <w:trHeight w:val="276" w:hRule="atLeast"/>
          <w:jc w:val="center"/>
        </w:trPr>
        <w:tc>
          <w:tcPr>
            <w:tcW w:w="37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8B75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623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5BCC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安全生产综合监管信息化平台运行维护</w:t>
            </w:r>
          </w:p>
        </w:tc>
      </w:tr>
      <w:tr w14:paraId="1D0F1754">
        <w:tblPrEx>
          <w:tblCellMar>
            <w:top w:w="0" w:type="dxa"/>
            <w:left w:w="0" w:type="dxa"/>
            <w:bottom w:w="0" w:type="dxa"/>
            <w:right w:w="0" w:type="dxa"/>
          </w:tblCellMar>
        </w:tblPrEx>
        <w:trPr>
          <w:trHeight w:val="276" w:hRule="atLeast"/>
          <w:jc w:val="center"/>
        </w:trPr>
        <w:tc>
          <w:tcPr>
            <w:tcW w:w="372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B8ED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623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E3BE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峨眉山市应急管理局</w:t>
            </w:r>
          </w:p>
        </w:tc>
      </w:tr>
      <w:tr w14:paraId="181211C4">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1D79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25AA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5283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27</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57BC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5BDD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27</w:t>
            </w:r>
          </w:p>
        </w:tc>
      </w:tr>
      <w:tr w14:paraId="4655FCC7">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A1378">
            <w:pPr>
              <w:jc w:val="center"/>
              <w:rPr>
                <w:rFonts w:ascii="仿宋_GB2312" w:hAnsi="仿宋_GB2312" w:eastAsia="仿宋_GB2312" w:cs="仿宋_GB2312"/>
                <w:sz w:val="24"/>
              </w:rPr>
            </w:pP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F9B4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3DE6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27</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D631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F050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27</w:t>
            </w:r>
          </w:p>
        </w:tc>
      </w:tr>
      <w:tr w14:paraId="5A9EEA9D">
        <w:tblPrEx>
          <w:tblCellMar>
            <w:top w:w="0" w:type="dxa"/>
            <w:left w:w="0" w:type="dxa"/>
            <w:bottom w:w="0" w:type="dxa"/>
            <w:right w:w="0" w:type="dxa"/>
          </w:tblCellMar>
        </w:tblPrEx>
        <w:trPr>
          <w:trHeight w:val="3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D92D4">
            <w:pPr>
              <w:jc w:val="center"/>
              <w:rPr>
                <w:rFonts w:ascii="仿宋_GB2312" w:hAnsi="仿宋_GB2312" w:eastAsia="仿宋_GB2312" w:cs="仿宋_GB2312"/>
                <w:sz w:val="24"/>
              </w:rPr>
            </w:pPr>
          </w:p>
        </w:tc>
        <w:tc>
          <w:tcPr>
            <w:tcW w:w="29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5C47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7881C">
            <w:pPr>
              <w:widowControl/>
              <w:jc w:val="center"/>
              <w:textAlignment w:val="center"/>
              <w:rPr>
                <w:rFonts w:ascii="仿宋_GB2312" w:hAnsi="仿宋_GB2312" w:eastAsia="仿宋_GB2312" w:cs="仿宋_GB2312"/>
                <w:sz w:val="24"/>
              </w:rPr>
            </w:pP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59B1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60513">
            <w:pPr>
              <w:jc w:val="center"/>
              <w:rPr>
                <w:rFonts w:ascii="仿宋_GB2312" w:hAnsi="仿宋_GB2312" w:eastAsia="仿宋_GB2312" w:cs="仿宋_GB2312"/>
                <w:sz w:val="24"/>
              </w:rPr>
            </w:pPr>
          </w:p>
        </w:tc>
      </w:tr>
      <w:tr w14:paraId="644A2FBE">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02BC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72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C8EF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4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2BBA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14:paraId="612CED4F">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DDEEC">
            <w:pPr>
              <w:jc w:val="center"/>
              <w:rPr>
                <w:rFonts w:ascii="仿宋_GB2312" w:hAnsi="仿宋_GB2312" w:eastAsia="仿宋_GB2312" w:cs="仿宋_GB2312"/>
                <w:sz w:val="24"/>
              </w:rPr>
            </w:pPr>
          </w:p>
        </w:tc>
        <w:tc>
          <w:tcPr>
            <w:tcW w:w="472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474C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实现对重点监控企业的联网实时监控及市级平台的联网，提高风险防范和应急响应能力</w:t>
            </w:r>
          </w:p>
        </w:tc>
        <w:tc>
          <w:tcPr>
            <w:tcW w:w="44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2066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完成对重点监控企业的联网实时监控及市级平台的联网，提高风险防范和应急响应能力</w:t>
            </w:r>
          </w:p>
        </w:tc>
      </w:tr>
      <w:tr w14:paraId="7E5D0A2B">
        <w:tblPrEx>
          <w:tblCellMar>
            <w:top w:w="0" w:type="dxa"/>
            <w:left w:w="0" w:type="dxa"/>
            <w:bottom w:w="0" w:type="dxa"/>
            <w:right w:w="0" w:type="dxa"/>
          </w:tblCellMar>
        </w:tblPrEx>
        <w:trPr>
          <w:trHeight w:val="712" w:hRule="atLeast"/>
          <w:jc w:val="center"/>
        </w:trPr>
        <w:tc>
          <w:tcPr>
            <w:tcW w:w="80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211BD5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9D82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0818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8081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6106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3CC1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14:paraId="5AD10373">
        <w:tblPrEx>
          <w:tblCellMar>
            <w:top w:w="0" w:type="dxa"/>
            <w:left w:w="0" w:type="dxa"/>
            <w:bottom w:w="0" w:type="dxa"/>
            <w:right w:w="0" w:type="dxa"/>
          </w:tblCellMar>
        </w:tblPrEx>
        <w:trPr>
          <w:trHeight w:val="748"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5124367F">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AD76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8746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AB3E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逐步完成对重点监控企业的联网</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4182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54家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1172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建立中</w:t>
            </w:r>
          </w:p>
        </w:tc>
      </w:tr>
      <w:tr w14:paraId="39D26F5D">
        <w:tblPrEx>
          <w:tblCellMar>
            <w:top w:w="0" w:type="dxa"/>
            <w:left w:w="0" w:type="dxa"/>
            <w:bottom w:w="0" w:type="dxa"/>
            <w:right w:w="0" w:type="dxa"/>
          </w:tblCellMar>
        </w:tblPrEx>
        <w:trPr>
          <w:trHeight w:val="80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78F81BA">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8CC3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AD97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2B45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实现煤矿瓦斯浓度实时监控</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50FF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6A55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5AB8BD83">
        <w:tblPrEx>
          <w:tblCellMar>
            <w:top w:w="0" w:type="dxa"/>
            <w:left w:w="0" w:type="dxa"/>
            <w:bottom w:w="0" w:type="dxa"/>
            <w:right w:w="0" w:type="dxa"/>
          </w:tblCellMar>
        </w:tblPrEx>
        <w:trPr>
          <w:trHeight w:val="79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24C11F93">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2F49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5023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6573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建立企业安全生产基本情况数据库</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3052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54家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C168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建立中</w:t>
            </w:r>
          </w:p>
        </w:tc>
      </w:tr>
      <w:tr w14:paraId="5A573DCE">
        <w:tblPrEx>
          <w:tblCellMar>
            <w:top w:w="0" w:type="dxa"/>
            <w:left w:w="0" w:type="dxa"/>
            <w:bottom w:w="0" w:type="dxa"/>
            <w:right w:w="0" w:type="dxa"/>
          </w:tblCellMar>
        </w:tblPrEx>
        <w:trPr>
          <w:trHeight w:val="762"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74A7DFF9">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84EA6">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项目完成指标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B122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A8D7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实现与市级平台的联网</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6807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4383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全年</w:t>
            </w:r>
          </w:p>
        </w:tc>
      </w:tr>
      <w:tr w14:paraId="587B7675">
        <w:tblPrEx>
          <w:tblCellMar>
            <w:top w:w="0" w:type="dxa"/>
            <w:left w:w="0" w:type="dxa"/>
            <w:bottom w:w="0" w:type="dxa"/>
            <w:right w:w="0" w:type="dxa"/>
          </w:tblCellMar>
        </w:tblPrEx>
        <w:trPr>
          <w:trHeight w:val="82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6CC5E7A1">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1DE8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B2B9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DB70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实现煤矿瓦斯浓度实时监控</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A1D0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24小时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0EA3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5B1F28A8">
        <w:tblPrEx>
          <w:tblCellMar>
            <w:top w:w="0" w:type="dxa"/>
            <w:left w:w="0" w:type="dxa"/>
            <w:bottom w:w="0" w:type="dxa"/>
            <w:right w:w="0" w:type="dxa"/>
          </w:tblCellMar>
        </w:tblPrEx>
        <w:trPr>
          <w:trHeight w:val="662"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29DD5F60">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61D7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D7D4D">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817D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降低事故发生率，避免事故造成的经济损失</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01F2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CB2E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7E50491A">
        <w:tblPrEx>
          <w:tblCellMar>
            <w:top w:w="0" w:type="dxa"/>
            <w:left w:w="0" w:type="dxa"/>
            <w:bottom w:w="0" w:type="dxa"/>
            <w:right w:w="0" w:type="dxa"/>
          </w:tblCellMar>
        </w:tblPrEx>
        <w:trPr>
          <w:trHeight w:val="64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7EA642CD">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D392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6AEA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1D9B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提高应急响应效率，降低事故造成的经济损失</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FBC3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3D85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60773F98">
        <w:tblPrEx>
          <w:tblCellMar>
            <w:top w:w="0" w:type="dxa"/>
            <w:left w:w="0" w:type="dxa"/>
            <w:bottom w:w="0" w:type="dxa"/>
            <w:right w:w="0" w:type="dxa"/>
          </w:tblCellMar>
        </w:tblPrEx>
        <w:trPr>
          <w:trHeight w:val="572"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AA53317">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8834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EEEA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20DB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提高事故风险防范能力</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1B57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CE08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03A587EF">
        <w:tblPrEx>
          <w:tblCellMar>
            <w:top w:w="0" w:type="dxa"/>
            <w:left w:w="0" w:type="dxa"/>
            <w:bottom w:w="0" w:type="dxa"/>
            <w:right w:w="0" w:type="dxa"/>
          </w:tblCellMar>
        </w:tblPrEx>
        <w:trPr>
          <w:trHeight w:val="1050" w:hRule="atLeast"/>
          <w:jc w:val="center"/>
        </w:trPr>
        <w:tc>
          <w:tcPr>
            <w:tcW w:w="80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45D10BF">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249B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7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C2B0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社会效益指标</w:t>
            </w:r>
          </w:p>
        </w:tc>
        <w:tc>
          <w:tcPr>
            <w:tcW w:w="180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743E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提高部门协同应急处置能力</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C6FD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EB42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683C5385">
        <w:tblPrEx>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14:paraId="1B8FAD40">
            <w:pPr>
              <w:widowControl/>
              <w:jc w:val="center"/>
              <w:textAlignment w:val="center"/>
              <w:rPr>
                <w:rFonts w:ascii="宋体" w:cs="宋体"/>
                <w:sz w:val="36"/>
                <w:szCs w:val="36"/>
              </w:rPr>
            </w:pPr>
            <w:r>
              <w:rPr>
                <w:rFonts w:hint="eastAsia" w:ascii="方正小标宋_GBK" w:hAnsi="方正小标宋_GBK" w:eastAsia="方正小标宋_GBK" w:cs="方正小标宋_GBK"/>
                <w:kern w:val="0"/>
                <w:sz w:val="36"/>
                <w:szCs w:val="36"/>
              </w:rPr>
              <w:t>项目绩效目标完成情况表</w:t>
            </w:r>
            <w:r>
              <w:rPr>
                <w:rFonts w:hint="eastAsia" w:ascii="方正小标宋_GBK" w:hAnsi="方正小标宋_GBK" w:eastAsia="方正小标宋_GBK" w:cs="方正小标宋_GBK"/>
                <w:kern w:val="0"/>
                <w:sz w:val="36"/>
                <w:szCs w:val="36"/>
              </w:rPr>
              <w:br w:type="textWrapping"/>
            </w:r>
            <w:r>
              <w:rPr>
                <w:rFonts w:hint="eastAsia" w:ascii="楷体_GB2312" w:hAnsi="楷体_GB2312" w:eastAsia="楷体_GB2312" w:cs="楷体_GB2312"/>
                <w:kern w:val="0"/>
                <w:sz w:val="32"/>
                <w:szCs w:val="32"/>
              </w:rPr>
              <w:t>(2020年度)</w:t>
            </w:r>
          </w:p>
        </w:tc>
      </w:tr>
      <w:tr w14:paraId="46D0627C">
        <w:tblPrEx>
          <w:tblCellMar>
            <w:top w:w="0" w:type="dxa"/>
            <w:left w:w="0" w:type="dxa"/>
            <w:bottom w:w="0" w:type="dxa"/>
            <w:right w:w="0" w:type="dxa"/>
          </w:tblCellMar>
        </w:tblPrEx>
        <w:trPr>
          <w:trHeight w:val="276" w:hRule="atLeast"/>
          <w:jc w:val="center"/>
        </w:trPr>
        <w:tc>
          <w:tcPr>
            <w:tcW w:w="384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C66A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611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AEFA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防灾减灾工作</w:t>
            </w:r>
          </w:p>
        </w:tc>
      </w:tr>
      <w:tr w14:paraId="40346701">
        <w:tblPrEx>
          <w:tblCellMar>
            <w:top w:w="0" w:type="dxa"/>
            <w:left w:w="0" w:type="dxa"/>
            <w:bottom w:w="0" w:type="dxa"/>
            <w:right w:w="0" w:type="dxa"/>
          </w:tblCellMar>
        </w:tblPrEx>
        <w:trPr>
          <w:trHeight w:val="276" w:hRule="atLeast"/>
          <w:jc w:val="center"/>
        </w:trPr>
        <w:tc>
          <w:tcPr>
            <w:tcW w:w="384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8C4B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611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4949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峨眉山市应急管理局</w:t>
            </w:r>
          </w:p>
        </w:tc>
      </w:tr>
      <w:tr w14:paraId="46E67D4F">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FB02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30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4675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2972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02EF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886F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w:t>
            </w:r>
          </w:p>
        </w:tc>
      </w:tr>
      <w:tr w14:paraId="1E1C7789">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204B9">
            <w:pPr>
              <w:jc w:val="center"/>
              <w:rPr>
                <w:rFonts w:ascii="仿宋_GB2312" w:hAnsi="仿宋_GB2312" w:eastAsia="仿宋_GB2312" w:cs="仿宋_GB2312"/>
                <w:sz w:val="24"/>
              </w:rPr>
            </w:pPr>
          </w:p>
        </w:tc>
        <w:tc>
          <w:tcPr>
            <w:tcW w:w="30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78F3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513A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421B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1A31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w:t>
            </w:r>
          </w:p>
        </w:tc>
      </w:tr>
      <w:tr w14:paraId="753DC57A">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7D85F">
            <w:pPr>
              <w:jc w:val="center"/>
              <w:rPr>
                <w:rFonts w:ascii="仿宋_GB2312" w:hAnsi="仿宋_GB2312" w:eastAsia="仿宋_GB2312" w:cs="仿宋_GB2312"/>
                <w:sz w:val="24"/>
              </w:rPr>
            </w:pPr>
          </w:p>
        </w:tc>
        <w:tc>
          <w:tcPr>
            <w:tcW w:w="30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6E1C3">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5872F">
            <w:pPr>
              <w:widowControl/>
              <w:jc w:val="center"/>
              <w:textAlignment w:val="center"/>
              <w:rPr>
                <w:rFonts w:ascii="仿宋_GB2312" w:hAnsi="仿宋_GB2312" w:eastAsia="仿宋_GB2312" w:cs="仿宋_GB2312"/>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FEF1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9A866">
            <w:pPr>
              <w:jc w:val="center"/>
              <w:rPr>
                <w:rFonts w:ascii="仿宋_GB2312" w:hAnsi="仿宋_GB2312" w:eastAsia="仿宋_GB2312" w:cs="仿宋_GB2312"/>
                <w:sz w:val="24"/>
              </w:rPr>
            </w:pPr>
          </w:p>
        </w:tc>
      </w:tr>
      <w:tr w14:paraId="2EC9CC1D">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A65FD">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37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1E88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1612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14:paraId="65FC5564">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BB500">
            <w:pPr>
              <w:jc w:val="center"/>
              <w:rPr>
                <w:rFonts w:ascii="仿宋_GB2312" w:hAnsi="仿宋_GB2312" w:eastAsia="仿宋_GB2312" w:cs="仿宋_GB2312"/>
                <w:sz w:val="24"/>
              </w:rPr>
            </w:pPr>
          </w:p>
        </w:tc>
        <w:tc>
          <w:tcPr>
            <w:tcW w:w="437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8385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保障全市应急避难场所的正常使用。</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B31E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保障全市应急避难场所的正常使用。</w:t>
            </w:r>
          </w:p>
        </w:tc>
      </w:tr>
      <w:tr w14:paraId="61082A95">
        <w:tblPrEx>
          <w:tblCellMar>
            <w:top w:w="0" w:type="dxa"/>
            <w:left w:w="0" w:type="dxa"/>
            <w:bottom w:w="0" w:type="dxa"/>
            <w:right w:w="0" w:type="dxa"/>
          </w:tblCellMar>
        </w:tblPrEx>
        <w:trPr>
          <w:trHeight w:val="712" w:hRule="atLeast"/>
          <w:jc w:val="center"/>
        </w:trPr>
        <w:tc>
          <w:tcPr>
            <w:tcW w:w="80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D0ABF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F121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5D99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7854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FBF4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EE0A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14:paraId="7278735C">
        <w:tblPrEx>
          <w:tblCellMar>
            <w:top w:w="0" w:type="dxa"/>
            <w:left w:w="0" w:type="dxa"/>
            <w:bottom w:w="0" w:type="dxa"/>
            <w:right w:w="0" w:type="dxa"/>
          </w:tblCellMar>
        </w:tblPrEx>
        <w:trPr>
          <w:trHeight w:val="748"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24BCADB9">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370D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9784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DEE2C">
            <w:pPr>
              <w:jc w:val="center"/>
              <w:rPr>
                <w:rFonts w:ascii="仿宋_GB2312" w:hAnsi="仿宋_GB2312" w:eastAsia="仿宋_GB2312" w:cs="仿宋_GB2312"/>
                <w:sz w:val="24"/>
              </w:rPr>
            </w:pPr>
            <w:r>
              <w:rPr>
                <w:rFonts w:hint="eastAsia" w:ascii="仿宋_GB2312" w:hAnsi="仿宋_GB2312" w:eastAsia="仿宋_GB2312" w:cs="仿宋_GB2312"/>
                <w:sz w:val="24"/>
              </w:rPr>
              <w:t>应急避难场所维护与管理</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A65B7">
            <w:pPr>
              <w:rPr>
                <w:rFonts w:ascii="宋体" w:hAnsi="宋体" w:cs="宋体"/>
                <w:sz w:val="20"/>
                <w:szCs w:val="20"/>
              </w:rPr>
            </w:pPr>
            <w:r>
              <w:rPr>
                <w:rFonts w:hint="eastAsia"/>
                <w:sz w:val="20"/>
                <w:szCs w:val="20"/>
              </w:rPr>
              <w:t>3处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2CBDC">
            <w:pPr>
              <w:rPr>
                <w:rFonts w:ascii="宋体" w:hAnsi="宋体" w:cs="宋体"/>
                <w:sz w:val="20"/>
                <w:szCs w:val="20"/>
              </w:rPr>
            </w:pPr>
            <w:r>
              <w:rPr>
                <w:rFonts w:hint="eastAsia"/>
                <w:sz w:val="20"/>
                <w:szCs w:val="20"/>
              </w:rPr>
              <w:t>3处</w:t>
            </w:r>
          </w:p>
        </w:tc>
      </w:tr>
      <w:tr w14:paraId="05C7D3F0">
        <w:tblPrEx>
          <w:tblCellMar>
            <w:top w:w="0" w:type="dxa"/>
            <w:left w:w="0" w:type="dxa"/>
            <w:bottom w:w="0" w:type="dxa"/>
            <w:right w:w="0" w:type="dxa"/>
          </w:tblCellMar>
        </w:tblPrEx>
        <w:trPr>
          <w:trHeight w:val="80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537FD6B7">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FC95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7F71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60A7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满足突发灾害应急避难需要</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81F09">
            <w:pPr>
              <w:rPr>
                <w:rFonts w:ascii="宋体" w:hAnsi="宋体" w:cs="宋体"/>
                <w:sz w:val="20"/>
                <w:szCs w:val="20"/>
              </w:rPr>
            </w:pPr>
            <w:r>
              <w:rPr>
                <w:rFonts w:hint="eastAsia"/>
                <w:sz w:val="20"/>
                <w:szCs w:val="20"/>
              </w:rPr>
              <w:t>具备基本生活服务设施和功能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0C10A">
            <w:pPr>
              <w:rPr>
                <w:rFonts w:ascii="宋体" w:hAnsi="宋体" w:cs="宋体"/>
                <w:sz w:val="20"/>
                <w:szCs w:val="20"/>
              </w:rPr>
            </w:pPr>
            <w:r>
              <w:rPr>
                <w:rFonts w:hint="eastAsia"/>
                <w:sz w:val="20"/>
                <w:szCs w:val="20"/>
              </w:rPr>
              <w:t>具备基本生活服务设施和功能</w:t>
            </w:r>
          </w:p>
        </w:tc>
      </w:tr>
      <w:tr w14:paraId="181E82A3">
        <w:tblPrEx>
          <w:tblCellMar>
            <w:top w:w="0" w:type="dxa"/>
            <w:left w:w="0" w:type="dxa"/>
            <w:bottom w:w="0" w:type="dxa"/>
            <w:right w:w="0" w:type="dxa"/>
          </w:tblCellMar>
        </w:tblPrEx>
        <w:trPr>
          <w:trHeight w:val="79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3907CE8">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DFE2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AB60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318F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应急避难场所日常维护与管理</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0F0EC">
            <w:pPr>
              <w:rPr>
                <w:rFonts w:ascii="宋体" w:hAnsi="宋体" w:cs="宋体"/>
                <w:sz w:val="20"/>
                <w:szCs w:val="20"/>
              </w:rPr>
            </w:pPr>
            <w:r>
              <w:rPr>
                <w:rFonts w:hint="eastAsia"/>
                <w:sz w:val="20"/>
                <w:szCs w:val="20"/>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F4FD6">
            <w:pPr>
              <w:rPr>
                <w:rFonts w:ascii="宋体" w:hAnsi="宋体" w:cs="宋体"/>
                <w:sz w:val="20"/>
                <w:szCs w:val="20"/>
              </w:rPr>
            </w:pPr>
            <w:r>
              <w:rPr>
                <w:rFonts w:hint="eastAsia"/>
                <w:sz w:val="20"/>
                <w:szCs w:val="20"/>
              </w:rPr>
              <w:t>全年</w:t>
            </w:r>
          </w:p>
        </w:tc>
      </w:tr>
      <w:tr w14:paraId="35A6BF30">
        <w:tblPrEx>
          <w:tblCellMar>
            <w:top w:w="0" w:type="dxa"/>
            <w:left w:w="0" w:type="dxa"/>
            <w:bottom w:w="0" w:type="dxa"/>
            <w:right w:w="0" w:type="dxa"/>
          </w:tblCellMar>
        </w:tblPrEx>
        <w:trPr>
          <w:trHeight w:val="662"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33C1CD2D">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F1C8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8E87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AF0DE">
            <w:pPr>
              <w:rPr>
                <w:rFonts w:ascii="宋体" w:hAnsi="宋体" w:cs="宋体"/>
                <w:sz w:val="20"/>
                <w:szCs w:val="20"/>
              </w:rPr>
            </w:pPr>
            <w:r>
              <w:rPr>
                <w:rFonts w:hint="eastAsia"/>
                <w:sz w:val="20"/>
                <w:szCs w:val="20"/>
              </w:rPr>
              <w:t>提高城市防灾减灾综合能力</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076F0">
            <w:pPr>
              <w:rPr>
                <w:rFonts w:ascii="宋体" w:hAnsi="宋体" w:cs="宋体"/>
                <w:sz w:val="20"/>
                <w:szCs w:val="20"/>
              </w:rPr>
            </w:pPr>
            <w:r>
              <w:rPr>
                <w:rFonts w:hint="eastAsia"/>
                <w:sz w:val="20"/>
                <w:szCs w:val="20"/>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CACF2">
            <w:pPr>
              <w:rPr>
                <w:rFonts w:ascii="宋体" w:hAnsi="宋体" w:cs="宋体"/>
                <w:sz w:val="20"/>
                <w:szCs w:val="20"/>
              </w:rPr>
            </w:pPr>
            <w:r>
              <w:rPr>
                <w:rFonts w:hint="eastAsia"/>
                <w:sz w:val="20"/>
                <w:szCs w:val="20"/>
              </w:rPr>
              <w:t>显著</w:t>
            </w:r>
          </w:p>
        </w:tc>
      </w:tr>
      <w:tr w14:paraId="1459D214">
        <w:tblPrEx>
          <w:tblCellMar>
            <w:top w:w="0" w:type="dxa"/>
            <w:left w:w="0" w:type="dxa"/>
            <w:bottom w:w="0" w:type="dxa"/>
            <w:right w:w="0" w:type="dxa"/>
          </w:tblCellMar>
        </w:tblPrEx>
        <w:trPr>
          <w:trHeight w:val="64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2E2C6E35">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BC62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3335D">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92EE8">
            <w:pPr>
              <w:rPr>
                <w:rFonts w:ascii="宋体" w:hAnsi="宋体" w:cs="宋体"/>
                <w:sz w:val="20"/>
                <w:szCs w:val="20"/>
              </w:rPr>
            </w:pPr>
            <w:r>
              <w:rPr>
                <w:rFonts w:hint="eastAsia"/>
                <w:sz w:val="20"/>
                <w:szCs w:val="20"/>
              </w:rPr>
              <w:t>减轻突发性灾害造成的损失</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B1E6A">
            <w:pPr>
              <w:rPr>
                <w:rFonts w:ascii="宋体" w:hAnsi="宋体" w:cs="宋体"/>
                <w:sz w:val="20"/>
                <w:szCs w:val="20"/>
              </w:rPr>
            </w:pPr>
            <w:r>
              <w:rPr>
                <w:rFonts w:hint="eastAsia"/>
                <w:sz w:val="20"/>
                <w:szCs w:val="20"/>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C4359">
            <w:pPr>
              <w:rPr>
                <w:rFonts w:ascii="宋体" w:hAnsi="宋体" w:cs="宋体"/>
                <w:sz w:val="20"/>
                <w:szCs w:val="20"/>
              </w:rPr>
            </w:pPr>
            <w:r>
              <w:rPr>
                <w:rFonts w:hint="eastAsia"/>
                <w:sz w:val="20"/>
                <w:szCs w:val="20"/>
              </w:rPr>
              <w:t>显著</w:t>
            </w:r>
          </w:p>
        </w:tc>
      </w:tr>
      <w:tr w14:paraId="09203EC7">
        <w:tblPrEx>
          <w:tblCellMar>
            <w:top w:w="0" w:type="dxa"/>
            <w:left w:w="0" w:type="dxa"/>
            <w:bottom w:w="0" w:type="dxa"/>
            <w:right w:w="0" w:type="dxa"/>
          </w:tblCellMar>
        </w:tblPrEx>
        <w:trPr>
          <w:trHeight w:val="1050" w:hRule="atLeast"/>
          <w:jc w:val="center"/>
        </w:trPr>
        <w:tc>
          <w:tcPr>
            <w:tcW w:w="80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91ED6E4">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1D62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8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DF87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满意度指标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A19D1">
            <w:pPr>
              <w:rPr>
                <w:rFonts w:ascii="宋体" w:hAnsi="宋体" w:cs="宋体"/>
                <w:sz w:val="20"/>
                <w:szCs w:val="20"/>
              </w:rPr>
            </w:pPr>
            <w:r>
              <w:rPr>
                <w:rFonts w:hint="eastAsia"/>
                <w:sz w:val="20"/>
                <w:szCs w:val="20"/>
              </w:rPr>
              <w:t>群众满意度</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274B8">
            <w:pPr>
              <w:rPr>
                <w:rFonts w:ascii="宋体" w:hAnsi="宋体" w:cs="宋体"/>
                <w:sz w:val="20"/>
                <w:szCs w:val="20"/>
              </w:rPr>
            </w:pPr>
            <w:r>
              <w:rPr>
                <w:rFonts w:hint="eastAsia"/>
                <w:sz w:val="20"/>
                <w:szCs w:val="20"/>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296F5">
            <w:pPr>
              <w:rPr>
                <w:rFonts w:ascii="宋体" w:hAnsi="宋体" w:cs="宋体"/>
                <w:sz w:val="20"/>
                <w:szCs w:val="20"/>
              </w:rPr>
            </w:pPr>
            <w:r>
              <w:rPr>
                <w:rFonts w:hint="eastAsia"/>
                <w:sz w:val="20"/>
                <w:szCs w:val="20"/>
              </w:rPr>
              <w:t>100%</w:t>
            </w:r>
          </w:p>
        </w:tc>
      </w:tr>
    </w:tbl>
    <w:p w14:paraId="2204431B">
      <w:pPr>
        <w:spacing w:line="580" w:lineRule="exact"/>
        <w:ind w:left="630"/>
        <w:rPr>
          <w:rFonts w:ascii="仿宋_GB2312" w:hAnsi="仿宋_GB2312" w:eastAsia="仿宋_GB2312" w:cs="仿宋_GB2312"/>
          <w:color w:val="C00000"/>
          <w:sz w:val="32"/>
          <w:szCs w:val="32"/>
        </w:rPr>
      </w:pPr>
    </w:p>
    <w:p w14:paraId="5F67AA26">
      <w:pPr>
        <w:spacing w:line="580" w:lineRule="exact"/>
        <w:ind w:left="630"/>
        <w:rPr>
          <w:rFonts w:ascii="仿宋_GB2312" w:hAnsi="仿宋_GB2312" w:eastAsia="仿宋_GB2312" w:cs="仿宋_GB2312"/>
          <w:color w:val="C00000"/>
          <w:sz w:val="32"/>
          <w:szCs w:val="32"/>
        </w:rPr>
      </w:pPr>
    </w:p>
    <w:p w14:paraId="38F1F3FC">
      <w:pPr>
        <w:spacing w:line="580" w:lineRule="exact"/>
        <w:ind w:left="630"/>
        <w:rPr>
          <w:rFonts w:ascii="仿宋_GB2312" w:hAnsi="仿宋_GB2312" w:eastAsia="仿宋_GB2312" w:cs="仿宋_GB2312"/>
          <w:color w:val="C00000"/>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860"/>
        <w:gridCol w:w="1325"/>
        <w:gridCol w:w="2394"/>
        <w:gridCol w:w="2392"/>
      </w:tblGrid>
      <w:tr w14:paraId="015D727F">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FC03865">
            <w:pPr>
              <w:widowControl/>
              <w:jc w:val="center"/>
              <w:textAlignment w:val="center"/>
              <w:rPr>
                <w:rFonts w:ascii="宋体" w:cs="宋体"/>
                <w:sz w:val="36"/>
                <w:szCs w:val="36"/>
              </w:rPr>
            </w:pPr>
            <w:r>
              <w:rPr>
                <w:rFonts w:hint="eastAsia" w:ascii="方正小标宋_GBK" w:hAnsi="方正小标宋_GBK" w:eastAsia="方正小标宋_GBK" w:cs="方正小标宋_GBK"/>
                <w:kern w:val="0"/>
                <w:sz w:val="36"/>
                <w:szCs w:val="36"/>
              </w:rPr>
              <w:t>项目绩效目标完成情况表</w:t>
            </w:r>
            <w:r>
              <w:rPr>
                <w:rFonts w:hint="eastAsia" w:ascii="方正小标宋_GBK" w:hAnsi="方正小标宋_GBK" w:eastAsia="方正小标宋_GBK" w:cs="方正小标宋_GBK"/>
                <w:kern w:val="0"/>
                <w:sz w:val="36"/>
                <w:szCs w:val="36"/>
              </w:rPr>
              <w:br w:type="textWrapping"/>
            </w:r>
            <w:r>
              <w:rPr>
                <w:rFonts w:hint="eastAsia" w:ascii="楷体_GB2312" w:hAnsi="楷体_GB2312" w:eastAsia="楷体_GB2312" w:cs="楷体_GB2312"/>
                <w:kern w:val="0"/>
                <w:sz w:val="32"/>
                <w:szCs w:val="32"/>
              </w:rPr>
              <w:t>(2020年度)</w:t>
            </w:r>
          </w:p>
        </w:tc>
      </w:tr>
      <w:tr w14:paraId="67700EFA">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DF36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61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95C8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煤矿关闭以奖代补</w:t>
            </w:r>
          </w:p>
        </w:tc>
      </w:tr>
      <w:tr w14:paraId="04DC45D7">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8495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61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037F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峨眉山市应急管理局</w:t>
            </w:r>
          </w:p>
        </w:tc>
      </w:tr>
      <w:tr w14:paraId="74E958F2">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2228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6F06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B738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7AB0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24FC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230</w:t>
            </w:r>
          </w:p>
        </w:tc>
      </w:tr>
      <w:tr w14:paraId="4B468A21">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D050A">
            <w:pPr>
              <w:jc w:val="center"/>
              <w:rPr>
                <w:rFonts w:ascii="仿宋_GB2312" w:hAnsi="仿宋_GB2312" w:eastAsia="仿宋_GB2312" w:cs="仿宋_GB2312"/>
                <w:sz w:val="24"/>
              </w:rPr>
            </w:pP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1EA8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71F5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9413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52DA8">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230</w:t>
            </w:r>
          </w:p>
        </w:tc>
      </w:tr>
      <w:tr w14:paraId="1B7AAB15">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2D36A">
            <w:pPr>
              <w:jc w:val="center"/>
              <w:rPr>
                <w:rFonts w:ascii="仿宋_GB2312" w:hAnsi="仿宋_GB2312" w:eastAsia="仿宋_GB2312" w:cs="仿宋_GB2312"/>
                <w:sz w:val="24"/>
              </w:rPr>
            </w:pP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0058D">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BD07C">
            <w:pPr>
              <w:widowControl/>
              <w:jc w:val="center"/>
              <w:textAlignment w:val="center"/>
              <w:rPr>
                <w:rFonts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508B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D38F9">
            <w:pPr>
              <w:jc w:val="center"/>
              <w:rPr>
                <w:rFonts w:ascii="仿宋_GB2312" w:hAnsi="仿宋_GB2312" w:eastAsia="仿宋_GB2312" w:cs="仿宋_GB2312"/>
                <w:sz w:val="24"/>
              </w:rPr>
            </w:pPr>
          </w:p>
        </w:tc>
      </w:tr>
      <w:tr w14:paraId="1F9B637A">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BE56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FAB9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0FCE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14:paraId="10C10832">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141E1">
            <w:pPr>
              <w:jc w:val="center"/>
              <w:rPr>
                <w:rFonts w:ascii="仿宋_GB2312" w:hAnsi="仿宋_GB2312" w:eastAsia="仿宋_GB2312" w:cs="仿宋_GB2312"/>
                <w:sz w:val="24"/>
              </w:rPr>
            </w:pPr>
          </w:p>
        </w:tc>
        <w:tc>
          <w:tcPr>
            <w:tcW w:w="43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8F9A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完成煤矿关闭奖补资金发放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FCED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100%完成</w:t>
            </w:r>
          </w:p>
        </w:tc>
      </w:tr>
      <w:tr w14:paraId="53DA2AD7">
        <w:tblPrEx>
          <w:tblCellMar>
            <w:top w:w="0" w:type="dxa"/>
            <w:left w:w="0" w:type="dxa"/>
            <w:bottom w:w="0" w:type="dxa"/>
            <w:right w:w="0" w:type="dxa"/>
          </w:tblCellMar>
        </w:tblPrEx>
        <w:trPr>
          <w:trHeight w:val="712" w:hRule="atLeast"/>
          <w:jc w:val="center"/>
        </w:trPr>
        <w:tc>
          <w:tcPr>
            <w:tcW w:w="80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09ABEE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9D88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F36F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1DFB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54D1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1F1D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14:paraId="4EE5B428">
        <w:tblPrEx>
          <w:tblCellMar>
            <w:top w:w="0" w:type="dxa"/>
            <w:left w:w="0" w:type="dxa"/>
            <w:bottom w:w="0" w:type="dxa"/>
            <w:right w:w="0" w:type="dxa"/>
          </w:tblCellMar>
        </w:tblPrEx>
        <w:trPr>
          <w:trHeight w:val="748"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78D7EE44">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AFFD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153E3">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数量指标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5E3C2">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完成关闭煤矿奖补资金发放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E0B20">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05255">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2家</w:t>
            </w:r>
          </w:p>
        </w:tc>
      </w:tr>
      <w:tr w14:paraId="4D1A9268">
        <w:tblPrEx>
          <w:tblCellMar>
            <w:top w:w="0" w:type="dxa"/>
            <w:left w:w="0" w:type="dxa"/>
            <w:bottom w:w="0" w:type="dxa"/>
            <w:right w:w="0" w:type="dxa"/>
          </w:tblCellMar>
        </w:tblPrEx>
        <w:trPr>
          <w:trHeight w:val="80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2658791E">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D54F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ED62A">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数量指标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78C3F">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完成关闭煤矿奖补资金发放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64FF6">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AA226">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230万</w:t>
            </w:r>
          </w:p>
        </w:tc>
      </w:tr>
      <w:tr w14:paraId="725A9C8D">
        <w:tblPrEx>
          <w:tblCellMar>
            <w:top w:w="0" w:type="dxa"/>
            <w:left w:w="0" w:type="dxa"/>
            <w:bottom w:w="0" w:type="dxa"/>
            <w:right w:w="0" w:type="dxa"/>
          </w:tblCellMar>
        </w:tblPrEx>
        <w:trPr>
          <w:trHeight w:val="79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3251640F">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86F4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0E5ED">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质量指标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4C67B">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解决煤矿关闭职工安置等遗留问题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9E4AD">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4D1CD">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r>
      <w:tr w14:paraId="33391D41">
        <w:tblPrEx>
          <w:tblCellMar>
            <w:top w:w="0" w:type="dxa"/>
            <w:left w:w="0" w:type="dxa"/>
            <w:bottom w:w="0" w:type="dxa"/>
            <w:right w:w="0" w:type="dxa"/>
          </w:tblCellMar>
        </w:tblPrEx>
        <w:trPr>
          <w:trHeight w:val="662"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2E3C6D70">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B462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5D0A6">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社会效益指标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0A08F">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解决煤炭产能过剩问题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A9479">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0BF3E">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显著</w:t>
            </w:r>
          </w:p>
        </w:tc>
      </w:tr>
      <w:tr w14:paraId="5C9C7102">
        <w:tblPrEx>
          <w:tblCellMar>
            <w:top w:w="0" w:type="dxa"/>
            <w:left w:w="0" w:type="dxa"/>
            <w:bottom w:w="0" w:type="dxa"/>
            <w:right w:w="0" w:type="dxa"/>
          </w:tblCellMar>
        </w:tblPrEx>
        <w:trPr>
          <w:trHeight w:val="64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4BFACC83">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BB54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486C7">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生态效益指标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900C7">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减少煤矿生产的生态影响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7DF2B">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A9250">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显著</w:t>
            </w:r>
          </w:p>
        </w:tc>
      </w:tr>
    </w:tbl>
    <w:p w14:paraId="2956160F">
      <w:pPr>
        <w:spacing w:line="580" w:lineRule="exact"/>
        <w:ind w:left="630"/>
        <w:rPr>
          <w:rFonts w:ascii="仿宋_GB2312" w:hAnsi="仿宋_GB2312" w:eastAsia="仿宋_GB2312" w:cs="仿宋_GB2312"/>
          <w:color w:val="C00000"/>
          <w:sz w:val="32"/>
          <w:szCs w:val="32"/>
        </w:rPr>
      </w:pPr>
    </w:p>
    <w:p w14:paraId="2E43657F">
      <w:pPr>
        <w:spacing w:line="580" w:lineRule="exact"/>
        <w:ind w:left="630"/>
        <w:rPr>
          <w:rFonts w:ascii="仿宋_GB2312" w:hAnsi="仿宋_GB2312" w:eastAsia="仿宋_GB2312" w:cs="仿宋_GB2312"/>
          <w:color w:val="C00000"/>
          <w:sz w:val="32"/>
          <w:szCs w:val="32"/>
        </w:rPr>
      </w:pPr>
    </w:p>
    <w:p w14:paraId="072F49B8">
      <w:pPr>
        <w:spacing w:line="580" w:lineRule="exact"/>
        <w:ind w:left="630"/>
        <w:rPr>
          <w:rFonts w:ascii="仿宋_GB2312" w:hAnsi="仿宋_GB2312" w:eastAsia="仿宋_GB2312" w:cs="仿宋_GB2312"/>
          <w:color w:val="C00000"/>
          <w:sz w:val="32"/>
          <w:szCs w:val="32"/>
        </w:rPr>
      </w:pPr>
    </w:p>
    <w:p w14:paraId="65D224E6">
      <w:pPr>
        <w:spacing w:line="580" w:lineRule="exact"/>
        <w:ind w:left="630"/>
        <w:rPr>
          <w:rFonts w:ascii="仿宋_GB2312" w:hAnsi="仿宋_GB2312" w:eastAsia="仿宋_GB2312" w:cs="仿宋_GB2312"/>
          <w:color w:val="C00000"/>
          <w:sz w:val="32"/>
          <w:szCs w:val="32"/>
        </w:rPr>
      </w:pPr>
    </w:p>
    <w:p w14:paraId="6D4816B4">
      <w:pPr>
        <w:spacing w:line="580" w:lineRule="exact"/>
        <w:ind w:left="630"/>
        <w:rPr>
          <w:rFonts w:ascii="仿宋_GB2312" w:hAnsi="仿宋_GB2312" w:eastAsia="仿宋_GB2312" w:cs="仿宋_GB2312"/>
          <w:color w:val="C00000"/>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860"/>
        <w:gridCol w:w="1325"/>
        <w:gridCol w:w="2394"/>
        <w:gridCol w:w="2392"/>
      </w:tblGrid>
      <w:tr w14:paraId="651799A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241ACF7">
            <w:pPr>
              <w:widowControl/>
              <w:jc w:val="center"/>
              <w:textAlignment w:val="center"/>
              <w:rPr>
                <w:rFonts w:ascii="宋体" w:cs="宋体"/>
                <w:sz w:val="36"/>
                <w:szCs w:val="36"/>
              </w:rPr>
            </w:pPr>
            <w:r>
              <w:rPr>
                <w:rFonts w:hint="eastAsia" w:ascii="方正小标宋_GBK" w:hAnsi="方正小标宋_GBK" w:eastAsia="方正小标宋_GBK" w:cs="方正小标宋_GBK"/>
                <w:kern w:val="0"/>
                <w:sz w:val="36"/>
                <w:szCs w:val="36"/>
              </w:rPr>
              <w:t>项目绩效目标完成情况表</w:t>
            </w:r>
            <w:r>
              <w:rPr>
                <w:rFonts w:hint="eastAsia" w:ascii="方正小标宋_GBK" w:hAnsi="方正小标宋_GBK" w:eastAsia="方正小标宋_GBK" w:cs="方正小标宋_GBK"/>
                <w:kern w:val="0"/>
                <w:sz w:val="36"/>
                <w:szCs w:val="36"/>
              </w:rPr>
              <w:br w:type="textWrapping"/>
            </w:r>
            <w:r>
              <w:rPr>
                <w:rFonts w:hint="eastAsia" w:ascii="楷体_GB2312" w:hAnsi="楷体_GB2312" w:eastAsia="楷体_GB2312" w:cs="楷体_GB2312"/>
                <w:kern w:val="0"/>
                <w:sz w:val="32"/>
                <w:szCs w:val="32"/>
              </w:rPr>
              <w:t>(2020年度)</w:t>
            </w:r>
          </w:p>
        </w:tc>
      </w:tr>
      <w:tr w14:paraId="086071C5">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6E2E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61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9BE5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自然灾害生活救助</w:t>
            </w:r>
          </w:p>
        </w:tc>
      </w:tr>
      <w:tr w14:paraId="1AFBDCF1">
        <w:tblPrEx>
          <w:tblCellMar>
            <w:top w:w="0" w:type="dxa"/>
            <w:left w:w="0" w:type="dxa"/>
            <w:bottom w:w="0" w:type="dxa"/>
            <w:right w:w="0" w:type="dxa"/>
          </w:tblCellMar>
        </w:tblPrEx>
        <w:trPr>
          <w:trHeight w:val="276" w:hRule="atLeast"/>
          <w:jc w:val="center"/>
        </w:trPr>
        <w:tc>
          <w:tcPr>
            <w:tcW w:w="38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5D6A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61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D242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峨眉山市应急管理局</w:t>
            </w:r>
          </w:p>
        </w:tc>
      </w:tr>
      <w:tr w14:paraId="6848B7CA">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1D23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11D7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3749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13.85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22F1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9905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13.85</w:t>
            </w:r>
          </w:p>
        </w:tc>
      </w:tr>
      <w:tr w14:paraId="4F6EBA55">
        <w:tblPrEx>
          <w:tblCellMar>
            <w:top w:w="0" w:type="dxa"/>
            <w:left w:w="0" w:type="dxa"/>
            <w:bottom w:w="0" w:type="dxa"/>
            <w:right w:w="0" w:type="dxa"/>
          </w:tblCellMar>
        </w:tblPrEx>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E7391">
            <w:pPr>
              <w:jc w:val="center"/>
              <w:rPr>
                <w:rFonts w:ascii="仿宋_GB2312" w:hAnsi="仿宋_GB2312" w:eastAsia="仿宋_GB2312" w:cs="仿宋_GB2312"/>
                <w:sz w:val="24"/>
              </w:rPr>
            </w:pP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4AB5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2FBF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13.85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82A9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0033C">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13.85</w:t>
            </w:r>
          </w:p>
        </w:tc>
      </w:tr>
      <w:tr w14:paraId="71F4C7B7">
        <w:tblPrEx>
          <w:tblCellMar>
            <w:top w:w="0" w:type="dxa"/>
            <w:left w:w="0" w:type="dxa"/>
            <w:bottom w:w="0" w:type="dxa"/>
            <w:right w:w="0" w:type="dxa"/>
          </w:tblCellMar>
        </w:tblPrEx>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7E3CC">
            <w:pPr>
              <w:jc w:val="center"/>
              <w:rPr>
                <w:rFonts w:ascii="仿宋_GB2312" w:hAnsi="仿宋_GB2312" w:eastAsia="仿宋_GB2312" w:cs="仿宋_GB2312"/>
                <w:sz w:val="24"/>
              </w:rPr>
            </w:pP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4808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16E41">
            <w:pPr>
              <w:widowControl/>
              <w:jc w:val="center"/>
              <w:textAlignment w:val="center"/>
              <w:rPr>
                <w:rFonts w:ascii="仿宋_GB2312" w:hAnsi="仿宋_GB2312" w:eastAsia="仿宋_GB2312" w:cs="仿宋_GB2312"/>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66779">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004FE">
            <w:pPr>
              <w:jc w:val="center"/>
              <w:rPr>
                <w:rFonts w:ascii="仿宋_GB2312" w:hAnsi="仿宋_GB2312" w:eastAsia="仿宋_GB2312" w:cs="仿宋_GB2312"/>
                <w:sz w:val="24"/>
              </w:rPr>
            </w:pPr>
          </w:p>
        </w:tc>
      </w:tr>
      <w:tr w14:paraId="62369C73">
        <w:tblPrEx>
          <w:tblCellMar>
            <w:top w:w="0" w:type="dxa"/>
            <w:left w:w="0" w:type="dxa"/>
            <w:bottom w:w="0" w:type="dxa"/>
            <w:right w:w="0" w:type="dxa"/>
          </w:tblCellMar>
        </w:tblPrEx>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E382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AB65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9F08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14:paraId="77F05024">
        <w:tblPrEx>
          <w:tblCellMar>
            <w:top w:w="0" w:type="dxa"/>
            <w:left w:w="0" w:type="dxa"/>
            <w:bottom w:w="0" w:type="dxa"/>
            <w:right w:w="0" w:type="dxa"/>
          </w:tblCellMar>
        </w:tblPrEx>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84B21">
            <w:pPr>
              <w:jc w:val="center"/>
              <w:rPr>
                <w:rFonts w:ascii="仿宋_GB2312" w:hAnsi="仿宋_GB2312" w:eastAsia="仿宋_GB2312" w:cs="仿宋_GB2312"/>
                <w:sz w:val="24"/>
              </w:rPr>
            </w:pPr>
          </w:p>
        </w:tc>
        <w:tc>
          <w:tcPr>
            <w:tcW w:w="43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3077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自然灾害救助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5EC06">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w:t>
            </w:r>
          </w:p>
        </w:tc>
      </w:tr>
      <w:tr w14:paraId="233C1024">
        <w:tblPrEx>
          <w:tblCellMar>
            <w:top w:w="0" w:type="dxa"/>
            <w:left w:w="0" w:type="dxa"/>
            <w:bottom w:w="0" w:type="dxa"/>
            <w:right w:w="0" w:type="dxa"/>
          </w:tblCellMar>
        </w:tblPrEx>
        <w:trPr>
          <w:trHeight w:val="712" w:hRule="atLeast"/>
          <w:jc w:val="center"/>
        </w:trPr>
        <w:tc>
          <w:tcPr>
            <w:tcW w:w="80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D51C6B0">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D1CFE">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ECBFF">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FAA1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B2A05">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4823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14:paraId="4A927340">
        <w:tblPrEx>
          <w:tblCellMar>
            <w:top w:w="0" w:type="dxa"/>
            <w:left w:w="0" w:type="dxa"/>
            <w:bottom w:w="0" w:type="dxa"/>
            <w:right w:w="0" w:type="dxa"/>
          </w:tblCellMar>
        </w:tblPrEx>
        <w:trPr>
          <w:trHeight w:val="748"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08C87AD">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4FE57">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8A0BE">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数量指标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A5A63">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因自然灾害造成基本生活困难群众发放救助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FCF0A">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按照资金管理办法发放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97753">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完成</w:t>
            </w:r>
          </w:p>
        </w:tc>
      </w:tr>
      <w:tr w14:paraId="63154CB9">
        <w:tblPrEx>
          <w:tblCellMar>
            <w:top w:w="0" w:type="dxa"/>
            <w:left w:w="0" w:type="dxa"/>
            <w:bottom w:w="0" w:type="dxa"/>
            <w:right w:w="0" w:type="dxa"/>
          </w:tblCellMar>
        </w:tblPrEx>
        <w:trPr>
          <w:trHeight w:val="80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631AC253">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3011A">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991B2">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质量指标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F0E57">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维护受灾群众基本生活权益和灾区社会稳定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B5264">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按照资金管理办法发放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784AA">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完成</w:t>
            </w:r>
          </w:p>
        </w:tc>
      </w:tr>
      <w:tr w14:paraId="34925E50">
        <w:tblPrEx>
          <w:tblCellMar>
            <w:top w:w="0" w:type="dxa"/>
            <w:left w:w="0" w:type="dxa"/>
            <w:bottom w:w="0" w:type="dxa"/>
            <w:right w:w="0" w:type="dxa"/>
          </w:tblCellMar>
        </w:tblPrEx>
        <w:trPr>
          <w:trHeight w:val="79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04F481D6">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A68AB">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8E60A">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时效指标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FDD87">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冬春自然灾害救助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F2412">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按照资金管理办法及时发放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9792D">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完成</w:t>
            </w:r>
          </w:p>
        </w:tc>
      </w:tr>
      <w:tr w14:paraId="22DDA01E">
        <w:tblPrEx>
          <w:tblCellMar>
            <w:top w:w="0" w:type="dxa"/>
            <w:left w:w="0" w:type="dxa"/>
            <w:bottom w:w="0" w:type="dxa"/>
            <w:right w:w="0" w:type="dxa"/>
          </w:tblCellMar>
        </w:tblPrEx>
        <w:trPr>
          <w:trHeight w:val="647" w:hRule="atLeast"/>
          <w:jc w:val="center"/>
        </w:trPr>
        <w:tc>
          <w:tcPr>
            <w:tcW w:w="804" w:type="dxa"/>
            <w:vMerge w:val="continue"/>
            <w:tcBorders>
              <w:left w:val="single" w:color="000000" w:sz="4" w:space="0"/>
              <w:right w:val="single" w:color="000000" w:sz="4" w:space="0"/>
            </w:tcBorders>
            <w:tcMar>
              <w:top w:w="15" w:type="dxa"/>
              <w:left w:w="15" w:type="dxa"/>
              <w:right w:w="15" w:type="dxa"/>
            </w:tcMar>
            <w:vAlign w:val="center"/>
          </w:tcPr>
          <w:p w14:paraId="3B461F23">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E4AB1">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A0855">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社会效益指标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FC860">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因自然灾害造成基本生活困难群众发放救助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0BEE8">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保障群众基本生活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417A6">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完成</w:t>
            </w:r>
          </w:p>
        </w:tc>
      </w:tr>
      <w:tr w14:paraId="5C6B1312">
        <w:tblPrEx>
          <w:tblCellMar>
            <w:top w:w="0" w:type="dxa"/>
            <w:left w:w="0" w:type="dxa"/>
            <w:bottom w:w="0" w:type="dxa"/>
            <w:right w:w="0" w:type="dxa"/>
          </w:tblCellMar>
        </w:tblPrEx>
        <w:trPr>
          <w:trHeight w:val="1050" w:hRule="atLeast"/>
          <w:jc w:val="center"/>
        </w:trPr>
        <w:tc>
          <w:tcPr>
            <w:tcW w:w="80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4B6DCDC">
            <w:pPr>
              <w:widowControl/>
              <w:jc w:val="center"/>
              <w:textAlignment w:val="center"/>
              <w:rPr>
                <w:rFonts w:ascii="仿宋_GB2312" w:hAnsi="仿宋_GB2312" w:eastAsia="仿宋_GB2312" w:cs="仿宋_GB2312"/>
                <w:sz w:val="24"/>
              </w:rPr>
            </w:pP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AC0F4">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9B6A0">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满意度指标</w:t>
            </w:r>
          </w:p>
        </w:tc>
        <w:tc>
          <w:tcPr>
            <w:tcW w:w="1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DC9AC">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对享受救助群众进行满意度调查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84AA6">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9AB2B">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100%</w:t>
            </w:r>
          </w:p>
        </w:tc>
      </w:tr>
    </w:tbl>
    <w:p w14:paraId="1B662F50">
      <w:pPr>
        <w:spacing w:line="580" w:lineRule="exact"/>
        <w:ind w:left="63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2．部门绩效评价结果。</w:t>
      </w:r>
    </w:p>
    <w:p w14:paraId="6387C5F5">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本部门按要求对2020年部门整体支出绩效评价情况开展自评，《峨眉山市应急管理局部门2020年部门整体支出绩效评价报告》见附件（附件1）。</w:t>
      </w:r>
    </w:p>
    <w:p w14:paraId="74A0C381">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组织对XXX项目、XXX项目开展了绩效评价，《XXX项目2020年绩效评价报告》见附件（附件2）。（非涉密部门均需公开部门整体支出评价报告，部门自行组织的绩效评价情况根据部门实际公开，若未组织项目绩效评价，则只需说明部门整体支出绩效评价情况）</w:t>
      </w:r>
    </w:p>
    <w:p w14:paraId="3C1DE5DB">
      <w:pPr>
        <w:widowControl/>
        <w:spacing w:line="600" w:lineRule="exact"/>
        <w:jc w:val="center"/>
        <w:rPr>
          <w:rStyle w:val="24"/>
          <w:rFonts w:ascii="方正小标宋_GBK" w:hAnsi="方正小标宋_GBK" w:eastAsia="方正小标宋_GBK" w:cs="方正小标宋_GBK"/>
          <w:b w:val="0"/>
        </w:rPr>
      </w:pPr>
      <w:r>
        <w:rPr>
          <w:rFonts w:ascii="仿宋_GB2312" w:eastAsia="仿宋_GB2312"/>
          <w:b/>
          <w:color w:val="auto"/>
          <w:sz w:val="32"/>
          <w:szCs w:val="32"/>
        </w:rPr>
        <w:br w:type="page"/>
      </w:r>
      <w:bookmarkStart w:id="55" w:name="_Toc15396613"/>
      <w:bookmarkStart w:id="56" w:name="_Toc15377225"/>
      <w:r>
        <w:rPr>
          <w:rFonts w:hint="eastAsia" w:ascii="黑体" w:hAnsi="黑体" w:eastAsia="黑体" w:cs="黑体"/>
          <w:bCs/>
          <w:color w:val="000000"/>
          <w:sz w:val="44"/>
          <w:szCs w:val="44"/>
        </w:rPr>
        <w:t>第三部分 名</w:t>
      </w:r>
      <w:r>
        <w:rPr>
          <w:rStyle w:val="24"/>
          <w:rFonts w:hint="eastAsia" w:ascii="黑体" w:hAnsi="黑体" w:eastAsia="黑体" w:cs="黑体"/>
          <w:b w:val="0"/>
        </w:rPr>
        <w:t>词解释</w:t>
      </w:r>
      <w:bookmarkEnd w:id="55"/>
      <w:bookmarkEnd w:id="56"/>
    </w:p>
    <w:p w14:paraId="5584D656">
      <w:pPr>
        <w:spacing w:line="600" w:lineRule="exact"/>
        <w:jc w:val="left"/>
        <w:rPr>
          <w:rFonts w:ascii="宋体"/>
          <w:b/>
          <w:color w:val="000000"/>
          <w:sz w:val="44"/>
          <w:szCs w:val="44"/>
        </w:rPr>
      </w:pPr>
    </w:p>
    <w:p w14:paraId="178D6D7D">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一、财政拨款收入：指单位从同级财政部门取得的财政预算资金。</w:t>
      </w:r>
    </w:p>
    <w:p w14:paraId="5C8BF1EC">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二、事业收入：指事业单位开展专业业务活动及辅助活动取得的收入。如…（二级预算单位事业收入情况）等。</w:t>
      </w:r>
    </w:p>
    <w:p w14:paraId="66D4A4DB">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三、经营收入：指事业单位在专业业务活动及其辅助活动之外开展非独立核算经营活动取得的收入。如…（二级预算单位经营收入情况）等。</w:t>
      </w:r>
    </w:p>
    <w:p w14:paraId="2E14928A">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四、其他收入：指单位取得的除上述收入以外的各项收入。主要是…（收入类型）等。</w:t>
      </w:r>
      <w:r>
        <w:rPr>
          <w:rFonts w:ascii="仿宋_GB2312" w:eastAsia="仿宋_GB2312"/>
          <w:sz w:val="32"/>
          <w:szCs w:val="32"/>
        </w:rPr>
        <w:t xml:space="preserve"> </w:t>
      </w:r>
    </w:p>
    <w:p w14:paraId="1FFF7A18">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五、使用非财政拨款结余：指事业单位使用以前年度积累的非财政拨款结余弥补当年收支差额的金额。</w:t>
      </w:r>
      <w:r>
        <w:rPr>
          <w:rFonts w:ascii="仿宋_GB2312" w:eastAsia="仿宋_GB2312"/>
          <w:sz w:val="32"/>
          <w:szCs w:val="32"/>
        </w:rPr>
        <w:t xml:space="preserve"> </w:t>
      </w:r>
    </w:p>
    <w:p w14:paraId="3F0AC0E6">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r>
        <w:rPr>
          <w:rFonts w:ascii="仿宋_GB2312" w:eastAsia="仿宋_GB2312"/>
          <w:sz w:val="32"/>
          <w:szCs w:val="32"/>
        </w:rPr>
        <w:t xml:space="preserve"> </w:t>
      </w:r>
    </w:p>
    <w:p w14:paraId="7D5D5F90">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七、结余分配：指事业单位按照会计制度规定缴纳的所得税、提取的专用结余以及转入非财政拨款结余的金额等。</w:t>
      </w:r>
    </w:p>
    <w:p w14:paraId="02311736">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八、年末结转和结余：指单位按有关规定结转到下年或以后年度继续使用的资金。</w:t>
      </w:r>
    </w:p>
    <w:p w14:paraId="2F890362">
      <w:pPr>
        <w:pStyle w:val="29"/>
        <w:spacing w:line="600" w:lineRule="exact"/>
        <w:ind w:firstLine="640" w:firstLineChars="200"/>
        <w:rPr>
          <w:rFonts w:ascii="仿宋_GB2312" w:eastAsia="仿宋_GB2312"/>
          <w:sz w:val="32"/>
          <w:szCs w:val="32"/>
        </w:rPr>
      </w:pPr>
      <w:r>
        <w:rPr>
          <w:rFonts w:hint="eastAsia" w:ascii="仿宋_GB2312" w:eastAsia="仿宋_GB2312"/>
          <w:sz w:val="32"/>
          <w:szCs w:val="32"/>
        </w:rPr>
        <w:t>九、社会保障和就业（类）行政事业单位离退休（款）机关事业单位基本养老保险缴费支出（项）：指部门实施养老保险制度由单位缴纳的养老保险费的支出。</w:t>
      </w:r>
    </w:p>
    <w:p w14:paraId="1024B1F5">
      <w:pPr>
        <w:shd w:val="clear" w:color="auto" w:fill="FFFFFF"/>
        <w:spacing w:line="480" w:lineRule="atLeast"/>
        <w:ind w:firstLine="641"/>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十、社会保障和就业（类）行政事业单位离退休（款）机关事业单位职业年金缴费支出（项）：指部门实施养老保险制度由单位缴纳的职业年金的支出。</w:t>
      </w:r>
    </w:p>
    <w:p w14:paraId="2C2A8D79">
      <w:pPr>
        <w:shd w:val="clear" w:color="auto" w:fill="FFFFFF"/>
        <w:spacing w:line="480" w:lineRule="atLeast"/>
        <w:ind w:firstLine="641"/>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十一、社会保障和就业（类）企业改革补助（款）其他企业改革发展补助（项）：指财政用于企业改革发展方面的补助。</w:t>
      </w:r>
    </w:p>
    <w:p w14:paraId="63218C2E">
      <w:pPr>
        <w:shd w:val="clear" w:color="auto" w:fill="FFFFFF"/>
        <w:spacing w:line="480" w:lineRule="atLeast"/>
        <w:ind w:firstLine="641"/>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十二、社会保障和就业（类）抚恤（款）其他优抚支出（项）：指除上述项目外，其他用于优抚方面的支出。</w:t>
      </w:r>
    </w:p>
    <w:p w14:paraId="2A5CFCDD">
      <w:pPr>
        <w:shd w:val="clear" w:color="auto" w:fill="FFFFFF"/>
        <w:spacing w:line="480" w:lineRule="atLeast"/>
        <w:ind w:firstLine="641"/>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十三、社会保障和就业（类）其他社会保障和就业支出（款）其他社会保障和就业支出（项）：指除上述项目外，其他用于社会保障和就业方面的支出。</w:t>
      </w:r>
    </w:p>
    <w:p w14:paraId="0A0CC1AC">
      <w:pPr>
        <w:widowControl/>
        <w:shd w:val="clear" w:color="auto" w:fill="FFFFFF"/>
        <w:spacing w:line="480" w:lineRule="atLeast"/>
        <w:ind w:firstLine="64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十四、医疗卫生与计划生育（类）行政事业单位医疗（款）行政单位医疗（项）：指行政单位及参公管理事业单位用于缴纳单位基本医疗保险支出。</w:t>
      </w:r>
    </w:p>
    <w:p w14:paraId="35CFDCC6">
      <w:pPr>
        <w:widowControl/>
        <w:shd w:val="clear" w:color="auto" w:fill="FFFFFF"/>
        <w:spacing w:line="480" w:lineRule="atLeast"/>
        <w:ind w:firstLine="64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十五、医疗卫生与计划生育（类）行政事业单位医疗（款）事业单位医疗（项）：指事业单位用于缴纳单位基本医疗保险支出。</w:t>
      </w:r>
    </w:p>
    <w:p w14:paraId="5BA19E2F">
      <w:pPr>
        <w:widowControl/>
        <w:shd w:val="clear" w:color="auto" w:fill="FFFFFF"/>
        <w:spacing w:line="480" w:lineRule="atLeast"/>
        <w:ind w:firstLine="64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十六、城乡社区支出（类）国有土地使用权出让收入安排的支出（款）支付破产或改制企业职工安置费（项）：指用于支付破产或改制企业职工安置费的支出。</w:t>
      </w:r>
    </w:p>
    <w:p w14:paraId="6C33C86E">
      <w:pPr>
        <w:widowControl/>
        <w:shd w:val="clear" w:color="auto" w:fill="FFFFFF"/>
        <w:spacing w:line="480" w:lineRule="atLeast"/>
        <w:ind w:firstLine="64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w:t>
      </w:r>
      <w:r>
        <w:rPr>
          <w:rFonts w:hint="eastAsia" w:ascii="仿宋_GB2312" w:eastAsia="仿宋_GB2312" w:cs="仿宋"/>
          <w:color w:val="000000"/>
          <w:sz w:val="32"/>
          <w:szCs w:val="32"/>
        </w:rPr>
        <w:t>七</w:t>
      </w:r>
      <w:r>
        <w:rPr>
          <w:rFonts w:hint="eastAsia" w:ascii="仿宋_GB2312" w:eastAsia="仿宋_GB2312" w:cs="仿宋"/>
          <w:color w:val="000000"/>
          <w:kern w:val="0"/>
          <w:sz w:val="32"/>
          <w:szCs w:val="32"/>
        </w:rPr>
        <w:t>、城乡社区支出（类）国有土地使用权出让收入安排的支出（款）支付破产或改制企业职工安置费（项）：指其他国有土地使用权出让收取安排的支出。</w:t>
      </w:r>
    </w:p>
    <w:p w14:paraId="5366F746">
      <w:pPr>
        <w:widowControl/>
        <w:shd w:val="clear" w:color="auto" w:fill="FFFFFF"/>
        <w:spacing w:line="480" w:lineRule="atLeast"/>
        <w:ind w:firstLine="64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w:t>
      </w:r>
      <w:r>
        <w:rPr>
          <w:rFonts w:hint="eastAsia" w:ascii="仿宋_GB2312" w:eastAsia="仿宋_GB2312" w:cs="仿宋"/>
          <w:color w:val="000000"/>
          <w:sz w:val="32"/>
          <w:szCs w:val="32"/>
        </w:rPr>
        <w:t>八</w:t>
      </w:r>
      <w:r>
        <w:rPr>
          <w:rFonts w:hint="eastAsia" w:ascii="仿宋_GB2312" w:eastAsia="仿宋_GB2312" w:cs="仿宋"/>
          <w:color w:val="000000"/>
          <w:kern w:val="0"/>
          <w:sz w:val="32"/>
          <w:szCs w:val="32"/>
        </w:rPr>
        <w:t>、城乡社区支出（类）其他城乡社区支出（款）其他城乡社区支出（项）：指其他城乡社区的支出。</w:t>
      </w:r>
    </w:p>
    <w:p w14:paraId="5D74A470">
      <w:pPr>
        <w:widowControl/>
        <w:shd w:val="clear" w:color="auto" w:fill="FFFFFF"/>
        <w:spacing w:line="480" w:lineRule="atLeast"/>
        <w:ind w:firstLine="64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十九、住房保障（类）住房改革支出（款）住房公积金（项）：指由单位及其在职职工按规定缴存的住房公积金支出。</w:t>
      </w:r>
    </w:p>
    <w:p w14:paraId="5D01ECBC">
      <w:pPr>
        <w:pStyle w:val="12"/>
        <w:shd w:val="clear" w:color="auto" w:fill="FFFFFF"/>
        <w:spacing w:before="0" w:beforeAutospacing="0" w:after="0" w:afterAutospacing="0" w:line="315" w:lineRule="atLeast"/>
        <w:ind w:firstLine="579" w:firstLineChars="181"/>
        <w:rPr>
          <w:rFonts w:ascii="仿宋_GB2312" w:hAnsi="微软雅黑" w:eastAsia="仿宋_GB2312"/>
          <w:color w:val="000000"/>
          <w:sz w:val="32"/>
          <w:szCs w:val="32"/>
        </w:rPr>
      </w:pPr>
      <w:r>
        <w:rPr>
          <w:rFonts w:hint="eastAsia" w:ascii="仿宋_GB2312" w:hAnsi="微软雅黑" w:eastAsia="仿宋_GB2312"/>
          <w:color w:val="000000"/>
          <w:sz w:val="32"/>
          <w:szCs w:val="32"/>
        </w:rPr>
        <w:t>二十、灾害防治及应急管理支出（类）应急管理（款）行政运行（项）：反映行政单位的基本支出。</w:t>
      </w:r>
    </w:p>
    <w:p w14:paraId="7861B8ED">
      <w:pPr>
        <w:pStyle w:val="12"/>
        <w:shd w:val="clear" w:color="auto" w:fill="FFFFFF"/>
        <w:spacing w:before="0" w:beforeAutospacing="0" w:after="0" w:afterAutospacing="0" w:line="315" w:lineRule="atLeast"/>
        <w:ind w:firstLine="579" w:firstLineChars="181"/>
        <w:rPr>
          <w:rFonts w:ascii="仿宋_GB2312" w:hAnsi="微软雅黑" w:eastAsia="仿宋_GB2312"/>
          <w:color w:val="000000"/>
          <w:sz w:val="32"/>
          <w:szCs w:val="32"/>
        </w:rPr>
      </w:pPr>
      <w:r>
        <w:rPr>
          <w:rFonts w:hint="eastAsia" w:ascii="仿宋_GB2312" w:hAnsi="微软雅黑" w:eastAsia="仿宋_GB2312"/>
          <w:color w:val="000000"/>
          <w:sz w:val="32"/>
          <w:szCs w:val="32"/>
        </w:rPr>
        <w:t>二十一、灾害防治及应急管理支出（类）应急管理（款）行政运行（项）：反映行政单位的基本支出。</w:t>
      </w:r>
    </w:p>
    <w:p w14:paraId="2EE5387E">
      <w:pPr>
        <w:spacing w:line="60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olor w:val="000000"/>
          <w:sz w:val="32"/>
          <w:szCs w:val="32"/>
        </w:rPr>
        <w:t>二十二、</w:t>
      </w:r>
      <w:r>
        <w:rPr>
          <w:rFonts w:hint="eastAsia" w:ascii="仿宋_GB2312" w:hAnsi="微软雅黑" w:eastAsia="仿宋_GB2312" w:cs="宋体"/>
          <w:color w:val="000000"/>
          <w:kern w:val="0"/>
          <w:sz w:val="32"/>
          <w:szCs w:val="32"/>
        </w:rPr>
        <w:t>灾害防治及应急管理支出（类）应急管理事务（款）一般行政管理事务（项）：反映行政单位未单独设置项级科目的其他项目支出。</w:t>
      </w:r>
    </w:p>
    <w:p w14:paraId="7CC4FBBA">
      <w:pPr>
        <w:pStyle w:val="12"/>
        <w:shd w:val="clear" w:color="auto" w:fill="FFFFFF"/>
        <w:spacing w:before="0" w:beforeAutospacing="0" w:after="0" w:afterAutospacing="0" w:line="315" w:lineRule="atLeast"/>
        <w:ind w:firstLine="579" w:firstLineChars="181"/>
        <w:rPr>
          <w:rFonts w:ascii="仿宋_GB2312" w:hAnsi="微软雅黑" w:eastAsia="仿宋_GB2312"/>
          <w:color w:val="000000"/>
          <w:sz w:val="32"/>
          <w:szCs w:val="32"/>
        </w:rPr>
      </w:pPr>
      <w:r>
        <w:rPr>
          <w:rFonts w:hint="eastAsia" w:ascii="仿宋_GB2312" w:hAnsi="微软雅黑" w:eastAsia="仿宋_GB2312"/>
          <w:color w:val="000000"/>
          <w:sz w:val="32"/>
          <w:szCs w:val="32"/>
        </w:rPr>
        <w:t>二十三、灾害防治及应急管理支出（类）应急管理事务（款）安全监管（项）：反映安全生产监管方面的支出。</w:t>
      </w:r>
    </w:p>
    <w:p w14:paraId="048AE373">
      <w:pPr>
        <w:pStyle w:val="12"/>
        <w:shd w:val="clear" w:color="auto" w:fill="FFFFFF"/>
        <w:spacing w:before="0" w:beforeAutospacing="0" w:after="0" w:afterAutospacing="0" w:line="315" w:lineRule="atLeast"/>
        <w:ind w:firstLine="579" w:firstLineChars="181"/>
        <w:rPr>
          <w:rFonts w:ascii="仿宋_GB2312" w:hAnsi="微软雅黑" w:eastAsia="仿宋_GB2312"/>
          <w:color w:val="000000"/>
          <w:sz w:val="32"/>
          <w:szCs w:val="32"/>
        </w:rPr>
      </w:pPr>
      <w:r>
        <w:rPr>
          <w:rFonts w:hint="eastAsia" w:ascii="仿宋_GB2312" w:hAnsi="微软雅黑" w:eastAsia="仿宋_GB2312"/>
          <w:color w:val="000000"/>
          <w:sz w:val="32"/>
          <w:szCs w:val="32"/>
        </w:rPr>
        <w:t>二十四、灾害防治及应急管理支出（类）应急管理事务（款）应急管理（项）：反映应急管理方面的支出。</w:t>
      </w:r>
    </w:p>
    <w:p w14:paraId="24AF339F">
      <w:pPr>
        <w:spacing w:line="600" w:lineRule="exact"/>
        <w:ind w:firstLine="640" w:firstLineChars="200"/>
        <w:rPr>
          <w:rFonts w:ascii="仿宋_GB2312" w:eastAsia="仿宋_GB2312"/>
          <w:sz w:val="32"/>
          <w:szCs w:val="32"/>
        </w:rPr>
      </w:pPr>
      <w:r>
        <w:rPr>
          <w:rFonts w:hint="eastAsia" w:ascii="仿宋_GB2312" w:hAnsi="微软雅黑" w:eastAsia="仿宋_GB2312"/>
          <w:color w:val="000000"/>
          <w:sz w:val="32"/>
          <w:szCs w:val="32"/>
        </w:rPr>
        <w:t>二十五、</w:t>
      </w:r>
      <w:r>
        <w:rPr>
          <w:rFonts w:hint="eastAsia" w:ascii="仿宋_GB2312" w:eastAsia="仿宋_GB2312"/>
          <w:sz w:val="32"/>
          <w:szCs w:val="32"/>
        </w:rPr>
        <w:t>灾害防治及应急管理支出（类）应急管理事务（款）其他应急管理支出（项）：反映用于其他应急管理方面的支出。</w:t>
      </w:r>
    </w:p>
    <w:p w14:paraId="18548295">
      <w:pPr>
        <w:spacing w:line="60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olor w:val="000000"/>
          <w:sz w:val="32"/>
          <w:szCs w:val="32"/>
        </w:rPr>
        <w:t>二十六、灾害防治及应急管理支出（类）消防事务（款）一般行政管理事务（项）</w:t>
      </w:r>
      <w:r>
        <w:rPr>
          <w:rFonts w:hint="eastAsia" w:ascii="仿宋_GB2312" w:eastAsia="仿宋_GB2312"/>
          <w:sz w:val="32"/>
          <w:szCs w:val="32"/>
        </w:rPr>
        <w:t>：</w:t>
      </w:r>
      <w:r>
        <w:rPr>
          <w:rFonts w:hint="eastAsia" w:ascii="仿宋_GB2312" w:hAnsi="微软雅黑" w:eastAsia="仿宋_GB2312" w:cs="宋体"/>
          <w:color w:val="000000"/>
          <w:kern w:val="0"/>
          <w:sz w:val="32"/>
          <w:szCs w:val="32"/>
        </w:rPr>
        <w:t>反映行政单位未单独设置项级科目的其他项目支出。</w:t>
      </w:r>
    </w:p>
    <w:p w14:paraId="06BA0301">
      <w:pPr>
        <w:spacing w:line="60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olor w:val="000000"/>
          <w:sz w:val="32"/>
          <w:szCs w:val="32"/>
        </w:rPr>
        <w:t>二十七、灾害防治及应急管理支出（类）自然灾害防治（款）地质灾害防治（项）</w:t>
      </w:r>
      <w:r>
        <w:rPr>
          <w:rFonts w:hint="eastAsia" w:ascii="仿宋_GB2312" w:eastAsia="仿宋_GB2312"/>
          <w:sz w:val="32"/>
          <w:szCs w:val="32"/>
        </w:rPr>
        <w:t>：</w:t>
      </w:r>
      <w:r>
        <w:rPr>
          <w:rFonts w:hint="eastAsia" w:ascii="仿宋_GB2312" w:hAnsi="微软雅黑" w:eastAsia="仿宋_GB2312" w:cs="宋体"/>
          <w:color w:val="000000"/>
          <w:kern w:val="0"/>
          <w:sz w:val="32"/>
          <w:szCs w:val="32"/>
        </w:rPr>
        <w:t>反映防治地质灾害方面的支出。</w:t>
      </w:r>
    </w:p>
    <w:p w14:paraId="04B827EF">
      <w:pPr>
        <w:spacing w:line="60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olor w:val="000000"/>
          <w:sz w:val="32"/>
          <w:szCs w:val="32"/>
        </w:rPr>
        <w:t>二十八、灾害防治及应急管理支出（类）自然灾害救灾及恢复重建支出（款）中央自然灾害生活补助（项）</w:t>
      </w:r>
      <w:r>
        <w:rPr>
          <w:rFonts w:hint="eastAsia" w:ascii="仿宋_GB2312" w:eastAsia="仿宋_GB2312"/>
          <w:sz w:val="32"/>
          <w:szCs w:val="32"/>
        </w:rPr>
        <w:t>：</w:t>
      </w:r>
      <w:r>
        <w:rPr>
          <w:rFonts w:hint="eastAsia" w:ascii="仿宋_GB2312" w:hAnsi="微软雅黑" w:eastAsia="仿宋_GB2312" w:cs="宋体"/>
          <w:color w:val="000000"/>
          <w:kern w:val="0"/>
          <w:sz w:val="32"/>
          <w:szCs w:val="32"/>
        </w:rPr>
        <w:t>反映中央预算对遭受特大自然灾害地区的地方政府在安排受灾群众吃、穿、住和抢救、转移、安置、治病等经费发生困难时给与的专项补助，以及为抗御特大自然灾害而设立的中央级救灾物资储备资金。</w:t>
      </w:r>
    </w:p>
    <w:p w14:paraId="5007BBFF">
      <w:pPr>
        <w:spacing w:line="60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olor w:val="000000"/>
          <w:sz w:val="32"/>
          <w:szCs w:val="32"/>
        </w:rPr>
        <w:t>二十九、灾害防治及应急管理支出（类）自然灾害救灾及恢复重建支出（款）地方自然灾害生活补助（项）</w:t>
      </w:r>
      <w:r>
        <w:rPr>
          <w:rFonts w:hint="eastAsia" w:ascii="仿宋_GB2312" w:eastAsia="仿宋_GB2312"/>
          <w:sz w:val="32"/>
          <w:szCs w:val="32"/>
        </w:rPr>
        <w:t>：</w:t>
      </w:r>
      <w:r>
        <w:rPr>
          <w:rFonts w:hint="eastAsia" w:ascii="仿宋_GB2312" w:hAnsi="微软雅黑" w:eastAsia="仿宋_GB2312" w:cs="宋体"/>
          <w:color w:val="000000"/>
          <w:kern w:val="0"/>
          <w:sz w:val="32"/>
          <w:szCs w:val="32"/>
        </w:rPr>
        <w:t>反映地方预算安排的解决受灾群众吃、穿、住等困难的救济费和发生自然灾害时的抢救、转移、安置、治病等支出，以及为抵御自然灾害而设立的地方救灾储备物资采购资金。</w:t>
      </w:r>
    </w:p>
    <w:p w14:paraId="0D765A4E">
      <w:pPr>
        <w:pStyle w:val="12"/>
        <w:shd w:val="clear" w:color="auto" w:fill="FFFFFF"/>
        <w:spacing w:before="0" w:beforeAutospacing="0" w:after="0" w:afterAutospacing="0" w:line="315" w:lineRule="atLeast"/>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三十、灾害防治及应急管理支出（类）自然灾害救灾及恢复重建支出（款）地方自然灾害生活补助（项）</w:t>
      </w:r>
      <w:r>
        <w:rPr>
          <w:rFonts w:hint="eastAsia" w:ascii="仿宋_GB2312" w:eastAsia="仿宋_GB2312"/>
          <w:sz w:val="32"/>
          <w:szCs w:val="32"/>
        </w:rPr>
        <w:t>：反映用于自然灾害生活补助的支出</w:t>
      </w:r>
      <w:r>
        <w:rPr>
          <w:rFonts w:hint="eastAsia" w:ascii="仿宋_GB2312" w:hAnsi="微软雅黑" w:eastAsia="仿宋_GB2312"/>
          <w:color w:val="000000"/>
          <w:sz w:val="32"/>
          <w:szCs w:val="32"/>
        </w:rPr>
        <w:t>。</w:t>
      </w:r>
    </w:p>
    <w:p w14:paraId="204A087F">
      <w:pPr>
        <w:spacing w:line="6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（解释本部门决算报表中全部功能分类科目至项级，请参照《2020年政府收支分类科目》增减内容。）</w:t>
      </w:r>
    </w:p>
    <w:p w14:paraId="19EEC1A9">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三十一、基本支出：指为保障机构正常运转、完成日常工作任务而发生的人员支出和公用支出。</w:t>
      </w:r>
    </w:p>
    <w:p w14:paraId="6C21A1DC">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三十二、项目支出：指在基本支出之外为完成特定行政任务和事业发展目标所发生的支出。 </w:t>
      </w:r>
    </w:p>
    <w:p w14:paraId="162A228D">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三十三、经营支出：指事业单位在专业业务活动及其辅助活动之外开展非独立核算经营活动发生的支出。</w:t>
      </w:r>
    </w:p>
    <w:p w14:paraId="2BA9DD43">
      <w:pPr>
        <w:pStyle w:val="29"/>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十四、“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FEAE2F">
      <w:pPr>
        <w:pStyle w:val="29"/>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8F7E6B">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三十六、（名词解释部分请根据各部门实际列支情况罗列，并根据本部门职责职能增减名词解释内容。）</w:t>
      </w:r>
    </w:p>
    <w:p w14:paraId="75B484A0">
      <w:pPr>
        <w:spacing w:line="600" w:lineRule="exact"/>
        <w:jc w:val="center"/>
        <w:outlineLvl w:val="0"/>
        <w:rPr>
          <w:rStyle w:val="24"/>
          <w:rFonts w:ascii="方正小标宋_GBK" w:hAnsi="方正小标宋_GBK" w:eastAsia="方正小标宋_GBK" w:cs="方正小标宋_GBK"/>
          <w:b w:val="0"/>
          <w:bCs w:val="0"/>
          <w:color w:val="auto"/>
        </w:rPr>
      </w:pPr>
      <w:bookmarkStart w:id="57" w:name="_Toc15377226"/>
      <w:r>
        <w:rPr>
          <w:rFonts w:ascii="宋体"/>
          <w:b/>
          <w:color w:val="000000"/>
          <w:sz w:val="44"/>
          <w:szCs w:val="44"/>
        </w:rPr>
        <w:br w:type="page"/>
      </w:r>
      <w:bookmarkStart w:id="58" w:name="_Toc15396614"/>
      <w:r>
        <w:rPr>
          <w:rFonts w:hint="eastAsia" w:ascii="方正小标宋简体" w:hAnsi="方正小标宋简体" w:eastAsia="方正小标宋简体" w:cs="方正小标宋简体"/>
          <w:color w:val="auto"/>
          <w:sz w:val="44"/>
          <w:szCs w:val="44"/>
        </w:rPr>
        <w:t>第</w:t>
      </w:r>
      <w:r>
        <w:rPr>
          <w:rStyle w:val="24"/>
          <w:rFonts w:hint="eastAsia" w:ascii="方正小标宋简体" w:hAnsi="方正小标宋简体" w:eastAsia="方正小标宋简体" w:cs="方正小标宋简体"/>
          <w:b w:val="0"/>
          <w:bCs w:val="0"/>
          <w:color w:val="auto"/>
        </w:rPr>
        <w:t>四部分 附件</w:t>
      </w:r>
      <w:bookmarkEnd w:id="58"/>
    </w:p>
    <w:p w14:paraId="6687CF7B">
      <w:pPr>
        <w:spacing w:line="600" w:lineRule="exact"/>
        <w:jc w:val="left"/>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1</w:t>
      </w:r>
    </w:p>
    <w:p w14:paraId="72463D22">
      <w:pPr>
        <w:spacing w:line="600" w:lineRule="exact"/>
        <w:jc w:val="center"/>
        <w:rPr>
          <w:rFonts w:ascii="方正小标宋简体" w:hAnsi="方正小标宋简体" w:eastAsia="方正小标宋简体" w:cs="方正小标宋简体"/>
          <w:color w:val="auto"/>
          <w:sz w:val="44"/>
          <w:szCs w:val="44"/>
        </w:rPr>
      </w:pPr>
    </w:p>
    <w:p w14:paraId="156C4F31">
      <w:pPr>
        <w:spacing w:line="600" w:lineRule="exact"/>
        <w:jc w:val="center"/>
        <w:rPr>
          <w:rFonts w:ascii="方正小标宋简体" w:hAnsi="宋体" w:eastAsia="方正小标宋简体"/>
          <w:color w:val="auto"/>
          <w:kern w:val="0"/>
          <w:sz w:val="40"/>
          <w:szCs w:val="44"/>
          <w:lang w:val="zh-CN"/>
        </w:rPr>
      </w:pPr>
      <w:r>
        <w:rPr>
          <w:rFonts w:hint="eastAsia" w:ascii="方正小标宋简体" w:hAnsi="宋体" w:eastAsia="方正小标宋简体"/>
          <w:color w:val="auto"/>
          <w:kern w:val="0"/>
          <w:sz w:val="40"/>
          <w:szCs w:val="44"/>
        </w:rPr>
        <w:t>峨眉山市应急管理局</w:t>
      </w:r>
      <w:r>
        <w:rPr>
          <w:rFonts w:ascii="方正小标宋简体" w:hAnsi="宋体" w:eastAsia="方正小标宋简体"/>
          <w:color w:val="auto"/>
          <w:kern w:val="0"/>
          <w:sz w:val="40"/>
          <w:szCs w:val="44"/>
        </w:rPr>
        <w:t>2020</w:t>
      </w:r>
      <w:r>
        <w:rPr>
          <w:rFonts w:hint="eastAsia" w:ascii="方正小标宋简体" w:hAnsi="宋体" w:eastAsia="方正小标宋简体"/>
          <w:color w:val="auto"/>
          <w:kern w:val="0"/>
          <w:sz w:val="40"/>
          <w:szCs w:val="44"/>
        </w:rPr>
        <w:t>年部门</w:t>
      </w:r>
      <w:r>
        <w:rPr>
          <w:rFonts w:hint="eastAsia" w:ascii="方正小标宋简体" w:hAnsi="宋体" w:eastAsia="方正小标宋简体"/>
          <w:color w:val="auto"/>
          <w:kern w:val="0"/>
          <w:sz w:val="40"/>
          <w:szCs w:val="44"/>
          <w:lang w:val="zh-CN"/>
        </w:rPr>
        <w:t>整体支出绩效评价报告（汇总）</w:t>
      </w:r>
    </w:p>
    <w:p w14:paraId="062B0B2C">
      <w:pPr>
        <w:widowControl/>
        <w:spacing w:line="600" w:lineRule="exact"/>
        <w:ind w:firstLine="640" w:firstLineChars="200"/>
        <w:contextualSpacing/>
        <w:jc w:val="center"/>
        <w:rPr>
          <w:rFonts w:ascii="仿宋_GB2312" w:hAnsi="宋体" w:eastAsia="仿宋_GB2312"/>
          <w:color w:val="auto"/>
          <w:sz w:val="32"/>
          <w:szCs w:val="32"/>
          <w:shd w:val="clear" w:color="auto" w:fill="FFFFFF"/>
        </w:rPr>
      </w:pPr>
      <w:r>
        <w:rPr>
          <w:rFonts w:hint="eastAsia" w:ascii="仿宋_GB2312" w:hAnsi="宋体" w:eastAsia="仿宋_GB2312"/>
          <w:color w:val="auto"/>
          <w:sz w:val="32"/>
          <w:szCs w:val="32"/>
          <w:shd w:val="clear" w:color="auto" w:fill="FFFFFF"/>
        </w:rPr>
        <w:t>（报告范围包括机关和下属单位）</w:t>
      </w:r>
    </w:p>
    <w:p w14:paraId="29AC962A">
      <w:pPr>
        <w:widowControl/>
        <w:adjustRightInd w:val="0"/>
        <w:snapToGrid w:val="0"/>
        <w:spacing w:line="600" w:lineRule="exact"/>
        <w:ind w:firstLine="480" w:firstLineChars="200"/>
        <w:contextualSpacing/>
        <w:jc w:val="left"/>
        <w:rPr>
          <w:rFonts w:ascii="黑体" w:hAnsi="宋体" w:eastAsia="黑体" w:cs="宋体"/>
          <w:color w:val="auto"/>
          <w:kern w:val="0"/>
          <w:sz w:val="24"/>
          <w:szCs w:val="32"/>
          <w:shd w:val="clear" w:color="auto" w:fill="FFFFFF"/>
        </w:rPr>
      </w:pPr>
    </w:p>
    <w:p w14:paraId="2110866F">
      <w:pPr>
        <w:widowControl/>
        <w:adjustRightInd w:val="0"/>
        <w:snapToGrid w:val="0"/>
        <w:spacing w:line="60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14:paraId="596435BB">
      <w:pPr>
        <w:widowControl/>
        <w:adjustRightInd w:val="0"/>
        <w:snapToGrid w:val="0"/>
        <w:spacing w:line="600" w:lineRule="exact"/>
        <w:ind w:firstLine="640" w:firstLineChars="200"/>
        <w:contextualSpacing/>
        <w:jc w:val="left"/>
        <w:rPr>
          <w:rFonts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（一）机构组成</w:t>
      </w:r>
    </w:p>
    <w:p w14:paraId="0158AE66">
      <w:pPr>
        <w:spacing w:line="600" w:lineRule="exact"/>
        <w:ind w:firstLine="640" w:firstLineChars="200"/>
        <w:rPr>
          <w:rFonts w:ascii="仿宋_GB2312"/>
          <w:color w:val="FF0000"/>
        </w:rPr>
      </w:pPr>
      <w:r>
        <w:rPr>
          <w:rFonts w:hint="eastAsia" w:ascii="仿宋_GB2312" w:eastAsia="仿宋_GB2312"/>
          <w:sz w:val="32"/>
          <w:szCs w:val="32"/>
        </w:rPr>
        <w:t>峨眉山市应急管理局下属二级预算单位</w:t>
      </w:r>
      <w:r>
        <w:rPr>
          <w:rFonts w:ascii="仿宋_GB2312" w:eastAsia="仿宋_GB2312"/>
          <w:sz w:val="32"/>
          <w:szCs w:val="32"/>
        </w:rPr>
        <w:t>4</w:t>
      </w:r>
      <w:r>
        <w:rPr>
          <w:rFonts w:hint="eastAsia" w:ascii="仿宋_GB2312" w:eastAsia="仿宋_GB2312"/>
          <w:sz w:val="32"/>
          <w:szCs w:val="32"/>
        </w:rPr>
        <w:t>个，其中行政单位</w:t>
      </w:r>
      <w:r>
        <w:rPr>
          <w:rFonts w:ascii="仿宋_GB2312" w:eastAsia="仿宋_GB2312"/>
          <w:sz w:val="32"/>
          <w:szCs w:val="32"/>
        </w:rPr>
        <w:t>1</w:t>
      </w:r>
      <w:r>
        <w:rPr>
          <w:rFonts w:hint="eastAsia" w:ascii="仿宋_GB2312" w:eastAsia="仿宋_GB2312"/>
          <w:sz w:val="32"/>
          <w:szCs w:val="32"/>
        </w:rPr>
        <w:t>个，参照公务员法管理的事业单位1个，其他事业单位2个。主要包括：峨眉山市应急管理局、峨眉山市安全生产</w:t>
      </w:r>
      <w:r>
        <w:rPr>
          <w:rFonts w:hint="eastAsia" w:ascii="仿宋_GB2312"/>
          <w:sz w:val="32"/>
          <w:szCs w:val="32"/>
        </w:rPr>
        <w:t>监察</w:t>
      </w:r>
      <w:r>
        <w:rPr>
          <w:rFonts w:hint="eastAsia" w:ascii="仿宋_GB2312" w:eastAsia="仿宋_GB2312"/>
          <w:sz w:val="32"/>
          <w:szCs w:val="32"/>
        </w:rPr>
        <w:t>执法大队、峨眉山市安全</w:t>
      </w:r>
      <w:r>
        <w:rPr>
          <w:rFonts w:hint="eastAsia" w:ascii="仿宋_GB2312"/>
          <w:sz w:val="32"/>
          <w:szCs w:val="32"/>
        </w:rPr>
        <w:t>和</w:t>
      </w:r>
      <w:r>
        <w:rPr>
          <w:rFonts w:hint="eastAsia" w:ascii="仿宋_GB2312" w:eastAsia="仿宋_GB2312"/>
          <w:sz w:val="32"/>
          <w:szCs w:val="32"/>
        </w:rPr>
        <w:t>技术服务中心、峨眉山市应急救援服务中心。</w:t>
      </w:r>
    </w:p>
    <w:p w14:paraId="42F180BD">
      <w:pPr>
        <w:widowControl/>
        <w:adjustRightInd w:val="0"/>
        <w:snapToGrid w:val="0"/>
        <w:spacing w:line="600" w:lineRule="exact"/>
        <w:ind w:firstLine="640" w:firstLineChars="200"/>
        <w:contextualSpacing/>
        <w:jc w:val="left"/>
        <w:rPr>
          <w:rFonts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（二）机构职能</w:t>
      </w:r>
    </w:p>
    <w:p w14:paraId="3915AC7B">
      <w:pPr>
        <w:spacing w:line="600" w:lineRule="exact"/>
        <w:ind w:firstLine="640" w:firstLineChars="200"/>
        <w:rPr>
          <w:rFonts w:ascii="仿宋_GB2312"/>
          <w:szCs w:val="32"/>
        </w:rPr>
      </w:pPr>
      <w:r>
        <w:rPr>
          <w:rFonts w:ascii="仿宋_GB2312" w:eastAsia="仿宋_GB2312"/>
          <w:sz w:val="32"/>
          <w:szCs w:val="32"/>
        </w:rPr>
        <w:t>1.</w:t>
      </w:r>
      <w:r>
        <w:rPr>
          <w:rFonts w:hint="eastAsia" w:ascii="仿宋_GB2312" w:eastAsia="仿宋_GB2312"/>
          <w:sz w:val="32"/>
          <w:szCs w:val="32"/>
        </w:rPr>
        <w:t>负责应急管理工作，组织和指导各乡镇、</w:t>
      </w:r>
      <w:r>
        <w:rPr>
          <w:rFonts w:hint="eastAsia" w:ascii="仿宋_GB2312" w:eastAsia="仿宋_GB2312"/>
          <w:sz w:val="32"/>
        </w:rPr>
        <w:t>各部门应对安全生产类、自然</w:t>
      </w:r>
      <w:r>
        <w:rPr>
          <w:rFonts w:hint="eastAsia" w:ascii="仿宋_GB2312" w:eastAsia="仿宋_GB2312"/>
          <w:sz w:val="32"/>
          <w:szCs w:val="32"/>
        </w:rPr>
        <w:t>灾害类等突发事件和综合防灾减灾救灾工作。负责安全生产综合监督管理和工矿</w:t>
      </w:r>
      <w:r>
        <w:rPr>
          <w:rFonts w:hint="eastAsia" w:ascii="仿宋_GB2312" w:eastAsia="仿宋_GB2312"/>
          <w:sz w:val="32"/>
        </w:rPr>
        <w:t>商贸、煤炭行业安全生产监督管理工作。</w:t>
      </w:r>
    </w:p>
    <w:p w14:paraId="162FE5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rPr>
      </w:pPr>
      <w:r>
        <w:rPr>
          <w:rFonts w:ascii="仿宋_GB2312" w:eastAsia="仿宋_GB2312"/>
          <w:sz w:val="32"/>
        </w:rPr>
        <w:t>2.</w:t>
      </w:r>
      <w:r>
        <w:rPr>
          <w:rFonts w:hint="eastAsia" w:ascii="仿宋_GB2312" w:eastAsia="仿宋_GB2312"/>
          <w:sz w:val="32"/>
        </w:rPr>
        <w:t>拟订应急管理、安全生产等政策措施，组织编制应急体系建设、安全生产和综合防灾减灾规划，拟订相关规范性文件。</w:t>
      </w:r>
    </w:p>
    <w:p w14:paraId="186E3D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rPr>
      </w:pPr>
      <w:r>
        <w:rPr>
          <w:rFonts w:ascii="仿宋_GB2312" w:eastAsia="仿宋_GB2312"/>
          <w:sz w:val="32"/>
        </w:rPr>
        <w:t>3.</w:t>
      </w:r>
      <w:r>
        <w:rPr>
          <w:rFonts w:hint="eastAsia" w:ascii="仿宋_GB2312" w:eastAsia="仿宋_GB2312"/>
          <w:sz w:val="32"/>
        </w:rPr>
        <w:t>负责组织、指导应急预案体系建设，建立完善事故灾难和自然灾害分级应对制度，牵头组织编制综合应急防灾减灾预案和安全生产类、自然灾害类专项预案，负责应急预案衔接工作，组织开展预案演练，推动应急避难设施建设。</w:t>
      </w:r>
    </w:p>
    <w:p w14:paraId="1EDA072E">
      <w:pPr>
        <w:spacing w:line="560" w:lineRule="exact"/>
        <w:ind w:firstLine="640" w:firstLineChars="200"/>
        <w:jc w:val="left"/>
        <w:rPr>
          <w:rFonts w:ascii="仿宋_GB2312"/>
        </w:rPr>
      </w:pPr>
      <w:r>
        <w:rPr>
          <w:rFonts w:ascii="仿宋_GB2312" w:eastAsia="仿宋_GB2312"/>
          <w:sz w:val="32"/>
        </w:rPr>
        <w:t>4.</w:t>
      </w:r>
      <w:r>
        <w:rPr>
          <w:rFonts w:hint="eastAsia" w:ascii="仿宋_GB2312" w:eastAsia="仿宋_GB2312"/>
          <w:sz w:val="32"/>
        </w:rPr>
        <w:t>牵头建立统一的应急管理信息系统，负责信息传输渠道的规划和布局，建立监测预警和灾情报告制度，健全自然灾害信息资源获取和共享机制，依法统一发布灾情。</w:t>
      </w:r>
    </w:p>
    <w:p w14:paraId="17EF117F">
      <w:pPr>
        <w:spacing w:line="560" w:lineRule="exact"/>
        <w:ind w:firstLine="640" w:firstLineChars="200"/>
        <w:jc w:val="left"/>
        <w:rPr>
          <w:rFonts w:ascii="仿宋_GB2312"/>
        </w:rPr>
      </w:pPr>
      <w:r>
        <w:rPr>
          <w:rFonts w:ascii="仿宋_GB2312" w:eastAsia="仿宋_GB2312"/>
          <w:sz w:val="32"/>
        </w:rPr>
        <w:t>5.</w:t>
      </w:r>
      <w:r>
        <w:rPr>
          <w:rFonts w:hint="eastAsia" w:ascii="仿宋_GB2312" w:eastAsia="仿宋_GB2312"/>
          <w:sz w:val="32"/>
        </w:rPr>
        <w:t>负责组织、指导、协调安全生产类、自然灾害类等突发事件应急救援的有关工作，承担全市应对一般及以上灾害指挥部工作，综合研判突发事件发展态势并提出应对建议，负责组织一般及以上灾害应急处置工作。</w:t>
      </w:r>
    </w:p>
    <w:p w14:paraId="4FA7D4B3">
      <w:pPr>
        <w:widowControl/>
        <w:spacing w:line="560" w:lineRule="exact"/>
        <w:ind w:firstLine="640" w:firstLineChars="200"/>
        <w:jc w:val="left"/>
        <w:rPr>
          <w:rFonts w:ascii="仿宋_GB2312"/>
        </w:rPr>
      </w:pPr>
      <w:r>
        <w:rPr>
          <w:rFonts w:ascii="仿宋_GB2312" w:eastAsia="仿宋_GB2312"/>
          <w:sz w:val="32"/>
        </w:rPr>
        <w:t>6.</w:t>
      </w:r>
      <w:r>
        <w:rPr>
          <w:rFonts w:hint="eastAsia" w:ascii="仿宋_GB2312" w:eastAsia="仿宋_GB2312"/>
          <w:sz w:val="32"/>
        </w:rPr>
        <w:t>统一协调指挥各类应急队伍，建立应急协调联动机制，推进指挥平台对接，提请衔接解放军和武警部队参与应急救援工作。</w:t>
      </w:r>
    </w:p>
    <w:p w14:paraId="27530B9D">
      <w:pPr>
        <w:widowControl/>
        <w:spacing w:line="560" w:lineRule="exact"/>
        <w:ind w:firstLine="640" w:firstLineChars="200"/>
        <w:jc w:val="left"/>
        <w:rPr>
          <w:rFonts w:ascii="仿宋_GB2312"/>
        </w:rPr>
      </w:pPr>
      <w:r>
        <w:rPr>
          <w:rFonts w:ascii="仿宋_GB2312" w:eastAsia="仿宋_GB2312"/>
          <w:sz w:val="32"/>
        </w:rPr>
        <w:t>7.</w:t>
      </w:r>
      <w:r>
        <w:rPr>
          <w:rFonts w:hint="eastAsia" w:ascii="仿宋_GB2312" w:eastAsia="仿宋_GB2312"/>
          <w:sz w:val="32"/>
        </w:rPr>
        <w:t>按照国家相关政策和规定负责消防、森林火灾扑救、抗洪抢险、地震和地质灾害救援、生产安全事故救援等专业应急救援力量建设，依法依规统筹指导各类应急救援力量和保障能力建设。</w:t>
      </w:r>
    </w:p>
    <w:p w14:paraId="4CD41663">
      <w:pPr>
        <w:widowControl/>
        <w:spacing w:line="560" w:lineRule="exact"/>
        <w:ind w:firstLine="640" w:firstLineChars="200"/>
        <w:jc w:val="left"/>
        <w:rPr>
          <w:rFonts w:ascii="仿宋_GB2312"/>
        </w:rPr>
      </w:pPr>
      <w:r>
        <w:rPr>
          <w:rFonts w:ascii="仿宋_GB2312" w:eastAsia="仿宋_GB2312"/>
          <w:sz w:val="32"/>
        </w:rPr>
        <w:t>8.</w:t>
      </w:r>
      <w:r>
        <w:rPr>
          <w:rFonts w:hint="eastAsia" w:ascii="仿宋_GB2312" w:eastAsia="仿宋_GB2312"/>
          <w:sz w:val="32"/>
        </w:rPr>
        <w:t>按照上级相关政策和市委、市政府相关规定负责消防工作，组织和指导消防监督、火灾预防、火灾扑救等工作。</w:t>
      </w:r>
    </w:p>
    <w:p w14:paraId="458D82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rPr>
      </w:pPr>
      <w:r>
        <w:rPr>
          <w:rFonts w:ascii="仿宋_GB2312" w:eastAsia="仿宋_GB2312"/>
          <w:sz w:val="32"/>
        </w:rPr>
        <w:t>9.</w:t>
      </w:r>
      <w:r>
        <w:rPr>
          <w:rFonts w:hint="eastAsia" w:ascii="仿宋_GB2312" w:eastAsia="仿宋_GB2312"/>
          <w:sz w:val="32"/>
        </w:rPr>
        <w:t>负责自然灾害综合监测预警工作，承担自然灾害综合风险评估工作，指导协调森林火灾、水旱灾害、地震和地质灾害等防治工作。</w:t>
      </w:r>
    </w:p>
    <w:p w14:paraId="6FA00B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rPr>
      </w:pPr>
      <w:r>
        <w:rPr>
          <w:rFonts w:ascii="仿宋_GB2312" w:eastAsia="仿宋_GB2312"/>
          <w:sz w:val="32"/>
        </w:rPr>
        <w:t>10.</w:t>
      </w:r>
      <w:r>
        <w:rPr>
          <w:rFonts w:hint="eastAsia" w:ascii="仿宋_GB2312" w:eastAsia="仿宋_GB2312"/>
          <w:sz w:val="32"/>
        </w:rPr>
        <w:t>负责组织、协调灾害救助工作。组织和指导灾情核查、损失评估、救灾捐赠工作，管理、分配中央、省、乐山市下拨及市本级救灾款物并监督使用。</w:t>
      </w:r>
    </w:p>
    <w:p w14:paraId="50FB6CFA">
      <w:pPr>
        <w:spacing w:line="560" w:lineRule="exact"/>
        <w:ind w:firstLine="640" w:firstLineChars="200"/>
        <w:jc w:val="left"/>
        <w:rPr>
          <w:rFonts w:ascii="仿宋_GB2312"/>
        </w:rPr>
      </w:pPr>
      <w:r>
        <w:rPr>
          <w:rFonts w:ascii="仿宋_GB2312" w:eastAsia="仿宋_GB2312"/>
          <w:sz w:val="32"/>
        </w:rPr>
        <w:t>11.</w:t>
      </w:r>
      <w:r>
        <w:rPr>
          <w:rFonts w:hint="eastAsia" w:ascii="仿宋_GB2312" w:eastAsia="仿宋_GB2312"/>
          <w:sz w:val="32"/>
        </w:rPr>
        <w:t>依法承担市政府安全生产综合监督管理责任，指导协调、监督检查市级有关部门和各乡镇人民政府安全生产工作，组织开展安全生产巡查、考核工作。</w:t>
      </w:r>
    </w:p>
    <w:p w14:paraId="5132A0B7">
      <w:pPr>
        <w:spacing w:line="560" w:lineRule="exact"/>
        <w:ind w:firstLine="640" w:firstLineChars="200"/>
        <w:jc w:val="left"/>
        <w:rPr>
          <w:rFonts w:ascii="仿宋_GB2312"/>
        </w:rPr>
      </w:pPr>
      <w:r>
        <w:rPr>
          <w:rFonts w:ascii="仿宋_GB2312" w:eastAsia="仿宋_GB2312"/>
          <w:sz w:val="32"/>
        </w:rPr>
        <w:t>12.</w:t>
      </w:r>
      <w:r>
        <w:rPr>
          <w:rFonts w:hint="eastAsia" w:ascii="仿宋_GB2312" w:eastAsia="仿宋_GB2312"/>
          <w:sz w:val="32"/>
        </w:rPr>
        <w:t>按照分级、属地原则，依法监督检查工矿商贸生产经营单位贯彻执行安全生产法律法规情况及其安全生产条件和有关设备（特种设备除外）、材料、劳动防护用品的安全生产管理工作。协助上级应急管理部门做好中央和省、乐山市在我市工矿商贸企业安全生产监督管理工作。</w:t>
      </w:r>
    </w:p>
    <w:p w14:paraId="2AD2510D">
      <w:pPr>
        <w:widowControl/>
        <w:spacing w:line="560" w:lineRule="exact"/>
        <w:ind w:firstLine="640" w:firstLineChars="200"/>
        <w:jc w:val="left"/>
        <w:rPr>
          <w:rFonts w:ascii="仿宋_GB2312"/>
        </w:rPr>
      </w:pPr>
      <w:r>
        <w:rPr>
          <w:rFonts w:ascii="仿宋_GB2312" w:eastAsia="仿宋_GB2312"/>
          <w:sz w:val="32"/>
        </w:rPr>
        <w:t>13.</w:t>
      </w:r>
      <w:r>
        <w:rPr>
          <w:rFonts w:hint="eastAsia" w:ascii="仿宋_GB2312" w:eastAsia="仿宋_GB2312"/>
          <w:sz w:val="32"/>
        </w:rPr>
        <w:t>承担煤矿、非煤矿山、危险化学品、非药品类易制毒化学品和烟花爆竹等生产经营单位安全生产准入管理责任。负责危险化学品安全监督管理综合工作和烟花爆竹安全生产监督管理工作。</w:t>
      </w:r>
    </w:p>
    <w:p w14:paraId="5273B0C6">
      <w:pPr>
        <w:widowControl/>
        <w:spacing w:line="560" w:lineRule="exact"/>
        <w:ind w:firstLine="640" w:firstLineChars="200"/>
        <w:jc w:val="left"/>
        <w:rPr>
          <w:rFonts w:ascii="仿宋_GB2312"/>
        </w:rPr>
      </w:pPr>
      <w:r>
        <w:rPr>
          <w:rFonts w:ascii="仿宋_GB2312" w:eastAsia="仿宋_GB2312"/>
          <w:sz w:val="32"/>
        </w:rPr>
        <w:t>14.</w:t>
      </w:r>
      <w:r>
        <w:rPr>
          <w:rFonts w:hint="eastAsia" w:ascii="仿宋_GB2312" w:eastAsia="仿宋_GB2312"/>
          <w:sz w:val="32"/>
        </w:rPr>
        <w:t>拟订煤炭产业发展计划，组织实施准入条件、行业标准，按权限审核、上报煤炭项目并负责建设管理，负责煤炭生产协调和监督管理，负责煤炭行业结构调整与产业升级，负责煤矿瓦斯等级鉴定、瓦斯治理与利用，推进煤炭体制改革。</w:t>
      </w:r>
    </w:p>
    <w:p w14:paraId="54DB48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rPr>
      </w:pPr>
      <w:r>
        <w:rPr>
          <w:rFonts w:ascii="仿宋_GB2312" w:eastAsia="仿宋_GB2312"/>
          <w:sz w:val="32"/>
        </w:rPr>
        <w:t>15.</w:t>
      </w:r>
      <w:r>
        <w:rPr>
          <w:rFonts w:hint="eastAsia" w:ascii="仿宋_GB2312" w:eastAsia="仿宋_GB2312"/>
          <w:sz w:val="32"/>
        </w:rPr>
        <w:t>承担煤矿安全生产监督管理责任，依法监督检查煤矿企业贯彻执行安全生产法律法规情况及安全生产条件和有关设备（特种设备除外）、材料、劳动防护用品的安全生产管理工作。负责组织、指导煤矿企业安全专项整治、安全标准化、瓦斯和水害防治及相关安全科技发展工作，参与煤矿事故抢险救援和调查处理。</w:t>
      </w:r>
    </w:p>
    <w:p w14:paraId="1603BF5D">
      <w:pPr>
        <w:spacing w:line="560" w:lineRule="exact"/>
        <w:ind w:firstLine="640" w:firstLineChars="200"/>
        <w:jc w:val="left"/>
        <w:rPr>
          <w:rFonts w:ascii="仿宋_GB2312"/>
        </w:rPr>
      </w:pPr>
      <w:r>
        <w:rPr>
          <w:rFonts w:ascii="仿宋_GB2312" w:eastAsia="仿宋_GB2312"/>
          <w:sz w:val="32"/>
        </w:rPr>
        <w:t>16.</w:t>
      </w:r>
      <w:r>
        <w:rPr>
          <w:rFonts w:hint="eastAsia" w:ascii="仿宋_GB2312" w:eastAsia="仿宋_GB2312"/>
          <w:sz w:val="32"/>
        </w:rPr>
        <w:t>依法组织、指导安全生产事故调查处理，监督事故查处和责任追究落实情况。组织开展自然灾害类突发事件的调查评估工作。</w:t>
      </w:r>
    </w:p>
    <w:p w14:paraId="01A6AA2E">
      <w:pPr>
        <w:spacing w:line="560" w:lineRule="exact"/>
        <w:ind w:firstLine="640" w:firstLineChars="200"/>
        <w:jc w:val="left"/>
        <w:rPr>
          <w:rFonts w:ascii="仿宋_GB2312"/>
        </w:rPr>
      </w:pPr>
      <w:r>
        <w:rPr>
          <w:rFonts w:ascii="仿宋_GB2312" w:eastAsia="仿宋_GB2312"/>
          <w:sz w:val="32"/>
        </w:rPr>
        <w:t>17.</w:t>
      </w:r>
      <w:r>
        <w:rPr>
          <w:rFonts w:hint="eastAsia" w:ascii="仿宋_GB2312" w:eastAsia="仿宋_GB2312"/>
          <w:sz w:val="32"/>
        </w:rPr>
        <w:t>开展应急管理和安全生产方面的交流与合作，组织参与安全生产类、自然灾害类等突发事件的跨区域救援工作。</w:t>
      </w:r>
    </w:p>
    <w:p w14:paraId="3331FF5C">
      <w:pPr>
        <w:widowControl/>
        <w:spacing w:line="560" w:lineRule="exact"/>
        <w:ind w:firstLine="640" w:firstLineChars="200"/>
        <w:jc w:val="left"/>
        <w:rPr>
          <w:rFonts w:ascii="仿宋_GB2312"/>
        </w:rPr>
      </w:pPr>
      <w:r>
        <w:rPr>
          <w:rFonts w:ascii="仿宋_GB2312" w:eastAsia="仿宋_GB2312"/>
          <w:sz w:val="32"/>
        </w:rPr>
        <w:t>18.</w:t>
      </w:r>
      <w:r>
        <w:rPr>
          <w:rFonts w:hint="eastAsia" w:ascii="仿宋_GB2312" w:eastAsia="仿宋_GB2312"/>
          <w:sz w:val="32"/>
        </w:rPr>
        <w:t>制定应急物资储备和应急救援装备规划并组织实施，会同有关部门建立健全应急物资信息平台和调拨制度，在救灾时统一调度。</w:t>
      </w:r>
    </w:p>
    <w:p w14:paraId="24E52F63">
      <w:pPr>
        <w:widowControl/>
        <w:spacing w:line="560" w:lineRule="exact"/>
        <w:ind w:firstLine="640" w:firstLineChars="200"/>
        <w:jc w:val="left"/>
        <w:rPr>
          <w:rFonts w:ascii="仿宋_GB2312"/>
        </w:rPr>
      </w:pPr>
      <w:r>
        <w:rPr>
          <w:rFonts w:ascii="仿宋_GB2312" w:eastAsia="仿宋_GB2312"/>
          <w:sz w:val="32"/>
        </w:rPr>
        <w:t>19.</w:t>
      </w:r>
      <w:r>
        <w:rPr>
          <w:rFonts w:hint="eastAsia" w:ascii="仿宋_GB2312" w:eastAsia="仿宋_GB2312"/>
          <w:sz w:val="32"/>
        </w:rPr>
        <w:t>负责应急管理、安全生产宣传教育和培训工作，组织和指导应急管理、安全生产的科学技术研究、推广应用和信息化建设工作。</w:t>
      </w:r>
    </w:p>
    <w:p w14:paraId="70FC8CB8">
      <w:pPr>
        <w:widowControl/>
        <w:spacing w:line="560" w:lineRule="exact"/>
        <w:ind w:firstLine="640" w:firstLineChars="200"/>
        <w:jc w:val="left"/>
        <w:rPr>
          <w:rFonts w:ascii="仿宋_GB2312"/>
        </w:rPr>
      </w:pPr>
      <w:r>
        <w:rPr>
          <w:rFonts w:ascii="仿宋_GB2312" w:eastAsia="仿宋_GB2312"/>
          <w:sz w:val="32"/>
        </w:rPr>
        <w:t>20.</w:t>
      </w:r>
      <w:r>
        <w:rPr>
          <w:rFonts w:hint="eastAsia" w:ascii="仿宋_GB2312" w:eastAsia="仿宋_GB2312"/>
          <w:sz w:val="32"/>
        </w:rPr>
        <w:t>负责职责范围内的职业健康、生态环境保护、审批服务便民化工作。</w:t>
      </w:r>
    </w:p>
    <w:p w14:paraId="3E156B8B">
      <w:pPr>
        <w:widowControl/>
        <w:spacing w:line="560" w:lineRule="exact"/>
        <w:ind w:firstLine="640" w:firstLineChars="200"/>
        <w:jc w:val="left"/>
        <w:rPr>
          <w:rFonts w:ascii="仿宋_GB2312"/>
        </w:rPr>
      </w:pPr>
      <w:r>
        <w:rPr>
          <w:rFonts w:ascii="仿宋_GB2312" w:eastAsia="仿宋_GB2312"/>
          <w:sz w:val="32"/>
        </w:rPr>
        <w:t>21.</w:t>
      </w:r>
      <w:r>
        <w:rPr>
          <w:rFonts w:hint="eastAsia" w:ascii="仿宋_GB2312" w:eastAsia="仿宋_GB2312"/>
          <w:sz w:val="32"/>
        </w:rPr>
        <w:t>完成市委、市政府交办的其他工作。</w:t>
      </w:r>
    </w:p>
    <w:p w14:paraId="40757430">
      <w:pPr>
        <w:widowControl/>
        <w:adjustRightInd w:val="0"/>
        <w:snapToGrid w:val="0"/>
        <w:spacing w:line="600" w:lineRule="exact"/>
        <w:ind w:firstLine="640" w:firstLineChars="200"/>
        <w:contextualSpacing/>
        <w:jc w:val="left"/>
        <w:rPr>
          <w:rFonts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（三）人员概况</w:t>
      </w:r>
    </w:p>
    <w:p w14:paraId="7DC5990D">
      <w:pPr>
        <w:spacing w:line="580" w:lineRule="exact"/>
        <w:ind w:firstLine="640" w:firstLineChars="200"/>
        <w:rPr>
          <w:rFonts w:ascii="仿宋_GB2312" w:eastAsia="仿宋_GB2312"/>
          <w:sz w:val="32"/>
        </w:rPr>
      </w:pPr>
      <w:r>
        <w:rPr>
          <w:rFonts w:hint="eastAsia" w:ascii="仿宋_GB2312" w:eastAsia="仿宋_GB2312"/>
          <w:sz w:val="32"/>
        </w:rPr>
        <w:t>2020年峨眉山市应急管理局部门行政人员16名，机关工勤人员</w:t>
      </w:r>
      <w:r>
        <w:rPr>
          <w:rFonts w:hint="eastAsia" w:ascii="仿宋_GB2312" w:eastAsia="仿宋_GB2312"/>
          <w:sz w:val="32"/>
          <w:lang w:val="en-US" w:eastAsia="zh-CN"/>
        </w:rPr>
        <w:t>2</w:t>
      </w:r>
      <w:r>
        <w:rPr>
          <w:rFonts w:hint="eastAsia" w:ascii="仿宋_GB2312" w:eastAsia="仿宋_GB2312"/>
          <w:sz w:val="32"/>
        </w:rPr>
        <w:t>名，参照公务法管理</w:t>
      </w:r>
      <w:r>
        <w:rPr>
          <w:rFonts w:hint="eastAsia" w:ascii="仿宋_GB2312" w:eastAsia="仿宋_GB2312"/>
          <w:sz w:val="32"/>
          <w:lang w:val="en-US" w:eastAsia="zh-CN"/>
        </w:rPr>
        <w:t>8</w:t>
      </w:r>
      <w:r>
        <w:rPr>
          <w:rFonts w:hint="eastAsia" w:ascii="仿宋_GB2312" w:eastAsia="仿宋_GB2312"/>
          <w:sz w:val="32"/>
        </w:rPr>
        <w:t>名，事业人员8名。</w:t>
      </w:r>
    </w:p>
    <w:p w14:paraId="1BE2DAF3">
      <w:pPr>
        <w:widowControl/>
        <w:adjustRightInd w:val="0"/>
        <w:snapToGrid w:val="0"/>
        <w:spacing w:line="60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14:paraId="3C089F41">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（一）部门财政资金收入情况：先预算，再按财政要求进行资金申报。</w:t>
      </w:r>
    </w:p>
    <w:p w14:paraId="5E2BCF29">
      <w:pPr>
        <w:widowControl/>
        <w:adjustRightInd w:val="0"/>
        <w:snapToGrid w:val="0"/>
        <w:spacing w:line="600" w:lineRule="exact"/>
        <w:ind w:firstLine="640" w:firstLineChars="200"/>
        <w:contextualSpacing/>
        <w:jc w:val="left"/>
        <w:rPr>
          <w:rFonts w:ascii="楷体_GB2312" w:hAnsi="楷体_GB2312" w:eastAsia="楷体_GB2312" w:cs="楷体_GB2312"/>
          <w:color w:val="C00000"/>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（二）部门财政资金支出情况：严格按财政预算进行支出。</w:t>
      </w:r>
    </w:p>
    <w:p w14:paraId="3B2E62A3">
      <w:pPr>
        <w:widowControl/>
        <w:adjustRightInd w:val="0"/>
        <w:snapToGrid w:val="0"/>
        <w:spacing w:line="600" w:lineRule="exact"/>
        <w:ind w:firstLine="640" w:firstLineChars="200"/>
        <w:contextualSpacing/>
        <w:jc w:val="left"/>
        <w:rPr>
          <w:rFonts w:hint="eastAsia"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14:paraId="25A82550">
      <w:pPr>
        <w:widowControl/>
        <w:adjustRightInd w:val="0"/>
        <w:snapToGrid w:val="0"/>
        <w:spacing w:line="600" w:lineRule="exact"/>
        <w:ind w:firstLine="640" w:firstLineChars="200"/>
        <w:contextualSpacing/>
        <w:jc w:val="left"/>
        <w:rPr>
          <w:rFonts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（一）部门预算管理</w:t>
      </w:r>
    </w:p>
    <w:p w14:paraId="6D3F3338">
      <w:pPr>
        <w:widowControl/>
        <w:spacing w:line="560" w:lineRule="exact"/>
        <w:ind w:firstLine="640" w:firstLineChars="200"/>
        <w:jc w:val="left"/>
        <w:rPr>
          <w:rFonts w:ascii="仿宋_GB2312" w:hAnsi="宋体" w:cs="宋体"/>
          <w:color w:val="000000"/>
          <w:kern w:val="0"/>
          <w:szCs w:val="32"/>
          <w:shd w:val="clear" w:color="auto" w:fill="FFFFFF"/>
        </w:rPr>
      </w:pPr>
      <w:r>
        <w:rPr>
          <w:rFonts w:hint="eastAsia" w:ascii="仿宋_GB2312" w:eastAsia="仿宋_GB2312"/>
          <w:sz w:val="32"/>
          <w:lang w:val="zh-CN"/>
        </w:rPr>
        <w:t>为全面落实市委市政府各项工作，围绕</w:t>
      </w:r>
      <w:r>
        <w:rPr>
          <w:rFonts w:hint="eastAsia" w:ascii="仿宋_GB2312" w:eastAsia="仿宋_GB2312"/>
          <w:sz w:val="32"/>
        </w:rPr>
        <w:t>2020年工作重点和职能职责</w:t>
      </w:r>
      <w:r>
        <w:rPr>
          <w:rFonts w:hint="eastAsia" w:ascii="仿宋_GB2312" w:eastAsia="仿宋_GB2312"/>
          <w:sz w:val="32"/>
          <w:lang w:val="zh-CN"/>
        </w:rPr>
        <w:t>，我局</w:t>
      </w:r>
      <w:r>
        <w:rPr>
          <w:rFonts w:hint="eastAsia" w:ascii="仿宋_GB2312" w:eastAsia="仿宋_GB2312"/>
          <w:sz w:val="32"/>
        </w:rPr>
        <w:t>制定了部门整体绩效目标。包括安全生产监督检查、安全生产专家组运转、安全生产综合监管信息平台、煤矿关闭以奖代补、自然灾害生活救助等项目。2020年绩效目标完成率100%，</w:t>
      </w:r>
      <w:r>
        <w:rPr>
          <w:rFonts w:hint="eastAsia" w:ascii="仿宋_GB2312"/>
          <w:sz w:val="32"/>
        </w:rPr>
        <w:t>全年预算编制科学准确，按照工作目标和进度合理安排支出，</w:t>
      </w:r>
      <w:r>
        <w:rPr>
          <w:rFonts w:hint="eastAsia" w:ascii="仿宋_GB2312" w:eastAsia="仿宋_GB2312"/>
          <w:sz w:val="32"/>
        </w:rPr>
        <w:t>执行进度在6、9、11月</w:t>
      </w:r>
      <w:r>
        <w:rPr>
          <w:rFonts w:hint="eastAsia" w:ascii="仿宋_GB2312"/>
          <w:sz w:val="32"/>
        </w:rPr>
        <w:t>分别</w:t>
      </w:r>
      <w:r>
        <w:rPr>
          <w:rFonts w:hint="eastAsia" w:ascii="仿宋_GB2312" w:eastAsia="仿宋_GB2312"/>
          <w:sz w:val="32"/>
        </w:rPr>
        <w:t>达到</w:t>
      </w:r>
      <w:r>
        <w:rPr>
          <w:rFonts w:hint="eastAsia" w:ascii="仿宋_GB2312"/>
          <w:sz w:val="32"/>
        </w:rPr>
        <w:t>52</w:t>
      </w:r>
      <w:r>
        <w:rPr>
          <w:rFonts w:hint="eastAsia" w:ascii="仿宋_GB2312" w:eastAsia="仿宋_GB2312"/>
          <w:sz w:val="32"/>
        </w:rPr>
        <w:t>%、</w:t>
      </w:r>
      <w:r>
        <w:rPr>
          <w:rFonts w:hint="eastAsia" w:ascii="仿宋_GB2312"/>
          <w:sz w:val="32"/>
        </w:rPr>
        <w:t>77</w:t>
      </w:r>
      <w:r>
        <w:rPr>
          <w:rFonts w:hint="eastAsia" w:ascii="仿宋_GB2312" w:eastAsia="仿宋_GB2312"/>
          <w:sz w:val="32"/>
        </w:rPr>
        <w:t>%、</w:t>
      </w:r>
      <w:r>
        <w:rPr>
          <w:rFonts w:hint="eastAsia" w:ascii="仿宋_GB2312"/>
          <w:sz w:val="32"/>
        </w:rPr>
        <w:t>86</w:t>
      </w:r>
      <w:r>
        <w:rPr>
          <w:rFonts w:hint="eastAsia" w:ascii="仿宋_GB2312" w:eastAsia="仿宋_GB2312"/>
          <w:sz w:val="32"/>
        </w:rPr>
        <w:t>%</w:t>
      </w:r>
      <w:r>
        <w:rPr>
          <w:rFonts w:hint="eastAsia" w:ascii="仿宋_GB2312"/>
          <w:sz w:val="32"/>
        </w:rPr>
        <w:t>，12月预算执行度达到100%。全年预算执行未发生违规违纪。</w:t>
      </w:r>
    </w:p>
    <w:p w14:paraId="37017E01">
      <w:pPr>
        <w:widowControl/>
        <w:adjustRightInd w:val="0"/>
        <w:snapToGrid w:val="0"/>
        <w:spacing w:line="600" w:lineRule="exact"/>
        <w:ind w:firstLine="640" w:firstLineChars="200"/>
        <w:contextualSpacing/>
        <w:jc w:val="left"/>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（二）结果应用情况</w:t>
      </w:r>
    </w:p>
    <w:p w14:paraId="79E91897">
      <w:pPr>
        <w:widowControl/>
        <w:adjustRightInd w:val="0"/>
        <w:snapToGrid w:val="0"/>
        <w:spacing w:line="560" w:lineRule="exact"/>
        <w:ind w:firstLine="640" w:firstLineChars="200"/>
        <w:contextualSpacing/>
        <w:jc w:val="left"/>
        <w:rPr>
          <w:rFonts w:ascii="仿宋_GB2312" w:eastAsia="仿宋_GB2312"/>
          <w:color w:val="000000"/>
          <w:sz w:val="32"/>
        </w:rPr>
      </w:pPr>
      <w:r>
        <w:rPr>
          <w:rFonts w:hint="eastAsia" w:ascii="仿宋_GB2312" w:eastAsia="仿宋_GB2312"/>
          <w:color w:val="000000"/>
          <w:sz w:val="32"/>
        </w:rPr>
        <w:t>根据《部门整体支出绩效评价指标表》进行评价，评价得分为</w:t>
      </w:r>
      <w:r>
        <w:rPr>
          <w:rFonts w:hint="eastAsia" w:ascii="仿宋_GB2312"/>
          <w:color w:val="000000"/>
          <w:sz w:val="32"/>
        </w:rPr>
        <w:t>96.8</w:t>
      </w:r>
      <w:r>
        <w:rPr>
          <w:rFonts w:hint="eastAsia" w:ascii="仿宋_GB2312" w:eastAsia="仿宋_GB2312"/>
          <w:color w:val="000000"/>
          <w:sz w:val="32"/>
        </w:rPr>
        <w:t>分。绩效目标制定和自评情况按要求及时公开，对绩效评价结果中发现的问题及时整改。</w:t>
      </w:r>
    </w:p>
    <w:p w14:paraId="5C7D7E7E">
      <w:pPr>
        <w:widowControl/>
        <w:adjustRightInd w:val="0"/>
        <w:snapToGrid w:val="0"/>
        <w:spacing w:line="60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14:paraId="3511F327">
      <w:pPr>
        <w:widowControl/>
        <w:adjustRightInd w:val="0"/>
        <w:snapToGrid w:val="0"/>
        <w:spacing w:line="600" w:lineRule="exact"/>
        <w:ind w:firstLine="640" w:firstLineChars="200"/>
        <w:contextualSpacing/>
        <w:jc w:val="left"/>
        <w:rPr>
          <w:rFonts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（一）评价结论</w:t>
      </w:r>
    </w:p>
    <w:p w14:paraId="6F167AA3">
      <w:pPr>
        <w:widowControl/>
        <w:adjustRightInd w:val="0"/>
        <w:snapToGrid w:val="0"/>
        <w:spacing w:line="560" w:lineRule="exact"/>
        <w:ind w:firstLine="640" w:firstLineChars="200"/>
        <w:contextualSpacing/>
        <w:jc w:val="left"/>
        <w:rPr>
          <w:rFonts w:ascii="仿宋_GB2312" w:hAnsi="仿宋" w:cs="仿宋_GB2312"/>
          <w:color w:val="auto"/>
          <w:szCs w:val="32"/>
        </w:rPr>
      </w:pPr>
      <w:r>
        <w:rPr>
          <w:rFonts w:hint="eastAsia" w:ascii="仿宋_GB2312" w:eastAsia="仿宋_GB2312"/>
          <w:color w:val="auto"/>
          <w:sz w:val="32"/>
        </w:rPr>
        <w:t>2020年，我单位</w:t>
      </w:r>
      <w:r>
        <w:rPr>
          <w:rFonts w:hint="eastAsia" w:ascii="仿宋_GB2312" w:hAnsi="仿宋_GB2312" w:eastAsia="仿宋_GB2312" w:cs="仿宋_GB2312"/>
          <w:color w:val="auto"/>
          <w:sz w:val="32"/>
          <w:szCs w:val="32"/>
        </w:rPr>
        <w:t>财政资金按规定拨付运用，未发生违纪违规现象。部门项目预算执行率100%，资金利用率高，绩效目标完成率100%。全年部门预算绩效成果显著。</w:t>
      </w:r>
    </w:p>
    <w:p w14:paraId="4F79D318">
      <w:pPr>
        <w:widowControl/>
        <w:adjustRightInd w:val="0"/>
        <w:snapToGrid w:val="0"/>
        <w:spacing w:line="600" w:lineRule="exact"/>
        <w:ind w:firstLine="640" w:firstLineChars="200"/>
        <w:contextualSpacing/>
        <w:jc w:val="left"/>
        <w:rPr>
          <w:rFonts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（二）存在问题</w:t>
      </w:r>
    </w:p>
    <w:p w14:paraId="6C1CB7A7">
      <w:pPr>
        <w:widowControl/>
        <w:adjustRightInd w:val="0"/>
        <w:snapToGrid w:val="0"/>
        <w:spacing w:line="600" w:lineRule="exact"/>
        <w:ind w:firstLine="640" w:firstLineChars="200"/>
        <w:contextualSpacing/>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全市应急救援、安全生产监管等力量薄弱，人手不足，体系建设仍待完善，需要继续加大资金投入。</w:t>
      </w:r>
    </w:p>
    <w:p w14:paraId="0D228CEB">
      <w:pPr>
        <w:widowControl/>
        <w:adjustRightInd w:val="0"/>
        <w:snapToGrid w:val="0"/>
        <w:spacing w:line="600" w:lineRule="exact"/>
        <w:ind w:firstLine="640" w:firstLineChars="200"/>
        <w:contextualSpacing/>
        <w:jc w:val="left"/>
        <w:rPr>
          <w:rFonts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zh-CN"/>
        </w:rPr>
        <w:t>（三）改进建议</w:t>
      </w:r>
    </w:p>
    <w:p w14:paraId="4994A077">
      <w:pPr>
        <w:spacing w:line="600" w:lineRule="exact"/>
        <w:ind w:firstLine="640" w:firstLineChars="200"/>
        <w:rPr>
          <w:rFonts w:ascii="仿宋_GB2312" w:hAnsi="仿宋_GB2312" w:cs="仿宋_GB2312"/>
          <w:color w:val="auto"/>
          <w:szCs w:val="32"/>
        </w:rPr>
      </w:pPr>
      <w:r>
        <w:rPr>
          <w:rFonts w:hint="eastAsia" w:ascii="仿宋_GB2312" w:hAnsi="仿宋_GB2312" w:eastAsia="仿宋_GB2312" w:cs="仿宋_GB2312"/>
          <w:color w:val="auto"/>
          <w:sz w:val="32"/>
          <w:szCs w:val="32"/>
        </w:rPr>
        <w:t>在</w:t>
      </w:r>
      <w:r>
        <w:rPr>
          <w:rFonts w:ascii="仿宋_GB2312" w:hAnsi="仿宋_GB2312" w:eastAsia="仿宋_GB2312" w:cs="仿宋_GB2312"/>
          <w:color w:val="auto"/>
          <w:sz w:val="32"/>
          <w:szCs w:val="32"/>
        </w:rPr>
        <w:t>保证应急管理及安全生产专项资金应有规模的基础上，建立相应的资金增长机制。</w:t>
      </w:r>
    </w:p>
    <w:p w14:paraId="101E0588">
      <w:pPr>
        <w:spacing w:line="600" w:lineRule="exact"/>
        <w:ind w:firstLine="640" w:firstLineChars="200"/>
        <w:rPr>
          <w:rFonts w:ascii="仿宋_GB2312" w:hAnsi="仿宋_GB2312" w:eastAsia="仿宋_GB2312" w:cs="仿宋_GB2312"/>
          <w:sz w:val="32"/>
          <w:szCs w:val="32"/>
        </w:rPr>
      </w:pPr>
    </w:p>
    <w:p w14:paraId="1BE0C367">
      <w:pPr>
        <w:spacing w:line="600" w:lineRule="exact"/>
        <w:ind w:firstLine="640" w:firstLineChars="200"/>
        <w:rPr>
          <w:rFonts w:ascii="仿宋_GB2312" w:hAnsi="仿宋_GB2312" w:eastAsia="仿宋_GB2312" w:cs="仿宋_GB2312"/>
          <w:sz w:val="32"/>
          <w:szCs w:val="32"/>
        </w:rPr>
      </w:pPr>
    </w:p>
    <w:p w14:paraId="1E4E3844">
      <w:pPr>
        <w:spacing w:line="600" w:lineRule="exact"/>
        <w:ind w:firstLine="640" w:firstLineChars="200"/>
        <w:rPr>
          <w:rFonts w:ascii="仿宋_GB2312" w:hAnsi="仿宋_GB2312" w:eastAsia="仿宋_GB2312" w:cs="仿宋_GB2312"/>
          <w:sz w:val="32"/>
          <w:szCs w:val="32"/>
        </w:rPr>
      </w:pPr>
    </w:p>
    <w:p w14:paraId="1EFB4218">
      <w:pPr>
        <w:spacing w:line="600" w:lineRule="exact"/>
        <w:ind w:firstLine="640" w:firstLineChars="200"/>
        <w:rPr>
          <w:rFonts w:ascii="仿宋_GB2312" w:hAnsi="仿宋_GB2312" w:eastAsia="仿宋_GB2312" w:cs="仿宋_GB2312"/>
          <w:sz w:val="32"/>
          <w:szCs w:val="32"/>
        </w:rPr>
      </w:pPr>
    </w:p>
    <w:p w14:paraId="2B7F0745">
      <w:pPr>
        <w:spacing w:line="600" w:lineRule="exact"/>
        <w:ind w:firstLine="640" w:firstLineChars="200"/>
        <w:rPr>
          <w:rFonts w:ascii="仿宋_GB2312" w:hAnsi="仿宋_GB2312" w:eastAsia="仿宋_GB2312" w:cs="仿宋_GB2312"/>
          <w:sz w:val="32"/>
          <w:szCs w:val="32"/>
        </w:rPr>
      </w:pPr>
    </w:p>
    <w:p w14:paraId="22F475C0">
      <w:pPr>
        <w:spacing w:line="600" w:lineRule="exact"/>
        <w:ind w:firstLine="640" w:firstLineChars="200"/>
        <w:rPr>
          <w:rFonts w:ascii="仿宋_GB2312" w:hAnsi="仿宋_GB2312" w:eastAsia="仿宋_GB2312" w:cs="仿宋_GB2312"/>
          <w:sz w:val="32"/>
          <w:szCs w:val="32"/>
        </w:rPr>
      </w:pPr>
    </w:p>
    <w:p w14:paraId="314534DA">
      <w:pPr>
        <w:spacing w:line="600" w:lineRule="exact"/>
        <w:ind w:firstLine="640" w:firstLineChars="200"/>
        <w:rPr>
          <w:rFonts w:ascii="仿宋_GB2312" w:hAnsi="仿宋_GB2312" w:eastAsia="仿宋_GB2312" w:cs="仿宋_GB2312"/>
          <w:sz w:val="32"/>
          <w:szCs w:val="32"/>
        </w:rPr>
      </w:pPr>
    </w:p>
    <w:p w14:paraId="0A460045">
      <w:pPr>
        <w:spacing w:line="600" w:lineRule="exact"/>
        <w:ind w:firstLine="640" w:firstLineChars="200"/>
        <w:rPr>
          <w:rFonts w:ascii="仿宋_GB2312" w:hAnsi="仿宋_GB2312" w:eastAsia="仿宋_GB2312" w:cs="仿宋_GB2312"/>
          <w:sz w:val="32"/>
          <w:szCs w:val="32"/>
        </w:rPr>
      </w:pPr>
    </w:p>
    <w:p w14:paraId="23C9E093">
      <w:pPr>
        <w:spacing w:line="600" w:lineRule="exact"/>
        <w:ind w:firstLine="640" w:firstLineChars="200"/>
        <w:rPr>
          <w:rFonts w:ascii="仿宋_GB2312" w:hAnsi="仿宋_GB2312" w:eastAsia="仿宋_GB2312" w:cs="仿宋_GB2312"/>
          <w:sz w:val="32"/>
          <w:szCs w:val="32"/>
        </w:rPr>
      </w:pPr>
    </w:p>
    <w:p w14:paraId="2E777130">
      <w:pPr>
        <w:spacing w:line="600" w:lineRule="exact"/>
        <w:ind w:firstLine="640" w:firstLineChars="200"/>
        <w:rPr>
          <w:rFonts w:ascii="仿宋_GB2312" w:hAnsi="仿宋_GB2312" w:eastAsia="仿宋_GB2312" w:cs="仿宋_GB2312"/>
          <w:sz w:val="32"/>
          <w:szCs w:val="32"/>
        </w:rPr>
      </w:pPr>
    </w:p>
    <w:p w14:paraId="233F3162">
      <w:pPr>
        <w:spacing w:line="600" w:lineRule="exact"/>
        <w:ind w:firstLine="640" w:firstLineChars="200"/>
        <w:rPr>
          <w:rFonts w:ascii="仿宋_GB2312" w:hAnsi="仿宋_GB2312" w:eastAsia="仿宋_GB2312" w:cs="仿宋_GB2312"/>
          <w:sz w:val="32"/>
          <w:szCs w:val="32"/>
        </w:rPr>
      </w:pPr>
    </w:p>
    <w:p w14:paraId="6D0CC5AB">
      <w:pPr>
        <w:spacing w:line="600" w:lineRule="exact"/>
        <w:ind w:firstLine="640" w:firstLineChars="200"/>
        <w:rPr>
          <w:rFonts w:ascii="仿宋_GB2312" w:hAnsi="仿宋_GB2312" w:eastAsia="仿宋_GB2312" w:cs="仿宋_GB2312"/>
          <w:sz w:val="32"/>
          <w:szCs w:val="32"/>
        </w:rPr>
      </w:pPr>
    </w:p>
    <w:p w14:paraId="1475D65D">
      <w:pPr>
        <w:spacing w:line="600" w:lineRule="exact"/>
        <w:ind w:firstLine="640" w:firstLineChars="200"/>
        <w:rPr>
          <w:rFonts w:ascii="仿宋_GB2312" w:hAnsi="仿宋_GB2312" w:eastAsia="仿宋_GB2312" w:cs="仿宋_GB2312"/>
          <w:sz w:val="32"/>
          <w:szCs w:val="32"/>
        </w:rPr>
      </w:pPr>
    </w:p>
    <w:p w14:paraId="55A06A5B">
      <w:pPr>
        <w:spacing w:line="600" w:lineRule="exact"/>
        <w:ind w:firstLine="640" w:firstLineChars="200"/>
        <w:rPr>
          <w:rFonts w:ascii="仿宋_GB2312" w:hAnsi="仿宋_GB2312" w:eastAsia="仿宋_GB2312" w:cs="仿宋_GB2312"/>
          <w:sz w:val="32"/>
          <w:szCs w:val="32"/>
        </w:rPr>
      </w:pPr>
    </w:p>
    <w:p w14:paraId="406E2939">
      <w:pPr>
        <w:spacing w:line="600" w:lineRule="exact"/>
        <w:ind w:firstLine="640" w:firstLineChars="200"/>
        <w:rPr>
          <w:rFonts w:ascii="仿宋_GB2312" w:hAnsi="仿宋_GB2312" w:eastAsia="仿宋_GB2312" w:cs="仿宋_GB2312"/>
          <w:sz w:val="32"/>
          <w:szCs w:val="32"/>
        </w:rPr>
      </w:pPr>
    </w:p>
    <w:p w14:paraId="24C5A526">
      <w:pPr>
        <w:spacing w:line="600" w:lineRule="exact"/>
        <w:ind w:firstLine="640" w:firstLineChars="200"/>
        <w:rPr>
          <w:rFonts w:ascii="仿宋_GB2312" w:hAnsi="仿宋_GB2312" w:eastAsia="仿宋_GB2312" w:cs="仿宋_GB2312"/>
          <w:sz w:val="32"/>
          <w:szCs w:val="32"/>
        </w:rPr>
      </w:pPr>
    </w:p>
    <w:p w14:paraId="46F2BFE6">
      <w:pPr>
        <w:spacing w:line="600" w:lineRule="exact"/>
        <w:ind w:firstLine="640" w:firstLineChars="200"/>
        <w:rPr>
          <w:rFonts w:ascii="仿宋_GB2312" w:hAnsi="仿宋_GB2312" w:eastAsia="仿宋_GB2312" w:cs="仿宋_GB2312"/>
          <w:sz w:val="32"/>
          <w:szCs w:val="32"/>
        </w:rPr>
      </w:pPr>
    </w:p>
    <w:p w14:paraId="62316D54">
      <w:pPr>
        <w:spacing w:line="600" w:lineRule="exact"/>
        <w:ind w:firstLine="640" w:firstLineChars="200"/>
        <w:rPr>
          <w:rFonts w:ascii="仿宋_GB2312" w:hAnsi="仿宋_GB2312" w:eastAsia="仿宋_GB2312" w:cs="仿宋_GB2312"/>
          <w:sz w:val="32"/>
          <w:szCs w:val="32"/>
        </w:rPr>
      </w:pPr>
    </w:p>
    <w:p w14:paraId="3126E25F">
      <w:pPr>
        <w:spacing w:line="600" w:lineRule="exact"/>
        <w:rPr>
          <w:rFonts w:ascii="黑体" w:hAnsi="黑体" w:eastAsia="黑体" w:cs="黑体"/>
          <w:color w:val="C00000"/>
          <w:sz w:val="32"/>
          <w:szCs w:val="32"/>
        </w:rPr>
      </w:pPr>
    </w:p>
    <w:p w14:paraId="2A5EA907">
      <w:pPr>
        <w:spacing w:line="600" w:lineRule="exact"/>
        <w:rPr>
          <w:rFonts w:ascii="仿宋_GB2312" w:hAnsi="仿宋_GB2312" w:eastAsia="仿宋_GB2312" w:cs="仿宋_GB2312"/>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085AC099">
      <w:pPr>
        <w:spacing w:line="600" w:lineRule="exact"/>
        <w:ind w:firstLine="640" w:firstLineChars="200"/>
        <w:rPr>
          <w:rFonts w:ascii="仿宋_GB2312" w:hAnsi="仿宋_GB2312" w:eastAsia="仿宋_GB2312" w:cs="仿宋_GB2312"/>
          <w:color w:val="C00000"/>
          <w:sz w:val="32"/>
          <w:szCs w:val="32"/>
        </w:rPr>
      </w:pPr>
    </w:p>
    <w:p w14:paraId="1BF6BFB9">
      <w:pPr>
        <w:spacing w:line="600" w:lineRule="exact"/>
        <w:jc w:val="center"/>
        <w:rPr>
          <w:rFonts w:hint="eastAsia" w:ascii="方正小标宋简体" w:hAnsi="方正小标宋简体" w:eastAsia="方正小标宋简体" w:cs="方正小标宋简体"/>
          <w:color w:val="auto"/>
          <w:kern w:val="0"/>
          <w:sz w:val="44"/>
          <w:szCs w:val="44"/>
          <w:lang w:val="zh-CN"/>
        </w:rPr>
      </w:pPr>
      <w:r>
        <w:rPr>
          <w:rFonts w:hint="eastAsia" w:ascii="方正小标宋简体" w:hAnsi="方正小标宋简体" w:eastAsia="方正小标宋简体" w:cs="方正小标宋简体"/>
          <w:color w:val="auto"/>
          <w:kern w:val="0"/>
          <w:sz w:val="44"/>
          <w:szCs w:val="44"/>
        </w:rPr>
        <w:t>XXX</w:t>
      </w:r>
      <w:r>
        <w:rPr>
          <w:rFonts w:hint="eastAsia" w:ascii="方正小标宋简体" w:hAnsi="方正小标宋简体" w:eastAsia="方正小标宋简体" w:cs="方正小标宋简体"/>
          <w:color w:val="auto"/>
          <w:kern w:val="0"/>
          <w:sz w:val="44"/>
          <w:szCs w:val="44"/>
          <w:lang w:val="zh-CN"/>
        </w:rPr>
        <w:t>项目</w:t>
      </w:r>
      <w:r>
        <w:rPr>
          <w:rFonts w:hint="eastAsia" w:ascii="方正小标宋简体" w:hAnsi="方正小标宋简体" w:eastAsia="方正小标宋简体" w:cs="方正小标宋简体"/>
          <w:color w:val="auto"/>
          <w:kern w:val="0"/>
          <w:sz w:val="44"/>
          <w:szCs w:val="44"/>
        </w:rPr>
        <w:t>2020年</w:t>
      </w:r>
      <w:r>
        <w:rPr>
          <w:rFonts w:hint="eastAsia" w:ascii="方正小标宋简体" w:hAnsi="方正小标宋简体" w:eastAsia="方正小标宋简体" w:cs="方正小标宋简体"/>
          <w:color w:val="auto"/>
          <w:kern w:val="0"/>
          <w:sz w:val="44"/>
          <w:szCs w:val="44"/>
          <w:lang w:val="zh-CN"/>
        </w:rPr>
        <w:t>绩效评价报告</w:t>
      </w:r>
    </w:p>
    <w:p w14:paraId="43DE64F3">
      <w:pPr>
        <w:spacing w:line="600" w:lineRule="exact"/>
        <w:rPr>
          <w:rFonts w:hint="eastAsia" w:ascii="黑体" w:hAnsi="黑体" w:eastAsia="黑体" w:cs="黑体"/>
          <w:color w:val="C00000"/>
          <w:sz w:val="32"/>
          <w:szCs w:val="32"/>
          <w:lang w:val="zh-CN"/>
        </w:rPr>
      </w:pPr>
    </w:p>
    <w:p w14:paraId="25D21168">
      <w:pPr>
        <w:adjustRightInd w:val="0"/>
        <w:snapToGrid w:val="0"/>
        <w:spacing w:line="60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14:paraId="3ABC5F83">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（一）项目基本情况</w:t>
      </w:r>
    </w:p>
    <w:p w14:paraId="30BFDAC5">
      <w:pPr>
        <w:adjustRightInd w:val="0"/>
        <w:snapToGrid w:val="0"/>
        <w:spacing w:line="600" w:lineRule="exact"/>
        <w:ind w:firstLine="720"/>
        <w:rPr>
          <w:rFonts w:ascii="仿宋_GB2312" w:hAnsi="宋体" w:eastAsia="仿宋_GB2312"/>
          <w:color w:val="auto"/>
          <w:sz w:val="32"/>
          <w:szCs w:val="32"/>
          <w:lang w:val="zh-CN"/>
        </w:rPr>
      </w:pPr>
      <w:r>
        <w:rPr>
          <w:rFonts w:ascii="仿宋_GB2312" w:hAnsi="宋体" w:eastAsia="仿宋_GB2312"/>
          <w:color w:val="auto"/>
          <w:sz w:val="32"/>
          <w:szCs w:val="32"/>
          <w:lang w:val="zh-CN"/>
        </w:rPr>
        <w:t>1</w:t>
      </w:r>
      <w:r>
        <w:rPr>
          <w:rFonts w:hint="eastAsia" w:ascii="仿宋_GB2312" w:hAnsi="宋体" w:eastAsia="仿宋_GB2312"/>
          <w:color w:val="auto"/>
          <w:sz w:val="32"/>
          <w:szCs w:val="32"/>
          <w:lang w:val="zh-CN"/>
        </w:rPr>
        <w:t>．说明项目主管部门（单位）在该项目管理中的职能。</w:t>
      </w:r>
    </w:p>
    <w:p w14:paraId="25E972CD">
      <w:pPr>
        <w:adjustRightInd w:val="0"/>
        <w:snapToGrid w:val="0"/>
        <w:spacing w:line="600" w:lineRule="exact"/>
        <w:ind w:firstLine="720"/>
        <w:rPr>
          <w:rFonts w:ascii="仿宋_GB2312" w:hAnsi="宋体" w:eastAsia="仿宋_GB2312"/>
          <w:color w:val="auto"/>
          <w:sz w:val="32"/>
          <w:szCs w:val="32"/>
          <w:lang w:val="zh-CN"/>
        </w:rPr>
      </w:pPr>
      <w:r>
        <w:rPr>
          <w:rFonts w:ascii="仿宋_GB2312" w:hAnsi="宋体" w:eastAsia="仿宋_GB2312"/>
          <w:color w:val="auto"/>
          <w:sz w:val="32"/>
          <w:szCs w:val="32"/>
          <w:lang w:val="zh-CN"/>
        </w:rPr>
        <w:t>2</w:t>
      </w:r>
      <w:r>
        <w:rPr>
          <w:rFonts w:hint="eastAsia" w:ascii="仿宋_GB2312" w:hAnsi="宋体" w:eastAsia="仿宋_GB2312"/>
          <w:color w:val="auto"/>
          <w:sz w:val="32"/>
          <w:szCs w:val="32"/>
          <w:lang w:val="zh-CN"/>
        </w:rPr>
        <w:t>．项目立项、资金申报的依据。</w:t>
      </w:r>
    </w:p>
    <w:p w14:paraId="65BD67D8">
      <w:pPr>
        <w:adjustRightInd w:val="0"/>
        <w:snapToGrid w:val="0"/>
        <w:spacing w:line="600" w:lineRule="exact"/>
        <w:ind w:firstLine="720"/>
        <w:rPr>
          <w:rFonts w:ascii="仿宋_GB2312" w:hAnsi="宋体" w:eastAsia="仿宋_GB2312"/>
          <w:color w:val="auto"/>
          <w:sz w:val="32"/>
          <w:szCs w:val="32"/>
          <w:lang w:val="zh-CN"/>
        </w:rPr>
      </w:pPr>
      <w:r>
        <w:rPr>
          <w:rFonts w:ascii="仿宋_GB2312" w:hAnsi="宋体" w:eastAsia="仿宋_GB2312"/>
          <w:color w:val="auto"/>
          <w:sz w:val="32"/>
          <w:szCs w:val="32"/>
          <w:lang w:val="zh-CN"/>
        </w:rPr>
        <w:t>3</w:t>
      </w:r>
      <w:r>
        <w:rPr>
          <w:rFonts w:hint="eastAsia" w:ascii="仿宋_GB2312" w:hAnsi="宋体" w:eastAsia="仿宋_GB2312"/>
          <w:color w:val="auto"/>
          <w:sz w:val="32"/>
          <w:szCs w:val="32"/>
          <w:lang w:val="zh-CN"/>
        </w:rPr>
        <w:t>．资金管理办法制定情况，资金支持具体项目的条件、范围与支持方式概况。</w:t>
      </w:r>
    </w:p>
    <w:p w14:paraId="235574F4">
      <w:pPr>
        <w:adjustRightInd w:val="0"/>
        <w:snapToGrid w:val="0"/>
        <w:spacing w:line="600" w:lineRule="exact"/>
        <w:ind w:firstLine="720"/>
        <w:rPr>
          <w:rFonts w:ascii="仿宋_GB2312" w:hAnsi="宋体" w:eastAsia="仿宋_GB2312"/>
          <w:color w:val="auto"/>
          <w:sz w:val="32"/>
          <w:szCs w:val="32"/>
          <w:lang w:val="zh-CN"/>
        </w:rPr>
      </w:pPr>
      <w:r>
        <w:rPr>
          <w:rFonts w:ascii="仿宋_GB2312" w:hAnsi="宋体" w:eastAsia="仿宋_GB2312"/>
          <w:color w:val="auto"/>
          <w:sz w:val="32"/>
          <w:szCs w:val="32"/>
          <w:lang w:val="zh-CN"/>
        </w:rPr>
        <w:t>4</w:t>
      </w:r>
      <w:r>
        <w:rPr>
          <w:rFonts w:hint="eastAsia" w:ascii="仿宋_GB2312" w:hAnsi="宋体" w:eastAsia="仿宋_GB2312"/>
          <w:color w:val="auto"/>
          <w:sz w:val="32"/>
          <w:szCs w:val="32"/>
          <w:lang w:val="zh-CN"/>
        </w:rPr>
        <w:t>．资金分配的原则及考虑因素。</w:t>
      </w:r>
    </w:p>
    <w:p w14:paraId="0DF06854">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（二）项目绩效目标</w:t>
      </w:r>
    </w:p>
    <w:p w14:paraId="580C064C">
      <w:pPr>
        <w:adjustRightInd w:val="0"/>
        <w:snapToGrid w:val="0"/>
        <w:spacing w:line="600" w:lineRule="exact"/>
        <w:ind w:firstLine="720"/>
        <w:rPr>
          <w:rFonts w:ascii="仿宋_GB2312" w:hAnsi="宋体" w:eastAsia="仿宋_GB2312"/>
          <w:color w:val="auto"/>
          <w:sz w:val="32"/>
          <w:szCs w:val="32"/>
          <w:lang w:val="zh-CN"/>
        </w:rPr>
      </w:pPr>
      <w:r>
        <w:rPr>
          <w:rFonts w:ascii="仿宋_GB2312" w:hAnsi="宋体" w:eastAsia="仿宋_GB2312"/>
          <w:color w:val="auto"/>
          <w:sz w:val="32"/>
          <w:szCs w:val="32"/>
          <w:lang w:val="zh-CN"/>
        </w:rPr>
        <w:t>1</w:t>
      </w:r>
      <w:r>
        <w:rPr>
          <w:rFonts w:hint="eastAsia" w:ascii="仿宋_GB2312" w:hAnsi="宋体" w:eastAsia="仿宋_GB2312"/>
          <w:color w:val="auto"/>
          <w:sz w:val="32"/>
          <w:szCs w:val="32"/>
          <w:lang w:val="zh-CN"/>
        </w:rPr>
        <w:t>．项目主要内容。</w:t>
      </w:r>
    </w:p>
    <w:p w14:paraId="3E41A653">
      <w:pPr>
        <w:adjustRightInd w:val="0"/>
        <w:snapToGrid w:val="0"/>
        <w:spacing w:line="600" w:lineRule="exact"/>
        <w:ind w:firstLine="720"/>
        <w:rPr>
          <w:rFonts w:ascii="仿宋_GB2312" w:hAnsi="宋体" w:eastAsia="仿宋_GB2312"/>
          <w:color w:val="auto"/>
          <w:sz w:val="32"/>
          <w:szCs w:val="32"/>
          <w:lang w:val="zh-CN"/>
        </w:rPr>
      </w:pPr>
      <w:r>
        <w:rPr>
          <w:rFonts w:ascii="仿宋_GB2312" w:hAnsi="宋体" w:eastAsia="仿宋_GB2312"/>
          <w:color w:val="auto"/>
          <w:sz w:val="32"/>
          <w:szCs w:val="32"/>
          <w:lang w:val="zh-CN"/>
        </w:rPr>
        <w:t>2</w:t>
      </w:r>
      <w:r>
        <w:rPr>
          <w:rFonts w:hint="eastAsia" w:ascii="仿宋_GB2312" w:hAnsi="宋体" w:eastAsia="仿宋_GB2312"/>
          <w:color w:val="auto"/>
          <w:sz w:val="32"/>
          <w:szCs w:val="32"/>
          <w:lang w:val="zh-CN"/>
        </w:rPr>
        <w:t>．项目应实现的具体绩效目标，包括目标的量化、细化情况以及项目实施进度计划等。</w:t>
      </w:r>
    </w:p>
    <w:p w14:paraId="208B6F5D">
      <w:pPr>
        <w:adjustRightInd w:val="0"/>
        <w:snapToGrid w:val="0"/>
        <w:spacing w:line="600" w:lineRule="exact"/>
        <w:ind w:firstLine="720"/>
        <w:rPr>
          <w:rFonts w:ascii="仿宋_GB2312" w:hAnsi="宋体" w:eastAsia="仿宋_GB2312"/>
          <w:color w:val="auto"/>
          <w:sz w:val="32"/>
          <w:szCs w:val="32"/>
          <w:lang w:val="zh-CN"/>
        </w:rPr>
      </w:pPr>
      <w:r>
        <w:rPr>
          <w:rFonts w:ascii="仿宋_GB2312" w:hAnsi="宋体" w:eastAsia="仿宋_GB2312"/>
          <w:color w:val="auto"/>
          <w:sz w:val="32"/>
          <w:szCs w:val="32"/>
          <w:lang w:val="zh-CN"/>
        </w:rPr>
        <w:t>3</w:t>
      </w:r>
      <w:r>
        <w:rPr>
          <w:rFonts w:hint="eastAsia" w:ascii="仿宋_GB2312" w:hAnsi="宋体" w:eastAsia="仿宋_GB2312"/>
          <w:color w:val="auto"/>
          <w:sz w:val="32"/>
          <w:szCs w:val="32"/>
          <w:lang w:val="zh-CN"/>
        </w:rPr>
        <w:t>．分析评价申报内容是否与实际相符，申报目标是否合理可行。</w:t>
      </w:r>
    </w:p>
    <w:p w14:paraId="67F16B5F">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（三）项目自评步骤及方法</w:t>
      </w:r>
    </w:p>
    <w:p w14:paraId="2EE15427">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说明项目绩效自评采用的组织实施步骤及方法。</w:t>
      </w:r>
    </w:p>
    <w:p w14:paraId="1CE9C1E3">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14:paraId="3FE976DE">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（一）项目资金申报及批复情况</w:t>
      </w:r>
    </w:p>
    <w:p w14:paraId="567D2A42">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说明项目资金申报、批复及预算调整等程序的相关情况。</w:t>
      </w:r>
    </w:p>
    <w:p w14:paraId="2B4506FF">
      <w:pPr>
        <w:adjustRightInd w:val="0"/>
        <w:snapToGrid w:val="0"/>
        <w:spacing w:line="600" w:lineRule="exact"/>
        <w:ind w:firstLine="720"/>
        <w:rPr>
          <w:rFonts w:ascii="仿宋_GB2312" w:hAnsi="宋体" w:eastAsia="仿宋_GB2312"/>
          <w:bCs/>
          <w:color w:val="auto"/>
          <w:sz w:val="32"/>
          <w:szCs w:val="32"/>
          <w:lang w:val="zh-CN"/>
        </w:rPr>
      </w:pPr>
      <w:r>
        <w:rPr>
          <w:rFonts w:hint="eastAsia" w:ascii="楷体_GB2312" w:hAnsi="宋体" w:eastAsia="楷体_GB2312"/>
          <w:bCs/>
          <w:color w:val="auto"/>
          <w:sz w:val="32"/>
          <w:szCs w:val="32"/>
          <w:lang w:val="zh-CN"/>
        </w:rPr>
        <w:t>（二）资金计划、到位及使用情况（可用表格形式反映）</w:t>
      </w:r>
    </w:p>
    <w:p w14:paraId="03E44E40">
      <w:pPr>
        <w:adjustRightInd w:val="0"/>
        <w:snapToGrid w:val="0"/>
        <w:spacing w:line="600" w:lineRule="exact"/>
        <w:ind w:firstLine="720"/>
        <w:rPr>
          <w:rFonts w:ascii="仿宋_GB2312" w:hAnsi="宋体" w:eastAsia="仿宋_GB2312"/>
          <w:color w:val="auto"/>
          <w:sz w:val="32"/>
          <w:szCs w:val="32"/>
          <w:lang w:val="zh-CN"/>
        </w:rPr>
      </w:pPr>
      <w:r>
        <w:rPr>
          <w:rFonts w:ascii="楷体_GB2312" w:hAnsi="宋体" w:eastAsia="楷体_GB2312"/>
          <w:color w:val="auto"/>
          <w:sz w:val="32"/>
          <w:szCs w:val="32"/>
          <w:lang w:val="zh-CN"/>
        </w:rPr>
        <w:t>1</w:t>
      </w:r>
      <w:r>
        <w:rPr>
          <w:rFonts w:hint="eastAsia" w:ascii="楷体_GB2312" w:hAnsi="宋体" w:eastAsia="楷体_GB2312"/>
          <w:color w:val="auto"/>
          <w:sz w:val="32"/>
          <w:szCs w:val="32"/>
          <w:lang w:val="zh-CN"/>
        </w:rPr>
        <w:t>．资金计划。</w:t>
      </w:r>
      <w:r>
        <w:rPr>
          <w:rFonts w:hint="eastAsia" w:ascii="仿宋_GB2312" w:hAnsi="宋体" w:eastAsia="仿宋_GB2312"/>
          <w:color w:val="auto"/>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14:paraId="05992A4B">
      <w:pPr>
        <w:adjustRightInd w:val="0"/>
        <w:snapToGrid w:val="0"/>
        <w:spacing w:line="600" w:lineRule="exact"/>
        <w:ind w:firstLine="720"/>
        <w:rPr>
          <w:rFonts w:ascii="仿宋_GB2312" w:hAnsi="宋体" w:eastAsia="仿宋_GB2312"/>
          <w:color w:val="auto"/>
          <w:sz w:val="32"/>
          <w:szCs w:val="32"/>
          <w:lang w:val="zh-CN"/>
        </w:rPr>
      </w:pPr>
      <w:r>
        <w:rPr>
          <w:rFonts w:ascii="楷体_GB2312" w:hAnsi="宋体" w:eastAsia="楷体_GB2312"/>
          <w:color w:val="auto"/>
          <w:sz w:val="32"/>
          <w:szCs w:val="32"/>
          <w:lang w:val="zh-CN"/>
        </w:rPr>
        <w:t>2</w:t>
      </w:r>
      <w:r>
        <w:rPr>
          <w:rFonts w:hint="eastAsia" w:ascii="楷体_GB2312" w:hAnsi="宋体" w:eastAsia="楷体_GB2312"/>
          <w:color w:val="auto"/>
          <w:sz w:val="32"/>
          <w:szCs w:val="32"/>
          <w:lang w:val="zh-CN"/>
        </w:rPr>
        <w:t>．资金到位。</w:t>
      </w:r>
      <w:r>
        <w:rPr>
          <w:rFonts w:hint="eastAsia" w:ascii="仿宋_GB2312" w:hAnsi="宋体" w:eastAsia="仿宋_GB2312"/>
          <w:color w:val="auto"/>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14:paraId="4DC5BD36">
      <w:pPr>
        <w:adjustRightInd w:val="0"/>
        <w:snapToGrid w:val="0"/>
        <w:spacing w:line="600" w:lineRule="exact"/>
        <w:ind w:firstLine="720"/>
        <w:rPr>
          <w:rFonts w:ascii="仿宋_GB2312" w:hAnsi="宋体" w:eastAsia="仿宋_GB2312"/>
          <w:color w:val="auto"/>
          <w:sz w:val="32"/>
          <w:szCs w:val="32"/>
          <w:lang w:val="zh-CN"/>
        </w:rPr>
      </w:pPr>
      <w:r>
        <w:rPr>
          <w:rFonts w:ascii="楷体_GB2312" w:hAnsi="宋体" w:eastAsia="楷体_GB2312"/>
          <w:color w:val="auto"/>
          <w:sz w:val="32"/>
          <w:szCs w:val="32"/>
          <w:lang w:val="zh-CN"/>
        </w:rPr>
        <w:t>3</w:t>
      </w:r>
      <w:r>
        <w:rPr>
          <w:rFonts w:hint="eastAsia" w:ascii="楷体_GB2312" w:hAnsi="宋体" w:eastAsia="楷体_GB2312"/>
          <w:color w:val="auto"/>
          <w:sz w:val="32"/>
          <w:szCs w:val="32"/>
          <w:lang w:val="zh-CN"/>
        </w:rPr>
        <w:t>．资金使用。</w:t>
      </w:r>
      <w:r>
        <w:rPr>
          <w:rFonts w:hint="eastAsia" w:ascii="仿宋_GB2312" w:hAnsi="宋体" w:eastAsia="仿宋_GB2312"/>
          <w:color w:val="auto"/>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14:paraId="377DC5B6">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（三）项目财务管理情况</w:t>
      </w:r>
    </w:p>
    <w:p w14:paraId="3976B15F">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总体评价各项目实施单位财务管理制度是否健全，是否严格执行财务管理制度，账务处理是否及时，会计核算是否规范等。</w:t>
      </w:r>
    </w:p>
    <w:p w14:paraId="2CE8C457">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三、项目实施及管理情况</w:t>
      </w:r>
    </w:p>
    <w:p w14:paraId="7A74F86C">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结合项目组织实施管理办法，重点围绕以下内容进行分析评价，并对自评中发现的问题分析说明。</w:t>
      </w:r>
    </w:p>
    <w:p w14:paraId="5853AB40">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（一）项目组织架构及实施流程</w:t>
      </w:r>
    </w:p>
    <w:p w14:paraId="2CD2BCA6">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（二）项目管理情况</w:t>
      </w:r>
    </w:p>
    <w:p w14:paraId="494A5000">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结合项目特点，总体评价各项目实施单位执行相关法律法规及项目管理制度等情况，如招投标、政府采购、项目公示制等相关规定。</w:t>
      </w:r>
    </w:p>
    <w:p w14:paraId="46967644">
      <w:pPr>
        <w:numPr>
          <w:ilvl w:val="0"/>
          <w:numId w:val="4"/>
        </w:num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项目监管情况</w:t>
      </w:r>
    </w:p>
    <w:p w14:paraId="4C9D5700">
      <w:p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说明项目主管部门为加强项目管理所采取的监管手段、监管程序、监管工作开展情况及实现的效果等。</w:t>
      </w:r>
    </w:p>
    <w:p w14:paraId="6002486C">
      <w:pPr>
        <w:adjustRightInd w:val="0"/>
        <w:snapToGrid w:val="0"/>
        <w:spacing w:line="600" w:lineRule="exact"/>
        <w:ind w:firstLine="720"/>
        <w:rPr>
          <w:rFonts w:ascii="仿宋_GB2312" w:hAnsi="宋体" w:eastAsia="仿宋_GB2312"/>
          <w:color w:val="auto"/>
          <w:sz w:val="32"/>
          <w:szCs w:val="32"/>
          <w:lang w:val="zh-CN"/>
        </w:rPr>
      </w:pPr>
      <w:r>
        <w:rPr>
          <w:rFonts w:hint="eastAsia" w:ascii="黑体" w:hAnsi="宋体" w:eastAsia="黑体"/>
          <w:color w:val="auto"/>
          <w:sz w:val="32"/>
          <w:szCs w:val="32"/>
        </w:rPr>
        <w:t>四、项目绩效情况</w:t>
      </w:r>
      <w:r>
        <w:rPr>
          <w:rFonts w:ascii="仿宋_GB2312" w:hAnsi="宋体" w:eastAsia="仿宋_GB2312"/>
          <w:color w:val="auto"/>
          <w:sz w:val="32"/>
          <w:szCs w:val="32"/>
          <w:lang w:val="zh-CN"/>
        </w:rPr>
        <w:tab/>
      </w:r>
    </w:p>
    <w:p w14:paraId="280088A8">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（一）项目完成情况</w:t>
      </w:r>
    </w:p>
    <w:p w14:paraId="0D47DD40">
      <w:pPr>
        <w:adjustRightInd w:val="0"/>
        <w:snapToGrid w:val="0"/>
        <w:spacing w:line="600" w:lineRule="exact"/>
        <w:ind w:firstLine="720"/>
        <w:rPr>
          <w:rFonts w:ascii="楷体_GB2312" w:hAnsi="宋体" w:eastAsia="楷体_GB2312"/>
          <w:b/>
          <w:color w:val="auto"/>
          <w:sz w:val="32"/>
          <w:szCs w:val="32"/>
          <w:lang w:val="zh-CN"/>
        </w:rPr>
      </w:pPr>
      <w:r>
        <w:rPr>
          <w:rFonts w:hint="eastAsia" w:ascii="仿宋_GB2312" w:hAnsi="宋体" w:eastAsia="仿宋_GB2312"/>
          <w:color w:val="auto"/>
          <w:sz w:val="32"/>
          <w:szCs w:val="32"/>
          <w:lang w:val="zh-CN"/>
        </w:rPr>
        <w:t>包括项目完成数量、质量、时效、成本等情况，对照项目计划完成目标，对截止评价时点的任务量完成、质量标准、进度计划、成本控制目标的实现程度进行评价，并进行分析说明。</w:t>
      </w:r>
    </w:p>
    <w:p w14:paraId="5F99A5E1">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（二）项目效益情况</w:t>
      </w:r>
    </w:p>
    <w:p w14:paraId="3F3235A4">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从项目经济效益、社会效益、生态效益、可持续效益以及服务对象满意度等方面对项目效益进行全面分析评价。</w:t>
      </w:r>
    </w:p>
    <w:p w14:paraId="271B29AD">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五、评价结论及建议</w:t>
      </w:r>
    </w:p>
    <w:p w14:paraId="49406267">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（一）评价结论</w:t>
      </w:r>
    </w:p>
    <w:p w14:paraId="46DD6376">
      <w:pPr>
        <w:adjustRightInd w:val="0"/>
        <w:snapToGrid w:val="0"/>
        <w:spacing w:line="600" w:lineRule="exact"/>
        <w:ind w:firstLine="640" w:firstLineChars="200"/>
        <w:rPr>
          <w:rFonts w:ascii="仿宋_GB2312" w:hAnsi="宋体" w:eastAsia="仿宋_GB2312"/>
          <w:color w:val="auto"/>
          <w:sz w:val="32"/>
          <w:szCs w:val="32"/>
          <w:bdr w:val="single" w:color="auto" w:sz="4" w:space="0"/>
          <w:lang w:val="zh-CN"/>
        </w:rPr>
      </w:pPr>
      <w:r>
        <w:rPr>
          <w:rFonts w:hint="eastAsia" w:ascii="仿宋_GB2312" w:hAnsi="宋体" w:eastAsia="仿宋_GB2312"/>
          <w:color w:val="auto"/>
          <w:sz w:val="32"/>
          <w:szCs w:val="32"/>
          <w:lang w:val="zh-CN"/>
        </w:rPr>
        <w:t>结合项目自身特点、评价重点及管理办法等要求，围绕专项项目支出绩效评价指标体系对项目进行总体评价。</w:t>
      </w:r>
    </w:p>
    <w:p w14:paraId="27CA7D3E">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（二）存在的问题</w:t>
      </w:r>
    </w:p>
    <w:p w14:paraId="033A7850">
      <w:p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结合自评情况，分析存在的问题及原因。</w:t>
      </w:r>
      <w:r>
        <w:rPr>
          <w:rFonts w:ascii="仿宋_GB2312" w:hAnsi="宋体" w:eastAsia="仿宋_GB2312"/>
          <w:color w:val="auto"/>
          <w:sz w:val="32"/>
          <w:szCs w:val="32"/>
          <w:lang w:val="zh-CN"/>
        </w:rPr>
        <w:tab/>
      </w:r>
    </w:p>
    <w:p w14:paraId="37A94D50">
      <w:pPr>
        <w:adjustRightInd w:val="0"/>
        <w:snapToGrid w:val="0"/>
        <w:spacing w:line="600" w:lineRule="exact"/>
        <w:ind w:firstLine="720"/>
        <w:rPr>
          <w:rFonts w:ascii="楷体_GB2312" w:hAnsi="宋体" w:eastAsia="楷体_GB2312"/>
          <w:bCs/>
          <w:color w:val="auto"/>
          <w:sz w:val="32"/>
          <w:szCs w:val="32"/>
          <w:lang w:val="zh-CN"/>
        </w:rPr>
      </w:pPr>
      <w:r>
        <w:rPr>
          <w:rFonts w:hint="eastAsia" w:ascii="楷体_GB2312" w:hAnsi="宋体" w:eastAsia="楷体_GB2312"/>
          <w:bCs/>
          <w:color w:val="auto"/>
          <w:sz w:val="32"/>
          <w:szCs w:val="32"/>
          <w:lang w:val="zh-CN"/>
        </w:rPr>
        <w:t>（三）相关建议</w:t>
      </w:r>
    </w:p>
    <w:p w14:paraId="32E1B5E3">
      <w:pPr>
        <w:adjustRightInd w:val="0"/>
        <w:snapToGrid w:val="0"/>
        <w:spacing w:line="600" w:lineRule="exact"/>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针对项目自评中发现的问题，提出下一步改进完善的意见及有关政策性建议。</w:t>
      </w:r>
    </w:p>
    <w:p w14:paraId="04FF7241">
      <w:pPr>
        <w:spacing w:line="600" w:lineRule="exact"/>
        <w:ind w:firstLine="640"/>
        <w:rPr>
          <w:rFonts w:ascii="仿宋_GB2312" w:hAnsi="仿宋_GB2312" w:eastAsia="仿宋_GB2312" w:cs="仿宋_GB2312"/>
          <w:sz w:val="32"/>
          <w:szCs w:val="32"/>
        </w:rPr>
      </w:pPr>
    </w:p>
    <w:p w14:paraId="64EE6694">
      <w:pPr>
        <w:spacing w:line="600" w:lineRule="exact"/>
        <w:ind w:firstLine="640"/>
        <w:rPr>
          <w:rFonts w:ascii="仿宋_GB2312" w:hAnsi="仿宋_GB2312" w:eastAsia="仿宋_GB2312" w:cs="仿宋_GB2312"/>
          <w:sz w:val="32"/>
          <w:szCs w:val="32"/>
        </w:rPr>
      </w:pPr>
    </w:p>
    <w:p w14:paraId="0E580C30">
      <w:pPr>
        <w:widowControl/>
        <w:spacing w:line="600" w:lineRule="exact"/>
        <w:jc w:val="left"/>
        <w:rPr>
          <w:rStyle w:val="24"/>
          <w:rFonts w:ascii="黑体" w:hAnsi="黑体" w:eastAsia="黑体"/>
          <w:b w:val="0"/>
        </w:rPr>
      </w:pPr>
    </w:p>
    <w:p w14:paraId="1C0F04E6">
      <w:pPr>
        <w:spacing w:line="600" w:lineRule="exact"/>
        <w:jc w:val="center"/>
        <w:rPr>
          <w:rFonts w:hint="eastAsia" w:ascii="方正小标宋简体" w:hAnsi="方正小标宋简体" w:eastAsia="方正小标宋简体" w:cs="方正小标宋简体"/>
          <w:sz w:val="44"/>
          <w:szCs w:val="44"/>
        </w:rPr>
      </w:pPr>
      <w:r>
        <w:rPr>
          <w:rStyle w:val="24"/>
          <w:rFonts w:ascii="黑体" w:hAnsi="黑体" w:eastAsia="黑体"/>
          <w:b w:val="0"/>
        </w:rPr>
        <w:br w:type="page"/>
      </w:r>
      <w:bookmarkStart w:id="59" w:name="_Toc15396618"/>
      <w:r>
        <w:rPr>
          <w:rFonts w:hint="eastAsia" w:ascii="方正小标宋简体" w:hAnsi="方正小标宋简体" w:eastAsia="方正小标宋简体" w:cs="方正小标宋简体"/>
          <w:sz w:val="44"/>
          <w:szCs w:val="44"/>
        </w:rPr>
        <w:t>第五部分 附表</w:t>
      </w:r>
      <w:bookmarkEnd w:id="57"/>
      <w:bookmarkEnd w:id="59"/>
    </w:p>
    <w:p w14:paraId="15A6A04A">
      <w:pPr>
        <w:spacing w:line="600" w:lineRule="exact"/>
        <w:rPr>
          <w:rFonts w:ascii="仿宋_GB2312" w:hAnsi="仿宋_GB2312" w:eastAsia="仿宋_GB2312" w:cs="仿宋_GB2312"/>
          <w:sz w:val="32"/>
          <w:szCs w:val="32"/>
        </w:rPr>
      </w:pPr>
    </w:p>
    <w:p w14:paraId="1A94336A">
      <w:pPr>
        <w:spacing w:line="600" w:lineRule="exact"/>
        <w:ind w:firstLine="640" w:firstLineChars="200"/>
        <w:rPr>
          <w:rFonts w:ascii="仿宋_GB2312" w:hAnsi="仿宋_GB2312" w:eastAsia="仿宋_GB2312" w:cs="仿宋_GB2312"/>
          <w:sz w:val="32"/>
          <w:szCs w:val="32"/>
        </w:rPr>
      </w:pPr>
      <w:bookmarkStart w:id="60" w:name="_Toc15396619"/>
      <w:r>
        <w:rPr>
          <w:rFonts w:hint="eastAsia" w:ascii="仿宋_GB2312" w:hAnsi="仿宋_GB2312" w:eastAsia="仿宋_GB2312" w:cs="仿宋_GB2312"/>
          <w:sz w:val="32"/>
          <w:szCs w:val="32"/>
        </w:rPr>
        <w:t>一、收入支出决算总表</w:t>
      </w:r>
      <w:bookmarkEnd w:id="60"/>
    </w:p>
    <w:p w14:paraId="20257087">
      <w:pPr>
        <w:spacing w:line="600" w:lineRule="exact"/>
        <w:ind w:firstLine="640" w:firstLineChars="200"/>
        <w:rPr>
          <w:rFonts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rPr>
        <w:t>二、收入决算表</w:t>
      </w:r>
      <w:bookmarkEnd w:id="61"/>
    </w:p>
    <w:p w14:paraId="528EA719">
      <w:pPr>
        <w:spacing w:line="600" w:lineRule="exact"/>
        <w:ind w:firstLine="640" w:firstLineChars="200"/>
        <w:rPr>
          <w:rFonts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rPr>
        <w:t>三、支出决算表</w:t>
      </w:r>
      <w:bookmarkEnd w:id="62"/>
    </w:p>
    <w:p w14:paraId="30A716BE">
      <w:pPr>
        <w:spacing w:line="600" w:lineRule="exact"/>
        <w:ind w:firstLine="640" w:firstLineChars="200"/>
        <w:rPr>
          <w:rFonts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rPr>
        <w:t>四、财政拨款收入支出决算总表</w:t>
      </w:r>
      <w:bookmarkEnd w:id="63"/>
    </w:p>
    <w:p w14:paraId="6A3395A0">
      <w:pPr>
        <w:spacing w:line="600" w:lineRule="exact"/>
        <w:ind w:firstLine="640" w:firstLineChars="200"/>
        <w:rPr>
          <w:rFonts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rPr>
        <w:t>五、财政拨款支出决算明细表</w:t>
      </w:r>
      <w:bookmarkEnd w:id="64"/>
      <w:bookmarkStart w:id="65" w:name="_Toc15396624"/>
    </w:p>
    <w:p w14:paraId="303C693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5"/>
    </w:p>
    <w:p w14:paraId="5B43F8AE">
      <w:pPr>
        <w:spacing w:line="600" w:lineRule="exact"/>
        <w:ind w:firstLine="640" w:firstLineChars="200"/>
        <w:rPr>
          <w:rFonts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rPr>
        <w:t>七、一般公共预算财政拨款支出决算明细表</w:t>
      </w:r>
      <w:bookmarkEnd w:id="66"/>
    </w:p>
    <w:p w14:paraId="2DEC741F">
      <w:pPr>
        <w:spacing w:line="600" w:lineRule="exact"/>
        <w:ind w:firstLine="640" w:firstLineChars="200"/>
        <w:rPr>
          <w:rFonts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rPr>
        <w:t>八、一般公共预算财政拨款基本支出决算表</w:t>
      </w:r>
      <w:bookmarkEnd w:id="67"/>
    </w:p>
    <w:p w14:paraId="302E5376">
      <w:pPr>
        <w:spacing w:line="600" w:lineRule="exact"/>
        <w:ind w:firstLine="640" w:firstLineChars="200"/>
        <w:rPr>
          <w:rFonts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rPr>
        <w:t>九、一般公共预算财政拨款项目支出决算表</w:t>
      </w:r>
      <w:bookmarkEnd w:id="68"/>
    </w:p>
    <w:p w14:paraId="501B4818">
      <w:pPr>
        <w:spacing w:line="600" w:lineRule="exact"/>
        <w:ind w:firstLine="640" w:firstLineChars="200"/>
        <w:rPr>
          <w:rFonts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rPr>
        <w:t>十、一般公共预算财政拨款“三公”经费支出决算表</w:t>
      </w:r>
      <w:bookmarkEnd w:id="69"/>
    </w:p>
    <w:p w14:paraId="06CB183C">
      <w:pPr>
        <w:spacing w:line="600" w:lineRule="exact"/>
        <w:ind w:firstLine="640" w:firstLineChars="200"/>
        <w:rPr>
          <w:rFonts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14:paraId="2123BD88">
      <w:pPr>
        <w:spacing w:line="600" w:lineRule="exact"/>
        <w:ind w:firstLine="640" w:firstLineChars="200"/>
        <w:rPr>
          <w:rFonts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14:paraId="58E30C12">
      <w:pPr>
        <w:spacing w:line="600" w:lineRule="exact"/>
        <w:ind w:firstLine="640" w:firstLineChars="200"/>
        <w:rPr>
          <w:rFonts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rPr>
        <w:t>十三、国有资本经营预算财政拨款支出决算表</w:t>
      </w:r>
      <w:bookmarkEnd w:id="72"/>
    </w:p>
    <w:sectPr>
      <w:headerReference r:id="rId3" w:type="default"/>
      <w:footerReference r:id="rId4" w:type="default"/>
      <w:pgSz w:w="11906" w:h="16838"/>
      <w:pgMar w:top="2098" w:right="1474" w:bottom="1984" w:left="1587" w:header="851" w:footer="113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F2AD">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037590" cy="2813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81305"/>
                      </a:xfrm>
                      <a:prstGeom prst="rect">
                        <a:avLst/>
                      </a:prstGeom>
                      <a:noFill/>
                      <a:ln>
                        <a:noFill/>
                      </a:ln>
                    </wps:spPr>
                    <wps:txbx>
                      <w:txbxContent>
                        <w:p w14:paraId="42BB9C29">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10.5pt;height:22.15pt;width:81.7pt;mso-position-horizontal:outside;mso-position-horizontal-relative:margin;z-index:251659264;mso-width-relative:page;mso-height-relative:page;" filled="f" stroked="f" coordsize="21600,21600" o:gfxdata="UEsDBAoAAAAAAIdO4kAAAAAAAAAAAAAAAAAEAAAAZHJzL1BLAwQUAAAACACHTuJAi+c5vNYAAAAH&#10;AQAADwAAAGRycy9kb3ducmV2LnhtbE2PS0/DMBCE70j8B2uRuLXOA0UQsqkQghMSIg0Hjk68TazG&#10;6xC7D/497gluO5rRzLfV5mwncaTFG8cI6ToBQdw7bXhA+GxfV/cgfFCs1eSYEH7Iw6a+vqpUqd2J&#10;GzpuwyBiCftSIYwhzKWUvh/JKr92M3H0dm6xKkS5DFIv6hTL7SSzJCmkVYbjwqhmeh6p328PFuHp&#10;i5sX8/3efTS7xrTtQ8JvxR7x9iZNHkEEOoe/MFzwIzrUkalzB9ZeTAjxkYCwytJ4XOwivwPRIWR5&#10;DrKu5H/++hdQSwMEFAAAAAgAh07iQIBF/mG6AQAAcgMAAA4AAABkcnMvZTJvRG9jLnhtbK1TwY7T&#10;MBC9I/EPlu/UaVcLS9R0JVQtQkKAtLsf4Dp2Y8n2WLbbpD8Af8CJC3e+q9/B2ElbWC574OKMZ8Zv&#10;3nt2lreDNWQvQ9TgGjqfVZRIJ6DVbtvQx4e7VzeUxMRdyw042dCDjPR29fLFsve1XEAHppWBIIiL&#10;de8b2qXka8ai6KTlcQZeOiwqCJYn3IYtawPvEd0atqiq16yH0PoAQsaI2fVYpBNieA4gKKWFXIPY&#10;WenSiBqk4QklxU77SFeFrVJSpM9KRZmIaSgqTWXFIRhv8spWS15vA/edFhMF/hwKTzRZrh0OPUOt&#10;eeJkF/Q/UFaLABFUmgmwbBRSHEEV8+qJN/cd97JoQaujP5se/x+s+LT/Eohu8SVQ4rjFCz9+/3b8&#10;8ev48yuZZ3t6H2vsuvfYl4Z3MOTWKR8xmVUPKtj8RT0E62ju4WyuHBIR+VB19eb6LZYE1hY386vq&#10;OsOwy2kfYnovwZIcNDTg5RVP+f5jTGPrqSUPc3CnjcE8r437K4GYOcMy9ZFijtKwGSbeG2gPKMd8&#10;cGhlfhanIJyCzSnY+aC3HdIpogskXkXhPT2bfNd/7svgy6+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5zm81gAAAAcBAAAPAAAAAAAAAAEAIAAAACIAAABkcnMvZG93bnJldi54bWxQSwECFAAU&#10;AAAACACHTuJAgEX+YboBAAByAwAADgAAAAAAAAABACAAAAAlAQAAZHJzL2Uyb0RvYy54bWxQSwUG&#10;AAAAAAYABgBZAQAAUQUAAAAA&#10;">
              <v:fill on="f" focussize="0,0"/>
              <v:stroke on="f"/>
              <v:imagedata o:title=""/>
              <o:lock v:ext="edit" aspectratio="f"/>
              <v:textbox inset="0mm,0mm,0mm,0mm">
                <w:txbxContent>
                  <w:p w14:paraId="42BB9C29">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64D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06F6151D"/>
    <w:multiLevelType w:val="singleLevel"/>
    <w:tmpl w:val="06F6151D"/>
    <w:lvl w:ilvl="0" w:tentative="0">
      <w:start w:val="3"/>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62621CDC"/>
    <w:multiLevelType w:val="multilevel"/>
    <w:tmpl w:val="62621CDC"/>
    <w:lvl w:ilvl="0" w:tentative="0">
      <w:start w:val="1"/>
      <w:numFmt w:val="decimal"/>
      <w:lvlText w:val="%1."/>
      <w:lvlJc w:val="left"/>
      <w:pPr>
        <w:ind w:left="1110"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1C03"/>
    <w:rsid w:val="000222C6"/>
    <w:rsid w:val="0002549F"/>
    <w:rsid w:val="000468DB"/>
    <w:rsid w:val="000522D1"/>
    <w:rsid w:val="0006487A"/>
    <w:rsid w:val="00065F8F"/>
    <w:rsid w:val="00070A43"/>
    <w:rsid w:val="000768F2"/>
    <w:rsid w:val="000901FB"/>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082D"/>
    <w:rsid w:val="002A27B3"/>
    <w:rsid w:val="002A31DE"/>
    <w:rsid w:val="002B2613"/>
    <w:rsid w:val="002D6D05"/>
    <w:rsid w:val="002E0D67"/>
    <w:rsid w:val="002F1818"/>
    <w:rsid w:val="002F567B"/>
    <w:rsid w:val="003216A9"/>
    <w:rsid w:val="00335A74"/>
    <w:rsid w:val="0036561B"/>
    <w:rsid w:val="0037013F"/>
    <w:rsid w:val="00380C92"/>
    <w:rsid w:val="003945E6"/>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567C"/>
    <w:rsid w:val="004464F4"/>
    <w:rsid w:val="00471401"/>
    <w:rsid w:val="00473F31"/>
    <w:rsid w:val="0048263A"/>
    <w:rsid w:val="00487E5D"/>
    <w:rsid w:val="004A5E12"/>
    <w:rsid w:val="004A711F"/>
    <w:rsid w:val="004B199D"/>
    <w:rsid w:val="004B4690"/>
    <w:rsid w:val="004E0A2D"/>
    <w:rsid w:val="004E206B"/>
    <w:rsid w:val="004E6DF7"/>
    <w:rsid w:val="004F0FBD"/>
    <w:rsid w:val="0050221D"/>
    <w:rsid w:val="00505A47"/>
    <w:rsid w:val="00512FDA"/>
    <w:rsid w:val="00520DA0"/>
    <w:rsid w:val="005269D7"/>
    <w:rsid w:val="00527070"/>
    <w:rsid w:val="005664BB"/>
    <w:rsid w:val="00566FFA"/>
    <w:rsid w:val="0057481D"/>
    <w:rsid w:val="0058486E"/>
    <w:rsid w:val="00585B33"/>
    <w:rsid w:val="0059014D"/>
    <w:rsid w:val="00595EF2"/>
    <w:rsid w:val="005B1F1D"/>
    <w:rsid w:val="005B5C64"/>
    <w:rsid w:val="005C5337"/>
    <w:rsid w:val="005C6BD0"/>
    <w:rsid w:val="005D1C8B"/>
    <w:rsid w:val="005D468D"/>
    <w:rsid w:val="005D5CED"/>
    <w:rsid w:val="005F1A4C"/>
    <w:rsid w:val="00605688"/>
    <w:rsid w:val="006070AF"/>
    <w:rsid w:val="00607E6C"/>
    <w:rsid w:val="00610042"/>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5E7A"/>
    <w:rsid w:val="006E140F"/>
    <w:rsid w:val="006F020C"/>
    <w:rsid w:val="006F5D19"/>
    <w:rsid w:val="00702EF9"/>
    <w:rsid w:val="007127B7"/>
    <w:rsid w:val="0071798E"/>
    <w:rsid w:val="00735D2F"/>
    <w:rsid w:val="007416B6"/>
    <w:rsid w:val="00742550"/>
    <w:rsid w:val="00746F48"/>
    <w:rsid w:val="0075404D"/>
    <w:rsid w:val="0076182A"/>
    <w:rsid w:val="00767B7E"/>
    <w:rsid w:val="007770C3"/>
    <w:rsid w:val="00784D24"/>
    <w:rsid w:val="007857E9"/>
    <w:rsid w:val="00785FBA"/>
    <w:rsid w:val="00786E4A"/>
    <w:rsid w:val="007875EB"/>
    <w:rsid w:val="00790728"/>
    <w:rsid w:val="0079426B"/>
    <w:rsid w:val="007D1682"/>
    <w:rsid w:val="007D312A"/>
    <w:rsid w:val="007D3F19"/>
    <w:rsid w:val="007E23B0"/>
    <w:rsid w:val="007E23E5"/>
    <w:rsid w:val="007F1991"/>
    <w:rsid w:val="007F2C2F"/>
    <w:rsid w:val="007F55FC"/>
    <w:rsid w:val="007F5665"/>
    <w:rsid w:val="00800112"/>
    <w:rsid w:val="00800769"/>
    <w:rsid w:val="008067C8"/>
    <w:rsid w:val="00813348"/>
    <w:rsid w:val="008253BB"/>
    <w:rsid w:val="00825BB5"/>
    <w:rsid w:val="00834BF7"/>
    <w:rsid w:val="0083706E"/>
    <w:rsid w:val="008408F6"/>
    <w:rsid w:val="008423A5"/>
    <w:rsid w:val="00850625"/>
    <w:rsid w:val="00853718"/>
    <w:rsid w:val="00855221"/>
    <w:rsid w:val="00860645"/>
    <w:rsid w:val="00871F71"/>
    <w:rsid w:val="00872FD8"/>
    <w:rsid w:val="008735FA"/>
    <w:rsid w:val="00885AF4"/>
    <w:rsid w:val="0089067C"/>
    <w:rsid w:val="008939CD"/>
    <w:rsid w:val="00895D35"/>
    <w:rsid w:val="008A5862"/>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B98"/>
    <w:rsid w:val="00935C98"/>
    <w:rsid w:val="00946945"/>
    <w:rsid w:val="00951248"/>
    <w:rsid w:val="0095152F"/>
    <w:rsid w:val="00954C49"/>
    <w:rsid w:val="00955E37"/>
    <w:rsid w:val="00964F5F"/>
    <w:rsid w:val="0097099F"/>
    <w:rsid w:val="00971997"/>
    <w:rsid w:val="00971FFC"/>
    <w:rsid w:val="0098660A"/>
    <w:rsid w:val="009931C3"/>
    <w:rsid w:val="009B2C43"/>
    <w:rsid w:val="009B4EAE"/>
    <w:rsid w:val="009B7573"/>
    <w:rsid w:val="009C22F4"/>
    <w:rsid w:val="009C2472"/>
    <w:rsid w:val="009C2A4B"/>
    <w:rsid w:val="009C2E98"/>
    <w:rsid w:val="009D3447"/>
    <w:rsid w:val="009D4711"/>
    <w:rsid w:val="009F1185"/>
    <w:rsid w:val="009F18CD"/>
    <w:rsid w:val="009F2A13"/>
    <w:rsid w:val="009F6495"/>
    <w:rsid w:val="009F7527"/>
    <w:rsid w:val="00A04EB0"/>
    <w:rsid w:val="00A13CC1"/>
    <w:rsid w:val="00A16847"/>
    <w:rsid w:val="00A237D8"/>
    <w:rsid w:val="00A268C4"/>
    <w:rsid w:val="00A2700E"/>
    <w:rsid w:val="00A307CD"/>
    <w:rsid w:val="00A331C8"/>
    <w:rsid w:val="00A34FF6"/>
    <w:rsid w:val="00A4050C"/>
    <w:rsid w:val="00A40A00"/>
    <w:rsid w:val="00A4142F"/>
    <w:rsid w:val="00A422EB"/>
    <w:rsid w:val="00A45BB7"/>
    <w:rsid w:val="00A56DF2"/>
    <w:rsid w:val="00A56E6E"/>
    <w:rsid w:val="00A67AB5"/>
    <w:rsid w:val="00A733B2"/>
    <w:rsid w:val="00A741C2"/>
    <w:rsid w:val="00A91760"/>
    <w:rsid w:val="00A93B00"/>
    <w:rsid w:val="00A93C21"/>
    <w:rsid w:val="00AB2BE9"/>
    <w:rsid w:val="00AB64C9"/>
    <w:rsid w:val="00AC3C6A"/>
    <w:rsid w:val="00AD5620"/>
    <w:rsid w:val="00AD656B"/>
    <w:rsid w:val="00AD7C1B"/>
    <w:rsid w:val="00AE16BA"/>
    <w:rsid w:val="00AE1EBE"/>
    <w:rsid w:val="00AE58FF"/>
    <w:rsid w:val="00AF32EC"/>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E1739"/>
    <w:rsid w:val="00BF5BD6"/>
    <w:rsid w:val="00C03E31"/>
    <w:rsid w:val="00C325F8"/>
    <w:rsid w:val="00C33E72"/>
    <w:rsid w:val="00C354B2"/>
    <w:rsid w:val="00C35554"/>
    <w:rsid w:val="00C42709"/>
    <w:rsid w:val="00C533CC"/>
    <w:rsid w:val="00C5751C"/>
    <w:rsid w:val="00C61BFC"/>
    <w:rsid w:val="00C62B85"/>
    <w:rsid w:val="00C65438"/>
    <w:rsid w:val="00C82717"/>
    <w:rsid w:val="00C87FD8"/>
    <w:rsid w:val="00C91381"/>
    <w:rsid w:val="00C91CBB"/>
    <w:rsid w:val="00CB4E70"/>
    <w:rsid w:val="00CC09B6"/>
    <w:rsid w:val="00CC666F"/>
    <w:rsid w:val="00CD1E3F"/>
    <w:rsid w:val="00CE44F6"/>
    <w:rsid w:val="00CE49DA"/>
    <w:rsid w:val="00CE7B61"/>
    <w:rsid w:val="00CF4D53"/>
    <w:rsid w:val="00D00095"/>
    <w:rsid w:val="00D003BD"/>
    <w:rsid w:val="00D025D1"/>
    <w:rsid w:val="00D114F0"/>
    <w:rsid w:val="00D20620"/>
    <w:rsid w:val="00D254F7"/>
    <w:rsid w:val="00D26091"/>
    <w:rsid w:val="00D2685C"/>
    <w:rsid w:val="00D34E7C"/>
    <w:rsid w:val="00D35489"/>
    <w:rsid w:val="00D36AFE"/>
    <w:rsid w:val="00D51276"/>
    <w:rsid w:val="00D7035F"/>
    <w:rsid w:val="00D86935"/>
    <w:rsid w:val="00DA634F"/>
    <w:rsid w:val="00DA65AC"/>
    <w:rsid w:val="00DB1913"/>
    <w:rsid w:val="00DC410D"/>
    <w:rsid w:val="00DC5A81"/>
    <w:rsid w:val="00DC68CA"/>
    <w:rsid w:val="00DC7CBA"/>
    <w:rsid w:val="00DD73B7"/>
    <w:rsid w:val="00DF28BC"/>
    <w:rsid w:val="00DF34B9"/>
    <w:rsid w:val="00E01053"/>
    <w:rsid w:val="00E07ACF"/>
    <w:rsid w:val="00E113EE"/>
    <w:rsid w:val="00E32CAD"/>
    <w:rsid w:val="00E331A1"/>
    <w:rsid w:val="00E33202"/>
    <w:rsid w:val="00E336A9"/>
    <w:rsid w:val="00E472B1"/>
    <w:rsid w:val="00E50624"/>
    <w:rsid w:val="00E568DF"/>
    <w:rsid w:val="00E64269"/>
    <w:rsid w:val="00E82267"/>
    <w:rsid w:val="00E853CE"/>
    <w:rsid w:val="00E867B6"/>
    <w:rsid w:val="00EA010F"/>
    <w:rsid w:val="00EB1EDA"/>
    <w:rsid w:val="00EB5C5D"/>
    <w:rsid w:val="00EC5FAA"/>
    <w:rsid w:val="00ED1B63"/>
    <w:rsid w:val="00ED3C1F"/>
    <w:rsid w:val="00ED4085"/>
    <w:rsid w:val="00ED420E"/>
    <w:rsid w:val="00ED6FBE"/>
    <w:rsid w:val="00EE2F57"/>
    <w:rsid w:val="00EF4C34"/>
    <w:rsid w:val="00EF60EF"/>
    <w:rsid w:val="00EF77C6"/>
    <w:rsid w:val="00F009C8"/>
    <w:rsid w:val="00F05438"/>
    <w:rsid w:val="00F1361C"/>
    <w:rsid w:val="00F156F0"/>
    <w:rsid w:val="00F160C7"/>
    <w:rsid w:val="00F2408F"/>
    <w:rsid w:val="00F240E9"/>
    <w:rsid w:val="00F36D8F"/>
    <w:rsid w:val="00F417B1"/>
    <w:rsid w:val="00F45853"/>
    <w:rsid w:val="00F55DA8"/>
    <w:rsid w:val="00F602DF"/>
    <w:rsid w:val="00F754A1"/>
    <w:rsid w:val="00F81FD9"/>
    <w:rsid w:val="00F841AA"/>
    <w:rsid w:val="00F84A94"/>
    <w:rsid w:val="00F87E96"/>
    <w:rsid w:val="00FA23E8"/>
    <w:rsid w:val="00FB425C"/>
    <w:rsid w:val="00FD3CC1"/>
    <w:rsid w:val="00FF1E02"/>
    <w:rsid w:val="00FF30B4"/>
    <w:rsid w:val="01A31C07"/>
    <w:rsid w:val="020A7AD5"/>
    <w:rsid w:val="02287C79"/>
    <w:rsid w:val="03041FEE"/>
    <w:rsid w:val="03783CF9"/>
    <w:rsid w:val="05C6005D"/>
    <w:rsid w:val="06487D02"/>
    <w:rsid w:val="076F743A"/>
    <w:rsid w:val="078C3957"/>
    <w:rsid w:val="09967D71"/>
    <w:rsid w:val="0A2032A3"/>
    <w:rsid w:val="0B5E25A9"/>
    <w:rsid w:val="0B8A516E"/>
    <w:rsid w:val="0C3F6FA4"/>
    <w:rsid w:val="0C8947F9"/>
    <w:rsid w:val="0CB40852"/>
    <w:rsid w:val="0CDB062C"/>
    <w:rsid w:val="0D5B4A77"/>
    <w:rsid w:val="0D8F7CC4"/>
    <w:rsid w:val="0D910B8A"/>
    <w:rsid w:val="0E6710A6"/>
    <w:rsid w:val="0F3A7E66"/>
    <w:rsid w:val="0F472375"/>
    <w:rsid w:val="102A543D"/>
    <w:rsid w:val="10920C88"/>
    <w:rsid w:val="10AF5E4F"/>
    <w:rsid w:val="10C055FF"/>
    <w:rsid w:val="1133328A"/>
    <w:rsid w:val="114161F9"/>
    <w:rsid w:val="118107EC"/>
    <w:rsid w:val="11D40D32"/>
    <w:rsid w:val="128C280A"/>
    <w:rsid w:val="13824D7D"/>
    <w:rsid w:val="14E45CC4"/>
    <w:rsid w:val="14ED36CA"/>
    <w:rsid w:val="14F63367"/>
    <w:rsid w:val="150A2530"/>
    <w:rsid w:val="152304EC"/>
    <w:rsid w:val="15475C45"/>
    <w:rsid w:val="1631151D"/>
    <w:rsid w:val="163E7936"/>
    <w:rsid w:val="16BB723D"/>
    <w:rsid w:val="16F24E7C"/>
    <w:rsid w:val="184A2323"/>
    <w:rsid w:val="188A3452"/>
    <w:rsid w:val="19425917"/>
    <w:rsid w:val="198A5D0F"/>
    <w:rsid w:val="19BC6CC5"/>
    <w:rsid w:val="19BD112E"/>
    <w:rsid w:val="1A0818F5"/>
    <w:rsid w:val="1A3F55A9"/>
    <w:rsid w:val="1C747328"/>
    <w:rsid w:val="1C9D06DA"/>
    <w:rsid w:val="1D155CEE"/>
    <w:rsid w:val="1D1B4CD1"/>
    <w:rsid w:val="1D6648E5"/>
    <w:rsid w:val="1E6E602C"/>
    <w:rsid w:val="1F455BC6"/>
    <w:rsid w:val="203E4195"/>
    <w:rsid w:val="22D1745A"/>
    <w:rsid w:val="238E4B77"/>
    <w:rsid w:val="240371BF"/>
    <w:rsid w:val="24A216A6"/>
    <w:rsid w:val="24F42A72"/>
    <w:rsid w:val="24FE044D"/>
    <w:rsid w:val="252D742E"/>
    <w:rsid w:val="25CB2E0E"/>
    <w:rsid w:val="262C6148"/>
    <w:rsid w:val="262D5FDD"/>
    <w:rsid w:val="2688507F"/>
    <w:rsid w:val="26AB17C3"/>
    <w:rsid w:val="26B55504"/>
    <w:rsid w:val="27FD0071"/>
    <w:rsid w:val="29221AD2"/>
    <w:rsid w:val="29515DDE"/>
    <w:rsid w:val="295B4463"/>
    <w:rsid w:val="29CA2C99"/>
    <w:rsid w:val="29FD04D3"/>
    <w:rsid w:val="2A6F2591"/>
    <w:rsid w:val="2B036C6B"/>
    <w:rsid w:val="2B4824CE"/>
    <w:rsid w:val="2B553EA0"/>
    <w:rsid w:val="2BFF62EC"/>
    <w:rsid w:val="2C1702FE"/>
    <w:rsid w:val="2CE329B2"/>
    <w:rsid w:val="2D1B48FF"/>
    <w:rsid w:val="2D2E25E9"/>
    <w:rsid w:val="2E650FA3"/>
    <w:rsid w:val="2EE5589C"/>
    <w:rsid w:val="2F2030C4"/>
    <w:rsid w:val="3023199C"/>
    <w:rsid w:val="3030689B"/>
    <w:rsid w:val="308C2489"/>
    <w:rsid w:val="31422675"/>
    <w:rsid w:val="319F7F4E"/>
    <w:rsid w:val="32836B3F"/>
    <w:rsid w:val="32A53572"/>
    <w:rsid w:val="339073B1"/>
    <w:rsid w:val="35630382"/>
    <w:rsid w:val="362038E8"/>
    <w:rsid w:val="364804FF"/>
    <w:rsid w:val="37E01EC5"/>
    <w:rsid w:val="380A7164"/>
    <w:rsid w:val="38A65A3D"/>
    <w:rsid w:val="3902560B"/>
    <w:rsid w:val="39166ACF"/>
    <w:rsid w:val="393D1436"/>
    <w:rsid w:val="39623400"/>
    <w:rsid w:val="3B563BCB"/>
    <w:rsid w:val="3C032D3F"/>
    <w:rsid w:val="3C901EAD"/>
    <w:rsid w:val="3D840DAA"/>
    <w:rsid w:val="3F4D0FA7"/>
    <w:rsid w:val="3F8B1594"/>
    <w:rsid w:val="4039626A"/>
    <w:rsid w:val="40AA6E57"/>
    <w:rsid w:val="42360AAC"/>
    <w:rsid w:val="432E0D04"/>
    <w:rsid w:val="43447676"/>
    <w:rsid w:val="43DB46C5"/>
    <w:rsid w:val="453F74CB"/>
    <w:rsid w:val="46687BD1"/>
    <w:rsid w:val="46D355CC"/>
    <w:rsid w:val="47F5286B"/>
    <w:rsid w:val="4A4972BA"/>
    <w:rsid w:val="4BB07A66"/>
    <w:rsid w:val="4BCF2A0C"/>
    <w:rsid w:val="4C1E42C8"/>
    <w:rsid w:val="4D693EC5"/>
    <w:rsid w:val="4D836308"/>
    <w:rsid w:val="4DE77655"/>
    <w:rsid w:val="4EC67988"/>
    <w:rsid w:val="4ECE2238"/>
    <w:rsid w:val="4EDB71DF"/>
    <w:rsid w:val="4EF43BBE"/>
    <w:rsid w:val="4F38312D"/>
    <w:rsid w:val="4FA643D7"/>
    <w:rsid w:val="5050799C"/>
    <w:rsid w:val="50CF6105"/>
    <w:rsid w:val="518F64F4"/>
    <w:rsid w:val="51B961C7"/>
    <w:rsid w:val="51EF3253"/>
    <w:rsid w:val="52553838"/>
    <w:rsid w:val="528A0300"/>
    <w:rsid w:val="53772A3C"/>
    <w:rsid w:val="53932188"/>
    <w:rsid w:val="54D44982"/>
    <w:rsid w:val="552B19BB"/>
    <w:rsid w:val="5736128E"/>
    <w:rsid w:val="57430D26"/>
    <w:rsid w:val="585F46B8"/>
    <w:rsid w:val="587E18F5"/>
    <w:rsid w:val="58FD72BA"/>
    <w:rsid w:val="5A2C2EDC"/>
    <w:rsid w:val="5A9575A5"/>
    <w:rsid w:val="5BED33EF"/>
    <w:rsid w:val="5C2B18AC"/>
    <w:rsid w:val="5D990A37"/>
    <w:rsid w:val="5E4E659F"/>
    <w:rsid w:val="60083B47"/>
    <w:rsid w:val="60555B1E"/>
    <w:rsid w:val="60A53288"/>
    <w:rsid w:val="60D30928"/>
    <w:rsid w:val="622600B8"/>
    <w:rsid w:val="62DA7978"/>
    <w:rsid w:val="63B10E20"/>
    <w:rsid w:val="63C53B9E"/>
    <w:rsid w:val="63CD0374"/>
    <w:rsid w:val="645424CF"/>
    <w:rsid w:val="647F121F"/>
    <w:rsid w:val="67016806"/>
    <w:rsid w:val="685F358D"/>
    <w:rsid w:val="686014D9"/>
    <w:rsid w:val="696E4C28"/>
    <w:rsid w:val="6BAE591F"/>
    <w:rsid w:val="6C212F17"/>
    <w:rsid w:val="6C357913"/>
    <w:rsid w:val="6C4A05C8"/>
    <w:rsid w:val="6F045BE1"/>
    <w:rsid w:val="7057415E"/>
    <w:rsid w:val="70586DE5"/>
    <w:rsid w:val="710738E7"/>
    <w:rsid w:val="71F516A4"/>
    <w:rsid w:val="72734D90"/>
    <w:rsid w:val="72745794"/>
    <w:rsid w:val="72B9551E"/>
    <w:rsid w:val="739114A0"/>
    <w:rsid w:val="7417009B"/>
    <w:rsid w:val="745A0C28"/>
    <w:rsid w:val="750028E3"/>
    <w:rsid w:val="75687E10"/>
    <w:rsid w:val="75AF03EC"/>
    <w:rsid w:val="75D66777"/>
    <w:rsid w:val="76301610"/>
    <w:rsid w:val="76674BF7"/>
    <w:rsid w:val="76D5584B"/>
    <w:rsid w:val="76FA591A"/>
    <w:rsid w:val="77DF75A3"/>
    <w:rsid w:val="782E2161"/>
    <w:rsid w:val="7953350A"/>
    <w:rsid w:val="7A15649D"/>
    <w:rsid w:val="7A44297D"/>
    <w:rsid w:val="7A7F193A"/>
    <w:rsid w:val="7AA55022"/>
    <w:rsid w:val="7B807C5D"/>
    <w:rsid w:val="7D621A83"/>
    <w:rsid w:val="7DDA03B7"/>
    <w:rsid w:val="7DF36BA8"/>
    <w:rsid w:val="7E1119F1"/>
    <w:rsid w:val="7E3A4639"/>
    <w:rsid w:val="7EC50684"/>
    <w:rsid w:val="7FA4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24"/>
      <w:szCs w:val="2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5"/>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Strong"/>
    <w:qFormat/>
    <w:uiPriority w:val="99"/>
    <w:rPr>
      <w:rFonts w:cs="Times New Roman"/>
      <w:b/>
    </w:rPr>
  </w:style>
  <w:style w:type="character" w:styleId="16">
    <w:name w:val="Hyperlink"/>
    <w:unhideWhenUsed/>
    <w:qFormat/>
    <w:uiPriority w:val="99"/>
    <w:rPr>
      <w:rFonts w:cs="Times New Roman"/>
      <w:color w:val="0000FF"/>
      <w:u w:val="single"/>
    </w:rPr>
  </w:style>
  <w:style w:type="character" w:customStyle="1" w:styleId="17">
    <w:name w:val="标题 3 Char"/>
    <w:link w:val="4"/>
    <w:qFormat/>
    <w:locked/>
    <w:uiPriority w:val="9"/>
    <w:rPr>
      <w:rFonts w:ascii="Times New Roman" w:hAnsi="Times New Roman" w:cs="Times New Roman"/>
      <w:b/>
      <w:bCs/>
      <w:kern w:val="2"/>
      <w:sz w:val="32"/>
      <w:szCs w:val="32"/>
    </w:rPr>
  </w:style>
  <w:style w:type="character" w:customStyle="1" w:styleId="18">
    <w:name w:val="Footer Char"/>
    <w:semiHidden/>
    <w:qFormat/>
    <w:uiPriority w:val="99"/>
    <w:rPr>
      <w:rFonts w:ascii="Times New Roman" w:hAnsi="Times New Roman" w:cs="Times New Roman"/>
      <w:sz w:val="18"/>
      <w:szCs w:val="18"/>
    </w:rPr>
  </w:style>
  <w:style w:type="character" w:customStyle="1" w:styleId="19">
    <w:name w:val="页眉 Char"/>
    <w:link w:val="9"/>
    <w:semiHidden/>
    <w:qFormat/>
    <w:locked/>
    <w:uiPriority w:val="99"/>
    <w:rPr>
      <w:sz w:val="18"/>
    </w:rPr>
  </w:style>
  <w:style w:type="character" w:customStyle="1" w:styleId="20">
    <w:name w:val="Body Text Char"/>
    <w:semiHidden/>
    <w:qFormat/>
    <w:uiPriority w:val="99"/>
    <w:rPr>
      <w:rFonts w:ascii="Times New Roman" w:hAnsi="Times New Roman" w:cs="Times New Roman"/>
      <w:sz w:val="24"/>
      <w:szCs w:val="24"/>
    </w:rPr>
  </w:style>
  <w:style w:type="character" w:customStyle="1" w:styleId="21">
    <w:name w:val="页脚 Char"/>
    <w:link w:val="8"/>
    <w:qFormat/>
    <w:locked/>
    <w:uiPriority w:val="99"/>
    <w:rPr>
      <w:sz w:val="18"/>
    </w:rPr>
  </w:style>
  <w:style w:type="character" w:customStyle="1" w:styleId="22">
    <w:name w:val="Header Char"/>
    <w:semiHidden/>
    <w:qFormat/>
    <w:uiPriority w:val="99"/>
    <w:rPr>
      <w:rFonts w:ascii="Times New Roman" w:hAnsi="Times New Roman" w:cs="Times New Roman"/>
      <w:sz w:val="18"/>
      <w:szCs w:val="18"/>
    </w:rPr>
  </w:style>
  <w:style w:type="character" w:customStyle="1" w:styleId="23">
    <w:name w:val="正文文本 Char"/>
    <w:link w:val="5"/>
    <w:qFormat/>
    <w:locked/>
    <w:uiPriority w:val="99"/>
    <w:rPr>
      <w:rFonts w:ascii="仿宋_GB2312" w:hAnsi="Times New Roman" w:eastAsia="仿宋_GB2312"/>
      <w:sz w:val="24"/>
    </w:rPr>
  </w:style>
  <w:style w:type="character" w:customStyle="1" w:styleId="24">
    <w:name w:val="标题 1 Char"/>
    <w:link w:val="2"/>
    <w:qFormat/>
    <w:locked/>
    <w:uiPriority w:val="9"/>
    <w:rPr>
      <w:rFonts w:ascii="Times New Roman" w:hAnsi="Times New Roman" w:cs="Times New Roman"/>
      <w:b/>
      <w:bCs/>
      <w:kern w:val="44"/>
      <w:sz w:val="44"/>
      <w:szCs w:val="44"/>
    </w:rPr>
  </w:style>
  <w:style w:type="character" w:customStyle="1" w:styleId="25">
    <w:name w:val="批注框文本 Char"/>
    <w:link w:val="7"/>
    <w:semiHidden/>
    <w:qFormat/>
    <w:locked/>
    <w:uiPriority w:val="99"/>
    <w:rPr>
      <w:rFonts w:ascii="Times New Roman" w:hAnsi="Times New Roman" w:cs="Times New Roman"/>
      <w:kern w:val="2"/>
      <w:sz w:val="18"/>
      <w:szCs w:val="18"/>
    </w:rPr>
  </w:style>
  <w:style w:type="character" w:customStyle="1" w:styleId="26">
    <w:name w:val="标题 2 Char"/>
    <w:link w:val="3"/>
    <w:qFormat/>
    <w:locked/>
    <w:uiPriority w:val="9"/>
    <w:rPr>
      <w:rFonts w:ascii="Cambria" w:hAnsi="Cambria" w:eastAsia="宋体" w:cs="Times New Roman"/>
      <w:b/>
      <w:bCs/>
      <w:kern w:val="2"/>
      <w:sz w:val="32"/>
      <w:szCs w:val="32"/>
    </w:rPr>
  </w:style>
  <w:style w:type="paragraph" w:customStyle="1" w:styleId="27">
    <w:name w:val="列出段落1"/>
    <w:basedOn w:val="1"/>
    <w:qFormat/>
    <w:uiPriority w:val="34"/>
    <w:pPr>
      <w:ind w:firstLine="420" w:firstLineChars="200"/>
    </w:pPr>
  </w:style>
  <w:style w:type="paragraph" w:customStyle="1" w:styleId="28">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95746-34A9-40BC-9AD0-26B919D8BC2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36</Words>
  <Characters>44</Characters>
  <Lines>17</Lines>
  <Paragraphs>39</Paragraphs>
  <TotalTime>42</TotalTime>
  <ScaleCrop>false</ScaleCrop>
  <LinksUpToDate>false</LinksUpToDate>
  <CharactersWithSpaces>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2021-10-20T13:16:00Z</dcterms:created>
  <dc:creator>曹颖</dc:creator>
  <cp:lastModifiedBy>王茜</cp:lastModifiedBy>
  <cp:lastPrinted>2021-10-21T02:23:00Z</cp:lastPrinted>
  <dcterms:modified xsi:type="dcterms:W3CDTF">2025-03-17T07:31:50Z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48C413A13ABE4949A59ECB2853356133</vt:lpwstr>
  </property>
  <property fmtid="{D5CDD505-2E9C-101B-9397-08002B2CF9AE}" pid="4" name="KSOTemplateDocerSaveRecord">
    <vt:lpwstr>eyJoZGlkIjoiZGMzOTUxNTdlNzAwZjNjNzBiZjhjMDg1ODc4YTUwOTciLCJ1c2VySWQiOiIzNzc0MjU0NTQifQ==</vt:lpwstr>
  </property>
</Properties>
</file>