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7425"/>
      <w:bookmarkStart w:id="4" w:name="_Toc15377193"/>
      <w:bookmarkStart w:id="5" w:name="_Toc15378441"/>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598"/>
      <w:bookmarkStart w:id="7" w:name="_Toc15377426"/>
      <w:bookmarkStart w:id="8" w:name="_Toc15396476"/>
      <w:bookmarkStart w:id="9" w:name="_Toc15377194"/>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乐山市峨眉山市</w:t>
      </w:r>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lang w:eastAsia="zh-CN"/>
        </w:rPr>
        <w:t>人力资源和社会保障局</w:t>
      </w:r>
    </w:p>
    <w:p>
      <w:pPr>
        <w:adjustRightInd w:val="0"/>
        <w:snapToGrid w:val="0"/>
        <w:spacing w:line="360" w:lineRule="auto"/>
        <w:jc w:val="center"/>
        <w:outlineLvl w:val="0"/>
        <w:rPr>
          <w:rFonts w:hint="eastAsia"/>
          <w:sz w:val="24"/>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r>
        <w:rPr>
          <w:rFonts w:hint="eastAsia" w:ascii="方正小标宋简体" w:hAnsi="宋体" w:eastAsia="方正小标宋简体"/>
          <w:color w:val="000000"/>
          <w:sz w:val="72"/>
          <w:szCs w:val="72"/>
          <w:lang w:eastAsia="zh-CN"/>
        </w:rPr>
        <w:t>（本级）</w:t>
      </w:r>
      <w:r>
        <w:rPr>
          <w:rFonts w:ascii="方正小标宋简体" w:hAnsi="宋体" w:eastAsia="方正小标宋简体"/>
          <w:color w:val="000000"/>
          <w:sz w:val="36"/>
          <w:szCs w:val="36"/>
        </w:rPr>
        <w:br w:type="page"/>
      </w:r>
    </w:p>
    <w:sdt>
      <w:sdtPr>
        <w:rPr>
          <w:rFonts w:ascii="宋体" w:hAnsi="宋体" w:eastAsia="宋体" w:cs="Times New Roman"/>
          <w:kern w:val="2"/>
          <w:sz w:val="21"/>
          <w:szCs w:val="24"/>
          <w:lang w:val="en-US" w:eastAsia="zh-CN" w:bidi="ar-SA"/>
        </w:rPr>
        <w:id w:val="147482145"/>
        <w:docPartObj>
          <w:docPartGallery w:val="Table of Contents"/>
          <w:docPartUnique/>
        </w:docPartObj>
      </w:sdtPr>
      <w:sdtEndPr>
        <w:rPr>
          <w:rFonts w:ascii="Calibri" w:hAnsi="Calibri" w:eastAsia="宋体" w:cs="Times New Roman"/>
          <w:kern w:val="2"/>
          <w:sz w:val="20"/>
          <w:szCs w:val="20"/>
          <w:lang w:val="en-US" w:eastAsia="zh-CN" w:bidi="ar-SA"/>
        </w:rPr>
      </w:sdtEndPr>
      <w:sdtContent>
        <w:p>
          <w:pPr>
            <w:widowControl/>
            <w:jc w:val="center"/>
            <w:rPr>
              <w:rFonts w:ascii="黑体" w:hAnsi="黑体" w:eastAsia="黑体"/>
              <w:color w:val="000000"/>
              <w:sz w:val="48"/>
              <w:szCs w:val="48"/>
            </w:rPr>
          </w:pPr>
          <w:bookmarkStart w:id="12" w:name="_Toc28274_WPSOffice_Type2"/>
          <w:r>
            <w:rPr>
              <w:rFonts w:hint="eastAsia" w:ascii="黑体" w:hAnsi="黑体" w:eastAsia="黑体"/>
              <w:color w:val="000000"/>
              <w:sz w:val="48"/>
              <w:szCs w:val="48"/>
            </w:rPr>
            <w:t>目录</w:t>
          </w:r>
        </w:p>
        <w:p>
          <w:pPr>
            <w:widowControl/>
            <w:jc w:val="center"/>
            <w:rPr>
              <w:rFonts w:hint="eastAsia" w:ascii="仿宋" w:hAnsi="仿宋" w:eastAsia="仿宋" w:cs="仿宋"/>
              <w:sz w:val="28"/>
              <w:szCs w:val="28"/>
            </w:rPr>
          </w:pPr>
        </w:p>
        <w:p>
          <w:pPr>
            <w:pStyle w:val="12"/>
          </w:pPr>
          <w:r>
            <w:rPr>
              <w:rFonts w:hint="eastAsia"/>
            </w:rPr>
            <w:t>公开时间：</w:t>
          </w:r>
          <w: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pPr>
            <w:spacing w:before="0" w:beforeLines="0" w:after="0" w:afterLines="0" w:line="240" w:lineRule="auto"/>
            <w:ind w:left="0" w:leftChars="0" w:right="0" w:rightChars="0" w:firstLine="0" w:firstLineChars="0"/>
            <w:jc w:val="center"/>
          </w:pPr>
        </w:p>
        <w:p>
          <w:pPr>
            <w:pStyle w:val="2"/>
          </w:pPr>
        </w:p>
        <w:p>
          <w:pPr>
            <w:pStyle w:val="33"/>
            <w:tabs>
              <w:tab w:val="right" w:leader="dot" w:pos="8306"/>
            </w:tabs>
          </w:pPr>
          <w:r>
            <w:rPr>
              <w:b/>
              <w:bCs/>
            </w:rPr>
            <w:fldChar w:fldCharType="begin"/>
          </w:r>
          <w:r>
            <w:instrText xml:space="preserve"> HYPERLINK \l _Toc25640_WPSOffice_Level1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2145"/>
              <w:placeholder>
                <w:docPart w:val="{37438e58-0874-446b-828e-1f787c96b5d5}"/>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heme="majorBidi"/>
                  <w:b/>
                  <w:bCs/>
                </w:rPr>
                <w:t>第一部分 部门概况</w:t>
              </w:r>
            </w:sdtContent>
          </w:sdt>
          <w:r>
            <w:rPr>
              <w:b/>
              <w:bCs/>
            </w:rPr>
            <w:tab/>
          </w:r>
          <w:r>
            <w:rPr>
              <w:rFonts w:hint="eastAsia"/>
              <w:b/>
              <w:bCs/>
              <w:lang w:val="en-US" w:eastAsia="zh-CN"/>
            </w:rPr>
            <w:t>3</w:t>
          </w:r>
          <w:r>
            <w:rPr>
              <w:b/>
              <w:bCs/>
            </w:rPr>
            <w:fldChar w:fldCharType="end"/>
          </w:r>
        </w:p>
        <w:p>
          <w:pPr>
            <w:pStyle w:val="34"/>
            <w:tabs>
              <w:tab w:val="right" w:leader="dot" w:pos="8306"/>
            </w:tabs>
          </w:pPr>
          <w:r>
            <w:fldChar w:fldCharType="begin"/>
          </w:r>
          <w:r>
            <w:instrText xml:space="preserve"> HYPERLINK \l _Toc28274_WPSOffice_Level2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065f7ad5-b35b-4f39-be60-4aba6c595dc3}"/>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一、基本职能及主要工作</w:t>
              </w:r>
            </w:sdtContent>
          </w:sdt>
          <w:r>
            <w:tab/>
          </w:r>
          <w:r>
            <w:rPr>
              <w:rFonts w:hint="eastAsia"/>
              <w:lang w:val="en-US" w:eastAsia="zh-CN"/>
            </w:rPr>
            <w:t>3</w:t>
          </w:r>
          <w:r>
            <w:fldChar w:fldCharType="end"/>
          </w:r>
        </w:p>
        <w:p>
          <w:pPr>
            <w:pStyle w:val="34"/>
            <w:tabs>
              <w:tab w:val="right" w:leader="dot" w:pos="8306"/>
            </w:tabs>
          </w:pPr>
          <w:r>
            <w:fldChar w:fldCharType="begin"/>
          </w:r>
          <w:r>
            <w:instrText xml:space="preserve"> HYPERLINK \l _Toc8186_WPSOffice_Level2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c2b99477-8032-4123-9750-7154b942840f}"/>
              </w:placeholder>
            </w:sdtPr>
            <w:sdtEndPr>
              <w:rPr>
                <w:rFonts w:ascii="Times New Roman" w:hAnsi="Times New Roman" w:eastAsia="宋体" w:cs="Times New Roman"/>
                <w:kern w:val="2"/>
                <w:sz w:val="21"/>
                <w:szCs w:val="24"/>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r>
            <w:rPr>
              <w:rFonts w:hint="eastAsia"/>
              <w:lang w:val="en-US" w:eastAsia="zh-CN"/>
            </w:rPr>
            <w:t>5</w:t>
          </w:r>
          <w:r>
            <w:fldChar w:fldCharType="end"/>
          </w:r>
        </w:p>
        <w:p>
          <w:pPr>
            <w:pStyle w:val="33"/>
            <w:tabs>
              <w:tab w:val="right" w:leader="dot" w:pos="8306"/>
            </w:tabs>
          </w:pPr>
          <w:r>
            <w:rPr>
              <w:b/>
              <w:bCs/>
            </w:rPr>
            <w:fldChar w:fldCharType="begin"/>
          </w:r>
          <w:r>
            <w:instrText xml:space="preserve"> HYPERLINK \l _Toc28274_WPSOffice_Level1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2145"/>
              <w:placeholder>
                <w:docPart w:val="{d0582419-c12c-42ee-9f66-a881260fbb67}"/>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heme="majorBidi"/>
                  <w:b/>
                  <w:bCs/>
                </w:rPr>
                <w:t>第二部分 2020年度部门决算情况说明</w:t>
              </w:r>
            </w:sdtContent>
          </w:sdt>
          <w:r>
            <w:rPr>
              <w:b/>
              <w:bCs/>
            </w:rPr>
            <w:tab/>
          </w:r>
          <w:r>
            <w:rPr>
              <w:rFonts w:hint="eastAsia"/>
              <w:b/>
              <w:bCs/>
              <w:lang w:val="en-US" w:eastAsia="zh-CN"/>
            </w:rPr>
            <w:t>6</w:t>
          </w:r>
          <w:r>
            <w:rPr>
              <w:b/>
              <w:bCs/>
            </w:rPr>
            <w:fldChar w:fldCharType="end"/>
          </w:r>
        </w:p>
        <w:p>
          <w:pPr>
            <w:pStyle w:val="34"/>
            <w:tabs>
              <w:tab w:val="right" w:leader="dot" w:pos="8306"/>
            </w:tabs>
          </w:pPr>
          <w:r>
            <w:fldChar w:fldCharType="begin"/>
          </w:r>
          <w:r>
            <w:instrText xml:space="preserve"> HYPERLINK \l _Toc16905_WPSOffice_Level2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d17290d8-ba0e-4936-9d7f-c676a2365575}"/>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r>
            <w:rPr>
              <w:rFonts w:hint="eastAsia"/>
              <w:lang w:val="en-US" w:eastAsia="zh-CN"/>
            </w:rPr>
            <w:t>6</w:t>
          </w:r>
          <w:r>
            <w:fldChar w:fldCharType="end"/>
          </w:r>
        </w:p>
        <w:p>
          <w:pPr>
            <w:pStyle w:val="34"/>
            <w:tabs>
              <w:tab w:val="right" w:leader="dot" w:pos="8306"/>
            </w:tabs>
          </w:pPr>
          <w:r>
            <w:fldChar w:fldCharType="begin"/>
          </w:r>
          <w:r>
            <w:instrText xml:space="preserve"> HYPERLINK \l _Toc3739_WPSOffice_Level2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62790b34-4184-427c-b268-04e28d443254}"/>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r>
            <w:rPr>
              <w:rFonts w:hint="eastAsia"/>
              <w:lang w:val="en-US" w:eastAsia="zh-CN"/>
            </w:rPr>
            <w:t>6</w:t>
          </w:r>
          <w:r>
            <w:fldChar w:fldCharType="end"/>
          </w:r>
        </w:p>
        <w:p>
          <w:pPr>
            <w:pStyle w:val="34"/>
            <w:tabs>
              <w:tab w:val="right" w:leader="dot" w:pos="8306"/>
            </w:tabs>
          </w:pPr>
          <w:r>
            <w:fldChar w:fldCharType="begin"/>
          </w:r>
          <w:r>
            <w:instrText xml:space="preserve"> HYPERLINK \l _Toc19610_WPSOffice_Level2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07aaf0c1-95e3-422b-886f-1f11e2e274f6}"/>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r>
            <w:rPr>
              <w:rFonts w:hint="eastAsia"/>
              <w:lang w:val="en-US" w:eastAsia="zh-CN"/>
            </w:rPr>
            <w:t>7</w:t>
          </w:r>
          <w:r>
            <w:fldChar w:fldCharType="end"/>
          </w:r>
        </w:p>
        <w:p>
          <w:pPr>
            <w:pStyle w:val="34"/>
            <w:tabs>
              <w:tab w:val="right" w:leader="dot" w:pos="8306"/>
            </w:tabs>
          </w:pPr>
          <w:r>
            <w:fldChar w:fldCharType="begin"/>
          </w:r>
          <w:r>
            <w:instrText xml:space="preserve"> HYPERLINK \l _Toc13228_WPSOffice_Level2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08341593-ff58-4d00-bd66-8afd238db58e}"/>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r>
            <w:rPr>
              <w:rFonts w:hint="eastAsia"/>
              <w:lang w:val="en-US" w:eastAsia="zh-CN"/>
            </w:rPr>
            <w:t>8</w:t>
          </w:r>
          <w:r>
            <w:fldChar w:fldCharType="end"/>
          </w:r>
        </w:p>
        <w:p>
          <w:pPr>
            <w:pStyle w:val="34"/>
            <w:tabs>
              <w:tab w:val="right" w:leader="dot" w:pos="8306"/>
            </w:tabs>
          </w:pPr>
          <w:r>
            <w:fldChar w:fldCharType="begin"/>
          </w:r>
          <w:r>
            <w:instrText xml:space="preserve"> HYPERLINK \l _Toc14006_WPSOffice_Level2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ecd4e692-f789-472c-a377-d73d1b1e1433}"/>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r>
            <w:rPr>
              <w:rFonts w:hint="eastAsia"/>
              <w:lang w:val="en-US" w:eastAsia="zh-CN"/>
            </w:rPr>
            <w:t>8</w:t>
          </w:r>
          <w:r>
            <w:fldChar w:fldCharType="end"/>
          </w:r>
        </w:p>
        <w:p>
          <w:pPr>
            <w:pStyle w:val="34"/>
            <w:tabs>
              <w:tab w:val="right" w:leader="dot" w:pos="8306"/>
            </w:tabs>
            <w:rPr>
              <w:rFonts w:hint="eastAsia" w:eastAsia="宋体"/>
              <w:lang w:val="en-US" w:eastAsia="zh-CN"/>
            </w:rPr>
          </w:pPr>
          <w:r>
            <w:fldChar w:fldCharType="begin"/>
          </w:r>
          <w:r>
            <w:instrText xml:space="preserve"> HYPERLINK \l _Toc29320_WPSOffice_Level2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b31cbc5c-ca5b-43c9-83dc-1c257a50f202}"/>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r>
            <w:rPr>
              <w:rFonts w:hint="eastAsia"/>
              <w:lang w:val="en-US" w:eastAsia="zh-CN"/>
            </w:rPr>
            <w:t>1</w:t>
          </w:r>
          <w:r>
            <w:fldChar w:fldCharType="end"/>
          </w:r>
          <w:r>
            <w:rPr>
              <w:rFonts w:hint="eastAsia"/>
              <w:lang w:val="en-US" w:eastAsia="zh-CN"/>
            </w:rPr>
            <w:t>0</w:t>
          </w:r>
        </w:p>
        <w:p>
          <w:pPr>
            <w:pStyle w:val="34"/>
            <w:tabs>
              <w:tab w:val="right" w:leader="dot" w:pos="8306"/>
            </w:tabs>
          </w:pPr>
          <w:r>
            <w:fldChar w:fldCharType="begin"/>
          </w:r>
          <w:r>
            <w:instrText xml:space="preserve"> HYPERLINK \l _Toc26414_WPSOffice_Level2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965100a8-053a-4262-bd34-2bb8162e6cc7}"/>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13" w:name="_Toc26414_WPSOffice_Level2Page"/>
          <w:r>
            <w:t>1</w:t>
          </w:r>
          <w:bookmarkEnd w:id="13"/>
          <w:r>
            <w:rPr>
              <w:rFonts w:hint="eastAsia"/>
              <w:lang w:val="en-US" w:eastAsia="zh-CN"/>
            </w:rPr>
            <w:t>1</w:t>
          </w:r>
          <w:r>
            <w:fldChar w:fldCharType="end"/>
          </w:r>
        </w:p>
        <w:p>
          <w:pPr>
            <w:pStyle w:val="34"/>
            <w:tabs>
              <w:tab w:val="right" w:leader="dot" w:pos="8306"/>
            </w:tabs>
          </w:pPr>
          <w:r>
            <w:fldChar w:fldCharType="begin"/>
          </w:r>
          <w:r>
            <w:instrText xml:space="preserve"> HYPERLINK \l _Toc27670_WPSOffice_Level2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bfabac02-bf19-496f-8c9b-cffd7db999de}"/>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14" w:name="_Toc27670_WPSOffice_Level2Page"/>
          <w:r>
            <w:t>1</w:t>
          </w:r>
          <w:bookmarkEnd w:id="14"/>
          <w:r>
            <w:rPr>
              <w:rFonts w:hint="eastAsia"/>
              <w:lang w:val="en-US" w:eastAsia="zh-CN"/>
            </w:rPr>
            <w:t>3</w:t>
          </w:r>
          <w:r>
            <w:fldChar w:fldCharType="end"/>
          </w:r>
        </w:p>
        <w:p>
          <w:pPr>
            <w:pStyle w:val="34"/>
            <w:tabs>
              <w:tab w:val="right" w:leader="dot" w:pos="8306"/>
            </w:tabs>
          </w:pPr>
          <w:r>
            <w:fldChar w:fldCharType="begin"/>
          </w:r>
          <w:r>
            <w:instrText xml:space="preserve"> HYPERLINK \l _Toc25413_WPSOffice_Level2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00a3b430-0e64-4f1c-8549-0eb79272a39d}"/>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15" w:name="_Toc25413_WPSOffice_Level2Page"/>
          <w:r>
            <w:t>1</w:t>
          </w:r>
          <w:bookmarkEnd w:id="15"/>
          <w:r>
            <w:rPr>
              <w:rFonts w:hint="eastAsia"/>
              <w:lang w:val="en-US" w:eastAsia="zh-CN"/>
            </w:rPr>
            <w:t>3</w:t>
          </w:r>
          <w:r>
            <w:fldChar w:fldCharType="end"/>
          </w:r>
        </w:p>
        <w:p>
          <w:pPr>
            <w:pStyle w:val="34"/>
            <w:tabs>
              <w:tab w:val="right" w:leader="dot" w:pos="8306"/>
            </w:tabs>
          </w:pPr>
          <w:r>
            <w:fldChar w:fldCharType="begin"/>
          </w:r>
          <w:r>
            <w:instrText xml:space="preserve"> HYPERLINK \l _Toc8376_WPSOffice_Level2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6bd9724a-db64-4337-8701-d2cd5bec07b9}"/>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16" w:name="_Toc8376_WPSOffice_Level2Page"/>
          <w:r>
            <w:t>1</w:t>
          </w:r>
          <w:bookmarkEnd w:id="16"/>
          <w:r>
            <w:rPr>
              <w:rFonts w:hint="eastAsia"/>
              <w:lang w:val="en-US" w:eastAsia="zh-CN"/>
            </w:rPr>
            <w:t>3</w:t>
          </w:r>
          <w:r>
            <w:fldChar w:fldCharType="end"/>
          </w:r>
        </w:p>
        <w:p>
          <w:pPr>
            <w:pStyle w:val="33"/>
            <w:tabs>
              <w:tab w:val="right" w:leader="dot" w:pos="8306"/>
            </w:tabs>
          </w:pPr>
          <w:r>
            <w:rPr>
              <w:b/>
              <w:bCs/>
            </w:rPr>
            <w:fldChar w:fldCharType="begin"/>
          </w:r>
          <w:r>
            <w:instrText xml:space="preserve"> HYPERLINK \l _Toc8186_WPSOffice_Level1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2145"/>
              <w:placeholder>
                <w:docPart w:val="{7628da6e-5f2b-48eb-aa56-a65188d5b512}"/>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第三部分 名词解释</w:t>
              </w:r>
            </w:sdtContent>
          </w:sdt>
          <w:r>
            <w:rPr>
              <w:b/>
              <w:bCs/>
            </w:rPr>
            <w:tab/>
          </w:r>
          <w:bookmarkStart w:id="17" w:name="_Toc8186_WPSOffice_Level1Page"/>
          <w:r>
            <w:rPr>
              <w:b/>
              <w:bCs/>
            </w:rPr>
            <w:t>2</w:t>
          </w:r>
          <w:bookmarkEnd w:id="17"/>
          <w:r>
            <w:rPr>
              <w:rFonts w:hint="eastAsia"/>
              <w:b/>
              <w:bCs/>
              <w:lang w:val="en-US" w:eastAsia="zh-CN"/>
            </w:rPr>
            <w:t>2</w:t>
          </w:r>
          <w:r>
            <w:rPr>
              <w:b/>
              <w:bCs/>
            </w:rPr>
            <w:fldChar w:fldCharType="end"/>
          </w:r>
        </w:p>
        <w:p>
          <w:pPr>
            <w:pStyle w:val="33"/>
            <w:tabs>
              <w:tab w:val="right" w:leader="dot" w:pos="8306"/>
            </w:tabs>
          </w:pPr>
          <w:r>
            <w:rPr>
              <w:b/>
              <w:bCs/>
            </w:rPr>
            <w:fldChar w:fldCharType="begin"/>
          </w:r>
          <w:r>
            <w:instrText xml:space="preserve"> HYPERLINK \l _Toc16905_WPSOffice_Level1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2145"/>
              <w:placeholder>
                <w:docPart w:val="{072ff9b2-08a4-4dc0-bae4-a72799d49205}"/>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第四部分 附件</w:t>
              </w:r>
            </w:sdtContent>
          </w:sdt>
          <w:r>
            <w:rPr>
              <w:b/>
              <w:bCs/>
            </w:rPr>
            <w:tab/>
          </w:r>
          <w:bookmarkStart w:id="18" w:name="_Toc16905_WPSOffice_Level1Page"/>
          <w:r>
            <w:rPr>
              <w:b/>
              <w:bCs/>
            </w:rPr>
            <w:t>2</w:t>
          </w:r>
          <w:bookmarkEnd w:id="18"/>
          <w:r>
            <w:rPr>
              <w:rFonts w:hint="eastAsia"/>
              <w:b/>
              <w:bCs/>
              <w:lang w:val="en-US" w:eastAsia="zh-CN"/>
            </w:rPr>
            <w:t>5</w:t>
          </w:r>
          <w:r>
            <w:rPr>
              <w:b/>
              <w:bCs/>
            </w:rPr>
            <w:fldChar w:fldCharType="end"/>
          </w:r>
        </w:p>
        <w:p>
          <w:pPr>
            <w:pStyle w:val="34"/>
            <w:tabs>
              <w:tab w:val="right" w:leader="dot" w:pos="8306"/>
            </w:tabs>
          </w:pPr>
          <w:r>
            <w:fldChar w:fldCharType="begin"/>
          </w:r>
          <w:r>
            <w:instrText xml:space="preserve"> HYPERLINK \l _Toc27001_WPSOffice_Level2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19e1d936-bca2-4f9b-b710-9c7448107fc4}"/>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lang w:eastAsia="zh-CN"/>
                </w:rPr>
                <w:t>附件</w:t>
              </w:r>
              <w:r>
                <w:rPr>
                  <w:rFonts w:hint="eastAsia" w:ascii="黑体" w:hAnsi="宋体" w:eastAsia="黑体" w:cs="宋体"/>
                  <w:lang w:val="en-US" w:eastAsia="zh-CN"/>
                </w:rPr>
                <w:t>1</w:t>
              </w:r>
            </w:sdtContent>
          </w:sdt>
          <w:r>
            <w:tab/>
          </w:r>
          <w:bookmarkStart w:id="19" w:name="_Toc27001_WPSOffice_Level2Page"/>
          <w:r>
            <w:t>2</w:t>
          </w:r>
          <w:bookmarkEnd w:id="19"/>
          <w:r>
            <w:rPr>
              <w:rFonts w:hint="eastAsia"/>
              <w:lang w:val="en-US" w:eastAsia="zh-CN"/>
            </w:rPr>
            <w:t>5</w:t>
          </w:r>
          <w:r>
            <w:fldChar w:fldCharType="end"/>
          </w:r>
        </w:p>
        <w:p>
          <w:pPr>
            <w:pStyle w:val="34"/>
            <w:tabs>
              <w:tab w:val="right" w:leader="dot" w:pos="8306"/>
            </w:tabs>
            <w:rPr>
              <w:rFonts w:hint="eastAsia" w:eastAsia="宋体"/>
              <w:lang w:val="en-US" w:eastAsia="zh-CN"/>
            </w:rPr>
          </w:pPr>
          <w:r>
            <w:fldChar w:fldCharType="begin"/>
          </w:r>
          <w:r>
            <w:instrText xml:space="preserve"> HYPERLINK \l _Toc23402_WPSOffice_Level2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7fc35ed3-35e0-4660-9394-da81197a6fc0}"/>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lang w:eastAsia="zh-CN"/>
                </w:rPr>
                <w:t>附件</w:t>
              </w:r>
              <w:r>
                <w:rPr>
                  <w:rFonts w:hint="eastAsia" w:ascii="黑体" w:hAnsi="宋体" w:eastAsia="黑体" w:cs="宋体"/>
                  <w:lang w:val="en-US" w:eastAsia="zh-CN"/>
                </w:rPr>
                <w:t>2</w:t>
              </w:r>
            </w:sdtContent>
          </w:sdt>
          <w:r>
            <w:tab/>
          </w:r>
          <w:r>
            <w:rPr>
              <w:rFonts w:hint="eastAsia"/>
              <w:lang w:val="en-US" w:eastAsia="zh-CN"/>
            </w:rPr>
            <w:t>29</w:t>
          </w:r>
          <w:r>
            <w:fldChar w:fldCharType="end"/>
          </w:r>
        </w:p>
        <w:p>
          <w:pPr>
            <w:pStyle w:val="33"/>
            <w:tabs>
              <w:tab w:val="right" w:leader="dot" w:pos="8306"/>
            </w:tabs>
            <w:rPr>
              <w:rFonts w:hint="eastAsia" w:eastAsia="宋体"/>
              <w:lang w:val="en-US" w:eastAsia="zh-CN"/>
            </w:rPr>
          </w:pPr>
          <w:r>
            <w:rPr>
              <w:b/>
              <w:bCs/>
            </w:rPr>
            <w:fldChar w:fldCharType="begin"/>
          </w:r>
          <w:r>
            <w:instrText xml:space="preserve"> HYPERLINK \l _Toc3739_WPSOffice_Level1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2145"/>
              <w:placeholder>
                <w:docPart w:val="{f30358d3-a89a-498a-9e94-83551ecd957a}"/>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第五部分 附表</w:t>
              </w:r>
            </w:sdtContent>
          </w:sdt>
          <w:r>
            <w:rPr>
              <w:b/>
              <w:bCs/>
            </w:rPr>
            <w:tab/>
          </w:r>
          <w:r>
            <w:rPr>
              <w:rFonts w:hint="eastAsia"/>
              <w:b/>
              <w:bCs/>
              <w:lang w:val="en-US" w:eastAsia="zh-CN"/>
            </w:rPr>
            <w:t>3</w:t>
          </w:r>
          <w:r>
            <w:rPr>
              <w:b/>
              <w:bCs/>
            </w:rPr>
            <w:fldChar w:fldCharType="end"/>
          </w:r>
          <w:r>
            <w:rPr>
              <w:rFonts w:hint="eastAsia"/>
              <w:b/>
              <w:bCs/>
              <w:lang w:val="en-US" w:eastAsia="zh-CN"/>
            </w:rPr>
            <w:t>9</w:t>
          </w:r>
        </w:p>
        <w:p>
          <w:pPr>
            <w:pStyle w:val="34"/>
            <w:tabs>
              <w:tab w:val="right" w:leader="dot" w:pos="8306"/>
            </w:tabs>
            <w:rPr>
              <w:rFonts w:hint="eastAsia" w:eastAsia="宋体"/>
              <w:lang w:val="en-US" w:eastAsia="zh-CN"/>
            </w:rPr>
          </w:pPr>
          <w:r>
            <w:fldChar w:fldCharType="begin"/>
          </w:r>
          <w:r>
            <w:instrText xml:space="preserve"> HYPERLINK \l _Toc7350_WPSOffice_Level2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79a018a0-2bba-4c48-91ab-76d7bc00fac8}"/>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_Toc14401_WPSOffice_Level2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359888fb-5ad5-4629-90f3-d0e4968d284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_Toc11192_WPSOffice_Level2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c4a91268-60a1-438a-9e6c-acc14b6eb7f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_Toc26304_WPSOffice_Level2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15ae8815-b67a-475b-9efe-0f26a4190c80}"/>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_Toc32335_WPSOffice_Level2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b4827ab1-3207-4929-b0c9-c99c411ccddb}"/>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_Toc731_WPSOffice_Level2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0fd159c5-c88c-40ba-87a4-143f984bd5e5}"/>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_Toc25597_WPSOffice_Level2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80567d2a-e769-4230-83eb-4e669de3e0f2}"/>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_Toc17146_WPSOffice_Level2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8761f8a3-bcb9-4e3b-833d-e8f7d727ed9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_Toc29383_WPSOffice_Level2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68d7dcb4-b4a9-4b63-a12d-557607c9a3e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_Toc16711_WPSOffice_Level2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90ddf160-fe60-4677-b2c1-b686d05ae469}"/>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十、一般公共预算财政拨款“三公”经费支出决算表</w:t>
              </w:r>
            </w:sdtContent>
          </w:sdt>
          <w:r>
            <w:tab/>
          </w:r>
          <w:bookmarkStart w:id="154" w:name="_GoBack"/>
          <w:bookmarkEnd w:id="154"/>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_Toc12164_WPSOffice_Level2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be7bc540-a671-4773-bcd5-73ce866f2f66}"/>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十一、政府性基金预算财政拨款收入支出决算表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_Toc15683_WPSOffice_Level2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bc70d963-bfbe-4954-8062-de730fd24363}"/>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十二、政府性基金预算财政拨款“三公”经费支出决算表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rPr>
              <w:rFonts w:hint="eastAsia" w:eastAsia="宋体"/>
              <w:lang w:val="en-US" w:eastAsia="zh-CN"/>
            </w:rPr>
          </w:pPr>
          <w:r>
            <w:fldChar w:fldCharType="begin"/>
          </w:r>
          <w:r>
            <w:instrText xml:space="preserve"> HYPERLINK \l _Toc6545_WPSOffice_Level2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e3346777-f8d8-4e96-b823-979b946f2f61}"/>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十三、国有资本经营预算财政拨款收入支出决算表</w:t>
              </w:r>
            </w:sdtContent>
          </w:sdt>
          <w:r>
            <w:tab/>
          </w:r>
          <w:r>
            <w:rPr>
              <w:rFonts w:hint="eastAsia"/>
              <w:lang w:val="en-US" w:eastAsia="zh-CN"/>
            </w:rPr>
            <w:t>3</w:t>
          </w:r>
          <w:r>
            <w:fldChar w:fldCharType="end"/>
          </w:r>
          <w:r>
            <w:rPr>
              <w:rFonts w:hint="eastAsia"/>
              <w:lang w:val="en-US" w:eastAsia="zh-CN"/>
            </w:rPr>
            <w:t>9</w:t>
          </w:r>
        </w:p>
        <w:p>
          <w:pPr>
            <w:pStyle w:val="34"/>
            <w:tabs>
              <w:tab w:val="right" w:leader="dot" w:pos="8306"/>
            </w:tabs>
          </w:pPr>
          <w:r>
            <w:fldChar w:fldCharType="begin"/>
          </w:r>
          <w:r>
            <w:instrText xml:space="preserve"> HYPERLINK \l _Toc1845_WPSOffice_Level2 </w:instrText>
          </w:r>
          <w:r>
            <w:fldChar w:fldCharType="separate"/>
          </w:r>
          <w:sdt>
            <w:sdtPr>
              <w:rPr>
                <w:rFonts w:ascii="Times New Roman" w:hAnsi="Times New Roman" w:eastAsia="宋体" w:cs="Times New Roman"/>
                <w:kern w:val="2"/>
                <w:sz w:val="21"/>
                <w:szCs w:val="24"/>
                <w:lang w:val="en-US" w:eastAsia="zh-CN" w:bidi="ar-SA"/>
              </w:rPr>
              <w:id w:val="147482145"/>
              <w:placeholder>
                <w:docPart w:val="{b0f11c72-de26-4b49-b448-6c911d745f7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十四、国有资本经营预算财政拨款支出决算表</w:t>
              </w:r>
            </w:sdtContent>
          </w:sdt>
          <w:r>
            <w:tab/>
          </w:r>
          <w:r>
            <w:rPr>
              <w:rFonts w:hint="eastAsia"/>
              <w:lang w:val="en-US" w:eastAsia="zh-CN"/>
            </w:rPr>
            <w:t>3</w:t>
          </w:r>
          <w:r>
            <w:fldChar w:fldCharType="end"/>
          </w:r>
          <w:bookmarkEnd w:id="12"/>
          <w:r>
            <w:rPr>
              <w:rFonts w:hint="eastAsia"/>
              <w:lang w:val="en-US" w:eastAsia="zh-CN"/>
            </w:rPr>
            <w:t>9</w:t>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outlineLvl w:val="0"/>
        <w:rPr>
          <w:rStyle w:val="27"/>
          <w:rFonts w:ascii="黑体" w:hAnsi="黑体" w:eastAsia="黑体"/>
          <w:b/>
          <w:bCs w:val="0"/>
        </w:rPr>
      </w:pPr>
      <w:bookmarkStart w:id="20" w:name="_Toc25640_WPSOffice_Level1"/>
      <w:r>
        <w:rPr>
          <w:rFonts w:hint="eastAsia" w:ascii="黑体" w:hAnsi="黑体" w:eastAsia="黑体"/>
          <w:b w:val="0"/>
        </w:rPr>
        <w:t xml:space="preserve">第一部分 </w:t>
      </w:r>
      <w:r>
        <w:rPr>
          <w:rStyle w:val="27"/>
          <w:rFonts w:hint="eastAsia" w:ascii="黑体" w:hAnsi="黑体" w:eastAsia="黑体"/>
          <w:b w:val="0"/>
          <w:bCs w:val="0"/>
        </w:rPr>
        <w:t>部门概况</w:t>
      </w:r>
      <w:bookmarkEnd w:id="20"/>
    </w:p>
    <w:p>
      <w:pPr>
        <w:widowControl/>
        <w:jc w:val="left"/>
        <w:rPr>
          <w:rFonts w:ascii="黑体" w:eastAsia="黑体"/>
          <w:color w:val="000000"/>
          <w:sz w:val="32"/>
          <w:szCs w:val="32"/>
        </w:rPr>
      </w:pPr>
    </w:p>
    <w:p>
      <w:pPr>
        <w:pStyle w:val="5"/>
        <w:rPr>
          <w:rStyle w:val="28"/>
          <w:rFonts w:ascii="仿宋" w:hAnsi="仿宋" w:eastAsia="仿宋"/>
          <w:b w:val="0"/>
          <w:bCs w:val="0"/>
        </w:rPr>
      </w:pPr>
      <w:bookmarkStart w:id="21" w:name="_Toc28274_WPSOffice_Level2"/>
      <w:bookmarkStart w:id="22" w:name="_Toc15377197"/>
      <w:bookmarkStart w:id="23" w:name="_Toc15396600"/>
      <w:r>
        <w:rPr>
          <w:rFonts w:hint="eastAsia" w:ascii="黑体" w:hAnsi="黑体" w:eastAsia="黑体"/>
          <w:b w:val="0"/>
          <w:color w:val="000000"/>
        </w:rPr>
        <w:t>一、基</w:t>
      </w:r>
      <w:r>
        <w:rPr>
          <w:rStyle w:val="28"/>
          <w:rFonts w:hint="eastAsia" w:ascii="黑体" w:hAnsi="黑体" w:eastAsia="黑体"/>
          <w:b w:val="0"/>
          <w:bCs w:val="0"/>
        </w:rPr>
        <w:t>本职能及主要工作</w:t>
      </w:r>
      <w:bookmarkEnd w:id="21"/>
      <w:bookmarkEnd w:id="22"/>
      <w:bookmarkEnd w:id="23"/>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4" w:name="_Toc15378445"/>
      <w:bookmarkStart w:id="25" w:name="_Toc15377198"/>
      <w:r>
        <w:rPr>
          <w:rFonts w:hint="eastAsia" w:ascii="仿宋" w:hAnsi="仿宋" w:eastAsia="仿宋"/>
          <w:bCs/>
          <w:color w:val="000000"/>
          <w:sz w:val="32"/>
          <w:szCs w:val="32"/>
        </w:rPr>
        <w:t>（一）主要职能。</w:t>
      </w:r>
      <w:bookmarkEnd w:id="24"/>
      <w:bookmarkEnd w:id="25"/>
      <w:bookmarkStart w:id="26" w:name="_Toc15377199"/>
      <w:bookmarkStart w:id="27" w:name="_Toc15378446"/>
    </w:p>
    <w:p>
      <w:pPr>
        <w:pStyle w:val="7"/>
        <w:adjustRightInd w:val="0"/>
        <w:snapToGrid w:val="0"/>
        <w:spacing w:before="93" w:line="600" w:lineRule="exact"/>
        <w:ind w:firstLine="672" w:firstLineChars="210"/>
        <w:outlineLvl w:val="2"/>
        <w:rPr>
          <w:rFonts w:hint="eastAsia"/>
          <w:sz w:val="32"/>
          <w:szCs w:val="32"/>
          <w:lang w:val="en-US" w:eastAsia="zh-CN"/>
        </w:rPr>
      </w:pPr>
      <w:r>
        <w:rPr>
          <w:rFonts w:ascii="仿宋_GB2312" w:eastAsia="仿宋_GB2312"/>
          <w:sz w:val="32"/>
          <w:szCs w:val="32"/>
        </w:rPr>
        <w:t>1</w:t>
      </w:r>
      <w:r>
        <w:rPr>
          <w:rFonts w:hint="eastAsia" w:ascii="仿宋_GB2312" w:eastAsia="仿宋_GB2312"/>
          <w:sz w:val="32"/>
          <w:szCs w:val="32"/>
        </w:rPr>
        <w:t>、贯彻执行</w:t>
      </w:r>
      <w:r>
        <w:rPr>
          <w:rFonts w:hint="eastAsia"/>
          <w:sz w:val="32"/>
          <w:szCs w:val="32"/>
          <w:lang w:eastAsia="zh-CN"/>
        </w:rPr>
        <w:t>人力资源和</w:t>
      </w:r>
      <w:r>
        <w:rPr>
          <w:rFonts w:hint="eastAsia" w:ascii="仿宋_GB2312" w:eastAsia="仿宋_GB2312"/>
          <w:sz w:val="32"/>
          <w:szCs w:val="32"/>
        </w:rPr>
        <w:t>社会保障工作的相关法律、法规、规章和政策，起草</w:t>
      </w:r>
      <w:r>
        <w:rPr>
          <w:rFonts w:hint="eastAsia"/>
          <w:sz w:val="32"/>
          <w:szCs w:val="32"/>
          <w:lang w:eastAsia="zh-CN"/>
        </w:rPr>
        <w:t>人力资源和</w:t>
      </w:r>
      <w:r>
        <w:rPr>
          <w:rFonts w:hint="eastAsia" w:ascii="仿宋_GB2312" w:eastAsia="仿宋_GB2312"/>
          <w:sz w:val="32"/>
          <w:szCs w:val="32"/>
        </w:rPr>
        <w:t>社会保障事业地方性实施办法，拟订全市</w:t>
      </w:r>
      <w:r>
        <w:rPr>
          <w:rFonts w:hint="eastAsia"/>
          <w:sz w:val="32"/>
          <w:szCs w:val="32"/>
          <w:lang w:eastAsia="zh-CN"/>
        </w:rPr>
        <w:t>人力资源和</w:t>
      </w:r>
      <w:r>
        <w:rPr>
          <w:rFonts w:hint="eastAsia" w:ascii="仿宋_GB2312" w:eastAsia="仿宋_GB2312"/>
          <w:sz w:val="32"/>
          <w:szCs w:val="32"/>
        </w:rPr>
        <w:t>社会保障事业发展规划、政策并组织实施和监督检查；</w:t>
      </w:r>
      <w:r>
        <w:rPr>
          <w:rFonts w:ascii="仿宋_GB2312" w:eastAsia="仿宋_GB2312"/>
          <w:sz w:val="32"/>
          <w:szCs w:val="32"/>
        </w:rPr>
        <w:t>2</w:t>
      </w:r>
      <w:r>
        <w:rPr>
          <w:rFonts w:hint="eastAsia" w:ascii="仿宋_GB2312" w:eastAsia="仿宋_GB2312"/>
          <w:sz w:val="32"/>
          <w:szCs w:val="32"/>
        </w:rPr>
        <w:t>、拟订并组织实施</w:t>
      </w:r>
      <w:r>
        <w:rPr>
          <w:rFonts w:hint="eastAsia"/>
          <w:sz w:val="32"/>
          <w:szCs w:val="32"/>
          <w:lang w:eastAsia="zh-CN"/>
        </w:rPr>
        <w:t>人力资源和</w:t>
      </w:r>
      <w:r>
        <w:rPr>
          <w:rFonts w:hint="eastAsia" w:ascii="仿宋_GB2312" w:eastAsia="仿宋_GB2312"/>
          <w:sz w:val="32"/>
          <w:szCs w:val="32"/>
        </w:rPr>
        <w:t>市场发展规划和</w:t>
      </w:r>
      <w:r>
        <w:rPr>
          <w:rFonts w:hint="eastAsia"/>
          <w:sz w:val="32"/>
          <w:szCs w:val="32"/>
          <w:lang w:eastAsia="zh-CN"/>
        </w:rPr>
        <w:t>人力资源和</w:t>
      </w:r>
      <w:r>
        <w:rPr>
          <w:rFonts w:hint="eastAsia" w:ascii="仿宋_GB2312" w:eastAsia="仿宋_GB2312"/>
          <w:sz w:val="32"/>
          <w:szCs w:val="32"/>
        </w:rPr>
        <w:t>流动政策，建立全市统一规范的</w:t>
      </w:r>
      <w:r>
        <w:rPr>
          <w:rFonts w:hint="eastAsia"/>
          <w:sz w:val="32"/>
          <w:szCs w:val="32"/>
          <w:lang w:eastAsia="zh-CN"/>
        </w:rPr>
        <w:t>人力资源和</w:t>
      </w:r>
      <w:r>
        <w:rPr>
          <w:rFonts w:hint="eastAsia" w:ascii="仿宋_GB2312" w:eastAsia="仿宋_GB2312"/>
          <w:sz w:val="32"/>
          <w:szCs w:val="32"/>
        </w:rPr>
        <w:t>市场，促进</w:t>
      </w:r>
      <w:r>
        <w:rPr>
          <w:rFonts w:hint="eastAsia"/>
          <w:sz w:val="32"/>
          <w:szCs w:val="32"/>
          <w:lang w:eastAsia="zh-CN"/>
        </w:rPr>
        <w:t>人力资源和</w:t>
      </w:r>
      <w:r>
        <w:rPr>
          <w:rFonts w:hint="eastAsia" w:ascii="仿宋_GB2312" w:eastAsia="仿宋_GB2312"/>
          <w:sz w:val="32"/>
          <w:szCs w:val="32"/>
        </w:rPr>
        <w:t>合理流动、有效配置；</w:t>
      </w:r>
      <w:r>
        <w:rPr>
          <w:rFonts w:ascii="仿宋_GB2312" w:eastAsia="仿宋_GB2312"/>
          <w:sz w:val="32"/>
          <w:szCs w:val="32"/>
        </w:rPr>
        <w:t>3</w:t>
      </w:r>
      <w:r>
        <w:rPr>
          <w:rFonts w:hint="eastAsia" w:ascii="仿宋_GB2312" w:eastAsia="仿宋_GB2312"/>
          <w:sz w:val="32"/>
          <w:szCs w:val="32"/>
        </w:rPr>
        <w:t>、负责促进就业工作；</w:t>
      </w:r>
      <w:r>
        <w:rPr>
          <w:rFonts w:ascii="仿宋_GB2312" w:eastAsia="仿宋_GB2312"/>
          <w:sz w:val="32"/>
          <w:szCs w:val="32"/>
        </w:rPr>
        <w:t>4</w:t>
      </w:r>
      <w:r>
        <w:rPr>
          <w:rFonts w:hint="eastAsia" w:ascii="仿宋_GB2312" w:eastAsia="仿宋_GB2312"/>
          <w:sz w:val="32"/>
          <w:szCs w:val="32"/>
        </w:rPr>
        <w:t>、统筹建立覆盖城乡的社会保障体系；</w:t>
      </w:r>
      <w:r>
        <w:rPr>
          <w:rFonts w:ascii="仿宋_GB2312" w:eastAsia="仿宋_GB2312"/>
          <w:sz w:val="32"/>
          <w:szCs w:val="32"/>
        </w:rPr>
        <w:t>5</w:t>
      </w:r>
      <w:r>
        <w:rPr>
          <w:rFonts w:hint="eastAsia" w:ascii="仿宋_GB2312" w:eastAsia="仿宋_GB2312"/>
          <w:sz w:val="32"/>
          <w:szCs w:val="32"/>
        </w:rPr>
        <w:t>、负责就业、失业、社会保险基金预测预警和信息引导，拟订应对预案，保持就业形势稳定和社会保险基金总体收支平衡；</w:t>
      </w:r>
      <w:r>
        <w:rPr>
          <w:rFonts w:ascii="仿宋_GB2312" w:eastAsia="仿宋_GB2312"/>
          <w:sz w:val="32"/>
          <w:szCs w:val="32"/>
        </w:rPr>
        <w:t>6</w:t>
      </w:r>
      <w:r>
        <w:rPr>
          <w:rFonts w:hint="eastAsia" w:ascii="仿宋_GB2312" w:eastAsia="仿宋_GB2312"/>
          <w:sz w:val="32"/>
          <w:szCs w:val="32"/>
        </w:rPr>
        <w:t>、综合管理全市事业单位工作人员；</w:t>
      </w:r>
      <w:r>
        <w:rPr>
          <w:rFonts w:ascii="仿宋_GB2312" w:eastAsia="仿宋_GB2312"/>
          <w:sz w:val="32"/>
          <w:szCs w:val="32"/>
        </w:rPr>
        <w:t>7</w:t>
      </w:r>
      <w:r>
        <w:rPr>
          <w:rFonts w:hint="eastAsia" w:ascii="仿宋_GB2312" w:eastAsia="仿宋_GB2312"/>
          <w:sz w:val="32"/>
          <w:szCs w:val="32"/>
        </w:rPr>
        <w:t>会同有关部门拟订机关、事业单位人员工资收入分配政策和企业职工工资收入分配调控政策等；</w:t>
      </w:r>
      <w:r>
        <w:rPr>
          <w:rFonts w:ascii="仿宋_GB2312" w:eastAsia="仿宋_GB2312"/>
          <w:sz w:val="32"/>
          <w:szCs w:val="32"/>
        </w:rPr>
        <w:t>8</w:t>
      </w:r>
      <w:r>
        <w:rPr>
          <w:rFonts w:hint="eastAsia" w:ascii="仿宋_GB2312" w:eastAsia="仿宋_GB2312"/>
          <w:sz w:val="32"/>
          <w:szCs w:val="32"/>
        </w:rPr>
        <w:t>、会同有关部门指导事业单位人事制度改革；</w:t>
      </w:r>
      <w:r>
        <w:rPr>
          <w:rFonts w:hint="eastAsia"/>
          <w:sz w:val="32"/>
          <w:szCs w:val="32"/>
          <w:lang w:val="en-US" w:eastAsia="zh-CN"/>
        </w:rPr>
        <w:t>9</w:t>
      </w:r>
      <w:r>
        <w:rPr>
          <w:rFonts w:hint="eastAsia" w:ascii="仿宋_GB2312" w:eastAsia="仿宋_GB2312"/>
          <w:sz w:val="32"/>
          <w:szCs w:val="32"/>
        </w:rPr>
        <w:t>、会同有关部门拟订劳务开发及农民工工作综合性政策和规划并推动相关政策的落实；</w:t>
      </w:r>
      <w:r>
        <w:rPr>
          <w:rFonts w:hint="eastAsia"/>
          <w:sz w:val="32"/>
          <w:szCs w:val="32"/>
          <w:lang w:val="en-US" w:eastAsia="zh-CN"/>
        </w:rPr>
        <w:t>10</w:t>
      </w:r>
      <w:r>
        <w:rPr>
          <w:rFonts w:hint="eastAsia" w:ascii="仿宋_GB2312" w:eastAsia="仿宋_GB2312"/>
          <w:sz w:val="32"/>
          <w:szCs w:val="32"/>
        </w:rPr>
        <w:t>、组织实施劳动、人事争议调解仲裁制度和劳动关系政策；</w:t>
      </w:r>
      <w:r>
        <w:rPr>
          <w:rFonts w:hint="eastAsia"/>
          <w:sz w:val="32"/>
          <w:szCs w:val="32"/>
          <w:lang w:val="en-US" w:eastAsia="zh-CN"/>
        </w:rPr>
        <w:t>11、统筹推进承担行政职业的事业单位改革；12、负责职责范围内的安全生产和职业健康、生态环境保护、审批服务便民化等工作。13、完成市委、市政府交办的其他事项。</w:t>
      </w:r>
    </w:p>
    <w:p>
      <w:pPr>
        <w:pStyle w:val="7"/>
        <w:adjustRightInd w:val="0"/>
        <w:snapToGrid w:val="0"/>
        <w:spacing w:before="93" w:line="600" w:lineRule="exact"/>
        <w:ind w:firstLine="672" w:firstLineChars="210"/>
        <w:outlineLvl w:val="2"/>
        <w:rPr>
          <w:rFonts w:hint="eastAsia" w:ascii="仿宋_GB2312" w:hAnsi="仿宋_GB2312" w:eastAsia="仿宋_GB2312" w:cs="仿宋_GB2312"/>
          <w:sz w:val="32"/>
          <w:szCs w:val="32"/>
          <w:lang w:val="en-US" w:eastAsia="zh-CN"/>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26"/>
      <w:bookmarkEnd w:id="27"/>
      <w:bookmarkStart w:id="28" w:name="_Toc15396601"/>
      <w:bookmarkStart w:id="29" w:name="_Toc15377200"/>
    </w:p>
    <w:p>
      <w:pPr>
        <w:keepNext w:val="0"/>
        <w:keepLines w:val="0"/>
        <w:pageBreakBefore w:val="0"/>
        <w:widowControl w:val="0"/>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抓好人才招聘引进工作。完成2020年事业单位公开考试、考核招聘，事业单位人员流动工作，做好高层次人才和急需紧缺人才引进工作。新聘事业人员63人，其中乡镇事业人员8人，教师47名，医生7名；赴重庆西南大学、川北医学院、西南医科大学招才引智签订三方协议33人；调入事业人员23人，其中教师16人。</w:t>
      </w:r>
    </w:p>
    <w:p>
      <w:pPr>
        <w:keepNext w:val="0"/>
        <w:keepLines w:val="0"/>
        <w:pageBreakBefore w:val="0"/>
        <w:widowControl w:val="0"/>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2.强化干部队伍建设。积极倡导优良的工作作风、廉政作风，加强全市事业干部的思想道德教育和业务培训。</w:t>
      </w:r>
    </w:p>
    <w:p>
      <w:pPr>
        <w:keepNext w:val="0"/>
        <w:keepLines w:val="0"/>
        <w:pageBreakBefore w:val="0"/>
        <w:widowControl w:val="0"/>
        <w:numPr>
          <w:ilvl w:val="0"/>
          <w:numId w:val="0"/>
        </w:numPr>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专业技术人才队伍建设和事业单位管理。完成全市机构改革及撤乡并镇后事业单位的岗位设置，加强事业单位动态聘用管理，认真开展专业技术人员职称评审和推荐，组织专业技术人员参加继续教育，组织全市专业技术人员6782人参加继续教育公需科目培训，做好机关事业单位技术工人考试的审核、报名和办证工作。</w:t>
      </w:r>
    </w:p>
    <w:p>
      <w:pPr>
        <w:keepNext w:val="0"/>
        <w:keepLines w:val="0"/>
        <w:pageBreakBefore w:val="0"/>
        <w:widowControl w:val="0"/>
        <w:numPr>
          <w:ilvl w:val="0"/>
          <w:numId w:val="0"/>
        </w:numPr>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全面贯彻实施《劳动合同法》《社会保险法》等法律法规。督促企业加强劳动合同管理，提高劳动合同签订率，严厉打击违反劳动保障法律法规行为。做好企业改制重组、关闭破产和主辅分离中的劳动关系处理工作。完善劳动关系三方协商机制，推进企业建立健全集中协商和集体合同制度，劳动合同签订率95.57%（目标任务为不低于94%）。搞好劳动人事争议仲裁处理，强化行政调解工作，搞好工伤调查认定工作，劳动人事争议仲裁结案率达83%（目标任务为78.5 %）。</w:t>
      </w:r>
    </w:p>
    <w:p>
      <w:pPr>
        <w:keepNext w:val="0"/>
        <w:keepLines w:val="0"/>
        <w:pageBreakBefore w:val="0"/>
        <w:widowControl w:val="0"/>
        <w:numPr>
          <w:ilvl w:val="0"/>
          <w:numId w:val="0"/>
        </w:numPr>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5.加强社保基金监管。加强风险防控，继续推进智能监督，加强基金征收、管理、支付环节的行政监督。</w:t>
      </w:r>
    </w:p>
    <w:p>
      <w:pPr>
        <w:keepNext w:val="0"/>
        <w:keepLines w:val="0"/>
        <w:pageBreakBefore w:val="0"/>
        <w:widowControl w:val="0"/>
        <w:numPr>
          <w:ilvl w:val="0"/>
          <w:numId w:val="0"/>
        </w:numPr>
        <w:tabs>
          <w:tab w:val="left" w:pos="2353"/>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6.加强农民工服务保障工作；配合完成综合行政执法改革工作任务；全面落实党中央、国务院重大教育决策部署，切实履行教育工作职责；配合完成新增规上服务企业目标户数3户。</w:t>
      </w:r>
    </w:p>
    <w:p>
      <w:pPr>
        <w:pStyle w:val="5"/>
        <w:ind w:firstLine="640" w:firstLineChars="200"/>
        <w:rPr>
          <w:rStyle w:val="28"/>
          <w:b w:val="0"/>
          <w:bCs w:val="0"/>
        </w:rPr>
      </w:pPr>
      <w:bookmarkStart w:id="30" w:name="_Toc8186_WPSOffice_Level2"/>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8"/>
      <w:bookmarkEnd w:id="29"/>
      <w:bookmarkEnd w:id="30"/>
    </w:p>
    <w:p>
      <w:pPr>
        <w:pStyle w:val="7"/>
        <w:adjustRightInd w:val="0"/>
        <w:snapToGrid w:val="0"/>
        <w:spacing w:before="93" w:line="580" w:lineRule="exact"/>
        <w:ind w:firstLine="672" w:firstLineChars="210"/>
        <w:rPr>
          <w:rFonts w:hint="eastAsia"/>
          <w:color w:val="000000"/>
          <w:sz w:val="32"/>
          <w:szCs w:val="32"/>
        </w:rPr>
      </w:pPr>
      <w:r>
        <w:rPr>
          <w:rFonts w:hint="eastAsia" w:ascii="仿宋" w:hAnsi="仿宋" w:eastAsia="仿宋"/>
          <w:sz w:val="32"/>
          <w:szCs w:val="32"/>
          <w:lang w:eastAsia="zh-CN"/>
        </w:rPr>
        <w:t>峨眉山市人力资源和社会保障局</w:t>
      </w:r>
      <w:r>
        <w:rPr>
          <w:rFonts w:hint="eastAsia" w:ascii="仿宋" w:hAnsi="仿宋" w:eastAsia="仿宋"/>
          <w:sz w:val="32"/>
          <w:szCs w:val="32"/>
        </w:rPr>
        <w:t>下属二级单位</w:t>
      </w:r>
      <w:r>
        <w:rPr>
          <w:rFonts w:hint="eastAsia" w:ascii="仿宋" w:hAnsi="仿宋" w:eastAsia="仿宋"/>
          <w:sz w:val="32"/>
          <w:szCs w:val="32"/>
          <w:lang w:val="en-US" w:eastAsia="zh-CN"/>
        </w:rPr>
        <w:t>5</w:t>
      </w:r>
      <w:r>
        <w:rPr>
          <w:rFonts w:hint="eastAsia" w:ascii="仿宋" w:hAnsi="仿宋" w:eastAsia="仿宋"/>
          <w:sz w:val="32"/>
          <w:szCs w:val="32"/>
        </w:rPr>
        <w:t>个，其中参照公务员法管理的事业单位</w:t>
      </w:r>
      <w:r>
        <w:rPr>
          <w:rFonts w:hint="eastAsia" w:ascii="仿宋" w:hAnsi="仿宋" w:eastAsia="仿宋"/>
          <w:bCs/>
          <w:sz w:val="32"/>
          <w:szCs w:val="32"/>
          <w:lang w:val="en-US" w:eastAsia="zh-CN"/>
        </w:rPr>
        <w:t>2</w:t>
      </w:r>
      <w:r>
        <w:rPr>
          <w:rFonts w:hint="eastAsia" w:ascii="仿宋" w:hAnsi="仿宋" w:eastAsia="仿宋"/>
          <w:sz w:val="32"/>
          <w:szCs w:val="32"/>
        </w:rPr>
        <w:t>个</w:t>
      </w:r>
      <w:r>
        <w:rPr>
          <w:rFonts w:hint="eastAsia" w:ascii="仿宋" w:hAnsi="仿宋" w:eastAsia="仿宋"/>
          <w:sz w:val="32"/>
          <w:szCs w:val="32"/>
          <w:lang w:eastAsia="zh-CN"/>
        </w:rPr>
        <w:t>，分别</w:t>
      </w:r>
      <w:r>
        <w:rPr>
          <w:rFonts w:hint="eastAsia" w:ascii="仿宋" w:hAnsi="仿宋" w:eastAsia="仿宋"/>
          <w:sz w:val="32"/>
          <w:szCs w:val="32"/>
        </w:rPr>
        <w:t>为峨眉山市社会保险</w:t>
      </w:r>
      <w:r>
        <w:rPr>
          <w:rFonts w:hint="eastAsia" w:ascii="仿宋" w:hAnsi="仿宋" w:eastAsia="仿宋"/>
          <w:sz w:val="32"/>
          <w:szCs w:val="32"/>
          <w:lang w:eastAsia="zh-CN"/>
        </w:rPr>
        <w:t>事务中心</w:t>
      </w:r>
      <w:r>
        <w:rPr>
          <w:rFonts w:hint="eastAsia" w:ascii="仿宋" w:hAnsi="仿宋" w:eastAsia="仿宋"/>
          <w:sz w:val="32"/>
          <w:szCs w:val="32"/>
        </w:rPr>
        <w:t>、峨眉山市就业</w:t>
      </w:r>
      <w:r>
        <w:rPr>
          <w:rFonts w:hint="eastAsia" w:ascii="仿宋" w:hAnsi="仿宋" w:eastAsia="仿宋"/>
          <w:sz w:val="32"/>
          <w:szCs w:val="32"/>
          <w:lang w:eastAsia="zh-CN"/>
        </w:rPr>
        <w:t>创业促进中心。</w:t>
      </w:r>
      <w:r>
        <w:rPr>
          <w:rFonts w:hint="eastAsia" w:ascii="仿宋" w:hAnsi="仿宋" w:eastAsia="仿宋"/>
          <w:sz w:val="32"/>
          <w:szCs w:val="32"/>
        </w:rPr>
        <w:t>其他事业单位</w:t>
      </w:r>
      <w:r>
        <w:rPr>
          <w:rFonts w:hint="eastAsia" w:ascii="仿宋" w:hAnsi="仿宋" w:eastAsia="仿宋"/>
          <w:sz w:val="32"/>
          <w:szCs w:val="32"/>
          <w:lang w:val="en-US" w:eastAsia="zh-CN"/>
        </w:rPr>
        <w:t>3</w:t>
      </w:r>
      <w:r>
        <w:rPr>
          <w:rFonts w:hint="eastAsia" w:ascii="仿宋" w:hAnsi="仿宋" w:eastAsia="仿宋"/>
          <w:sz w:val="32"/>
          <w:szCs w:val="32"/>
        </w:rPr>
        <w:t>个</w:t>
      </w:r>
      <w:r>
        <w:rPr>
          <w:rFonts w:hint="eastAsia" w:ascii="仿宋" w:hAnsi="仿宋" w:eastAsia="仿宋"/>
          <w:sz w:val="32"/>
          <w:szCs w:val="32"/>
          <w:lang w:eastAsia="zh-CN"/>
        </w:rPr>
        <w:t>，分别</w:t>
      </w:r>
      <w:r>
        <w:rPr>
          <w:rFonts w:hint="eastAsia"/>
          <w:color w:val="000000"/>
          <w:sz w:val="32"/>
          <w:szCs w:val="32"/>
        </w:rPr>
        <w:t>为峨眉山市</w:t>
      </w:r>
      <w:r>
        <w:rPr>
          <w:rFonts w:hint="eastAsia"/>
          <w:sz w:val="32"/>
          <w:szCs w:val="32"/>
        </w:rPr>
        <w:t>劳动</w:t>
      </w:r>
      <w:r>
        <w:rPr>
          <w:rFonts w:hint="eastAsia"/>
          <w:sz w:val="32"/>
          <w:szCs w:val="32"/>
          <w:lang w:eastAsia="zh-CN"/>
        </w:rPr>
        <w:t>保障</w:t>
      </w:r>
      <w:r>
        <w:rPr>
          <w:rFonts w:hint="eastAsia"/>
          <w:sz w:val="32"/>
          <w:szCs w:val="32"/>
        </w:rPr>
        <w:t>监察大队、峨眉山市劳动人事争议仲裁院、峨眉山市</w:t>
      </w:r>
      <w:r>
        <w:rPr>
          <w:rFonts w:hint="eastAsia"/>
          <w:sz w:val="32"/>
          <w:szCs w:val="32"/>
          <w:lang w:eastAsia="zh-CN"/>
        </w:rPr>
        <w:t>人力资源服务中心</w:t>
      </w:r>
      <w:r>
        <w:rPr>
          <w:rFonts w:hint="eastAsia"/>
          <w:color w:val="000000"/>
          <w:sz w:val="32"/>
          <w:szCs w:val="32"/>
        </w:rPr>
        <w:t>。</w:t>
      </w:r>
    </w:p>
    <w:p>
      <w:pPr>
        <w:pStyle w:val="7"/>
        <w:adjustRightInd w:val="0"/>
        <w:snapToGrid w:val="0"/>
        <w:spacing w:before="93" w:line="580" w:lineRule="exact"/>
        <w:ind w:firstLine="672" w:firstLineChars="210"/>
        <w:rPr>
          <w:rFonts w:hint="eastAsia" w:ascii="仿宋" w:hAnsi="仿宋" w:eastAsia="仿宋"/>
          <w:color w:val="000000"/>
          <w:sz w:val="32"/>
          <w:szCs w:val="32"/>
          <w:lang w:val="en-US" w:eastAsia="zh-CN"/>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峨眉山市人力资源和社会保障局</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年度部门决算编制范围的二级预算单位包括：</w:t>
      </w:r>
    </w:p>
    <w:p>
      <w:pPr>
        <w:widowControl/>
        <w:numPr>
          <w:ilvl w:val="0"/>
          <w:numId w:val="1"/>
        </w:numPr>
        <w:ind w:left="640" w:leftChars="0" w:firstLine="0" w:firstLineChars="0"/>
        <w:jc w:val="left"/>
        <w:rPr>
          <w:rFonts w:ascii="仿宋" w:hAnsi="仿宋" w:eastAsia="仿宋"/>
          <w:color w:val="000000"/>
          <w:kern w:val="0"/>
          <w:sz w:val="32"/>
          <w:szCs w:val="32"/>
        </w:rPr>
      </w:pPr>
      <w:r>
        <w:rPr>
          <w:rFonts w:hint="eastAsia" w:ascii="仿宋" w:hAnsi="仿宋" w:eastAsia="仿宋"/>
          <w:color w:val="000000"/>
          <w:sz w:val="32"/>
          <w:szCs w:val="32"/>
          <w:lang w:eastAsia="zh-CN"/>
        </w:rPr>
        <w:t>峨眉山市劳动保障监督大队</w:t>
      </w:r>
    </w:p>
    <w:p>
      <w:pPr>
        <w:widowControl/>
        <w:numPr>
          <w:ilvl w:val="0"/>
          <w:numId w:val="1"/>
        </w:numPr>
        <w:ind w:left="640" w:leftChars="0" w:firstLine="0" w:firstLineChars="0"/>
        <w:jc w:val="left"/>
        <w:rPr>
          <w:rFonts w:ascii="仿宋" w:hAnsi="仿宋" w:eastAsia="仿宋"/>
          <w:color w:val="000000"/>
          <w:kern w:val="0"/>
          <w:sz w:val="32"/>
          <w:szCs w:val="32"/>
        </w:rPr>
      </w:pPr>
      <w:r>
        <w:rPr>
          <w:rFonts w:hint="eastAsia" w:ascii="仿宋" w:hAnsi="仿宋" w:eastAsia="仿宋"/>
          <w:color w:val="000000"/>
          <w:sz w:val="32"/>
          <w:szCs w:val="32"/>
          <w:lang w:val="en-US" w:eastAsia="zh-CN"/>
        </w:rPr>
        <w:t>峨眉山市劳动人事争议仲裁院</w:t>
      </w:r>
    </w:p>
    <w:p>
      <w:pPr>
        <w:widowControl/>
        <w:numPr>
          <w:ilvl w:val="0"/>
          <w:numId w:val="1"/>
        </w:numPr>
        <w:ind w:left="640" w:leftChars="0" w:firstLine="0" w:firstLineChars="0"/>
        <w:jc w:val="left"/>
        <w:rPr>
          <w:rFonts w:ascii="仿宋" w:hAnsi="仿宋" w:eastAsia="仿宋"/>
          <w:color w:val="000000"/>
          <w:kern w:val="0"/>
          <w:sz w:val="32"/>
          <w:szCs w:val="32"/>
        </w:rPr>
      </w:pPr>
      <w:r>
        <w:rPr>
          <w:rFonts w:hint="eastAsia" w:ascii="仿宋" w:hAnsi="仿宋" w:eastAsia="仿宋"/>
          <w:color w:val="000000"/>
          <w:sz w:val="32"/>
          <w:szCs w:val="32"/>
          <w:lang w:val="en-US" w:eastAsia="zh-CN"/>
        </w:rPr>
        <w:t>峨眉山市人力资源服务中心</w:t>
      </w:r>
      <w:r>
        <w:rPr>
          <w:rFonts w:ascii="仿宋" w:hAnsi="仿宋" w:eastAsia="仿宋"/>
          <w:color w:val="000000"/>
          <w:sz w:val="32"/>
          <w:szCs w:val="32"/>
        </w:rPr>
        <w:br w:type="page"/>
      </w:r>
    </w:p>
    <w:p>
      <w:pPr>
        <w:pStyle w:val="3"/>
        <w:ind w:right="440"/>
        <w:jc w:val="right"/>
        <w:rPr>
          <w:rStyle w:val="27"/>
          <w:rFonts w:ascii="黑体" w:hAnsi="黑体" w:eastAsia="黑体"/>
          <w:b w:val="0"/>
          <w:bCs w:val="0"/>
        </w:rPr>
      </w:pPr>
      <w:bookmarkStart w:id="31" w:name="_Toc28274_WPSOffice_Level1"/>
      <w:bookmarkStart w:id="32" w:name="_Toc15396602"/>
      <w:bookmarkStart w:id="3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w:t>
      </w:r>
      <w:r>
        <w:rPr>
          <w:rStyle w:val="27"/>
          <w:rFonts w:hint="eastAsia" w:ascii="黑体" w:hAnsi="黑体" w:eastAsia="黑体"/>
          <w:b w:val="0"/>
          <w:bCs w:val="0"/>
          <w:lang w:val="en-US" w:eastAsia="zh-CN"/>
        </w:rPr>
        <w:t>20</w:t>
      </w:r>
      <w:r>
        <w:rPr>
          <w:rStyle w:val="27"/>
          <w:rFonts w:hint="eastAsia" w:ascii="黑体" w:hAnsi="黑体" w:eastAsia="黑体"/>
          <w:b w:val="0"/>
          <w:bCs w:val="0"/>
        </w:rPr>
        <w:t>年度部门决算情况说明</w:t>
      </w:r>
      <w:bookmarkEnd w:id="31"/>
      <w:bookmarkEnd w:id="32"/>
      <w:bookmarkEnd w:id="33"/>
    </w:p>
    <w:p/>
    <w:p>
      <w:pPr>
        <w:pStyle w:val="26"/>
        <w:numPr>
          <w:ilvl w:val="0"/>
          <w:numId w:val="2"/>
        </w:numPr>
        <w:spacing w:line="600" w:lineRule="exact"/>
        <w:ind w:firstLineChars="0"/>
        <w:outlineLvl w:val="1"/>
        <w:rPr>
          <w:rStyle w:val="28"/>
          <w:rFonts w:ascii="黑体" w:hAnsi="黑体" w:eastAsia="黑体"/>
          <w:b w:val="0"/>
        </w:rPr>
      </w:pPr>
      <w:bookmarkStart w:id="34" w:name="_Toc15396603"/>
      <w:bookmarkStart w:id="35" w:name="_Toc15377205"/>
      <w:bookmarkStart w:id="36" w:name="_Toc16905_WPSOffice_Level2"/>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34"/>
      <w:bookmarkEnd w:id="35"/>
      <w:bookmarkEnd w:id="36"/>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1521.37</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年相比，收、支总计增加</w:t>
      </w:r>
      <w:r>
        <w:rPr>
          <w:rFonts w:hint="eastAsia" w:ascii="仿宋" w:hAnsi="仿宋" w:eastAsia="仿宋"/>
          <w:color w:val="000000"/>
          <w:sz w:val="32"/>
          <w:szCs w:val="32"/>
          <w:lang w:val="en-US" w:eastAsia="zh-CN"/>
        </w:rPr>
        <w:t>71.27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财政下拨工业企业结构调整专项奖补资金。</w:t>
      </w:r>
      <w:r>
        <w:rPr>
          <w:rFonts w:hint="default" w:ascii="仿宋" w:hAnsi="仿宋" w:eastAsia="仿宋"/>
          <w:color w:val="000000"/>
          <w:sz w:val="32"/>
          <w:szCs w:val="32"/>
          <w:lang w:val="en-US" w:eastAsia="zh-CN"/>
        </w:rPr>
        <w:t xml:space="preserve">( </w:t>
      </w:r>
      <w:r>
        <w:rPr>
          <w:rFonts w:hint="eastAsia" w:ascii="仿宋" w:hAnsi="仿宋" w:eastAsia="仿宋"/>
          <w:color w:val="000000"/>
          <w:sz w:val="32"/>
          <w:szCs w:val="32"/>
          <w:lang w:val="en-US" w:eastAsia="zh-CN"/>
        </w:rPr>
        <w:t>图1）</w:t>
      </w:r>
    </w:p>
    <w:p>
      <w:pPr>
        <w:spacing w:line="600" w:lineRule="exact"/>
        <w:ind w:firstLine="640" w:firstLineChars="200"/>
        <w:rPr>
          <w:rFonts w:hint="default" w:ascii="仿宋" w:hAnsi="仿宋" w:eastAsia="仿宋"/>
          <w:color w:val="000000"/>
          <w:sz w:val="32"/>
          <w:szCs w:val="32"/>
          <w:lang w:val="en-US" w:eastAsia="zh-CN"/>
        </w:rPr>
      </w:pPr>
      <w:r>
        <w:rPr>
          <w:rFonts w:hint="eastAsia" w:ascii="仿宋_GB2312" w:eastAsia="仿宋_GB2312"/>
          <w:color w:val="000000"/>
          <w:sz w:val="32"/>
          <w:szCs w:val="32"/>
          <w:lang w:eastAsia="zh-CN"/>
        </w:rPr>
        <w:drawing>
          <wp:anchor distT="0" distB="0" distL="114300" distR="114300" simplePos="0" relativeHeight="251658240" behindDoc="0" locked="0" layoutInCell="1" allowOverlap="1">
            <wp:simplePos x="0" y="0"/>
            <wp:positionH relativeFrom="column">
              <wp:posOffset>306070</wp:posOffset>
            </wp:positionH>
            <wp:positionV relativeFrom="paragraph">
              <wp:posOffset>109220</wp:posOffset>
            </wp:positionV>
            <wp:extent cx="5080000" cy="4013200"/>
            <wp:effectExtent l="4445" t="4445" r="20955" b="2095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hint="eastAsia" w:ascii="仿宋_GB2312" w:eastAsia="仿宋_GB2312"/>
          <w:color w:val="000000"/>
          <w:sz w:val="32"/>
          <w:szCs w:val="32"/>
          <w:lang w:eastAsia="zh-CN"/>
        </w:rPr>
      </w:pPr>
    </w:p>
    <w:p>
      <w:pPr>
        <w:spacing w:line="600" w:lineRule="exact"/>
        <w:ind w:firstLine="640" w:firstLineChars="200"/>
        <w:jc w:val="left"/>
        <w:rPr>
          <w:rFonts w:hint="eastAsia" w:ascii="仿宋_GB2312" w:eastAsia="仿宋_GB2312"/>
          <w:color w:val="000000"/>
          <w:sz w:val="32"/>
          <w:szCs w:val="32"/>
          <w:lang w:eastAsia="zh-CN"/>
        </w:rPr>
      </w:pPr>
    </w:p>
    <w:p>
      <w:pPr>
        <w:spacing w:line="600" w:lineRule="exact"/>
        <w:ind w:firstLine="640" w:firstLineChars="200"/>
        <w:jc w:val="left"/>
        <w:rPr>
          <w:rFonts w:hint="eastAsia" w:ascii="仿宋_GB2312" w:eastAsia="仿宋_GB2312"/>
          <w:color w:val="000000"/>
          <w:sz w:val="32"/>
          <w:szCs w:val="32"/>
          <w:lang w:eastAsia="zh-CN"/>
        </w:rPr>
      </w:pPr>
    </w:p>
    <w:p>
      <w:pPr>
        <w:spacing w:line="600" w:lineRule="exact"/>
        <w:ind w:firstLine="640" w:firstLineChars="200"/>
        <w:jc w:val="left"/>
        <w:rPr>
          <w:rFonts w:hint="eastAsia" w:ascii="仿宋_GB2312" w:eastAsia="仿宋_GB2312"/>
          <w:color w:val="000000"/>
          <w:sz w:val="32"/>
          <w:szCs w:val="32"/>
          <w:lang w:eastAsia="zh-CN"/>
        </w:rPr>
      </w:pPr>
    </w:p>
    <w:p>
      <w:pPr>
        <w:spacing w:line="600" w:lineRule="exact"/>
        <w:ind w:firstLine="640" w:firstLineChars="200"/>
        <w:jc w:val="left"/>
        <w:rPr>
          <w:rFonts w:hint="eastAsia" w:ascii="仿宋_GB2312" w:eastAsia="仿宋_GB2312"/>
          <w:color w:val="000000"/>
          <w:sz w:val="32"/>
          <w:szCs w:val="32"/>
          <w:lang w:eastAsia="zh-CN"/>
        </w:rPr>
      </w:pPr>
    </w:p>
    <w:p>
      <w:pPr>
        <w:spacing w:line="600" w:lineRule="exact"/>
        <w:ind w:firstLine="640" w:firstLineChars="200"/>
        <w:jc w:val="left"/>
        <w:rPr>
          <w:rFonts w:hint="eastAsia" w:ascii="仿宋_GB2312" w:eastAsia="仿宋_GB2312"/>
          <w:color w:val="000000"/>
          <w:sz w:val="32"/>
          <w:szCs w:val="32"/>
          <w:lang w:eastAsia="zh-CN"/>
        </w:rPr>
      </w:pPr>
    </w:p>
    <w:p>
      <w:pPr>
        <w:spacing w:line="600" w:lineRule="exact"/>
        <w:ind w:firstLine="640" w:firstLineChars="200"/>
        <w:jc w:val="left"/>
        <w:rPr>
          <w:rFonts w:hint="eastAsia" w:ascii="仿宋_GB2312" w:eastAsia="仿宋_GB2312"/>
          <w:color w:val="000000"/>
          <w:sz w:val="32"/>
          <w:szCs w:val="32"/>
          <w:lang w:eastAsia="zh-CN"/>
        </w:rPr>
      </w:pPr>
    </w:p>
    <w:p>
      <w:pPr>
        <w:spacing w:line="600" w:lineRule="exact"/>
        <w:ind w:firstLine="640" w:firstLineChars="200"/>
        <w:jc w:val="left"/>
        <w:rPr>
          <w:rFonts w:hint="eastAsia" w:ascii="仿宋_GB2312" w:eastAsia="仿宋_GB2312"/>
          <w:color w:val="000000"/>
          <w:sz w:val="32"/>
          <w:szCs w:val="32"/>
          <w:lang w:eastAsia="zh-CN"/>
        </w:rPr>
      </w:pPr>
    </w:p>
    <w:p>
      <w:pPr>
        <w:spacing w:line="600" w:lineRule="exact"/>
        <w:jc w:val="both"/>
        <w:rPr>
          <w:rFonts w:hint="eastAsia" w:ascii="仿宋_GB2312" w:eastAsia="仿宋_GB2312"/>
          <w:color w:val="000000"/>
          <w:sz w:val="32"/>
          <w:szCs w:val="32"/>
          <w:lang w:eastAsia="zh-CN"/>
        </w:rPr>
      </w:pPr>
    </w:p>
    <w:p>
      <w:pPr>
        <w:pStyle w:val="26"/>
        <w:numPr>
          <w:ilvl w:val="0"/>
          <w:numId w:val="0"/>
        </w:numPr>
        <w:spacing w:line="600" w:lineRule="exact"/>
        <w:jc w:val="center"/>
        <w:outlineLvl w:val="1"/>
        <w:rPr>
          <w:rFonts w:hint="eastAsia" w:ascii="仿宋" w:hAnsi="仿宋" w:eastAsia="仿宋"/>
          <w:color w:val="000000"/>
          <w:sz w:val="32"/>
          <w:szCs w:val="32"/>
        </w:rPr>
      </w:pPr>
      <w:bookmarkStart w:id="37" w:name="_Toc15396604"/>
      <w:bookmarkStart w:id="38" w:name="_Toc15377206"/>
    </w:p>
    <w:p>
      <w:pPr>
        <w:pStyle w:val="26"/>
        <w:numPr>
          <w:ilvl w:val="0"/>
          <w:numId w:val="0"/>
        </w:numPr>
        <w:spacing w:line="600" w:lineRule="exact"/>
        <w:jc w:val="center"/>
        <w:outlineLvl w:val="1"/>
        <w:rPr>
          <w:rStyle w:val="28"/>
          <w:rFonts w:ascii="黑体" w:hAnsi="黑体" w:eastAsia="黑体"/>
          <w:b w:val="0"/>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Style w:val="26"/>
        <w:numPr>
          <w:ilvl w:val="0"/>
          <w:numId w:val="2"/>
        </w:numPr>
        <w:spacing w:line="600" w:lineRule="exact"/>
        <w:ind w:firstLineChars="0"/>
        <w:outlineLvl w:val="1"/>
        <w:rPr>
          <w:rStyle w:val="28"/>
          <w:rFonts w:ascii="黑体" w:hAnsi="黑体" w:eastAsia="黑体"/>
          <w:b w:val="0"/>
        </w:rPr>
      </w:pPr>
      <w:bookmarkStart w:id="39" w:name="_Toc3739_WPSOffice_Level2"/>
      <w:r>
        <w:rPr>
          <w:rFonts w:hint="eastAsia" w:ascii="黑体" w:hAnsi="黑体" w:eastAsia="黑体"/>
          <w:color w:val="000000"/>
          <w:sz w:val="32"/>
          <w:szCs w:val="32"/>
        </w:rPr>
        <w:t>收</w:t>
      </w:r>
      <w:r>
        <w:rPr>
          <w:rStyle w:val="28"/>
          <w:rFonts w:hint="eastAsia" w:ascii="黑体" w:hAnsi="黑体" w:eastAsia="黑体"/>
          <w:b w:val="0"/>
        </w:rPr>
        <w:t>入决算情况说明</w:t>
      </w:r>
      <w:bookmarkEnd w:id="37"/>
      <w:bookmarkEnd w:id="38"/>
      <w:bookmarkEnd w:id="39"/>
    </w:p>
    <w:p>
      <w:pPr>
        <w:spacing w:line="600" w:lineRule="exact"/>
        <w:ind w:firstLine="640" w:firstLineChars="200"/>
        <w:outlineLvl w:val="1"/>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1377.66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1372.66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99.64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0.36</w:t>
      </w:r>
      <w:r>
        <w:rPr>
          <w:rFonts w:ascii="仿宋" w:hAnsi="仿宋" w:eastAsia="仿宋"/>
          <w:color w:val="000000"/>
          <w:sz w:val="32"/>
          <w:szCs w:val="32"/>
        </w:rPr>
        <w:t>%</w:t>
      </w:r>
      <w:r>
        <w:rPr>
          <w:rFonts w:hint="eastAsia" w:ascii="仿宋" w:hAnsi="仿宋" w:eastAsia="仿宋"/>
          <w:color w:val="000000"/>
          <w:sz w:val="32"/>
          <w:szCs w:val="32"/>
          <w:lang w:eastAsia="zh-CN"/>
        </w:rPr>
        <w:t>（图</w:t>
      </w:r>
      <w:r>
        <w:rPr>
          <w:rFonts w:hint="eastAsia" w:ascii="仿宋" w:hAnsi="仿宋" w:eastAsia="仿宋"/>
          <w:color w:val="000000"/>
          <w:sz w:val="32"/>
          <w:szCs w:val="32"/>
          <w:lang w:val="en-US" w:eastAsia="zh-CN"/>
        </w:rPr>
        <w:t>2）</w:t>
      </w:r>
    </w:p>
    <w:p>
      <w:pPr>
        <w:spacing w:line="600" w:lineRule="exact"/>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376555</wp:posOffset>
            </wp:positionH>
            <wp:positionV relativeFrom="paragraph">
              <wp:posOffset>88900</wp:posOffset>
            </wp:positionV>
            <wp:extent cx="5080000" cy="3279775"/>
            <wp:effectExtent l="4445" t="4445" r="20955" b="1143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（图2：收入决算结构图）（饼状图）</w:t>
      </w:r>
    </w:p>
    <w:p>
      <w:pPr>
        <w:pStyle w:val="26"/>
        <w:numPr>
          <w:ilvl w:val="0"/>
          <w:numId w:val="2"/>
        </w:numPr>
        <w:spacing w:line="600" w:lineRule="exact"/>
        <w:ind w:firstLineChars="0"/>
        <w:outlineLvl w:val="1"/>
        <w:rPr>
          <w:rStyle w:val="28"/>
          <w:rFonts w:ascii="黑体" w:hAnsi="黑体" w:eastAsia="黑体"/>
          <w:b w:val="0"/>
        </w:rPr>
      </w:pPr>
      <w:bookmarkStart w:id="40" w:name="_Toc15377207"/>
      <w:bookmarkStart w:id="41" w:name="_Toc15396605"/>
      <w:bookmarkStart w:id="42" w:name="_Toc19610_WPSOffice_Level2"/>
      <w:r>
        <w:rPr>
          <w:rFonts w:hint="eastAsia" w:ascii="黑体" w:hAnsi="黑体" w:eastAsia="黑体"/>
          <w:color w:val="000000"/>
          <w:sz w:val="32"/>
          <w:szCs w:val="32"/>
        </w:rPr>
        <w:t>支</w:t>
      </w:r>
      <w:r>
        <w:rPr>
          <w:rStyle w:val="28"/>
          <w:rFonts w:hint="eastAsia" w:ascii="黑体" w:hAnsi="黑体" w:eastAsia="黑体"/>
          <w:b w:val="0"/>
        </w:rPr>
        <w:t>出决算情况说明</w:t>
      </w:r>
      <w:bookmarkEnd w:id="40"/>
      <w:bookmarkEnd w:id="41"/>
      <w:bookmarkEnd w:id="42"/>
    </w:p>
    <w:p>
      <w:pPr>
        <w:spacing w:line="600" w:lineRule="exact"/>
        <w:ind w:firstLine="640" w:firstLineChars="200"/>
        <w:outlineLvl w:val="1"/>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954.41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659.12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295.29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w:t>
      </w:r>
      <w:r>
        <w:rPr>
          <w:rFonts w:ascii="仿宋" w:hAnsi="仿宋" w:eastAsia="仿宋"/>
          <w:color w:val="000000"/>
          <w:sz w:val="32"/>
          <w:szCs w:val="32"/>
        </w:rPr>
        <w:t>%</w:t>
      </w:r>
      <w:r>
        <w:rPr>
          <w:rFonts w:hint="eastAsia" w:ascii="仿宋" w:hAnsi="仿宋" w:eastAsia="仿宋"/>
          <w:color w:val="000000"/>
          <w:sz w:val="32"/>
          <w:szCs w:val="32"/>
          <w:lang w:eastAsia="zh-CN"/>
        </w:rPr>
        <w:t>（图</w:t>
      </w: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372745</wp:posOffset>
            </wp:positionH>
            <wp:positionV relativeFrom="paragraph">
              <wp:posOffset>119380</wp:posOffset>
            </wp:positionV>
            <wp:extent cx="5080000" cy="3248025"/>
            <wp:effectExtent l="4445" t="4445" r="20955" b="508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jc w:val="both"/>
        <w:outlineLvl w:val="1"/>
        <w:rPr>
          <w:rStyle w:val="28"/>
          <w:rFonts w:ascii="黑体" w:hAnsi="黑体" w:eastAsia="黑体"/>
          <w:b w:val="0"/>
        </w:rPr>
      </w:pPr>
      <w:bookmarkStart w:id="43" w:name="_Toc15396606"/>
      <w:bookmarkStart w:id="44" w:name="_Toc15377208"/>
      <w:bookmarkStart w:id="45" w:name="_Toc13228_WPSOffice_Level2"/>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3"/>
      <w:bookmarkEnd w:id="44"/>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1511.28</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lang w:val="en-US" w:eastAsia="zh-CN"/>
        </w:rPr>
        <w:t>72.34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5.03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财政下拨工业企业结构调整专项奖补资金。（图4）</w:t>
      </w:r>
    </w:p>
    <w:p>
      <w:pPr>
        <w:spacing w:line="600" w:lineRule="exact"/>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lang w:eastAsia="zh-CN"/>
        </w:rPr>
        <w:drawing>
          <wp:anchor distT="0" distB="0" distL="114300" distR="114300" simplePos="0" relativeHeight="251661312" behindDoc="0" locked="0" layoutInCell="1" allowOverlap="1">
            <wp:simplePos x="0" y="0"/>
            <wp:positionH relativeFrom="column">
              <wp:posOffset>5080</wp:posOffset>
            </wp:positionH>
            <wp:positionV relativeFrom="paragraph">
              <wp:posOffset>-1862455</wp:posOffset>
            </wp:positionV>
            <wp:extent cx="5080000" cy="2177415"/>
            <wp:effectExtent l="4445" t="4445" r="20955" b="889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firstLineChars="200"/>
        <w:outlineLvl w:val="1"/>
        <w:rPr>
          <w:rStyle w:val="28"/>
          <w:rFonts w:ascii="黑体" w:hAnsi="黑体" w:eastAsia="黑体"/>
          <w:b w:val="0"/>
        </w:rPr>
      </w:pPr>
      <w:bookmarkStart w:id="46" w:name="_Toc15396607"/>
      <w:bookmarkStart w:id="47" w:name="_Toc15377209"/>
      <w:bookmarkStart w:id="48" w:name="_Toc14006_WPSOffice_Level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6"/>
      <w:bookmarkEnd w:id="47"/>
      <w:bookmarkEnd w:id="48"/>
    </w:p>
    <w:p>
      <w:pPr>
        <w:spacing w:line="600" w:lineRule="exact"/>
        <w:ind w:firstLine="643" w:firstLineChars="200"/>
        <w:outlineLvl w:val="2"/>
        <w:rPr>
          <w:rFonts w:ascii="仿宋" w:hAnsi="仿宋" w:eastAsia="仿宋"/>
          <w:b/>
          <w:color w:val="000000"/>
          <w:sz w:val="32"/>
          <w:szCs w:val="32"/>
        </w:rPr>
      </w:pPr>
      <w:bookmarkStart w:id="49" w:name="_Toc15377210"/>
      <w:r>
        <w:rPr>
          <w:rFonts w:hint="eastAsia" w:ascii="仿宋" w:hAnsi="仿宋" w:eastAsia="仿宋"/>
          <w:b/>
          <w:color w:val="000000"/>
          <w:sz w:val="32"/>
          <w:szCs w:val="32"/>
        </w:rPr>
        <w:t>（一）一般公共预算财政拨款支出决算总体情况</w:t>
      </w:r>
      <w:bookmarkEnd w:id="4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949.35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99.48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203.99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17.69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2019年支付灾后重建人力资源和大楼尾款。（图5）</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8480" behindDoc="0" locked="0" layoutInCell="1" allowOverlap="1">
            <wp:simplePos x="0" y="0"/>
            <wp:positionH relativeFrom="column">
              <wp:posOffset>77470</wp:posOffset>
            </wp:positionH>
            <wp:positionV relativeFrom="paragraph">
              <wp:posOffset>76200</wp:posOffset>
            </wp:positionV>
            <wp:extent cx="5080000" cy="1819910"/>
            <wp:effectExtent l="4445" t="4445" r="20955" b="2349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50" w:name="_Toc15377211"/>
      <w:r>
        <w:rPr>
          <w:rFonts w:hint="eastAsia" w:ascii="仿宋" w:hAnsi="仿宋" w:eastAsia="仿宋"/>
          <w:b/>
          <w:color w:val="000000"/>
          <w:sz w:val="32"/>
          <w:szCs w:val="32"/>
        </w:rPr>
        <w:t>（二）一般公共预算财政拨款支出决算结构情况</w:t>
      </w:r>
      <w:bookmarkEnd w:id="50"/>
    </w:p>
    <w:p>
      <w:pPr>
        <w:spacing w:line="600" w:lineRule="exact"/>
        <w:ind w:firstLine="640"/>
        <w:rPr>
          <w:rFonts w:hint="default"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949.35</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882.26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92.93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b w:val="0"/>
          <w:bCs w:val="0"/>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14.01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1.48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农林水（类）</w:t>
      </w:r>
      <w:r>
        <w:rPr>
          <w:rFonts w:hint="eastAsia" w:ascii="仿宋" w:hAnsi="仿宋" w:eastAsia="仿宋"/>
          <w:b w:val="0"/>
          <w:bCs w:val="0"/>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2.99万元，占0.31%；</w:t>
      </w:r>
      <w:r>
        <w:rPr>
          <w:rFonts w:hint="eastAsia" w:ascii="仿宋" w:hAnsi="仿宋" w:eastAsia="仿宋"/>
          <w:b/>
          <w:bCs/>
          <w:color w:val="000000" w:themeColor="text1"/>
          <w:sz w:val="32"/>
          <w:szCs w:val="32"/>
          <w14:textFill>
            <w14:solidFill>
              <w14:schemeClr w14:val="tx1"/>
            </w14:solidFill>
          </w14:textFill>
        </w:rPr>
        <w:t>住房保障</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50.09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5.28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w:t>
      </w:r>
    </w:p>
    <w:p>
      <w:pPr>
        <w:spacing w:line="600" w:lineRule="exact"/>
        <w:jc w:val="both"/>
        <w:rPr>
          <w:rFonts w:hint="default" w:ascii="仿宋" w:hAnsi="仿宋" w:eastAsia="仿宋"/>
          <w:color w:val="000000"/>
          <w:sz w:val="32"/>
          <w:szCs w:val="32"/>
          <w:lang w:val="en-US"/>
        </w:rPr>
      </w:pPr>
      <w:r>
        <w:rPr>
          <w:rFonts w:hint="default" w:ascii="仿宋" w:hAnsi="仿宋" w:eastAsia="仿宋"/>
          <w:color w:val="000000"/>
          <w:sz w:val="32"/>
          <w:szCs w:val="32"/>
          <w:lang w:val="en-US"/>
        </w:rPr>
        <w:drawing>
          <wp:anchor distT="0" distB="0" distL="114300" distR="114300" simplePos="0" relativeHeight="251663360" behindDoc="0" locked="0" layoutInCell="1" allowOverlap="1">
            <wp:simplePos x="0" y="0"/>
            <wp:positionH relativeFrom="column">
              <wp:posOffset>48895</wp:posOffset>
            </wp:positionH>
            <wp:positionV relativeFrom="paragraph">
              <wp:posOffset>90170</wp:posOffset>
            </wp:positionV>
            <wp:extent cx="5080000" cy="3363595"/>
            <wp:effectExtent l="4445" t="4445" r="20955" b="2286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jc w:val="center"/>
        <w:rPr>
          <w:rFonts w:hint="eastAsia"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sz w:val="32"/>
          <w:szCs w:val="32"/>
        </w:rPr>
      </w:pP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r>
        <w:rPr>
          <w:rFonts w:hint="eastAsia" w:ascii="仿宋" w:hAnsi="仿宋" w:eastAsia="仿宋"/>
          <w:color w:val="000000"/>
          <w:sz w:val="32"/>
          <w:szCs w:val="32"/>
          <w:lang w:eastAsia="zh-CN"/>
        </w:rPr>
        <w:t>图</w:t>
      </w:r>
      <w:r>
        <w:rPr>
          <w:rFonts w:hint="eastAsia" w:ascii="仿宋" w:hAnsi="仿宋" w:eastAsia="仿宋"/>
          <w:color w:val="000000"/>
          <w:sz w:val="32"/>
          <w:szCs w:val="32"/>
        </w:rPr>
        <w:t>）（饼状图）</w:t>
      </w:r>
    </w:p>
    <w:p>
      <w:pPr>
        <w:spacing w:line="600" w:lineRule="exact"/>
        <w:ind w:firstLine="643" w:firstLineChars="200"/>
        <w:outlineLvl w:val="2"/>
        <w:rPr>
          <w:rFonts w:ascii="仿宋" w:hAnsi="仿宋" w:eastAsia="仿宋"/>
          <w:b/>
          <w:color w:val="000000"/>
          <w:sz w:val="32"/>
          <w:szCs w:val="32"/>
        </w:rPr>
      </w:pPr>
      <w:bookmarkStart w:id="51" w:name="_Toc15377212"/>
      <w:r>
        <w:rPr>
          <w:rFonts w:hint="eastAsia" w:ascii="仿宋" w:hAnsi="仿宋" w:eastAsia="仿宋"/>
          <w:b/>
          <w:color w:val="000000"/>
          <w:sz w:val="32"/>
          <w:szCs w:val="32"/>
        </w:rPr>
        <w:t>（三）一般公共预算财政拨款支出决算具体情况</w:t>
      </w:r>
      <w:bookmarkEnd w:id="51"/>
    </w:p>
    <w:p>
      <w:pPr>
        <w:spacing w:line="600" w:lineRule="exact"/>
        <w:ind w:firstLine="643" w:firstLineChars="200"/>
        <w:outlineLvl w:val="2"/>
        <w:rPr>
          <w:rFonts w:ascii="仿宋" w:hAnsi="仿宋" w:eastAsia="仿宋"/>
          <w:color w:val="FF0000"/>
          <w:sz w:val="32"/>
          <w:szCs w:val="32"/>
        </w:rPr>
      </w:pPr>
      <w:bookmarkStart w:id="52" w:name="_Toc15377213"/>
      <w:bookmarkStart w:id="53" w:name="_Toc15377444"/>
      <w:bookmarkStart w:id="54" w:name="_Toc15378460"/>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949.35</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w:t>
      </w:r>
      <w:r>
        <w:rPr>
          <w:rStyle w:val="17"/>
          <w:rFonts w:hint="eastAsia" w:ascii="仿宋" w:hAnsi="仿宋" w:eastAsia="仿宋"/>
          <w:bCs/>
          <w:color w:val="000000"/>
          <w:sz w:val="32"/>
          <w:szCs w:val="32"/>
        </w:rPr>
        <w:t>预算</w:t>
      </w:r>
      <w:r>
        <w:rPr>
          <w:rStyle w:val="17"/>
          <w:rFonts w:hint="eastAsia" w:ascii="仿宋" w:hAnsi="仿宋" w:eastAsia="仿宋"/>
          <w:bCs/>
          <w:color w:val="000000"/>
          <w:sz w:val="32"/>
          <w:szCs w:val="32"/>
          <w:lang w:val="en-US" w:eastAsia="zh-CN"/>
        </w:rPr>
        <w:t>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52"/>
      <w:bookmarkEnd w:id="53"/>
      <w:bookmarkEnd w:id="54"/>
    </w:p>
    <w:p>
      <w:pPr>
        <w:spacing w:line="600" w:lineRule="exact"/>
        <w:ind w:firstLine="643" w:firstLineChars="200"/>
        <w:rPr>
          <w:rFonts w:hint="eastAsia" w:ascii="仿宋" w:hAnsi="仿宋" w:eastAsia="仿宋"/>
          <w:b/>
          <w:color w:val="000000"/>
          <w:sz w:val="32"/>
          <w:szCs w:val="32"/>
          <w:lang w:val="en-US" w:eastAsia="zh-CN"/>
        </w:rPr>
      </w:pPr>
      <w:r>
        <w:rPr>
          <w:rStyle w:val="17"/>
          <w:rFonts w:hint="eastAsia" w:ascii="仿宋" w:hAnsi="仿宋" w:eastAsia="仿宋"/>
          <w:bCs/>
          <w:color w:val="000000"/>
          <w:sz w:val="32"/>
          <w:szCs w:val="32"/>
          <w:lang w:val="en-US" w:eastAsia="zh-CN"/>
        </w:rPr>
        <w:t>1</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社会保障和就业（类）</w:t>
      </w:r>
      <w:r>
        <w:rPr>
          <w:rStyle w:val="17"/>
          <w:rFonts w:hint="eastAsia" w:ascii="仿宋" w:hAnsi="仿宋" w:eastAsia="仿宋"/>
          <w:bCs/>
          <w:color w:val="000000"/>
          <w:sz w:val="32"/>
          <w:szCs w:val="32"/>
          <w:lang w:eastAsia="zh-CN"/>
        </w:rPr>
        <w:t>人力资源和社会保障管理事务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行政运行</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474.11</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bCs w:val="0"/>
          <w:color w:val="000000"/>
          <w:sz w:val="32"/>
          <w:szCs w:val="32"/>
          <w:lang w:eastAsia="zh-CN"/>
        </w:rPr>
        <w:t>综合业务管理（项）</w:t>
      </w:r>
      <w:r>
        <w:rPr>
          <w:rStyle w:val="17"/>
          <w:rFonts w:hint="eastAsia" w:ascii="仿宋" w:hAnsi="仿宋" w:eastAsia="仿宋"/>
          <w:b w:val="0"/>
          <w:bCs/>
          <w:color w:val="000000"/>
          <w:sz w:val="32"/>
          <w:szCs w:val="32"/>
          <w:lang w:eastAsia="zh-CN"/>
        </w:rPr>
        <w:t>：支出决算为</w:t>
      </w:r>
      <w:r>
        <w:rPr>
          <w:rStyle w:val="17"/>
          <w:rFonts w:hint="eastAsia" w:ascii="仿宋" w:hAnsi="仿宋" w:eastAsia="仿宋"/>
          <w:b w:val="0"/>
          <w:bCs/>
          <w:color w:val="000000"/>
          <w:sz w:val="32"/>
          <w:szCs w:val="32"/>
          <w:lang w:val="en-US" w:eastAsia="zh-CN"/>
        </w:rPr>
        <w:t>75.52万元，完成预算100%；</w:t>
      </w:r>
      <w:r>
        <w:rPr>
          <w:rStyle w:val="17"/>
          <w:rFonts w:hint="eastAsia" w:ascii="仿宋" w:hAnsi="仿宋" w:eastAsia="仿宋"/>
          <w:b/>
          <w:bCs w:val="0"/>
          <w:color w:val="000000"/>
          <w:sz w:val="32"/>
          <w:szCs w:val="32"/>
          <w:lang w:val="en-US" w:eastAsia="zh-CN"/>
        </w:rPr>
        <w:t>信息化建设（项）</w:t>
      </w:r>
      <w:r>
        <w:rPr>
          <w:rStyle w:val="17"/>
          <w:rFonts w:hint="eastAsia" w:ascii="仿宋" w:hAnsi="仿宋" w:eastAsia="仿宋"/>
          <w:b w:val="0"/>
          <w:bCs/>
          <w:color w:val="000000"/>
          <w:sz w:val="32"/>
          <w:szCs w:val="32"/>
          <w:lang w:val="en-US" w:eastAsia="zh-CN"/>
        </w:rPr>
        <w:t>：支出决算为18.24万元；完成预算100%；</w:t>
      </w:r>
      <w:r>
        <w:rPr>
          <w:rStyle w:val="17"/>
          <w:rFonts w:hint="eastAsia" w:ascii="仿宋" w:hAnsi="仿宋" w:eastAsia="仿宋"/>
          <w:b/>
          <w:bCs w:val="0"/>
          <w:color w:val="000000"/>
          <w:sz w:val="32"/>
          <w:szCs w:val="32"/>
          <w:lang w:val="en-US" w:eastAsia="zh-CN"/>
        </w:rPr>
        <w:t>劳动人事争议调解仲裁（项）</w:t>
      </w:r>
      <w:r>
        <w:rPr>
          <w:rStyle w:val="17"/>
          <w:rFonts w:hint="eastAsia" w:ascii="仿宋" w:hAnsi="仿宋" w:eastAsia="仿宋"/>
          <w:b w:val="0"/>
          <w:bCs/>
          <w:color w:val="000000"/>
          <w:sz w:val="32"/>
          <w:szCs w:val="32"/>
          <w:lang w:val="en-US" w:eastAsia="zh-CN"/>
        </w:rPr>
        <w:t>：支出决算为19.98万元，完成预算100%；</w:t>
      </w:r>
      <w:r>
        <w:rPr>
          <w:rStyle w:val="17"/>
          <w:rFonts w:hint="eastAsia" w:ascii="仿宋" w:hAnsi="仿宋" w:eastAsia="仿宋"/>
          <w:b/>
          <w:bCs w:val="0"/>
          <w:color w:val="000000"/>
          <w:sz w:val="32"/>
          <w:szCs w:val="32"/>
          <w:lang w:val="en-US" w:eastAsia="zh-CN"/>
        </w:rPr>
        <w:t>其他人力资源和社会保障管理事务支出（项）</w:t>
      </w:r>
      <w:r>
        <w:rPr>
          <w:rStyle w:val="17"/>
          <w:rFonts w:hint="eastAsia" w:ascii="仿宋" w:hAnsi="仿宋" w:eastAsia="仿宋"/>
          <w:b w:val="0"/>
          <w:bCs/>
          <w:color w:val="000000"/>
          <w:sz w:val="32"/>
          <w:szCs w:val="32"/>
          <w:lang w:val="en-US" w:eastAsia="zh-CN"/>
        </w:rPr>
        <w:t>：支出决算为242.38万元，完成预算100%；</w:t>
      </w:r>
      <w:r>
        <w:rPr>
          <w:rStyle w:val="17"/>
          <w:rFonts w:hint="eastAsia" w:ascii="仿宋" w:hAnsi="仿宋" w:eastAsia="仿宋"/>
          <w:b/>
          <w:bCs w:val="0"/>
          <w:color w:val="000000"/>
          <w:sz w:val="32"/>
          <w:szCs w:val="32"/>
          <w:lang w:val="en-US" w:eastAsia="zh-CN"/>
        </w:rPr>
        <w:t>行政事业单位养老支出（款）机关事业单位基本养老保险缴费支出（项）：</w:t>
      </w:r>
      <w:r>
        <w:rPr>
          <w:rStyle w:val="17"/>
          <w:rFonts w:hint="eastAsia" w:ascii="仿宋" w:hAnsi="仿宋" w:eastAsia="仿宋"/>
          <w:b w:val="0"/>
          <w:bCs/>
          <w:color w:val="000000"/>
          <w:sz w:val="32"/>
          <w:szCs w:val="32"/>
          <w:lang w:val="en-US" w:eastAsia="zh-CN"/>
        </w:rPr>
        <w:t>支出决算35.43万元，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bCs w:val="0"/>
          <w:color w:val="000000"/>
          <w:sz w:val="32"/>
          <w:szCs w:val="32"/>
          <w:lang w:eastAsia="zh-CN"/>
        </w:rPr>
        <w:t>机关事业单位职业年金缴费支出（项）：</w:t>
      </w:r>
      <w:r>
        <w:rPr>
          <w:rStyle w:val="17"/>
          <w:rFonts w:hint="eastAsia" w:ascii="仿宋" w:hAnsi="仿宋" w:eastAsia="仿宋"/>
          <w:b w:val="0"/>
          <w:bCs/>
          <w:color w:val="000000"/>
          <w:sz w:val="32"/>
          <w:szCs w:val="32"/>
          <w:lang w:eastAsia="zh-CN"/>
        </w:rPr>
        <w:t>支出决算</w:t>
      </w:r>
      <w:r>
        <w:rPr>
          <w:rStyle w:val="17"/>
          <w:rFonts w:hint="eastAsia" w:ascii="仿宋" w:hAnsi="仿宋" w:eastAsia="仿宋"/>
          <w:b w:val="0"/>
          <w:bCs/>
          <w:color w:val="000000"/>
          <w:sz w:val="32"/>
          <w:szCs w:val="32"/>
          <w:lang w:val="en-US" w:eastAsia="zh-CN"/>
        </w:rPr>
        <w:t>16.6万元，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pPr>
        <w:spacing w:line="600" w:lineRule="exact"/>
        <w:ind w:firstLine="643" w:firstLineChars="200"/>
        <w:rPr>
          <w:rStyle w:val="17"/>
          <w:rFonts w:hint="eastAsia" w:ascii="仿宋" w:hAnsi="仿宋" w:eastAsia="仿宋"/>
          <w:b w:val="0"/>
          <w:bCs/>
          <w:color w:val="000000"/>
          <w:sz w:val="32"/>
          <w:szCs w:val="32"/>
          <w:lang w:eastAsia="zh-CN"/>
        </w:rPr>
      </w:pPr>
      <w:r>
        <w:rPr>
          <w:rStyle w:val="17"/>
          <w:rFonts w:hint="eastAsia" w:ascii="仿宋" w:hAnsi="仿宋" w:eastAsia="仿宋"/>
          <w:bCs/>
          <w:color w:val="000000"/>
          <w:sz w:val="32"/>
          <w:szCs w:val="32"/>
          <w:lang w:val="en-US" w:eastAsia="zh-CN"/>
        </w:rPr>
        <w:t>2</w:t>
      </w:r>
      <w:r>
        <w:rPr>
          <w:rStyle w:val="17"/>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行政事业单位医疗</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行政单位医疗</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9.73</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bCs w:val="0"/>
          <w:color w:val="000000"/>
          <w:sz w:val="32"/>
          <w:szCs w:val="32"/>
          <w:lang w:eastAsia="zh-CN"/>
        </w:rPr>
        <w:t>事业单位医疗（项）：</w:t>
      </w:r>
      <w:r>
        <w:rPr>
          <w:rStyle w:val="17"/>
          <w:rFonts w:hint="eastAsia" w:ascii="仿宋" w:hAnsi="仿宋" w:eastAsia="仿宋"/>
          <w:b w:val="0"/>
          <w:bCs/>
          <w:color w:val="000000"/>
          <w:sz w:val="32"/>
          <w:szCs w:val="32"/>
          <w:lang w:eastAsia="zh-CN"/>
        </w:rPr>
        <w:t>支出决算为</w:t>
      </w:r>
      <w:r>
        <w:rPr>
          <w:rStyle w:val="17"/>
          <w:rFonts w:hint="eastAsia" w:ascii="仿宋" w:hAnsi="仿宋" w:eastAsia="仿宋"/>
          <w:b w:val="0"/>
          <w:bCs/>
          <w:color w:val="000000"/>
          <w:sz w:val="32"/>
          <w:szCs w:val="32"/>
          <w:lang w:val="en-US" w:eastAsia="zh-CN"/>
        </w:rPr>
        <w:t>4.28万元，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pPr>
        <w:spacing w:line="600" w:lineRule="exact"/>
        <w:ind w:firstLine="643" w:firstLineChars="200"/>
        <w:rPr>
          <w:rStyle w:val="17"/>
          <w:rFonts w:hint="default" w:ascii="仿宋" w:hAnsi="仿宋" w:eastAsia="仿宋"/>
          <w:b w:val="0"/>
          <w:bCs/>
          <w:color w:val="000000"/>
          <w:sz w:val="32"/>
          <w:szCs w:val="32"/>
          <w:lang w:val="en-US" w:eastAsia="zh-CN"/>
        </w:rPr>
      </w:pPr>
      <w:r>
        <w:rPr>
          <w:rStyle w:val="17"/>
          <w:rFonts w:hint="eastAsia" w:ascii="仿宋" w:hAnsi="仿宋" w:eastAsia="仿宋"/>
          <w:bCs/>
          <w:color w:val="000000"/>
          <w:sz w:val="32"/>
          <w:szCs w:val="32"/>
          <w:lang w:val="en-US" w:eastAsia="zh-CN"/>
        </w:rPr>
        <w:t>3.农林水支出（类）扶贫（款）其他扶贫支出（项）：</w:t>
      </w:r>
      <w:r>
        <w:rPr>
          <w:rStyle w:val="17"/>
          <w:rFonts w:hint="eastAsia" w:ascii="仿宋" w:hAnsi="仿宋" w:eastAsia="仿宋"/>
          <w:b w:val="0"/>
          <w:bCs/>
          <w:color w:val="000000"/>
          <w:sz w:val="32"/>
          <w:szCs w:val="32"/>
          <w:lang w:val="en-US" w:eastAsia="zh-CN"/>
        </w:rPr>
        <w:t>支出决算为2.99万元，完成预算100%。</w:t>
      </w:r>
    </w:p>
    <w:p>
      <w:pPr>
        <w:spacing w:line="600" w:lineRule="exact"/>
        <w:ind w:firstLine="643" w:firstLineChars="200"/>
        <w:rPr>
          <w:rStyle w:val="17"/>
          <w:rFonts w:hint="eastAsia" w:ascii="仿宋" w:hAnsi="仿宋" w:eastAsia="仿宋"/>
          <w:b w:val="0"/>
          <w:bCs/>
          <w:color w:val="000000"/>
          <w:sz w:val="32"/>
          <w:szCs w:val="32"/>
          <w:lang w:eastAsia="zh-CN"/>
        </w:rPr>
      </w:pPr>
      <w:r>
        <w:rPr>
          <w:rStyle w:val="17"/>
          <w:rFonts w:hint="eastAsia" w:ascii="仿宋" w:hAnsi="仿宋" w:eastAsia="仿宋"/>
          <w:bCs/>
          <w:color w:val="000000"/>
          <w:sz w:val="32"/>
          <w:szCs w:val="32"/>
          <w:lang w:val="en-US" w:eastAsia="zh-CN"/>
        </w:rPr>
        <w:t>4.住房保障支出（类）住房改革支出（款）住房公积金（项）：</w:t>
      </w:r>
      <w:r>
        <w:rPr>
          <w:rStyle w:val="17"/>
          <w:rFonts w:hint="eastAsia" w:ascii="仿宋" w:hAnsi="仿宋" w:eastAsia="仿宋"/>
          <w:b w:val="0"/>
          <w:bCs/>
          <w:color w:val="000000"/>
          <w:sz w:val="32"/>
          <w:szCs w:val="32"/>
          <w:lang w:val="en-US" w:eastAsia="zh-CN"/>
        </w:rPr>
        <w:t>支出决算为50.09万元，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8"/>
        </w:rPr>
      </w:pPr>
      <w:bookmarkStart w:id="55" w:name="_Toc15377214"/>
      <w:bookmarkStart w:id="56" w:name="_Toc15396608"/>
      <w:bookmarkStart w:id="57" w:name="_Toc29320_WPSOffice_Level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55"/>
      <w:bookmarkEnd w:id="56"/>
      <w:bookmarkEnd w:id="57"/>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659.11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558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101.11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8"/>
          <w:rFonts w:ascii="黑体" w:hAnsi="黑体" w:eastAsia="黑体"/>
          <w:b w:val="0"/>
        </w:rPr>
      </w:pPr>
      <w:bookmarkStart w:id="58" w:name="_Toc15396609"/>
      <w:bookmarkStart w:id="59" w:name="_Toc26414_WPSOffice_Level2"/>
      <w:bookmarkStart w:id="60"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58"/>
      <w:bookmarkEnd w:id="59"/>
      <w:bookmarkEnd w:id="60"/>
    </w:p>
    <w:p>
      <w:pPr>
        <w:spacing w:line="600" w:lineRule="exact"/>
        <w:ind w:firstLine="640"/>
        <w:outlineLvl w:val="2"/>
        <w:rPr>
          <w:rFonts w:ascii="仿宋" w:hAnsi="仿宋" w:eastAsia="仿宋"/>
          <w:b/>
          <w:color w:val="000000"/>
          <w:sz w:val="32"/>
          <w:szCs w:val="32"/>
        </w:rPr>
      </w:pPr>
      <w:bookmarkStart w:id="61" w:name="_Toc15377216"/>
      <w:r>
        <w:rPr>
          <w:rFonts w:hint="eastAsia" w:ascii="仿宋" w:hAnsi="仿宋" w:eastAsia="仿宋"/>
          <w:b/>
          <w:color w:val="000000"/>
          <w:sz w:val="32"/>
          <w:szCs w:val="32"/>
        </w:rPr>
        <w:t>（一）“三公”经费财政拨款支出决算总体情况说明</w:t>
      </w:r>
      <w:bookmarkEnd w:id="6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17.12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42.8</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我</w:t>
      </w:r>
      <w:r>
        <w:rPr>
          <w:rFonts w:hint="eastAsia" w:ascii="仿宋_GB2312" w:eastAsia="仿宋_GB2312"/>
          <w:sz w:val="32"/>
          <w:szCs w:val="32"/>
        </w:rPr>
        <w:t>单位历行节俭，节省开支</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62" w:name="_Toc15377217"/>
      <w:r>
        <w:rPr>
          <w:rFonts w:hint="eastAsia" w:ascii="仿宋" w:hAnsi="仿宋" w:eastAsia="仿宋"/>
          <w:b/>
          <w:color w:val="000000"/>
          <w:sz w:val="32"/>
          <w:szCs w:val="32"/>
        </w:rPr>
        <w:t>（二）“三公”经费财政拨款支出决算具体情况说明</w:t>
      </w:r>
      <w:bookmarkEnd w:id="62"/>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16.27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0.85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86995</wp:posOffset>
            </wp:positionH>
            <wp:positionV relativeFrom="paragraph">
              <wp:posOffset>99695</wp:posOffset>
            </wp:positionV>
            <wp:extent cx="5080000" cy="2204720"/>
            <wp:effectExtent l="5080" t="4445" r="20320" b="1968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lang w:eastAsia="zh-CN"/>
        </w:rPr>
      </w:pP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_GB2312" w:eastAsia="仿宋_GB2312"/>
          <w:color w:val="000000"/>
          <w:sz w:val="32"/>
          <w:szCs w:val="32"/>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16.27</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81.35</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0.24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1.45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sz w:val="32"/>
          <w:szCs w:val="32"/>
        </w:rPr>
        <w:t>我单位历行节俭，</w:t>
      </w:r>
      <w:r>
        <w:rPr>
          <w:rFonts w:hint="eastAsia" w:ascii="仿宋_GB2312" w:eastAsia="仿宋_GB2312"/>
          <w:sz w:val="32"/>
          <w:szCs w:val="32"/>
          <w:lang w:eastAsia="zh-CN"/>
        </w:rPr>
        <w:t>进一步减少公务用车出行，压减开支。</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轿车</w:t>
      </w:r>
      <w:r>
        <w:rPr>
          <w:rFonts w:hint="eastAsia" w:ascii="仿宋_GB2312" w:eastAsia="仿宋_GB2312"/>
          <w:color w:val="000000"/>
          <w:sz w:val="32"/>
          <w:szCs w:val="32"/>
          <w:lang w:val="en-US" w:eastAsia="zh-CN"/>
        </w:rPr>
        <w:t>5辆。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16.27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公招考试、农民工工资清欠、劳动监察仲裁、违建整治、创卫等</w:t>
      </w:r>
      <w:r>
        <w:rPr>
          <w:rFonts w:hint="eastAsia" w:ascii="仿宋_GB2312" w:eastAsia="仿宋_GB2312"/>
          <w:color w:val="000000"/>
          <w:sz w:val="32"/>
          <w:szCs w:val="32"/>
        </w:rPr>
        <w:t>所需的公务用车燃料费、维修费、过路过桥费、保险费等支出。</w:t>
      </w: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0.85</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4.25</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0.85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0.85</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接待省人社局来峨调研“十四五”规划编制工作及乐山市人社局调研职称评审、公共服务平台建设、职业技能培训等支出</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60余</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0.85</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bookmarkStart w:id="63" w:name="_Toc15377218"/>
      <w:bookmarkStart w:id="64" w:name="_Toc15396610"/>
      <w:r>
        <w:rPr>
          <w:rFonts w:hint="eastAsia" w:ascii="仿宋_GB2312" w:eastAsia="仿宋_GB2312"/>
          <w:color w:val="000000"/>
          <w:sz w:val="32"/>
          <w:szCs w:val="32"/>
        </w:rPr>
        <w:t>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rPr>
          <w:rFonts w:ascii="黑体" w:eastAsia="黑体"/>
          <w:color w:val="000000"/>
          <w:sz w:val="32"/>
          <w:szCs w:val="32"/>
        </w:rPr>
      </w:pPr>
    </w:p>
    <w:p>
      <w:pPr>
        <w:spacing w:line="600" w:lineRule="exact"/>
        <w:ind w:firstLine="640"/>
        <w:outlineLvl w:val="1"/>
        <w:rPr>
          <w:rStyle w:val="28"/>
          <w:rFonts w:ascii="黑体" w:hAnsi="黑体" w:eastAsia="黑体"/>
        </w:rPr>
      </w:pPr>
      <w:bookmarkStart w:id="65" w:name="_Toc27670_WPSOffice_Level2"/>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63"/>
      <w:bookmarkEnd w:id="64"/>
      <w:bookmarkEnd w:id="6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p>
    <w:p>
      <w:pPr>
        <w:numPr>
          <w:ilvl w:val="0"/>
          <w:numId w:val="3"/>
        </w:numPr>
        <w:spacing w:line="600" w:lineRule="exact"/>
        <w:ind w:firstLine="640"/>
        <w:outlineLvl w:val="1"/>
        <w:rPr>
          <w:rStyle w:val="28"/>
          <w:rFonts w:ascii="黑体" w:hAnsi="黑体" w:eastAsia="黑体"/>
          <w:b w:val="0"/>
        </w:rPr>
      </w:pPr>
      <w:bookmarkStart w:id="66" w:name="_Toc25413_WPSOffice_Level2"/>
      <w:bookmarkStart w:id="67" w:name="_Toc15396611"/>
      <w:bookmarkStart w:id="68" w:name="_Toc15377219"/>
      <w:r>
        <w:rPr>
          <w:rStyle w:val="28"/>
          <w:rFonts w:hint="eastAsia" w:ascii="黑体" w:hAnsi="黑体" w:eastAsia="黑体"/>
          <w:b w:val="0"/>
        </w:rPr>
        <w:t>国有资本经营预算支出决算情况说明</w:t>
      </w:r>
      <w:bookmarkEnd w:id="66"/>
      <w:bookmarkEnd w:id="67"/>
      <w:bookmarkEnd w:id="68"/>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8"/>
          <w:rFonts w:ascii="黑体" w:hAnsi="黑体" w:eastAsia="黑体"/>
        </w:rPr>
      </w:pPr>
      <w:bookmarkStart w:id="69" w:name="_Toc8376_WPSOffice_Level2"/>
      <w:bookmarkStart w:id="70" w:name="_Toc15377221"/>
      <w:bookmarkStart w:id="71"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69"/>
      <w:bookmarkEnd w:id="70"/>
      <w:bookmarkEnd w:id="71"/>
    </w:p>
    <w:p>
      <w:pPr>
        <w:spacing w:line="600" w:lineRule="exact"/>
        <w:ind w:firstLine="643" w:firstLineChars="200"/>
        <w:outlineLvl w:val="2"/>
        <w:rPr>
          <w:rFonts w:ascii="仿宋" w:hAnsi="仿宋" w:eastAsia="仿宋"/>
          <w:color w:val="000000"/>
          <w:sz w:val="32"/>
          <w:szCs w:val="32"/>
        </w:rPr>
      </w:pPr>
      <w:bookmarkStart w:id="72" w:name="_Toc15377222"/>
      <w:r>
        <w:rPr>
          <w:rFonts w:hint="eastAsia" w:ascii="仿宋" w:hAnsi="仿宋" w:eastAsia="仿宋"/>
          <w:b/>
          <w:color w:val="000000"/>
          <w:sz w:val="32"/>
          <w:szCs w:val="32"/>
        </w:rPr>
        <w:t>（一）机关运行经费支出情况</w:t>
      </w:r>
      <w:bookmarkEnd w:id="72"/>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人社局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101.13万元，</w:t>
      </w:r>
      <w:r>
        <w:rPr>
          <w:rFonts w:hint="eastAsia" w:ascii="仿宋_GB2312" w:eastAsia="仿宋_GB2312"/>
          <w:color w:val="000000"/>
          <w:sz w:val="32"/>
          <w:szCs w:val="32"/>
        </w:rPr>
        <w:t>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4.15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3.94</w:t>
      </w:r>
      <w:r>
        <w:rPr>
          <w:rFonts w:ascii="仿宋_GB2312" w:eastAsia="仿宋_GB2312"/>
          <w:color w:val="000000"/>
          <w:sz w:val="32"/>
          <w:szCs w:val="32"/>
        </w:rPr>
        <w:t>%</w:t>
      </w:r>
      <w:r>
        <w:rPr>
          <w:rFonts w:hint="eastAsia" w:ascii="仿宋_GB2312" w:eastAsia="仿宋_GB2312"/>
          <w:color w:val="000000"/>
          <w:sz w:val="32"/>
          <w:szCs w:val="32"/>
          <w:lang w:eastAsia="zh-CN"/>
        </w:rPr>
        <w:t>，主要原因为我单位历行节约，缩减开支。</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3" w:name="_Toc15377223"/>
      <w:r>
        <w:rPr>
          <w:rFonts w:hint="eastAsia" w:ascii="仿宋" w:hAnsi="仿宋" w:eastAsia="仿宋"/>
          <w:b/>
          <w:color w:val="000000"/>
          <w:sz w:val="32"/>
          <w:szCs w:val="32"/>
        </w:rPr>
        <w:t>（二）政府采购支出情况</w:t>
      </w:r>
      <w:bookmarkEnd w:id="7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年，政府采购支出总额</w:t>
      </w:r>
      <w:r>
        <w:rPr>
          <w:rFonts w:hint="eastAsia" w:ascii="仿宋_GB2312" w:eastAsia="仿宋_GB2312"/>
          <w:color w:val="000000"/>
          <w:sz w:val="32"/>
          <w:szCs w:val="32"/>
          <w:lang w:val="en-US" w:eastAsia="zh-CN"/>
        </w:rPr>
        <w:t>11.88</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11.88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采购办公电脑及办公家具。</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4" w:name="_Toc15377224"/>
      <w:r>
        <w:rPr>
          <w:rFonts w:hint="eastAsia" w:ascii="仿宋" w:hAnsi="仿宋" w:eastAsia="仿宋"/>
          <w:b/>
          <w:color w:val="000000"/>
          <w:sz w:val="32"/>
          <w:szCs w:val="32"/>
        </w:rPr>
        <w:t>（三）国有资产占有使用情况</w:t>
      </w:r>
      <w:bookmarkEnd w:id="74"/>
    </w:p>
    <w:p>
      <w:pPr>
        <w:autoSpaceDE w:val="0"/>
        <w:autoSpaceDN w:val="0"/>
        <w:adjustRightInd w:val="0"/>
        <w:spacing w:line="600" w:lineRule="exact"/>
        <w:ind w:firstLine="640" w:firstLineChars="200"/>
        <w:jc w:val="left"/>
        <w:outlineLvl w:val="2"/>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我局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全市事业单位公招、农民工工资清欠、劳动监察仲裁、违建整治、创卫等项目。</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10个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个项目开展了绩效目标完成情况自评。</w:t>
      </w:r>
    </w:p>
    <w:p>
      <w:pPr>
        <w:widowControl/>
        <w:adjustRightInd w:val="0"/>
        <w:snapToGrid w:val="0"/>
        <w:spacing w:line="580" w:lineRule="exact"/>
        <w:ind w:firstLine="7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，预决算编制合理，支出规范，保障了机关正常运转。</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10个</w:t>
      </w:r>
      <w:r>
        <w:rPr>
          <w:rFonts w:hint="eastAsia" w:ascii="仿宋_GB2312" w:hAnsi="仿宋_GB2312" w:eastAsia="仿宋_GB2312" w:cs="仿宋_GB2312"/>
          <w:sz w:val="32"/>
          <w:szCs w:val="32"/>
        </w:rPr>
        <w:t>项目支出绩效评价，从评价情况来看</w:t>
      </w:r>
      <w:r>
        <w:rPr>
          <w:rFonts w:hint="eastAsia" w:ascii="仿宋_GB2312" w:hAnsi="仿宋_GB2312" w:eastAsia="仿宋_GB2312" w:cs="仿宋_GB2312"/>
          <w:sz w:val="32"/>
          <w:szCs w:val="32"/>
          <w:lang w:eastAsia="zh-CN"/>
        </w:rPr>
        <w:t>，项目执行情况较好，既遵守了历行节约原则，又基本达到预期项目工作目标。</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“峨胜集团公司奖励金</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、“仲裁监察工作经费”、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职称评审岗位设置及专业继续教育工作经费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、“维稳工作经费”、“农民工工资清欠”</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峨胜集团公司奖励金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89.7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89.07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99.3</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峨胜水泥集团股份公司提前退休职工生活补贴，确保社会稳定</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eastAsia="仿宋_GB2312" w:cs="Times New Roman"/>
          <w:kern w:val="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仲裁监察工作经费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eastAsia="仿宋_GB2312" w:cs="Times New Roman"/>
          <w:kern w:val="2"/>
          <w:sz w:val="32"/>
          <w:szCs w:val="32"/>
        </w:rPr>
        <w:t>提高行政机关工作人员的行政调解意识，增强群众对行政调解途径的信赖</w:t>
      </w:r>
      <w:r>
        <w:rPr>
          <w:rFonts w:hint="eastAsia" w:ascii="仿宋_GB2312" w:eastAsia="仿宋_GB2312" w:cs="Times New Roman"/>
          <w:kern w:val="2"/>
          <w:sz w:val="32"/>
          <w:szCs w:val="32"/>
          <w:lang w:eastAsia="zh-CN"/>
        </w:rPr>
        <w:t>。</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）“职称评审、岗位设置及专业继续教育工作经费”项目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eastAsia="仿宋_GB2312" w:cs="Times New Roman"/>
          <w:kern w:val="2"/>
          <w:sz w:val="32"/>
          <w:szCs w:val="32"/>
          <w:lang w:eastAsia="zh-CN"/>
        </w:rPr>
        <w:t>完成全市初、中级职称评审、岗位设置工作，及全市专业技术人员的继续教育。</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维稳工作经费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 w:hAnsi="仿宋" w:eastAsia="仿宋"/>
          <w:sz w:val="30"/>
          <w:szCs w:val="30"/>
          <w:lang w:val="en-US" w:eastAsia="zh-CN"/>
        </w:rPr>
        <w:t>确保本年度内无信访维稳人员出省上京上访，全局各项工作顺利开展。</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农民工工资清欠</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确保全市重点项目的顺利实施，确保农民工工资及时足额发放到农民工手上。</w:t>
      </w:r>
    </w:p>
    <w:p>
      <w:pPr>
        <w:spacing w:line="580" w:lineRule="exact"/>
        <w:ind w:firstLine="640" w:firstLineChars="200"/>
        <w:rPr>
          <w:rFonts w:hint="eastAsia" w:ascii="仿宋_GB2312" w:hAnsi="仿宋_GB2312" w:eastAsia="仿宋_GB2312" w:cs="仿宋_GB2312"/>
          <w:sz w:val="32"/>
          <w:szCs w:val="32"/>
          <w:lang w:eastAsia="zh-CN"/>
        </w:rPr>
      </w:pPr>
    </w:p>
    <w:p>
      <w:pPr>
        <w:spacing w:line="580" w:lineRule="exact"/>
        <w:ind w:firstLine="640" w:firstLineChars="200"/>
        <w:rPr>
          <w:rFonts w:hint="eastAsia" w:ascii="仿宋_GB2312" w:hAnsi="仿宋_GB2312" w:eastAsia="仿宋_GB2312" w:cs="仿宋_GB2312"/>
          <w:sz w:val="32"/>
          <w:szCs w:val="32"/>
          <w:lang w:eastAsia="zh-CN"/>
        </w:rPr>
      </w:pPr>
    </w:p>
    <w:p>
      <w:pPr>
        <w:spacing w:line="580" w:lineRule="exact"/>
        <w:ind w:firstLine="640" w:firstLineChars="200"/>
        <w:rPr>
          <w:rFonts w:hint="eastAsia" w:ascii="仿宋_GB2312" w:hAnsi="仿宋_GB2312" w:eastAsia="仿宋_GB2312" w:cs="仿宋_GB2312"/>
          <w:sz w:val="32"/>
          <w:szCs w:val="32"/>
          <w:lang w:eastAsia="zh-CN"/>
        </w:rPr>
      </w:pPr>
    </w:p>
    <w:p>
      <w:pPr>
        <w:spacing w:line="580" w:lineRule="exact"/>
        <w:ind w:firstLine="640" w:firstLineChars="200"/>
        <w:rPr>
          <w:rFonts w:hint="eastAsia" w:ascii="仿宋_GB2312" w:hAnsi="仿宋_GB2312" w:eastAsia="仿宋_GB2312" w:cs="仿宋_GB2312"/>
          <w:sz w:val="32"/>
          <w:szCs w:val="32"/>
          <w:lang w:eastAsia="zh-CN"/>
        </w:rPr>
      </w:pPr>
    </w:p>
    <w:p>
      <w:pPr>
        <w:spacing w:line="580" w:lineRule="exact"/>
        <w:ind w:firstLine="640" w:firstLineChars="200"/>
        <w:rPr>
          <w:rFonts w:hint="eastAsia" w:ascii="仿宋_GB2312" w:hAnsi="仿宋_GB2312" w:eastAsia="仿宋_GB2312" w:cs="仿宋_GB2312"/>
          <w:sz w:val="32"/>
          <w:szCs w:val="32"/>
          <w:lang w:eastAsia="zh-CN"/>
        </w:rPr>
      </w:pPr>
    </w:p>
    <w:p>
      <w:pPr>
        <w:spacing w:line="580" w:lineRule="exact"/>
        <w:ind w:firstLine="640" w:firstLineChars="200"/>
        <w:rPr>
          <w:rFonts w:hint="eastAsia" w:ascii="仿宋_GB2312" w:hAnsi="仿宋_GB2312" w:eastAsia="仿宋_GB2312" w:cs="仿宋_GB2312"/>
          <w:sz w:val="32"/>
          <w:szCs w:val="32"/>
          <w:lang w:eastAsia="zh-CN"/>
        </w:rPr>
      </w:pPr>
    </w:p>
    <w:p>
      <w:pPr>
        <w:spacing w:line="580" w:lineRule="exact"/>
        <w:ind w:firstLine="640" w:firstLineChars="200"/>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94"/>
        <w:gridCol w:w="1065"/>
        <w:gridCol w:w="1035"/>
        <w:gridCol w:w="2328"/>
        <w:gridCol w:w="2246"/>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622" w:hRule="atLeast"/>
          <w:jc w:val="center"/>
        </w:trPr>
        <w:tc>
          <w:tcPr>
            <w:tcW w:w="2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9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峨胜集团公司奖励金</w:t>
            </w:r>
          </w:p>
        </w:tc>
      </w:tr>
      <w:tr>
        <w:tblPrEx>
          <w:tblCellMar>
            <w:top w:w="0" w:type="dxa"/>
            <w:left w:w="0" w:type="dxa"/>
            <w:bottom w:w="0" w:type="dxa"/>
            <w:right w:w="0" w:type="dxa"/>
          </w:tblCellMar>
        </w:tblPrEx>
        <w:trPr>
          <w:trHeight w:val="592" w:hRule="atLeast"/>
          <w:jc w:val="center"/>
        </w:trPr>
        <w:tc>
          <w:tcPr>
            <w:tcW w:w="2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9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峨眉山市人力资源和社会保障局</w:t>
            </w:r>
          </w:p>
        </w:tc>
      </w:tr>
      <w:tr>
        <w:tblPrEx>
          <w:tblCellMar>
            <w:top w:w="0" w:type="dxa"/>
            <w:left w:w="0" w:type="dxa"/>
            <w:bottom w:w="0" w:type="dxa"/>
            <w:right w:w="0" w:type="dxa"/>
          </w:tblCellMar>
        </w:tblPrEx>
        <w:trPr>
          <w:trHeight w:val="622"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89.7万元</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89.07万元</w:t>
            </w:r>
          </w:p>
        </w:tc>
      </w:tr>
      <w:tr>
        <w:tblPrEx>
          <w:tblCellMar>
            <w:top w:w="0" w:type="dxa"/>
            <w:left w:w="0" w:type="dxa"/>
            <w:bottom w:w="0" w:type="dxa"/>
            <w:right w:w="0" w:type="dxa"/>
          </w:tblCellMar>
        </w:tblPrEx>
        <w:trPr>
          <w:trHeight w:val="777"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89.7万元</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89.07万元</w:t>
            </w:r>
          </w:p>
        </w:tc>
      </w:tr>
      <w:tr>
        <w:tblPrEx>
          <w:tblCellMar>
            <w:top w:w="0" w:type="dxa"/>
            <w:left w:w="0" w:type="dxa"/>
            <w:bottom w:w="0" w:type="dxa"/>
            <w:right w:w="0" w:type="dxa"/>
          </w:tblCellMar>
        </w:tblPrEx>
        <w:trPr>
          <w:trHeight w:val="591"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82"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6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kern w:val="0"/>
                <w:sz w:val="24"/>
              </w:rPr>
            </w:pPr>
          </w:p>
        </w:tc>
        <w:tc>
          <w:tcPr>
            <w:tcW w:w="44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left"/>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rPr>
              <w:t>保障</w:t>
            </w:r>
            <w:r>
              <w:rPr>
                <w:rFonts w:hint="eastAsia" w:ascii="宋体" w:hAnsi="宋体" w:cs="宋体"/>
                <w:color w:val="000000"/>
                <w:kern w:val="0"/>
                <w:sz w:val="24"/>
                <w:lang w:eastAsia="zh-CN"/>
              </w:rPr>
              <w:t>了</w:t>
            </w:r>
            <w:r>
              <w:rPr>
                <w:rFonts w:hint="eastAsia" w:ascii="宋体" w:hAnsi="宋体" w:cs="宋体"/>
                <w:color w:val="000000"/>
                <w:kern w:val="0"/>
                <w:sz w:val="24"/>
              </w:rPr>
              <w:t>峨胜水泥集团股份公司提前退休职工生活补贴，确保社会稳定</w:t>
            </w:r>
            <w:r>
              <w:rPr>
                <w:rFonts w:hint="eastAsia" w:ascii="宋体" w:hAnsi="宋体" w:cs="宋体"/>
                <w:color w:val="000000"/>
                <w:kern w:val="0"/>
                <w:sz w:val="24"/>
                <w:lang w:eastAsia="zh-CN"/>
              </w:rPr>
              <w:t>。</w:t>
            </w:r>
          </w:p>
          <w:p>
            <w:pPr>
              <w:widowControl/>
              <w:jc w:val="left"/>
              <w:textAlignment w:val="center"/>
              <w:rPr>
                <w:rFonts w:hint="eastAsia" w:ascii="宋体" w:hAnsi="宋体" w:cs="宋体"/>
                <w:color w:val="000000"/>
                <w:kern w:val="0"/>
                <w:sz w:val="24"/>
              </w:rPr>
            </w:pPr>
          </w:p>
          <w:p>
            <w:pPr>
              <w:widowControl/>
              <w:jc w:val="center"/>
              <w:textAlignment w:val="center"/>
              <w:rPr>
                <w:rFonts w:ascii="宋体" w:hAnsi="宋体" w:cs="宋体"/>
                <w:color w:val="000000"/>
                <w:sz w:val="24"/>
              </w:rPr>
            </w:pPr>
          </w:p>
        </w:tc>
        <w:tc>
          <w:tcPr>
            <w:tcW w:w="46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保障</w:t>
            </w:r>
            <w:r>
              <w:rPr>
                <w:rFonts w:hint="eastAsia" w:ascii="宋体" w:hAnsi="宋体" w:cs="宋体"/>
                <w:color w:val="000000"/>
                <w:kern w:val="0"/>
                <w:sz w:val="24"/>
                <w:lang w:eastAsia="zh-CN"/>
              </w:rPr>
              <w:t>了</w:t>
            </w:r>
            <w:r>
              <w:rPr>
                <w:rFonts w:hint="eastAsia" w:ascii="宋体" w:hAnsi="宋体" w:cs="宋体"/>
                <w:color w:val="000000"/>
                <w:kern w:val="0"/>
                <w:sz w:val="24"/>
              </w:rPr>
              <w:t>峨胜水泥集团股份公司提前退休职工生活补贴，确保社会稳定</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1282" w:hRule="atLeast"/>
          <w:jc w:val="center"/>
        </w:trPr>
        <w:tc>
          <w:tcPr>
            <w:tcW w:w="8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568" w:hRule="atLeast"/>
          <w:jc w:val="center"/>
        </w:trPr>
        <w:tc>
          <w:tcPr>
            <w:tcW w:w="8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对峨胜水泥集团股份公司提前退休职业兑现生活补贴</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52人</w:t>
            </w:r>
          </w:p>
        </w:tc>
      </w:tr>
      <w:tr>
        <w:tblPrEx>
          <w:tblCellMar>
            <w:top w:w="0" w:type="dxa"/>
            <w:left w:w="0" w:type="dxa"/>
            <w:bottom w:w="0" w:type="dxa"/>
            <w:right w:w="0" w:type="dxa"/>
          </w:tblCellMar>
        </w:tblPrEx>
        <w:trPr>
          <w:trHeight w:val="1185" w:hRule="atLeast"/>
          <w:jc w:val="center"/>
        </w:trPr>
        <w:tc>
          <w:tcPr>
            <w:tcW w:w="8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社会效益</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确保社会稳定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确保社会稳定</w:t>
            </w:r>
          </w:p>
        </w:tc>
      </w:tr>
      <w:tr>
        <w:tblPrEx>
          <w:tblCellMar>
            <w:top w:w="0" w:type="dxa"/>
            <w:left w:w="0" w:type="dxa"/>
            <w:bottom w:w="0" w:type="dxa"/>
            <w:right w:w="0" w:type="dxa"/>
          </w:tblCellMar>
        </w:tblPrEx>
        <w:trPr>
          <w:trHeight w:val="1750" w:hRule="atLeast"/>
          <w:jc w:val="center"/>
        </w:trPr>
        <w:tc>
          <w:tcPr>
            <w:tcW w:w="8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满意度</w:t>
            </w:r>
          </w:p>
          <w:p>
            <w:pPr>
              <w:widowControl/>
              <w:jc w:val="center"/>
              <w:textAlignment w:val="center"/>
              <w:rPr>
                <w:rFonts w:ascii="宋体" w:hAnsi="宋体" w:cs="宋体"/>
                <w:color w:val="000000"/>
                <w:sz w:val="24"/>
              </w:rPr>
            </w:pPr>
            <w:r>
              <w:rPr>
                <w:rFonts w:hint="eastAsia" w:ascii="宋体" w:hAnsi="宋体" w:cs="宋体"/>
                <w:color w:val="000000"/>
                <w:kern w:val="0"/>
                <w:sz w:val="24"/>
              </w:rPr>
              <w:t>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满意率</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439" w:hRule="atLeast"/>
          <w:jc w:val="center"/>
        </w:trPr>
        <w:tc>
          <w:tcPr>
            <w:tcW w:w="2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9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仲裁监察工作经费</w:t>
            </w:r>
          </w:p>
        </w:tc>
      </w:tr>
      <w:tr>
        <w:tblPrEx>
          <w:tblCellMar>
            <w:top w:w="0" w:type="dxa"/>
            <w:left w:w="0" w:type="dxa"/>
            <w:bottom w:w="0" w:type="dxa"/>
            <w:right w:w="0" w:type="dxa"/>
          </w:tblCellMar>
        </w:tblPrEx>
        <w:trPr>
          <w:trHeight w:val="276" w:hRule="atLeast"/>
          <w:jc w:val="center"/>
        </w:trPr>
        <w:tc>
          <w:tcPr>
            <w:tcW w:w="2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9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峨眉山市人力资源和社会保障局</w:t>
            </w:r>
          </w:p>
        </w:tc>
      </w:tr>
      <w:tr>
        <w:tblPrEx>
          <w:tblCellMar>
            <w:top w:w="0" w:type="dxa"/>
            <w:left w:w="0" w:type="dxa"/>
            <w:bottom w:w="0" w:type="dxa"/>
            <w:right w:w="0" w:type="dxa"/>
          </w:tblCellMar>
        </w:tblPrEx>
        <w:trPr>
          <w:trHeight w:val="276"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20万元</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20万元</w:t>
            </w:r>
          </w:p>
        </w:tc>
      </w:tr>
      <w:tr>
        <w:tblPrEx>
          <w:tblCellMar>
            <w:top w:w="0" w:type="dxa"/>
            <w:left w:w="0" w:type="dxa"/>
            <w:bottom w:w="0" w:type="dxa"/>
            <w:right w:w="0" w:type="dxa"/>
          </w:tblCellMar>
        </w:tblPrEx>
        <w:trPr>
          <w:trHeight w:val="447"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20万元</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20万元</w:t>
            </w:r>
          </w:p>
        </w:tc>
      </w:tr>
      <w:tr>
        <w:tblPrEx>
          <w:tblCellMar>
            <w:top w:w="0" w:type="dxa"/>
            <w:left w:w="0" w:type="dxa"/>
            <w:bottom w:w="0" w:type="dxa"/>
            <w:right w:w="0" w:type="dxa"/>
          </w:tblCellMar>
        </w:tblPrEx>
        <w:trPr>
          <w:trHeight w:val="341"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6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4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4"/>
              <w:spacing w:before="135" w:beforeAutospacing="0" w:after="135" w:afterAutospacing="0" w:line="520" w:lineRule="exact"/>
              <w:ind w:firstLine="480" w:firstLineChars="200"/>
              <w:jc w:val="both"/>
              <w:rPr>
                <w:rFonts w:ascii="宋体" w:hAnsi="宋体" w:cs="宋体"/>
                <w:color w:val="000000"/>
                <w:sz w:val="24"/>
              </w:rPr>
            </w:pPr>
            <w:r>
              <w:rPr>
                <w:rFonts w:hint="eastAsia" w:ascii="宋体" w:hAnsi="宋体" w:eastAsia="宋体" w:cs="宋体"/>
                <w:color w:val="000000"/>
                <w:kern w:val="0"/>
                <w:sz w:val="24"/>
                <w:szCs w:val="24"/>
                <w:lang w:val="en-US" w:eastAsia="zh-CN" w:bidi="ar-SA"/>
              </w:rPr>
              <w:t>一是进一步加强对行政调解工作的组织领导，制订完善相关制度和工作措施，保障各项工作落实到位；二是加大培训指导力度，提高行政调解工作能力和水平；三是继续做好法制宣传和政策指导，充分运用办公平台、报刊、电视、网络等媒介，对行政调解工作内容、程序和实践进行宣传，提高行政机关工作人员的行政调解意识，增强群众对行政调解途径的信赖。</w:t>
            </w:r>
          </w:p>
        </w:tc>
        <w:tc>
          <w:tcPr>
            <w:tcW w:w="46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4"/>
              <w:spacing w:before="135" w:beforeAutospacing="0" w:after="135" w:afterAutospacing="0" w:line="520" w:lineRule="exact"/>
              <w:ind w:firstLine="480" w:firstLineChars="200"/>
              <w:jc w:val="both"/>
              <w:rPr>
                <w:rFonts w:ascii="宋体" w:hAnsi="宋体" w:cs="宋体"/>
                <w:color w:val="000000"/>
                <w:sz w:val="24"/>
              </w:rPr>
            </w:pPr>
            <w:r>
              <w:rPr>
                <w:rFonts w:hint="eastAsia" w:ascii="宋体" w:hAnsi="宋体" w:eastAsia="宋体" w:cs="宋体"/>
                <w:color w:val="000000"/>
                <w:kern w:val="0"/>
                <w:sz w:val="24"/>
                <w:szCs w:val="24"/>
                <w:lang w:val="en-US" w:eastAsia="zh-CN" w:bidi="ar-SA"/>
              </w:rPr>
              <w:t>一是进一步加强对行政调解工作的组织领导，制订完善相关制度和工作措施，保障各项工作落实到位；二是加大培训指导力度，提高行政调解工作能力和水平；三是继续做好法制宣传和政策指导，充分运用办公平台、报刊、电视、网络等媒介，对行政调解工作内容、程序和实践进行宣传，提高行政机关工作人员的行政调解意识，增强群众对行政调解途径的信赖。</w:t>
            </w:r>
          </w:p>
        </w:tc>
      </w:tr>
      <w:tr>
        <w:tblPrEx>
          <w:tblCellMar>
            <w:top w:w="0" w:type="dxa"/>
            <w:left w:w="0" w:type="dxa"/>
            <w:bottom w:w="0" w:type="dxa"/>
            <w:right w:w="0" w:type="dxa"/>
          </w:tblCellMar>
        </w:tblPrEx>
        <w:trPr>
          <w:trHeight w:val="1042" w:hRule="atLeast"/>
          <w:jc w:val="center"/>
        </w:trPr>
        <w:tc>
          <w:tcPr>
            <w:tcW w:w="8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8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社会效益</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szCs w:val="24"/>
                <w:lang w:val="en-US" w:eastAsia="zh-CN" w:bidi="ar-SA"/>
              </w:rPr>
              <w:t>进一步加强对行政调解工作的组织领导，制订完善相关制度和工作措施，保障各项工作落实到位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szCs w:val="24"/>
                <w:lang w:val="en-US" w:eastAsia="zh-CN" w:bidi="ar-SA"/>
              </w:rPr>
              <w:t>进一步加强对行政调解工作的组织领导，制订完善相关制度和工作措施，保障各项工作落实到位</w:t>
            </w:r>
          </w:p>
        </w:tc>
      </w:tr>
      <w:tr>
        <w:tblPrEx>
          <w:tblCellMar>
            <w:top w:w="0" w:type="dxa"/>
            <w:left w:w="0" w:type="dxa"/>
            <w:bottom w:w="0" w:type="dxa"/>
            <w:right w:w="0" w:type="dxa"/>
          </w:tblCellMar>
        </w:tblPrEx>
        <w:trPr>
          <w:trHeight w:val="355" w:hRule="atLeast"/>
          <w:jc w:val="center"/>
        </w:trPr>
        <w:tc>
          <w:tcPr>
            <w:tcW w:w="8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eastAsia="宋体" w:cs="宋体"/>
                <w:color w:val="000000"/>
                <w:kern w:val="0"/>
                <w:sz w:val="24"/>
                <w:szCs w:val="24"/>
                <w:lang w:val="en-US" w:eastAsia="zh-CN" w:bidi="ar-SA"/>
              </w:rPr>
              <w:t>加大培训指导力度，提高行政调解工作能力和水平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eastAsia="宋体" w:cs="宋体"/>
                <w:color w:val="000000"/>
                <w:kern w:val="0"/>
                <w:sz w:val="24"/>
                <w:szCs w:val="24"/>
                <w:lang w:val="en-US" w:eastAsia="zh-CN" w:bidi="ar-SA"/>
              </w:rPr>
              <w:t>加大培训指导力度，提高行政调解工作能力和水平</w:t>
            </w:r>
          </w:p>
        </w:tc>
      </w:tr>
      <w:tr>
        <w:tblPrEx>
          <w:tblCellMar>
            <w:top w:w="0" w:type="dxa"/>
            <w:left w:w="0" w:type="dxa"/>
            <w:bottom w:w="0" w:type="dxa"/>
            <w:right w:w="0" w:type="dxa"/>
          </w:tblCellMar>
        </w:tblPrEx>
        <w:trPr>
          <w:trHeight w:val="1750" w:hRule="atLeast"/>
          <w:jc w:val="center"/>
        </w:trPr>
        <w:tc>
          <w:tcPr>
            <w:tcW w:w="8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社会效益指标</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szCs w:val="24"/>
                <w:lang w:val="en-US" w:eastAsia="zh-CN" w:bidi="ar-SA"/>
              </w:rPr>
              <w:t>提高行政机关工作人员的行政调解意识，增强群众对行政调解途径的信赖。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szCs w:val="24"/>
                <w:lang w:val="en-US" w:eastAsia="zh-CN" w:bidi="ar-SA"/>
              </w:rPr>
              <w:t>提高行政机关工作人员的行政调解意识，增强群众对行政调解途径的信赖。</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626" w:hRule="atLeast"/>
          <w:jc w:val="center"/>
        </w:trPr>
        <w:tc>
          <w:tcPr>
            <w:tcW w:w="2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9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职称评审、岗位设置及专业继续教育工作经费</w:t>
            </w:r>
          </w:p>
        </w:tc>
      </w:tr>
      <w:tr>
        <w:tblPrEx>
          <w:tblCellMar>
            <w:top w:w="0" w:type="dxa"/>
            <w:left w:w="0" w:type="dxa"/>
            <w:bottom w:w="0" w:type="dxa"/>
            <w:right w:w="0" w:type="dxa"/>
          </w:tblCellMar>
        </w:tblPrEx>
        <w:trPr>
          <w:trHeight w:val="518" w:hRule="atLeast"/>
          <w:jc w:val="center"/>
        </w:trPr>
        <w:tc>
          <w:tcPr>
            <w:tcW w:w="2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9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峨眉山市人力资源和社会保障局</w:t>
            </w:r>
          </w:p>
        </w:tc>
      </w:tr>
      <w:tr>
        <w:tblPrEx>
          <w:tblCellMar>
            <w:top w:w="0" w:type="dxa"/>
            <w:left w:w="0" w:type="dxa"/>
            <w:bottom w:w="0" w:type="dxa"/>
            <w:right w:w="0" w:type="dxa"/>
          </w:tblCellMar>
        </w:tblPrEx>
        <w:trPr>
          <w:trHeight w:val="584"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15万元</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15万元</w:t>
            </w:r>
          </w:p>
        </w:tc>
      </w:tr>
      <w:tr>
        <w:tblPrEx>
          <w:tblCellMar>
            <w:top w:w="0" w:type="dxa"/>
            <w:left w:w="0" w:type="dxa"/>
            <w:bottom w:w="0" w:type="dxa"/>
            <w:right w:w="0" w:type="dxa"/>
          </w:tblCellMar>
        </w:tblPrEx>
        <w:trPr>
          <w:trHeight w:val="626"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15万元</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15万元</w:t>
            </w:r>
          </w:p>
        </w:tc>
      </w:tr>
      <w:tr>
        <w:tblPrEx>
          <w:tblCellMar>
            <w:top w:w="0" w:type="dxa"/>
            <w:left w:w="0" w:type="dxa"/>
            <w:bottom w:w="0" w:type="dxa"/>
            <w:right w:w="0" w:type="dxa"/>
          </w:tblCellMar>
        </w:tblPrEx>
        <w:trPr>
          <w:trHeight w:val="548"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82"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6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2003"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4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4"/>
              <w:spacing w:before="135" w:beforeAutospacing="0" w:after="135" w:afterAutospacing="0" w:line="520" w:lineRule="exact"/>
              <w:ind w:firstLine="480" w:firstLineChars="200"/>
              <w:jc w:val="both"/>
              <w:rPr>
                <w:rFonts w:ascii="宋体" w:hAnsi="宋体" w:cs="宋体"/>
                <w:color w:val="000000"/>
                <w:sz w:val="24"/>
              </w:rPr>
            </w:pPr>
            <w:r>
              <w:rPr>
                <w:rFonts w:hint="eastAsia" w:ascii="宋体" w:hAnsi="宋体" w:eastAsia="宋体" w:cs="宋体"/>
                <w:color w:val="000000"/>
                <w:kern w:val="0"/>
                <w:sz w:val="24"/>
                <w:szCs w:val="24"/>
                <w:lang w:val="en-US" w:eastAsia="zh-CN" w:bidi="ar-SA"/>
              </w:rPr>
              <w:t>做好初中级职称评审、机关事业单位改革（撤乡并镇）后岗位设置、专业技术人员继续教育等工作。</w:t>
            </w:r>
          </w:p>
        </w:tc>
        <w:tc>
          <w:tcPr>
            <w:tcW w:w="46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4"/>
              <w:spacing w:before="135" w:beforeAutospacing="0" w:after="135" w:afterAutospacing="0" w:line="520" w:lineRule="exact"/>
              <w:ind w:firstLine="480" w:firstLineChars="200"/>
              <w:jc w:val="both"/>
              <w:rPr>
                <w:rFonts w:ascii="宋体" w:hAnsi="宋体" w:cs="宋体"/>
                <w:color w:val="000000"/>
                <w:sz w:val="24"/>
              </w:rPr>
            </w:pPr>
            <w:r>
              <w:rPr>
                <w:rFonts w:hint="eastAsia" w:ascii="宋体" w:hAnsi="宋体" w:eastAsia="宋体" w:cs="宋体"/>
                <w:color w:val="000000"/>
                <w:kern w:val="0"/>
                <w:sz w:val="24"/>
                <w:szCs w:val="24"/>
                <w:lang w:val="en-US" w:eastAsia="zh-CN" w:bidi="ar-SA"/>
              </w:rPr>
              <w:t>做好初中级职称评审、机关事业单位改革（撤乡并镇）后岗位设置、专业技术人员继续教育等工作。</w:t>
            </w:r>
          </w:p>
        </w:tc>
      </w:tr>
      <w:tr>
        <w:tblPrEx>
          <w:tblCellMar>
            <w:top w:w="0" w:type="dxa"/>
            <w:left w:w="0" w:type="dxa"/>
            <w:bottom w:w="0" w:type="dxa"/>
            <w:right w:w="0" w:type="dxa"/>
          </w:tblCellMar>
        </w:tblPrEx>
        <w:trPr>
          <w:trHeight w:val="1235" w:hRule="atLeast"/>
          <w:jc w:val="center"/>
        </w:trPr>
        <w:tc>
          <w:tcPr>
            <w:tcW w:w="8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528" w:hRule="atLeast"/>
          <w:jc w:val="center"/>
        </w:trPr>
        <w:tc>
          <w:tcPr>
            <w:tcW w:w="8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社会效益</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szCs w:val="24"/>
                <w:lang w:val="en-US" w:eastAsia="zh-CN" w:bidi="ar-SA"/>
              </w:rPr>
              <w:t>做好全市初、中级职称评审工作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szCs w:val="24"/>
                <w:lang w:val="en-US" w:eastAsia="zh-CN" w:bidi="ar-SA"/>
              </w:rPr>
              <w:t xml:space="preserve">  做好全市初、中级职称评审工作</w:t>
            </w:r>
          </w:p>
        </w:tc>
      </w:tr>
      <w:tr>
        <w:tblPrEx>
          <w:tblCellMar>
            <w:top w:w="0" w:type="dxa"/>
            <w:left w:w="0" w:type="dxa"/>
            <w:bottom w:w="0" w:type="dxa"/>
            <w:right w:w="0" w:type="dxa"/>
          </w:tblCellMar>
        </w:tblPrEx>
        <w:trPr>
          <w:trHeight w:val="1510" w:hRule="atLeast"/>
          <w:jc w:val="center"/>
        </w:trPr>
        <w:tc>
          <w:tcPr>
            <w:tcW w:w="8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eastAsia="宋体" w:cs="宋体"/>
                <w:color w:val="000000"/>
                <w:kern w:val="0"/>
                <w:sz w:val="24"/>
                <w:szCs w:val="24"/>
                <w:lang w:val="en-US" w:eastAsia="zh-CN" w:bidi="ar-SA"/>
              </w:rPr>
              <w:t>撤乡并镇后全市机关事业单位改革、岗位设置培训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eastAsia="宋体" w:cs="宋体"/>
                <w:color w:val="000000"/>
                <w:kern w:val="0"/>
                <w:sz w:val="24"/>
                <w:szCs w:val="24"/>
                <w:lang w:val="en-US" w:eastAsia="zh-CN" w:bidi="ar-SA"/>
              </w:rPr>
              <w:t>撤乡并镇后全市机关事业单位改革、岗位设置培训</w:t>
            </w:r>
          </w:p>
        </w:tc>
      </w:tr>
      <w:tr>
        <w:tblPrEx>
          <w:tblCellMar>
            <w:top w:w="0" w:type="dxa"/>
            <w:left w:w="0" w:type="dxa"/>
            <w:bottom w:w="0" w:type="dxa"/>
            <w:right w:w="0" w:type="dxa"/>
          </w:tblCellMar>
        </w:tblPrEx>
        <w:trPr>
          <w:trHeight w:val="1750" w:hRule="atLeast"/>
          <w:jc w:val="center"/>
        </w:trPr>
        <w:tc>
          <w:tcPr>
            <w:tcW w:w="8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社会效益指标</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w:t>
            </w:r>
          </w:p>
        </w:tc>
        <w:tc>
          <w:tcPr>
            <w:tcW w:w="2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完成全市专业技术人员的继续教育工作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完成全市专业技术人员的继续教育工作</w:t>
            </w:r>
          </w:p>
        </w:tc>
      </w:tr>
    </w:tbl>
    <w:p>
      <w:pPr>
        <w:spacing w:line="580" w:lineRule="exact"/>
        <w:ind w:firstLine="640" w:firstLineChars="200"/>
        <w:rPr>
          <w:rFonts w:hint="eastAsia" w:ascii="楷体_GB2312" w:hAnsi="楷体_GB2312" w:eastAsia="楷体_GB2312" w:cs="楷体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94"/>
        <w:gridCol w:w="1065"/>
        <w:gridCol w:w="1035"/>
        <w:gridCol w:w="2180"/>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626" w:hRule="atLeast"/>
          <w:jc w:val="center"/>
        </w:trPr>
        <w:tc>
          <w:tcPr>
            <w:tcW w:w="2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9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维稳工作经费</w:t>
            </w:r>
          </w:p>
        </w:tc>
      </w:tr>
      <w:tr>
        <w:tblPrEx>
          <w:tblCellMar>
            <w:top w:w="0" w:type="dxa"/>
            <w:left w:w="0" w:type="dxa"/>
            <w:bottom w:w="0" w:type="dxa"/>
            <w:right w:w="0" w:type="dxa"/>
          </w:tblCellMar>
        </w:tblPrEx>
        <w:trPr>
          <w:trHeight w:val="518" w:hRule="atLeast"/>
          <w:jc w:val="center"/>
        </w:trPr>
        <w:tc>
          <w:tcPr>
            <w:tcW w:w="2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9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峨眉山市人力资源和社会保障局</w:t>
            </w:r>
          </w:p>
        </w:tc>
      </w:tr>
      <w:tr>
        <w:tblPrEx>
          <w:tblCellMar>
            <w:top w:w="0" w:type="dxa"/>
            <w:left w:w="0" w:type="dxa"/>
            <w:bottom w:w="0" w:type="dxa"/>
            <w:right w:w="0" w:type="dxa"/>
          </w:tblCellMar>
        </w:tblPrEx>
        <w:trPr>
          <w:trHeight w:val="584"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8万元</w:t>
            </w:r>
          </w:p>
        </w:tc>
      </w:tr>
      <w:tr>
        <w:tblPrEx>
          <w:tblCellMar>
            <w:top w:w="0" w:type="dxa"/>
            <w:left w:w="0" w:type="dxa"/>
            <w:bottom w:w="0" w:type="dxa"/>
            <w:right w:w="0" w:type="dxa"/>
          </w:tblCellMar>
        </w:tblPrEx>
        <w:trPr>
          <w:trHeight w:val="626"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8万元</w:t>
            </w:r>
          </w:p>
        </w:tc>
      </w:tr>
      <w:tr>
        <w:tblPrEx>
          <w:tblCellMar>
            <w:top w:w="0" w:type="dxa"/>
            <w:left w:w="0" w:type="dxa"/>
            <w:bottom w:w="0" w:type="dxa"/>
            <w:right w:w="0" w:type="dxa"/>
          </w:tblCellMar>
        </w:tblPrEx>
        <w:trPr>
          <w:trHeight w:val="548"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82"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2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2003"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2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4"/>
              <w:spacing w:before="135" w:beforeAutospacing="0" w:after="135" w:afterAutospacing="0" w:line="240" w:lineRule="auto"/>
              <w:ind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确保本年度内无信访维稳人员出省上京上访；</w:t>
            </w:r>
            <w:r>
              <w:rPr>
                <w:rFonts w:hint="eastAsia" w:cs="宋体"/>
                <w:color w:val="000000"/>
                <w:kern w:val="0"/>
                <w:sz w:val="24"/>
                <w:szCs w:val="24"/>
                <w:lang w:val="en-US" w:eastAsia="zh-CN" w:bidi="ar-SA"/>
              </w:rPr>
              <w:t>确保全局其他项目稳步开展。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4"/>
              <w:spacing w:before="135" w:beforeAutospacing="0" w:after="135" w:afterAutospacing="0" w:line="240" w:lineRule="auto"/>
              <w:jc w:val="both"/>
              <w:rPr>
                <w:rFonts w:hint="eastAsia" w:ascii="宋体" w:hAnsi="宋体" w:eastAsia="宋体" w:cs="宋体"/>
                <w:color w:val="000000"/>
                <w:kern w:val="0"/>
                <w:sz w:val="24"/>
                <w:szCs w:val="24"/>
                <w:lang w:val="en-US" w:eastAsia="zh-CN" w:bidi="ar-SA"/>
              </w:rPr>
            </w:pPr>
            <w:r>
              <w:rPr>
                <w:rFonts w:hint="eastAsia" w:cs="宋体"/>
                <w:color w:val="000000"/>
                <w:kern w:val="0"/>
                <w:sz w:val="24"/>
                <w:szCs w:val="24"/>
                <w:lang w:val="en-US" w:eastAsia="zh-CN" w:bidi="ar-SA"/>
              </w:rPr>
              <w:t>确保本年度内无信访维稳人员出省上京上访；确保全局其他项目稳步开展。</w:t>
            </w:r>
          </w:p>
        </w:tc>
      </w:tr>
      <w:tr>
        <w:tblPrEx>
          <w:tblCellMar>
            <w:top w:w="0" w:type="dxa"/>
            <w:left w:w="0" w:type="dxa"/>
            <w:bottom w:w="0" w:type="dxa"/>
            <w:right w:w="0" w:type="dxa"/>
          </w:tblCellMar>
        </w:tblPrEx>
        <w:trPr>
          <w:trHeight w:val="1072" w:hRule="atLeast"/>
          <w:jc w:val="center"/>
        </w:trPr>
        <w:tc>
          <w:tcPr>
            <w:tcW w:w="8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375" w:hRule="atLeast"/>
          <w:jc w:val="center"/>
        </w:trPr>
        <w:tc>
          <w:tcPr>
            <w:tcW w:w="8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szCs w:val="24"/>
                <w:lang w:val="en-US" w:eastAsia="zh-CN" w:bidi="ar-SA"/>
              </w:rPr>
              <w:t>确保本年度内无信访维稳人员出省上京上访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szCs w:val="24"/>
                <w:lang w:val="en-US" w:eastAsia="zh-CN" w:bidi="ar-SA"/>
              </w:rPr>
              <w:t>本年度内无信访维稳人员出省上京上访</w:t>
            </w:r>
          </w:p>
        </w:tc>
      </w:tr>
      <w:tr>
        <w:tblPrEx>
          <w:tblCellMar>
            <w:top w:w="0" w:type="dxa"/>
            <w:left w:w="0" w:type="dxa"/>
            <w:bottom w:w="0" w:type="dxa"/>
            <w:right w:w="0" w:type="dxa"/>
          </w:tblCellMar>
        </w:tblPrEx>
        <w:trPr>
          <w:trHeight w:val="1510" w:hRule="atLeast"/>
          <w:jc w:val="center"/>
        </w:trPr>
        <w:tc>
          <w:tcPr>
            <w:tcW w:w="8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SA"/>
              </w:rPr>
              <w:t>确保</w:t>
            </w:r>
            <w:r>
              <w:rPr>
                <w:rFonts w:hint="eastAsia" w:ascii="宋体" w:hAnsi="宋体" w:cs="宋体"/>
                <w:color w:val="000000"/>
                <w:kern w:val="0"/>
                <w:sz w:val="24"/>
                <w:szCs w:val="24"/>
                <w:lang w:val="en-US" w:eastAsia="zh-CN" w:bidi="ar-SA"/>
              </w:rPr>
              <w:t>全局其他项目稳步开展</w:t>
            </w:r>
            <w:r>
              <w:rPr>
                <w:rFonts w:hint="eastAsia" w:ascii="宋体" w:hAnsi="宋体" w:eastAsia="宋体" w:cs="宋体"/>
                <w:color w:val="000000"/>
                <w:kern w:val="0"/>
                <w:sz w:val="24"/>
                <w:szCs w:val="24"/>
                <w:lang w:val="en-US" w:eastAsia="zh-CN" w:bidi="ar-SA"/>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val="en-US" w:eastAsia="zh-CN" w:bidi="ar-SA"/>
              </w:rPr>
              <w:t>全局各项工作稳步开展</w:t>
            </w:r>
            <w:r>
              <w:rPr>
                <w:rFonts w:hint="eastAsia" w:ascii="宋体" w:hAnsi="宋体" w:eastAsia="宋体" w:cs="宋体"/>
                <w:color w:val="000000"/>
                <w:kern w:val="0"/>
                <w:sz w:val="24"/>
                <w:szCs w:val="24"/>
                <w:lang w:val="en-US" w:eastAsia="zh-CN" w:bidi="ar-SA"/>
              </w:rPr>
              <w:t>。</w:t>
            </w:r>
          </w:p>
        </w:tc>
      </w:tr>
      <w:tr>
        <w:tblPrEx>
          <w:tblCellMar>
            <w:top w:w="0" w:type="dxa"/>
            <w:left w:w="0" w:type="dxa"/>
            <w:bottom w:w="0" w:type="dxa"/>
            <w:right w:w="0" w:type="dxa"/>
          </w:tblCellMar>
        </w:tblPrEx>
        <w:trPr>
          <w:trHeight w:val="1750" w:hRule="atLeast"/>
          <w:jc w:val="center"/>
        </w:trPr>
        <w:tc>
          <w:tcPr>
            <w:tcW w:w="8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满意度</w:t>
            </w:r>
            <w:r>
              <w:rPr>
                <w:rFonts w:hint="eastAsia" w:ascii="宋体" w:hAnsi="宋体" w:cs="宋体"/>
                <w:color w:val="000000"/>
                <w:kern w:val="0"/>
                <w:sz w:val="24"/>
              </w:rPr>
              <w:t>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满意度</w:t>
            </w:r>
          </w:p>
          <w:p>
            <w:pPr>
              <w:widowControl/>
              <w:jc w:val="center"/>
              <w:textAlignment w:val="center"/>
              <w:rPr>
                <w:rFonts w:ascii="宋体" w:hAnsi="宋体" w:cs="宋体"/>
                <w:color w:val="000000"/>
                <w:sz w:val="24"/>
              </w:rPr>
            </w:pPr>
            <w:r>
              <w:rPr>
                <w:rFonts w:hint="eastAsia" w:ascii="宋体" w:hAnsi="宋体" w:cs="宋体"/>
                <w:color w:val="000000"/>
                <w:sz w:val="24"/>
                <w:lang w:eastAsia="zh-CN"/>
              </w:rPr>
              <w:t>指标</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szCs w:val="24"/>
                <w:lang w:val="en-US" w:eastAsia="zh-CN" w:bidi="ar-SA"/>
              </w:rPr>
              <w:t>确保来信来访人员满意达90%以上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szCs w:val="24"/>
                <w:lang w:val="en-US" w:eastAsia="zh-CN" w:bidi="ar-SA"/>
              </w:rPr>
              <w:t>来信来访人员满意达90%以上</w:t>
            </w:r>
            <w:r>
              <w:rPr>
                <w:rFonts w:hint="eastAsia" w:ascii="宋体" w:hAnsi="宋体" w:eastAsia="宋体" w:cs="宋体"/>
                <w:color w:val="000000"/>
                <w:kern w:val="0"/>
                <w:sz w:val="24"/>
                <w:szCs w:val="24"/>
                <w:lang w:val="en-US" w:eastAsia="zh-CN" w:bidi="ar-SA"/>
              </w:rPr>
              <w:t>。</w:t>
            </w:r>
          </w:p>
        </w:tc>
      </w:tr>
    </w:tbl>
    <w:p>
      <w:pPr>
        <w:spacing w:line="580" w:lineRule="exact"/>
        <w:ind w:firstLine="640" w:firstLineChars="200"/>
        <w:rPr>
          <w:rFonts w:hint="eastAsia" w:ascii="楷体_GB2312" w:hAnsi="楷体_GB2312" w:eastAsia="楷体_GB2312" w:cs="楷体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94"/>
        <w:gridCol w:w="1065"/>
        <w:gridCol w:w="1035"/>
        <w:gridCol w:w="2180"/>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626" w:hRule="atLeast"/>
          <w:jc w:val="center"/>
        </w:trPr>
        <w:tc>
          <w:tcPr>
            <w:tcW w:w="2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9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农民工工资清欠</w:t>
            </w:r>
          </w:p>
        </w:tc>
      </w:tr>
      <w:tr>
        <w:tblPrEx>
          <w:tblCellMar>
            <w:top w:w="0" w:type="dxa"/>
            <w:left w:w="0" w:type="dxa"/>
            <w:bottom w:w="0" w:type="dxa"/>
            <w:right w:w="0" w:type="dxa"/>
          </w:tblCellMar>
        </w:tblPrEx>
        <w:trPr>
          <w:trHeight w:val="518" w:hRule="atLeast"/>
          <w:jc w:val="center"/>
        </w:trPr>
        <w:tc>
          <w:tcPr>
            <w:tcW w:w="2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9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峨眉山市人力资源和社会保障局</w:t>
            </w:r>
          </w:p>
        </w:tc>
      </w:tr>
      <w:tr>
        <w:tblPrEx>
          <w:tblCellMar>
            <w:top w:w="0" w:type="dxa"/>
            <w:left w:w="0" w:type="dxa"/>
            <w:bottom w:w="0" w:type="dxa"/>
            <w:right w:w="0" w:type="dxa"/>
          </w:tblCellMar>
        </w:tblPrEx>
        <w:trPr>
          <w:trHeight w:val="584"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5万元</w:t>
            </w:r>
          </w:p>
        </w:tc>
      </w:tr>
      <w:tr>
        <w:tblPrEx>
          <w:tblCellMar>
            <w:top w:w="0" w:type="dxa"/>
            <w:left w:w="0" w:type="dxa"/>
            <w:bottom w:w="0" w:type="dxa"/>
            <w:right w:w="0" w:type="dxa"/>
          </w:tblCellMar>
        </w:tblPrEx>
        <w:trPr>
          <w:trHeight w:val="626"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5万元</w:t>
            </w:r>
          </w:p>
        </w:tc>
      </w:tr>
      <w:tr>
        <w:tblPrEx>
          <w:tblCellMar>
            <w:top w:w="0" w:type="dxa"/>
            <w:left w:w="0" w:type="dxa"/>
            <w:bottom w:w="0" w:type="dxa"/>
            <w:right w:w="0" w:type="dxa"/>
          </w:tblCellMar>
        </w:tblPrEx>
        <w:trPr>
          <w:trHeight w:val="548"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82"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2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2003"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2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4"/>
              <w:spacing w:before="135" w:beforeAutospacing="0" w:after="135" w:afterAutospacing="0" w:line="240" w:lineRule="auto"/>
              <w:ind w:firstLine="480" w:firstLineChars="200"/>
              <w:jc w:val="both"/>
              <w:rPr>
                <w:rFonts w:hint="default" w:ascii="宋体" w:hAnsi="宋体" w:eastAsia="宋体" w:cs="宋体"/>
                <w:color w:val="000000"/>
                <w:kern w:val="0"/>
                <w:sz w:val="24"/>
                <w:szCs w:val="24"/>
                <w:lang w:val="en-US" w:eastAsia="zh-CN" w:bidi="ar-SA"/>
              </w:rPr>
            </w:pPr>
            <w:r>
              <w:rPr>
                <w:rFonts w:hint="eastAsia" w:cs="宋体"/>
                <w:color w:val="000000"/>
                <w:kern w:val="0"/>
                <w:sz w:val="24"/>
                <w:szCs w:val="24"/>
                <w:lang w:val="en-US" w:eastAsia="zh-CN" w:bidi="ar-SA"/>
              </w:rPr>
              <w:t>保障农民工工资及时足额发放到手，保证无农民工工资清欠上访事件发生。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4"/>
              <w:spacing w:before="135" w:beforeAutospacing="0" w:after="135" w:afterAutospacing="0" w:line="240" w:lineRule="auto"/>
              <w:ind w:firstLine="480" w:firstLineChars="200"/>
              <w:jc w:val="both"/>
              <w:rPr>
                <w:rFonts w:hint="eastAsia" w:ascii="宋体" w:hAnsi="宋体" w:eastAsia="宋体" w:cs="宋体"/>
                <w:color w:val="000000"/>
                <w:kern w:val="0"/>
                <w:sz w:val="24"/>
                <w:szCs w:val="24"/>
                <w:lang w:val="en-US" w:eastAsia="zh-CN" w:bidi="ar-SA"/>
              </w:rPr>
            </w:pPr>
            <w:r>
              <w:rPr>
                <w:rFonts w:hint="eastAsia" w:cs="宋体"/>
                <w:color w:val="000000"/>
                <w:kern w:val="0"/>
                <w:sz w:val="24"/>
                <w:szCs w:val="24"/>
                <w:lang w:val="en-US" w:eastAsia="zh-CN" w:bidi="ar-SA"/>
              </w:rPr>
              <w:t>保障农民工工资及时足额发放到手，保证无农民工工资清欠上访事件发生。</w:t>
            </w:r>
          </w:p>
        </w:tc>
      </w:tr>
      <w:tr>
        <w:tblPrEx>
          <w:tblCellMar>
            <w:top w:w="0" w:type="dxa"/>
            <w:left w:w="0" w:type="dxa"/>
            <w:bottom w:w="0" w:type="dxa"/>
            <w:right w:w="0" w:type="dxa"/>
          </w:tblCellMar>
        </w:tblPrEx>
        <w:trPr>
          <w:trHeight w:val="1072" w:hRule="atLeast"/>
          <w:jc w:val="center"/>
        </w:trPr>
        <w:tc>
          <w:tcPr>
            <w:tcW w:w="8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375" w:hRule="atLeast"/>
          <w:jc w:val="center"/>
        </w:trPr>
        <w:tc>
          <w:tcPr>
            <w:tcW w:w="8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szCs w:val="24"/>
                <w:lang w:val="en-US" w:eastAsia="zh-CN" w:bidi="ar-SA"/>
              </w:rPr>
              <w:t>保障农民工工资及时足额发放到手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szCs w:val="24"/>
                <w:lang w:val="en-US" w:eastAsia="zh-CN" w:bidi="ar-SA"/>
              </w:rPr>
              <w:t>农民工工资及时足额发放到手</w:t>
            </w:r>
          </w:p>
        </w:tc>
      </w:tr>
      <w:tr>
        <w:tblPrEx>
          <w:tblCellMar>
            <w:top w:w="0" w:type="dxa"/>
            <w:left w:w="0" w:type="dxa"/>
            <w:bottom w:w="0" w:type="dxa"/>
            <w:right w:w="0" w:type="dxa"/>
          </w:tblCellMar>
        </w:tblPrEx>
        <w:trPr>
          <w:trHeight w:val="1510" w:hRule="atLeast"/>
          <w:jc w:val="center"/>
        </w:trPr>
        <w:tc>
          <w:tcPr>
            <w:tcW w:w="8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eastAsia="宋体" w:cs="宋体"/>
                <w:color w:val="000000"/>
                <w:kern w:val="0"/>
                <w:sz w:val="24"/>
                <w:szCs w:val="24"/>
                <w:lang w:val="en-US" w:eastAsia="zh-CN" w:bidi="ar-SA"/>
              </w:rPr>
              <w:t>保证无农民工工资清欠上访事件发生。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kern w:val="0"/>
                <w:sz w:val="24"/>
                <w:szCs w:val="24"/>
                <w:lang w:val="en-US" w:eastAsia="zh-CN" w:bidi="ar-SA"/>
              </w:rPr>
              <w:t>2020年</w:t>
            </w:r>
            <w:r>
              <w:rPr>
                <w:rFonts w:hint="eastAsia" w:ascii="宋体" w:hAnsi="宋体" w:eastAsia="宋体" w:cs="宋体"/>
                <w:color w:val="000000"/>
                <w:kern w:val="0"/>
                <w:sz w:val="24"/>
                <w:szCs w:val="24"/>
                <w:lang w:val="en-US" w:eastAsia="zh-CN" w:bidi="ar-SA"/>
              </w:rPr>
              <w:t>无</w:t>
            </w:r>
            <w:r>
              <w:rPr>
                <w:rFonts w:hint="eastAsia" w:ascii="宋体" w:hAnsi="宋体" w:cs="宋体"/>
                <w:color w:val="000000"/>
                <w:kern w:val="0"/>
                <w:sz w:val="24"/>
                <w:szCs w:val="24"/>
                <w:lang w:val="en-US" w:eastAsia="zh-CN" w:bidi="ar-SA"/>
              </w:rPr>
              <w:t>一起</w:t>
            </w:r>
            <w:r>
              <w:rPr>
                <w:rFonts w:hint="eastAsia" w:ascii="宋体" w:hAnsi="宋体" w:eastAsia="宋体" w:cs="宋体"/>
                <w:color w:val="000000"/>
                <w:kern w:val="0"/>
                <w:sz w:val="24"/>
                <w:szCs w:val="24"/>
                <w:lang w:val="en-US" w:eastAsia="zh-CN" w:bidi="ar-SA"/>
              </w:rPr>
              <w:t>农民工工资清欠上访事件发生。</w:t>
            </w:r>
          </w:p>
        </w:tc>
      </w:tr>
      <w:tr>
        <w:tblPrEx>
          <w:tblCellMar>
            <w:top w:w="0" w:type="dxa"/>
            <w:left w:w="0" w:type="dxa"/>
            <w:bottom w:w="0" w:type="dxa"/>
            <w:right w:w="0" w:type="dxa"/>
          </w:tblCellMar>
        </w:tblPrEx>
        <w:trPr>
          <w:trHeight w:val="1750" w:hRule="atLeast"/>
          <w:jc w:val="center"/>
        </w:trPr>
        <w:tc>
          <w:tcPr>
            <w:tcW w:w="8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社会效益指标</w:t>
            </w:r>
          </w:p>
        </w:tc>
        <w:tc>
          <w:tcPr>
            <w:tcW w:w="2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szCs w:val="24"/>
                <w:lang w:val="en-US" w:eastAsia="zh-CN" w:bidi="ar-SA"/>
              </w:rPr>
              <w:t>确保全市重点项目顺利开展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szCs w:val="24"/>
                <w:lang w:val="en-US" w:eastAsia="zh-CN" w:bidi="ar-SA"/>
              </w:rPr>
              <w:t>全市重点项目顺利开展</w:t>
            </w:r>
          </w:p>
        </w:tc>
      </w:tr>
    </w:tbl>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峨眉山市人力资源和社会保障局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“峨胜集团公司奖励金</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、“仲裁监察工作经费”、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职称评审岗位设置及专业继续教育工作经费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、“维稳工作经费”、“农民工工资清欠工作经费”</w:t>
      </w:r>
      <w:r>
        <w:rPr>
          <w:rFonts w:hint="eastAsia" w:ascii="仿宋_GB2312" w:hAnsi="仿宋_GB2312" w:eastAsia="仿宋_GB2312" w:cs="仿宋_GB2312"/>
          <w:sz w:val="32"/>
          <w:szCs w:val="32"/>
        </w:rPr>
        <w:t>开展了绩效评价，绩效评价报告见附件（附件2）。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75" w:name="_Toc15396613"/>
      <w:bookmarkStart w:id="76" w:name="_Toc15377225"/>
      <w:bookmarkStart w:id="77" w:name="_Toc8186_WPSOffice_Level1"/>
      <w:r>
        <w:rPr>
          <w:rFonts w:hint="eastAsia" w:ascii="黑体" w:hAnsi="黑体" w:eastAsia="黑体"/>
          <w:color w:val="000000"/>
          <w:sz w:val="44"/>
          <w:szCs w:val="44"/>
        </w:rPr>
        <w:t>名</w:t>
      </w:r>
      <w:r>
        <w:rPr>
          <w:rStyle w:val="27"/>
          <w:rFonts w:hint="eastAsia" w:ascii="黑体" w:hAnsi="黑体" w:eastAsia="黑体"/>
          <w:b w:val="0"/>
        </w:rPr>
        <w:t>词解释</w:t>
      </w:r>
      <w:bookmarkEnd w:id="75"/>
      <w:bookmarkEnd w:id="76"/>
      <w:bookmarkEnd w:id="77"/>
    </w:p>
    <w:p>
      <w:pPr>
        <w:spacing w:line="600" w:lineRule="exact"/>
        <w:jc w:val="left"/>
        <w:rPr>
          <w:rFonts w:ascii="宋体"/>
          <w:b/>
          <w:color w:val="000000"/>
          <w:sz w:val="44"/>
          <w:szCs w:val="44"/>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b w:val="0"/>
          <w:bCs w:val="0"/>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w:t>
      </w:r>
      <w:r>
        <w:rPr>
          <w:rFonts w:hint="eastAsia" w:ascii="仿宋_GB2312" w:eastAsia="仿宋_GB2312"/>
          <w:b w:val="0"/>
          <w:bCs w:val="0"/>
          <w:sz w:val="32"/>
          <w:szCs w:val="32"/>
        </w:rPr>
        <w:t>年度继续使用的资金。</w:t>
      </w:r>
    </w:p>
    <w:p>
      <w:pPr>
        <w:spacing w:line="600" w:lineRule="exact"/>
        <w:ind w:firstLine="640" w:firstLineChars="200"/>
        <w:rPr>
          <w:rFonts w:hint="eastAsia" w:ascii="仿宋" w:hAnsi="仿宋" w:eastAsia="仿宋"/>
          <w:b w:val="0"/>
          <w:bCs w:val="0"/>
          <w:color w:val="000000"/>
          <w:sz w:val="32"/>
          <w:szCs w:val="32"/>
          <w:lang w:val="en-US" w:eastAsia="zh-CN"/>
        </w:rPr>
      </w:pPr>
      <w:r>
        <w:rPr>
          <w:rFonts w:hint="eastAsia" w:ascii="仿宋_GB2312" w:hAnsi="Calibri" w:eastAsia="仿宋_GB2312" w:cs="仿宋"/>
          <w:color w:val="000000"/>
          <w:kern w:val="0"/>
          <w:sz w:val="32"/>
          <w:szCs w:val="32"/>
          <w:lang w:val="en-US" w:eastAsia="zh-CN" w:bidi="ar-SA"/>
        </w:rPr>
        <w:t>4.社会保障和就业（类）人力资源和社会保障管理事务（款）行政运行（项）: 反映行政单位（包括实行公务员管理的事业单位）的基本支出；一般</w:t>
      </w:r>
      <w:r>
        <w:rPr>
          <w:rStyle w:val="17"/>
          <w:rFonts w:hint="eastAsia" w:ascii="仿宋" w:hAnsi="仿宋" w:eastAsia="仿宋"/>
          <w:b w:val="0"/>
          <w:bCs w:val="0"/>
          <w:color w:val="000000"/>
          <w:sz w:val="32"/>
          <w:szCs w:val="32"/>
          <w:lang w:eastAsia="zh-CN"/>
        </w:rPr>
        <w:t>行政管理事务（项）：反映行政单位（包括实行公务员管理的事业单位）未单独设置项级科目的其他项目支出；综合业务管理（项）：反映人力资源和社会保障管理方面综合性管理事务支出</w:t>
      </w:r>
      <w:r>
        <w:rPr>
          <w:rStyle w:val="17"/>
          <w:rFonts w:hint="eastAsia" w:ascii="仿宋" w:hAnsi="仿宋" w:eastAsia="仿宋"/>
          <w:b w:val="0"/>
          <w:bCs w:val="0"/>
          <w:color w:val="000000"/>
          <w:sz w:val="32"/>
          <w:szCs w:val="32"/>
          <w:lang w:val="en-US" w:eastAsia="zh-CN"/>
        </w:rPr>
        <w:t>；信息化建设（项）：反映人力资源和社会保障部门用于信息化建设、运行维护和数据分析等方面的支出，如金保工程、社会保障卡建设和运行维护、人力资源和市场信息化等支出；劳动人事争议调解仲裁（项）：反映仲裁机构实体化建设、办案经费、调解仲裁能力建设等支出；其他人力资源和社会保障管理事务支出（项）：反映除上述项目以外其他用于人力资源和社会保障管理事务方面的支出；行政事业单位养老支出（款）机关事业单位基本养老保险缴费支出（项）：反映机关事业单位实施养老保险制度由单位缴纳的基本养老保险费支出</w:t>
      </w:r>
      <w:r>
        <w:rPr>
          <w:rStyle w:val="17"/>
          <w:rFonts w:hint="eastAsia" w:ascii="仿宋" w:hAnsi="仿宋" w:eastAsia="仿宋"/>
          <w:b w:val="0"/>
          <w:bCs w:val="0"/>
          <w:color w:val="000000"/>
          <w:sz w:val="32"/>
          <w:szCs w:val="32"/>
          <w:lang w:eastAsia="zh-CN"/>
        </w:rPr>
        <w:t>；机关事业单位职业年金缴费支出（项）：反映机关事业单位实施养老保险制度由单位实际缴纳的职业年金支出。</w:t>
      </w:r>
    </w:p>
    <w:p>
      <w:pPr>
        <w:spacing w:line="600" w:lineRule="exact"/>
        <w:ind w:firstLine="640" w:firstLineChars="200"/>
        <w:rPr>
          <w:rStyle w:val="17"/>
          <w:rFonts w:hint="eastAsia" w:ascii="仿宋" w:hAnsi="仿宋" w:eastAsia="仿宋"/>
          <w:b w:val="0"/>
          <w:bCs w:val="0"/>
          <w:color w:val="000000"/>
          <w:sz w:val="32"/>
          <w:szCs w:val="32"/>
          <w:lang w:eastAsia="zh-CN"/>
        </w:rPr>
      </w:pPr>
      <w:r>
        <w:rPr>
          <w:rStyle w:val="17"/>
          <w:rFonts w:hint="eastAsia" w:ascii="仿宋" w:hAnsi="仿宋" w:eastAsia="仿宋"/>
          <w:b w:val="0"/>
          <w:bCs w:val="0"/>
          <w:color w:val="000000"/>
          <w:sz w:val="32"/>
          <w:szCs w:val="32"/>
          <w:lang w:val="en-US" w:eastAsia="zh-CN"/>
        </w:rPr>
        <w:t>5</w:t>
      </w:r>
      <w:r>
        <w:rPr>
          <w:rStyle w:val="17"/>
          <w:rFonts w:ascii="仿宋" w:hAnsi="仿宋" w:eastAsia="仿宋"/>
          <w:b w:val="0"/>
          <w:bCs w:val="0"/>
          <w:color w:val="000000"/>
          <w:sz w:val="32"/>
          <w:szCs w:val="32"/>
        </w:rPr>
        <w:t>.</w:t>
      </w:r>
      <w:r>
        <w:rPr>
          <w:rFonts w:hint="eastAsia" w:ascii="仿宋" w:hAnsi="仿宋" w:eastAsia="仿宋"/>
          <w:b w:val="0"/>
          <w:bCs w:val="0"/>
          <w:color w:val="000000" w:themeColor="text1"/>
          <w:sz w:val="32"/>
          <w:szCs w:val="32"/>
          <w14:textFill>
            <w14:solidFill>
              <w14:schemeClr w14:val="tx1"/>
            </w14:solidFill>
          </w14:textFill>
        </w:rPr>
        <w:t>卫生健康</w:t>
      </w:r>
      <w:r>
        <w:rPr>
          <w:rFonts w:hint="eastAsia" w:ascii="仿宋" w:hAnsi="仿宋" w:eastAsia="仿宋"/>
          <w:b w:val="0"/>
          <w:bCs w:val="0"/>
          <w:color w:val="000000" w:themeColor="text1"/>
          <w:sz w:val="32"/>
          <w:szCs w:val="32"/>
          <w:lang w:eastAsia="zh-CN"/>
          <w14:textFill>
            <w14:solidFill>
              <w14:schemeClr w14:val="tx1"/>
            </w14:solidFill>
          </w14:textFill>
        </w:rPr>
        <w:t>支出</w:t>
      </w:r>
      <w:r>
        <w:rPr>
          <w:rStyle w:val="17"/>
          <w:rFonts w:hint="eastAsia" w:ascii="仿宋" w:hAnsi="仿宋" w:eastAsia="仿宋"/>
          <w:b w:val="0"/>
          <w:bCs w:val="0"/>
          <w:color w:val="000000"/>
          <w:sz w:val="32"/>
          <w:szCs w:val="32"/>
        </w:rPr>
        <w:t>（类）</w:t>
      </w:r>
      <w:r>
        <w:rPr>
          <w:rStyle w:val="17"/>
          <w:rFonts w:hint="eastAsia" w:ascii="仿宋" w:hAnsi="仿宋" w:eastAsia="仿宋"/>
          <w:b w:val="0"/>
          <w:bCs w:val="0"/>
          <w:color w:val="000000"/>
          <w:sz w:val="32"/>
          <w:szCs w:val="32"/>
          <w:lang w:eastAsia="zh-CN"/>
        </w:rPr>
        <w:t>行政事业单位医疗</w:t>
      </w:r>
      <w:r>
        <w:rPr>
          <w:rStyle w:val="17"/>
          <w:rFonts w:hint="eastAsia" w:ascii="仿宋" w:hAnsi="仿宋" w:eastAsia="仿宋"/>
          <w:b w:val="0"/>
          <w:bCs w:val="0"/>
          <w:color w:val="000000"/>
          <w:sz w:val="32"/>
          <w:szCs w:val="32"/>
        </w:rPr>
        <w:t>（款）</w:t>
      </w:r>
      <w:r>
        <w:rPr>
          <w:rStyle w:val="17"/>
          <w:rFonts w:hint="eastAsia" w:ascii="仿宋" w:hAnsi="仿宋" w:eastAsia="仿宋"/>
          <w:b w:val="0"/>
          <w:bCs w:val="0"/>
          <w:color w:val="000000"/>
          <w:sz w:val="32"/>
          <w:szCs w:val="32"/>
          <w:lang w:eastAsia="zh-CN"/>
        </w:rPr>
        <w:t>行政单位医疗</w:t>
      </w:r>
      <w:r>
        <w:rPr>
          <w:rStyle w:val="17"/>
          <w:rFonts w:hint="eastAsia" w:ascii="仿宋" w:hAnsi="仿宋" w:eastAsia="仿宋"/>
          <w:b w:val="0"/>
          <w:bCs w:val="0"/>
          <w:color w:val="000000"/>
          <w:sz w:val="32"/>
          <w:szCs w:val="32"/>
        </w:rPr>
        <w:t>（项）</w:t>
      </w:r>
      <w:r>
        <w:rPr>
          <w:rStyle w:val="17"/>
          <w:rFonts w:ascii="仿宋" w:hAnsi="仿宋" w:eastAsia="仿宋"/>
          <w:b w:val="0"/>
          <w:bCs w:val="0"/>
          <w:color w:val="000000"/>
          <w:sz w:val="32"/>
          <w:szCs w:val="32"/>
        </w:rPr>
        <w:t>:</w:t>
      </w:r>
      <w:r>
        <w:rPr>
          <w:rStyle w:val="17"/>
          <w:rFonts w:hint="eastAsia" w:ascii="仿宋" w:hAnsi="仿宋" w:eastAsia="仿宋"/>
          <w:b w:val="0"/>
          <w:bCs w:val="0"/>
          <w:color w:val="000000"/>
          <w:sz w:val="32"/>
          <w:szCs w:val="32"/>
          <w:lang w:eastAsia="zh-CN"/>
        </w:rPr>
        <w:t>反映财政部门安排的行政单位（包括实行公务员管理的事业单位，下同）基本医疗保险缴费经费，未参加医疗保险的行政单位的公费医疗经费，按国家规定享受离休人员、红军老战士待遇人员的医疗经费；事业单位医疗（项）：反映财政部门安排的事业单位基本医疗保险缴费经费，未参加医疗保险的事业单位的公费医疗经费，按国家规定享受离休人员待遇的医疗经费。</w:t>
      </w:r>
    </w:p>
    <w:p>
      <w:pPr>
        <w:spacing w:line="600" w:lineRule="exact"/>
        <w:ind w:firstLine="640" w:firstLineChars="200"/>
        <w:rPr>
          <w:rStyle w:val="17"/>
          <w:rFonts w:hint="default" w:ascii="仿宋" w:hAnsi="仿宋" w:eastAsia="仿宋"/>
          <w:b w:val="0"/>
          <w:bCs w:val="0"/>
          <w:color w:val="000000"/>
          <w:sz w:val="32"/>
          <w:szCs w:val="32"/>
          <w:lang w:val="en-US" w:eastAsia="zh-CN"/>
        </w:rPr>
      </w:pPr>
      <w:r>
        <w:rPr>
          <w:rStyle w:val="17"/>
          <w:rFonts w:hint="eastAsia" w:ascii="仿宋" w:hAnsi="仿宋" w:eastAsia="仿宋"/>
          <w:b w:val="0"/>
          <w:bCs w:val="0"/>
          <w:color w:val="000000"/>
          <w:sz w:val="32"/>
          <w:szCs w:val="32"/>
          <w:lang w:val="en-US" w:eastAsia="zh-CN"/>
        </w:rPr>
        <w:t>6、节能环保支出（类）其他节能环保支出（款）其他节能环保支出（项）：反映其他用于节能环保方面的支出。</w:t>
      </w:r>
    </w:p>
    <w:p>
      <w:pPr>
        <w:spacing w:line="600" w:lineRule="exact"/>
        <w:ind w:firstLine="640" w:firstLineChars="200"/>
        <w:rPr>
          <w:rStyle w:val="17"/>
          <w:rFonts w:hint="default" w:ascii="仿宋" w:hAnsi="仿宋" w:eastAsia="仿宋"/>
          <w:b w:val="0"/>
          <w:bCs w:val="0"/>
          <w:color w:val="000000"/>
          <w:sz w:val="32"/>
          <w:szCs w:val="32"/>
          <w:lang w:val="en-US" w:eastAsia="zh-CN"/>
        </w:rPr>
      </w:pPr>
      <w:r>
        <w:rPr>
          <w:rStyle w:val="17"/>
          <w:rFonts w:hint="eastAsia" w:ascii="仿宋" w:hAnsi="仿宋" w:eastAsia="仿宋"/>
          <w:b w:val="0"/>
          <w:bCs w:val="0"/>
          <w:color w:val="000000"/>
          <w:sz w:val="32"/>
          <w:szCs w:val="32"/>
          <w:lang w:val="en-US" w:eastAsia="zh-CN"/>
        </w:rPr>
        <w:t>7、农林水支出（类）扶贫（款）其他扶贫支出（项）：反映其他用于扶贫方面的支出。</w:t>
      </w:r>
    </w:p>
    <w:p>
      <w:pPr>
        <w:spacing w:line="600" w:lineRule="exact"/>
        <w:ind w:firstLine="640" w:firstLineChars="200"/>
        <w:rPr>
          <w:rFonts w:ascii="仿宋_GB2312" w:eastAsia="仿宋_GB2312"/>
          <w:b w:val="0"/>
          <w:bCs w:val="0"/>
          <w:color w:val="000000"/>
          <w:sz w:val="32"/>
          <w:szCs w:val="32"/>
        </w:rPr>
      </w:pPr>
      <w:r>
        <w:rPr>
          <w:rStyle w:val="17"/>
          <w:rFonts w:hint="eastAsia" w:ascii="仿宋" w:hAnsi="仿宋" w:eastAsia="仿宋"/>
          <w:b w:val="0"/>
          <w:bCs w:val="0"/>
          <w:color w:val="000000"/>
          <w:sz w:val="32"/>
          <w:szCs w:val="32"/>
          <w:lang w:val="en-US" w:eastAsia="zh-CN"/>
        </w:rPr>
        <w:t>8、住房保障支出（类）住房改革支出（款）住房公积金（项）：反映行政事业单位按人力资源和社会保障部、财政部规定的基本工资和津贴补贴以及规定比例为职工缴纳的住房公积金。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9</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b w:val="0"/>
          <w:bCs w:val="0"/>
          <w:color w:val="000000"/>
          <w:sz w:val="32"/>
          <w:szCs w:val="32"/>
          <w:lang w:val="en-US" w:eastAsia="zh-CN"/>
        </w:rPr>
        <w:t>10</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项目支出：指在基</w:t>
      </w:r>
      <w:r>
        <w:rPr>
          <w:rFonts w:hint="eastAsia" w:ascii="仿宋_GB2312" w:eastAsia="仿宋_GB2312"/>
          <w:color w:val="000000"/>
          <w:sz w:val="32"/>
          <w:szCs w:val="32"/>
        </w:rPr>
        <w:t>本支出之外为完成特定行政任务和事业发展目标所发生的支出。</w:t>
      </w:r>
      <w:r>
        <w:rPr>
          <w:rFonts w:ascii="仿宋_GB2312" w:eastAsia="仿宋_GB2312"/>
          <w:color w:val="000000"/>
          <w:sz w:val="32"/>
          <w:szCs w:val="32"/>
        </w:rPr>
        <w:t xml:space="preserve"> </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78" w:name="_Toc15377226"/>
      <w:r>
        <w:rPr>
          <w:rFonts w:ascii="宋体"/>
          <w:b/>
          <w:color w:val="000000"/>
          <w:sz w:val="44"/>
          <w:szCs w:val="44"/>
        </w:rPr>
        <w:br w:type="page"/>
      </w:r>
      <w:bookmarkStart w:id="79" w:name="_Toc15396614"/>
      <w:bookmarkStart w:id="80" w:name="_Toc16905_WPSOffice_Level1"/>
      <w:r>
        <w:rPr>
          <w:rFonts w:hint="eastAsia" w:ascii="黑体" w:hAnsi="黑体" w:eastAsia="黑体"/>
          <w:color w:val="000000"/>
          <w:sz w:val="44"/>
          <w:szCs w:val="44"/>
        </w:rPr>
        <w:t>第</w:t>
      </w:r>
      <w:r>
        <w:rPr>
          <w:rStyle w:val="27"/>
          <w:rFonts w:hint="eastAsia" w:ascii="黑体" w:hAnsi="黑体" w:eastAsia="黑体"/>
          <w:b w:val="0"/>
        </w:rPr>
        <w:t>四部分 附件</w:t>
      </w:r>
      <w:bookmarkEnd w:id="79"/>
      <w:bookmarkEnd w:id="80"/>
    </w:p>
    <w:p>
      <w:pPr>
        <w:spacing w:line="600" w:lineRule="exact"/>
        <w:jc w:val="left"/>
        <w:outlineLvl w:val="1"/>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bookmarkStart w:id="81" w:name="_Toc8527_WPSOffice_Level2"/>
      <w:bookmarkStart w:id="82" w:name="_Toc21783_WPSOffice_Level2"/>
      <w:bookmarkStart w:id="83" w:name="_Toc25777_WPSOffice_Level2"/>
      <w:r>
        <w:rPr>
          <w:rFonts w:hint="eastAsia" w:ascii="方正小标宋简体" w:hAnsi="宋体" w:eastAsia="方正小标宋简体"/>
          <w:color w:val="000000"/>
          <w:kern w:val="0"/>
          <w:sz w:val="40"/>
          <w:szCs w:val="44"/>
          <w:lang w:eastAsia="zh-CN"/>
        </w:rPr>
        <w:t>峨眉山市人力资源和社会保障局</w:t>
      </w:r>
      <w:bookmarkEnd w:id="81"/>
      <w:bookmarkEnd w:id="82"/>
      <w:bookmarkEnd w:id="83"/>
    </w:p>
    <w:p>
      <w:pPr>
        <w:spacing w:line="600" w:lineRule="exact"/>
        <w:jc w:val="center"/>
        <w:rPr>
          <w:rFonts w:ascii="方正小标宋简体" w:hAnsi="宋体" w:eastAsia="方正小标宋简体"/>
          <w:color w:val="000000"/>
          <w:kern w:val="0"/>
          <w:sz w:val="40"/>
          <w:szCs w:val="44"/>
          <w:lang w:val="zh-CN"/>
        </w:rPr>
      </w:pPr>
      <w:bookmarkStart w:id="84" w:name="_Toc3439_WPSOffice_Level2"/>
      <w:bookmarkStart w:id="85" w:name="_Toc7527_WPSOffice_Level2"/>
      <w:bookmarkStart w:id="86" w:name="_Toc20198_WPSOffice_Level2"/>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bookmarkEnd w:id="84"/>
      <w:bookmarkEnd w:id="85"/>
      <w:bookmarkEnd w:id="86"/>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87" w:name="_Toc27001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87"/>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Style w:val="7"/>
        <w:adjustRightInd w:val="0"/>
        <w:snapToGrid w:val="0"/>
        <w:spacing w:before="93" w:line="580" w:lineRule="exact"/>
        <w:ind w:firstLine="672" w:firstLineChars="210"/>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sz w:val="32"/>
          <w:szCs w:val="32"/>
          <w:lang w:eastAsia="zh-CN"/>
        </w:rPr>
        <w:t>峨眉山市人力资源和社会保障局</w:t>
      </w:r>
      <w:r>
        <w:rPr>
          <w:rFonts w:hint="eastAsia" w:ascii="仿宋" w:hAnsi="仿宋" w:eastAsia="仿宋"/>
          <w:sz w:val="32"/>
          <w:szCs w:val="32"/>
        </w:rPr>
        <w:t>下属二级单位</w:t>
      </w:r>
      <w:r>
        <w:rPr>
          <w:rFonts w:hint="eastAsia" w:ascii="仿宋" w:hAnsi="仿宋" w:eastAsia="仿宋"/>
          <w:sz w:val="32"/>
          <w:szCs w:val="32"/>
          <w:lang w:val="en-US" w:eastAsia="zh-CN"/>
        </w:rPr>
        <w:t>5</w:t>
      </w:r>
      <w:r>
        <w:rPr>
          <w:rFonts w:hint="eastAsia" w:ascii="仿宋" w:hAnsi="仿宋" w:eastAsia="仿宋"/>
          <w:sz w:val="32"/>
          <w:szCs w:val="32"/>
        </w:rPr>
        <w:t>个，其中参照公务员法管理的事业单位</w:t>
      </w:r>
      <w:r>
        <w:rPr>
          <w:rFonts w:hint="eastAsia" w:ascii="仿宋" w:hAnsi="仿宋" w:eastAsia="仿宋"/>
          <w:bCs/>
          <w:sz w:val="32"/>
          <w:szCs w:val="32"/>
          <w:lang w:val="en-US" w:eastAsia="zh-CN"/>
        </w:rPr>
        <w:t>2</w:t>
      </w:r>
      <w:r>
        <w:rPr>
          <w:rFonts w:hint="eastAsia" w:ascii="仿宋" w:hAnsi="仿宋" w:eastAsia="仿宋"/>
          <w:sz w:val="32"/>
          <w:szCs w:val="32"/>
        </w:rPr>
        <w:t>个</w:t>
      </w:r>
      <w:r>
        <w:rPr>
          <w:rFonts w:hint="eastAsia" w:ascii="仿宋" w:hAnsi="仿宋" w:eastAsia="仿宋"/>
          <w:sz w:val="32"/>
          <w:szCs w:val="32"/>
          <w:lang w:eastAsia="zh-CN"/>
        </w:rPr>
        <w:t>，分别</w:t>
      </w:r>
      <w:r>
        <w:rPr>
          <w:rFonts w:hint="eastAsia" w:ascii="仿宋" w:hAnsi="仿宋" w:eastAsia="仿宋"/>
          <w:sz w:val="32"/>
          <w:szCs w:val="32"/>
        </w:rPr>
        <w:t>为峨眉山市社会保险</w:t>
      </w:r>
      <w:r>
        <w:rPr>
          <w:rFonts w:hint="eastAsia" w:ascii="仿宋" w:hAnsi="仿宋" w:eastAsia="仿宋"/>
          <w:sz w:val="32"/>
          <w:szCs w:val="32"/>
          <w:lang w:eastAsia="zh-CN"/>
        </w:rPr>
        <w:t>事务中心</w:t>
      </w:r>
      <w:r>
        <w:rPr>
          <w:rFonts w:hint="eastAsia" w:ascii="仿宋" w:hAnsi="仿宋" w:eastAsia="仿宋"/>
          <w:sz w:val="32"/>
          <w:szCs w:val="32"/>
        </w:rPr>
        <w:t>、峨眉山市就业</w:t>
      </w:r>
      <w:r>
        <w:rPr>
          <w:rFonts w:hint="eastAsia" w:ascii="仿宋" w:hAnsi="仿宋" w:eastAsia="仿宋"/>
          <w:sz w:val="32"/>
          <w:szCs w:val="32"/>
          <w:lang w:eastAsia="zh-CN"/>
        </w:rPr>
        <w:t>创业促进中心。</w:t>
      </w:r>
      <w:r>
        <w:rPr>
          <w:rFonts w:hint="eastAsia" w:ascii="仿宋" w:hAnsi="仿宋" w:eastAsia="仿宋"/>
          <w:sz w:val="32"/>
          <w:szCs w:val="32"/>
        </w:rPr>
        <w:t>其他事业单位</w:t>
      </w:r>
      <w:r>
        <w:rPr>
          <w:rFonts w:hint="eastAsia" w:ascii="仿宋" w:hAnsi="仿宋" w:eastAsia="仿宋"/>
          <w:sz w:val="32"/>
          <w:szCs w:val="32"/>
          <w:lang w:val="en-US" w:eastAsia="zh-CN"/>
        </w:rPr>
        <w:t>3</w:t>
      </w:r>
      <w:r>
        <w:rPr>
          <w:rFonts w:hint="eastAsia" w:ascii="仿宋" w:hAnsi="仿宋" w:eastAsia="仿宋"/>
          <w:sz w:val="32"/>
          <w:szCs w:val="32"/>
        </w:rPr>
        <w:t>个</w:t>
      </w:r>
      <w:r>
        <w:rPr>
          <w:rFonts w:hint="eastAsia" w:ascii="仿宋" w:hAnsi="仿宋" w:eastAsia="仿宋"/>
          <w:sz w:val="32"/>
          <w:szCs w:val="32"/>
          <w:lang w:eastAsia="zh-CN"/>
        </w:rPr>
        <w:t>，分别</w:t>
      </w:r>
      <w:r>
        <w:rPr>
          <w:rFonts w:hint="eastAsia"/>
          <w:color w:val="000000"/>
          <w:sz w:val="32"/>
          <w:szCs w:val="32"/>
        </w:rPr>
        <w:t>为峨眉山市</w:t>
      </w:r>
      <w:r>
        <w:rPr>
          <w:rFonts w:hint="eastAsia"/>
          <w:sz w:val="32"/>
          <w:szCs w:val="32"/>
        </w:rPr>
        <w:t>劳动监察大队、峨眉山市劳动人事争议仲裁院、峨眉山市</w:t>
      </w:r>
      <w:r>
        <w:rPr>
          <w:rFonts w:hint="eastAsia"/>
          <w:sz w:val="32"/>
          <w:szCs w:val="32"/>
          <w:lang w:eastAsia="zh-CN"/>
        </w:rPr>
        <w:t>人力资源服务中心</w:t>
      </w:r>
      <w:r>
        <w:rPr>
          <w:rFonts w:hint="eastAsia"/>
          <w:color w:val="000000"/>
          <w:sz w:val="32"/>
          <w:szCs w:val="32"/>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pStyle w:val="7"/>
        <w:adjustRightInd w:val="0"/>
        <w:snapToGrid w:val="0"/>
        <w:spacing w:before="93" w:line="600" w:lineRule="exact"/>
        <w:ind w:firstLine="672" w:firstLineChars="210"/>
        <w:outlineLvl w:val="2"/>
        <w:rPr>
          <w:rFonts w:hint="default" w:ascii="仿宋_GB2312" w:hAnsi="宋体" w:eastAsia="仿宋_GB2312" w:cs="宋体"/>
          <w:color w:val="000000"/>
          <w:kern w:val="0"/>
          <w:sz w:val="32"/>
          <w:szCs w:val="32"/>
          <w:shd w:val="clear" w:color="auto" w:fill="FFFFFF"/>
          <w:lang w:val="en-US"/>
        </w:rPr>
      </w:pPr>
      <w:r>
        <w:rPr>
          <w:rFonts w:ascii="仿宋_GB2312" w:eastAsia="仿宋_GB2312"/>
          <w:sz w:val="32"/>
          <w:szCs w:val="32"/>
        </w:rPr>
        <w:t>1</w:t>
      </w:r>
      <w:r>
        <w:rPr>
          <w:rFonts w:hint="eastAsia" w:ascii="仿宋_GB2312" w:eastAsia="仿宋_GB2312"/>
          <w:sz w:val="32"/>
          <w:szCs w:val="32"/>
        </w:rPr>
        <w:t>、贯彻执行</w:t>
      </w:r>
      <w:r>
        <w:rPr>
          <w:rFonts w:hint="eastAsia"/>
          <w:sz w:val="32"/>
          <w:szCs w:val="32"/>
          <w:lang w:eastAsia="zh-CN"/>
        </w:rPr>
        <w:t>人力资源和</w:t>
      </w:r>
      <w:r>
        <w:rPr>
          <w:rFonts w:hint="eastAsia" w:ascii="仿宋_GB2312" w:eastAsia="仿宋_GB2312"/>
          <w:sz w:val="32"/>
          <w:szCs w:val="32"/>
        </w:rPr>
        <w:t>社会保障工作的相关法律、法规、规章和政策，起草</w:t>
      </w:r>
      <w:r>
        <w:rPr>
          <w:rFonts w:hint="eastAsia"/>
          <w:sz w:val="32"/>
          <w:szCs w:val="32"/>
          <w:lang w:eastAsia="zh-CN"/>
        </w:rPr>
        <w:t>人力资源和</w:t>
      </w:r>
      <w:r>
        <w:rPr>
          <w:rFonts w:hint="eastAsia" w:ascii="仿宋_GB2312" w:eastAsia="仿宋_GB2312"/>
          <w:sz w:val="32"/>
          <w:szCs w:val="32"/>
        </w:rPr>
        <w:t>社会保障事业地方性实施办法，拟订全市</w:t>
      </w:r>
      <w:r>
        <w:rPr>
          <w:rFonts w:hint="eastAsia"/>
          <w:sz w:val="32"/>
          <w:szCs w:val="32"/>
          <w:lang w:eastAsia="zh-CN"/>
        </w:rPr>
        <w:t>人力资源和</w:t>
      </w:r>
      <w:r>
        <w:rPr>
          <w:rFonts w:hint="eastAsia" w:ascii="仿宋_GB2312" w:eastAsia="仿宋_GB2312"/>
          <w:sz w:val="32"/>
          <w:szCs w:val="32"/>
        </w:rPr>
        <w:t>社会保障事业发展规划、政策并组织实施和监督检查；</w:t>
      </w:r>
      <w:r>
        <w:rPr>
          <w:rFonts w:ascii="仿宋_GB2312" w:eastAsia="仿宋_GB2312"/>
          <w:sz w:val="32"/>
          <w:szCs w:val="32"/>
        </w:rPr>
        <w:t>2</w:t>
      </w:r>
      <w:r>
        <w:rPr>
          <w:rFonts w:hint="eastAsia" w:ascii="仿宋_GB2312" w:eastAsia="仿宋_GB2312"/>
          <w:sz w:val="32"/>
          <w:szCs w:val="32"/>
        </w:rPr>
        <w:t>、拟订并组织实施</w:t>
      </w:r>
      <w:r>
        <w:rPr>
          <w:rFonts w:hint="eastAsia"/>
          <w:sz w:val="32"/>
          <w:szCs w:val="32"/>
          <w:lang w:eastAsia="zh-CN"/>
        </w:rPr>
        <w:t>人力资源和</w:t>
      </w:r>
      <w:r>
        <w:rPr>
          <w:rFonts w:hint="eastAsia" w:ascii="仿宋_GB2312" w:eastAsia="仿宋_GB2312"/>
          <w:sz w:val="32"/>
          <w:szCs w:val="32"/>
        </w:rPr>
        <w:t>市场发展规划和</w:t>
      </w:r>
      <w:r>
        <w:rPr>
          <w:rFonts w:hint="eastAsia"/>
          <w:sz w:val="32"/>
          <w:szCs w:val="32"/>
          <w:lang w:eastAsia="zh-CN"/>
        </w:rPr>
        <w:t>人力资源和</w:t>
      </w:r>
      <w:r>
        <w:rPr>
          <w:rFonts w:hint="eastAsia" w:ascii="仿宋_GB2312" w:eastAsia="仿宋_GB2312"/>
          <w:sz w:val="32"/>
          <w:szCs w:val="32"/>
        </w:rPr>
        <w:t>流动政策，建立全市统一规范的</w:t>
      </w:r>
      <w:r>
        <w:rPr>
          <w:rFonts w:hint="eastAsia"/>
          <w:sz w:val="32"/>
          <w:szCs w:val="32"/>
          <w:lang w:eastAsia="zh-CN"/>
        </w:rPr>
        <w:t>人力资源和</w:t>
      </w:r>
      <w:r>
        <w:rPr>
          <w:rFonts w:hint="eastAsia" w:ascii="仿宋_GB2312" w:eastAsia="仿宋_GB2312"/>
          <w:sz w:val="32"/>
          <w:szCs w:val="32"/>
        </w:rPr>
        <w:t>市场，促进</w:t>
      </w:r>
      <w:r>
        <w:rPr>
          <w:rFonts w:hint="eastAsia"/>
          <w:sz w:val="32"/>
          <w:szCs w:val="32"/>
          <w:lang w:eastAsia="zh-CN"/>
        </w:rPr>
        <w:t>人力资源和</w:t>
      </w:r>
      <w:r>
        <w:rPr>
          <w:rFonts w:hint="eastAsia" w:ascii="仿宋_GB2312" w:eastAsia="仿宋_GB2312"/>
          <w:sz w:val="32"/>
          <w:szCs w:val="32"/>
        </w:rPr>
        <w:t>合理流动、有效配置；</w:t>
      </w:r>
      <w:r>
        <w:rPr>
          <w:rFonts w:ascii="仿宋_GB2312" w:eastAsia="仿宋_GB2312"/>
          <w:sz w:val="32"/>
          <w:szCs w:val="32"/>
        </w:rPr>
        <w:t>3</w:t>
      </w:r>
      <w:r>
        <w:rPr>
          <w:rFonts w:hint="eastAsia" w:ascii="仿宋_GB2312" w:eastAsia="仿宋_GB2312"/>
          <w:sz w:val="32"/>
          <w:szCs w:val="32"/>
        </w:rPr>
        <w:t>、负责促进就业工作；</w:t>
      </w:r>
      <w:r>
        <w:rPr>
          <w:rFonts w:ascii="仿宋_GB2312" w:eastAsia="仿宋_GB2312"/>
          <w:sz w:val="32"/>
          <w:szCs w:val="32"/>
        </w:rPr>
        <w:t>4</w:t>
      </w:r>
      <w:r>
        <w:rPr>
          <w:rFonts w:hint="eastAsia" w:ascii="仿宋_GB2312" w:eastAsia="仿宋_GB2312"/>
          <w:sz w:val="32"/>
          <w:szCs w:val="32"/>
        </w:rPr>
        <w:t>、统筹建立覆盖城乡的社会保障体系；</w:t>
      </w:r>
      <w:r>
        <w:rPr>
          <w:rFonts w:ascii="仿宋_GB2312" w:eastAsia="仿宋_GB2312"/>
          <w:sz w:val="32"/>
          <w:szCs w:val="32"/>
        </w:rPr>
        <w:t>5</w:t>
      </w:r>
      <w:r>
        <w:rPr>
          <w:rFonts w:hint="eastAsia" w:ascii="仿宋_GB2312" w:eastAsia="仿宋_GB2312"/>
          <w:sz w:val="32"/>
          <w:szCs w:val="32"/>
        </w:rPr>
        <w:t>、负责就业、失业、社会保险基金预测预警和信息引导，拟订应对预案，保持就业形势稳定和社会保险基金总体收支平衡；</w:t>
      </w:r>
      <w:r>
        <w:rPr>
          <w:rFonts w:ascii="仿宋_GB2312" w:eastAsia="仿宋_GB2312"/>
          <w:sz w:val="32"/>
          <w:szCs w:val="32"/>
        </w:rPr>
        <w:t>6</w:t>
      </w:r>
      <w:r>
        <w:rPr>
          <w:rFonts w:hint="eastAsia" w:ascii="仿宋_GB2312" w:eastAsia="仿宋_GB2312"/>
          <w:sz w:val="32"/>
          <w:szCs w:val="32"/>
        </w:rPr>
        <w:t>、综合管理全市事业单位工作人员；</w:t>
      </w:r>
      <w:r>
        <w:rPr>
          <w:rFonts w:ascii="仿宋_GB2312" w:eastAsia="仿宋_GB2312"/>
          <w:sz w:val="32"/>
          <w:szCs w:val="32"/>
        </w:rPr>
        <w:t>7</w:t>
      </w:r>
      <w:r>
        <w:rPr>
          <w:rFonts w:hint="eastAsia" w:ascii="仿宋_GB2312" w:eastAsia="仿宋_GB2312"/>
          <w:sz w:val="32"/>
          <w:szCs w:val="32"/>
        </w:rPr>
        <w:t>会同有关部门拟订机关、事业单位人员工资收入分配政策和企业职工工资收入分配调控政策等；</w:t>
      </w:r>
      <w:r>
        <w:rPr>
          <w:rFonts w:ascii="仿宋_GB2312" w:eastAsia="仿宋_GB2312"/>
          <w:sz w:val="32"/>
          <w:szCs w:val="32"/>
        </w:rPr>
        <w:t>8</w:t>
      </w:r>
      <w:r>
        <w:rPr>
          <w:rFonts w:hint="eastAsia" w:ascii="仿宋_GB2312" w:eastAsia="仿宋_GB2312"/>
          <w:sz w:val="32"/>
          <w:szCs w:val="32"/>
        </w:rPr>
        <w:t>、会同有关部门指导事业单位人事制度改革；</w:t>
      </w:r>
      <w:r>
        <w:rPr>
          <w:rFonts w:hint="eastAsia"/>
          <w:sz w:val="32"/>
          <w:szCs w:val="32"/>
          <w:lang w:val="en-US" w:eastAsia="zh-CN"/>
        </w:rPr>
        <w:t>9</w:t>
      </w:r>
      <w:r>
        <w:rPr>
          <w:rFonts w:hint="eastAsia" w:ascii="仿宋_GB2312" w:eastAsia="仿宋_GB2312"/>
          <w:sz w:val="32"/>
          <w:szCs w:val="32"/>
        </w:rPr>
        <w:t>、会同有关部门拟订劳务开发及农民工工作综合性政策和规划并推动相关政策的落实；</w:t>
      </w:r>
      <w:r>
        <w:rPr>
          <w:rFonts w:hint="eastAsia"/>
          <w:sz w:val="32"/>
          <w:szCs w:val="32"/>
          <w:lang w:val="en-US" w:eastAsia="zh-CN"/>
        </w:rPr>
        <w:t>10</w:t>
      </w:r>
      <w:r>
        <w:rPr>
          <w:rFonts w:hint="eastAsia" w:ascii="仿宋_GB2312" w:eastAsia="仿宋_GB2312"/>
          <w:sz w:val="32"/>
          <w:szCs w:val="32"/>
        </w:rPr>
        <w:t>、组织实施劳动、人事争议调解仲裁制度和劳动关系政策；</w:t>
      </w:r>
      <w:r>
        <w:rPr>
          <w:rFonts w:hint="eastAsia"/>
          <w:sz w:val="32"/>
          <w:szCs w:val="32"/>
          <w:lang w:val="en-US" w:eastAsia="zh-CN"/>
        </w:rPr>
        <w:t>11、统筹推进承担行政职业的事业单位改革；12、负责职责范围内的安全生产和职业健康、生态环境保护、审批服务便民化等工作；13、完成市委、市政府交办的其他事项。</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720"/>
        <w:jc w:val="left"/>
        <w:rPr>
          <w:rFonts w:hint="default"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2020年年未实有人数33人，其中：行政人员15人，参照公务员法管理事业人员7人，非参公事业人员11人。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88" w:name="_Toc31384_WPSOffice_Level2"/>
      <w:bookmarkStart w:id="89" w:name="_Toc23402_WPSOffice_Level2"/>
      <w:r>
        <w:rPr>
          <w:rFonts w:hint="eastAsia" w:ascii="黑体" w:hAnsi="宋体" w:eastAsia="黑体" w:cs="宋体"/>
          <w:color w:val="000000"/>
          <w:kern w:val="0"/>
          <w:sz w:val="32"/>
          <w:szCs w:val="32"/>
          <w:shd w:val="clear" w:color="auto" w:fill="FFFFFF"/>
        </w:rPr>
        <w:t>二、部门财政资金收支情况</w:t>
      </w:r>
      <w:bookmarkEnd w:id="88"/>
      <w:bookmarkEnd w:id="89"/>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720"/>
        <w:jc w:val="left"/>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1377.66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1372.66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99.64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3.6</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80" w:lineRule="exact"/>
        <w:ind w:firstLine="720"/>
        <w:jc w:val="left"/>
        <w:rPr>
          <w:rFonts w:hint="eastAsia" w:ascii="仿宋" w:hAnsi="仿宋" w:eastAsia="仿宋" w:cs="Times New Roman"/>
          <w:kern w:val="0"/>
          <w:sz w:val="32"/>
          <w:szCs w:val="32"/>
          <w:lang w:val="zh-CN" w:eastAsia="zh-CN" w:bidi="ar-SA"/>
        </w:rPr>
      </w:pPr>
      <w:r>
        <w:rPr>
          <w:rFonts w:hint="eastAsia" w:ascii="仿宋" w:hAnsi="仿宋" w:eastAsia="仿宋" w:cs="Times New Roman"/>
          <w:kern w:val="0"/>
          <w:sz w:val="32"/>
          <w:szCs w:val="32"/>
          <w:lang w:val="zh-CN" w:eastAsia="zh-CN" w:bidi="ar-SA"/>
        </w:rPr>
        <w:t>（二）部门财政资金支出情况。</w:t>
      </w:r>
    </w:p>
    <w:p>
      <w:pPr>
        <w:widowControl/>
        <w:adjustRightInd w:val="0"/>
        <w:snapToGrid w:val="0"/>
        <w:spacing w:line="580" w:lineRule="exact"/>
        <w:ind w:firstLine="640" w:firstLineChars="200"/>
        <w:contextualSpacing/>
        <w:jc w:val="left"/>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954.41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659.12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295.29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w:t>
      </w:r>
      <w:r>
        <w:rPr>
          <w:rFonts w:ascii="仿宋" w:hAnsi="仿宋" w:eastAsia="仿宋"/>
          <w:color w:val="000000"/>
          <w:sz w:val="32"/>
          <w:szCs w:val="32"/>
        </w:rPr>
        <w:t>%</w:t>
      </w:r>
      <w:r>
        <w:rPr>
          <w:rFonts w:hint="eastAsia" w:ascii="仿宋" w:hAnsi="仿宋" w:eastAsia="仿宋"/>
          <w:color w:val="000000"/>
          <w:sz w:val="32"/>
          <w:szCs w:val="32"/>
          <w:lang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90" w:name="_Toc765_WPSOffice_Level2"/>
      <w:bookmarkStart w:id="91" w:name="_Toc32135_WPSOffice_Level2"/>
      <w:bookmarkStart w:id="92" w:name="_Toc13231_WPSOffice_Level2"/>
      <w:r>
        <w:rPr>
          <w:rFonts w:hint="eastAsia" w:ascii="黑体" w:hAnsi="宋体" w:eastAsia="黑体" w:cs="宋体"/>
          <w:color w:val="000000"/>
          <w:kern w:val="0"/>
          <w:sz w:val="32"/>
          <w:szCs w:val="32"/>
          <w:shd w:val="clear" w:color="auto" w:fill="FFFFFF"/>
        </w:rPr>
        <w:t>三、部门整体预算绩效管理情况</w:t>
      </w:r>
      <w:bookmarkEnd w:id="90"/>
      <w:bookmarkEnd w:id="91"/>
      <w:bookmarkEnd w:id="92"/>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 w:hAnsi="仿宋" w:eastAsia="仿宋"/>
          <w:color w:val="000000"/>
          <w:sz w:val="32"/>
          <w:szCs w:val="32"/>
          <w:lang w:val="zh-CN"/>
        </w:rPr>
      </w:pPr>
      <w:r>
        <w:rPr>
          <w:rFonts w:hint="eastAsia" w:ascii="仿宋" w:hAnsi="仿宋" w:eastAsia="仿宋"/>
          <w:color w:val="000000"/>
          <w:sz w:val="32"/>
          <w:szCs w:val="32"/>
          <w:lang w:val="zh-CN"/>
        </w:rPr>
        <w:t>预算编制、绩效目标制定方面，本部门根据预算绩效管理要求，在年初预算编制阶段，组织开展了部门整体绩效评估，编制了整体绩效目标，将部门预算和单位所有收支纳入预算绩效管理，围绕部门职能职责、人社事业发展计划和目标工作任务，科学编制整体绩效目标工作任务，细化数量指标、质量指标、时效指标、效益指标与满意度指标等绩效指标值。</w:t>
      </w:r>
    </w:p>
    <w:p>
      <w:pPr>
        <w:widowControl/>
        <w:adjustRightInd w:val="0"/>
        <w:snapToGrid w:val="0"/>
        <w:spacing w:line="580" w:lineRule="exact"/>
        <w:ind w:firstLine="640" w:firstLineChars="200"/>
        <w:contextualSpacing/>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zh-CN"/>
        </w:rPr>
        <w:t>预算支出控制和执行动态管理方面，本部门加强支出进度管理，完善动态监控，定期分析预算执行情况和绩效目标完成情况，在确保机关正常运行的情况下，压缩一般性支出，实现开源节流，历行节约。</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600" w:lineRule="exact"/>
        <w:ind w:firstLine="640" w:firstLineChars="200"/>
        <w:outlineLvl w:val="9"/>
        <w:rPr>
          <w:rFonts w:hint="eastAsia" w:ascii="仿宋" w:hAnsi="仿宋" w:eastAsia="仿宋"/>
          <w:color w:val="000000"/>
          <w:sz w:val="32"/>
          <w:szCs w:val="32"/>
          <w:lang w:val="zh-CN"/>
        </w:rPr>
      </w:pPr>
      <w:r>
        <w:rPr>
          <w:rFonts w:hint="eastAsia" w:ascii="仿宋" w:hAnsi="仿宋" w:eastAsia="仿宋"/>
          <w:color w:val="000000"/>
          <w:sz w:val="32"/>
          <w:szCs w:val="32"/>
          <w:lang w:val="zh-CN"/>
        </w:rPr>
        <w:t>本部门在预算绩效评价工作中，及时分析问题、查找原因、提出整改，并将评价结果应用到预算调整、以后年度预算编制工作中，以使部门的预算编制工作更加科学、准确。</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lang w:val="zh-CN"/>
        </w:rPr>
      </w:pPr>
      <w:bookmarkStart w:id="93" w:name="_Toc11728_WPSOffice_Level2"/>
      <w:bookmarkStart w:id="94" w:name="_Toc7603_WPSOffice_Level2"/>
      <w:bookmarkStart w:id="95" w:name="_Toc14479_WPSOffice_Level2"/>
      <w:r>
        <w:rPr>
          <w:rFonts w:hint="eastAsia" w:ascii="黑体" w:hAnsi="宋体" w:eastAsia="黑体" w:cs="宋体"/>
          <w:color w:val="000000"/>
          <w:kern w:val="0"/>
          <w:sz w:val="32"/>
          <w:szCs w:val="32"/>
          <w:shd w:val="clear" w:color="auto" w:fill="FFFFFF"/>
          <w:lang w:val="zh-CN"/>
        </w:rPr>
        <w:t>四、评价结论与建议</w:t>
      </w:r>
      <w:bookmarkEnd w:id="93"/>
      <w:bookmarkEnd w:id="94"/>
      <w:bookmarkEnd w:id="95"/>
    </w:p>
    <w:p>
      <w:pPr>
        <w:spacing w:line="600" w:lineRule="exact"/>
        <w:ind w:firstLine="640" w:firstLineChars="200"/>
        <w:outlineLvl w:val="9"/>
        <w:rPr>
          <w:rFonts w:hint="eastAsia" w:ascii="仿宋" w:hAnsi="仿宋" w:eastAsia="仿宋"/>
          <w:color w:val="000000"/>
          <w:sz w:val="32"/>
          <w:szCs w:val="32"/>
          <w:lang w:val="zh-CN"/>
        </w:rPr>
      </w:pPr>
      <w:r>
        <w:rPr>
          <w:rFonts w:hint="eastAsia" w:ascii="仿宋" w:hAnsi="仿宋" w:eastAsia="仿宋"/>
          <w:color w:val="000000"/>
          <w:sz w:val="32"/>
          <w:szCs w:val="32"/>
          <w:lang w:val="zh-CN"/>
        </w:rPr>
        <w:t>（一）评价结论</w:t>
      </w:r>
    </w:p>
    <w:p>
      <w:pPr>
        <w:spacing w:line="600" w:lineRule="exact"/>
        <w:ind w:firstLine="640" w:firstLineChars="200"/>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zh-CN"/>
        </w:rPr>
        <w:t>我局</w:t>
      </w:r>
      <w:r>
        <w:rPr>
          <w:rFonts w:hint="eastAsia" w:ascii="仿宋" w:hAnsi="仿宋" w:eastAsia="仿宋"/>
          <w:color w:val="000000"/>
          <w:sz w:val="32"/>
          <w:szCs w:val="32"/>
          <w:lang w:val="en-US" w:eastAsia="zh-CN"/>
        </w:rPr>
        <w:t>2020年部门预算支出执行整体情况较好，专项资金严格专款专用，保证了资金安全，提高了资金使用效益。</w:t>
      </w:r>
    </w:p>
    <w:p>
      <w:pPr>
        <w:spacing w:line="600" w:lineRule="exact"/>
        <w:ind w:firstLine="640" w:firstLineChars="200"/>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(二）存在问题</w:t>
      </w:r>
    </w:p>
    <w:p>
      <w:pPr>
        <w:spacing w:line="600" w:lineRule="exact"/>
        <w:ind w:firstLine="640" w:firstLineChars="200"/>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一是节能降耗方面，还需进一步减少办公场所水、电以及公车运行费用。二是对政府采购项目预算的编制，还需改进测算方式，科学编制。</w:t>
      </w:r>
    </w:p>
    <w:p>
      <w:pPr>
        <w:numPr>
          <w:ilvl w:val="0"/>
          <w:numId w:val="5"/>
        </w:numPr>
        <w:spacing w:line="600" w:lineRule="exact"/>
        <w:ind w:firstLine="640" w:firstLineChars="200"/>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改进建议</w:t>
      </w:r>
    </w:p>
    <w:p>
      <w:pPr>
        <w:numPr>
          <w:ilvl w:val="0"/>
          <w:numId w:val="0"/>
        </w:numPr>
        <w:spacing w:line="600" w:lineRule="exact"/>
        <w:ind w:firstLine="640"/>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无。</w:t>
      </w:r>
    </w:p>
    <w:p>
      <w:pPr>
        <w:numPr>
          <w:ilvl w:val="0"/>
          <w:numId w:val="0"/>
        </w:numPr>
        <w:spacing w:line="600" w:lineRule="exact"/>
        <w:ind w:firstLine="640"/>
        <w:outlineLvl w:val="9"/>
        <w:rPr>
          <w:rFonts w:hint="default" w:ascii="仿宋" w:hAnsi="仿宋" w:eastAsia="仿宋"/>
          <w:color w:val="000000"/>
          <w:sz w:val="32"/>
          <w:szCs w:val="32"/>
          <w:lang w:val="en-US" w:eastAsia="zh-CN"/>
        </w:rPr>
      </w:pPr>
    </w:p>
    <w:p>
      <w:pPr>
        <w:spacing w:line="600" w:lineRule="exact"/>
        <w:ind w:firstLine="640" w:firstLineChars="200"/>
        <w:outlineLvl w:val="9"/>
        <w:rPr>
          <w:rFonts w:hint="eastAsia" w:ascii="仿宋" w:hAnsi="仿宋" w:eastAsia="仿宋"/>
          <w:color w:val="000000"/>
          <w:sz w:val="32"/>
          <w:szCs w:val="32"/>
          <w:lang w:val="zh-CN"/>
        </w:rPr>
      </w:pPr>
    </w:p>
    <w:p>
      <w:pPr>
        <w:spacing w:line="600" w:lineRule="exact"/>
        <w:ind w:firstLine="640" w:firstLineChars="200"/>
        <w:outlineLvl w:val="9"/>
        <w:rPr>
          <w:rFonts w:hint="eastAsia" w:ascii="仿宋" w:hAnsi="仿宋" w:eastAsia="仿宋"/>
          <w:color w:val="000000"/>
          <w:sz w:val="32"/>
          <w:szCs w:val="32"/>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outlineLvl w:val="1"/>
        <w:rPr>
          <w:rFonts w:hint="eastAsia" w:ascii="黑体" w:hAnsi="黑体" w:eastAsia="黑体"/>
          <w:color w:val="000000"/>
          <w:sz w:val="44"/>
          <w:szCs w:val="44"/>
        </w:rPr>
      </w:pPr>
      <w:r>
        <w:rPr>
          <w:rFonts w:hint="eastAsia" w:ascii="黑体" w:hAnsi="黑体" w:eastAsia="黑体" w:cs="黑体"/>
          <w:sz w:val="32"/>
          <w:szCs w:val="32"/>
        </w:rPr>
        <w:t>附件2</w:t>
      </w:r>
      <w:bookmarkStart w:id="96" w:name="_Toc15396618"/>
    </w:p>
    <w:p>
      <w:pPr>
        <w:spacing w:line="600" w:lineRule="exact"/>
        <w:jc w:val="center"/>
        <w:outlineLvl w:val="9"/>
        <w:rPr>
          <w:rFonts w:hint="eastAsia" w:ascii="黑体" w:hAnsi="黑体" w:eastAsia="黑体"/>
          <w:color w:val="000000"/>
          <w:sz w:val="44"/>
          <w:szCs w:val="44"/>
        </w:rPr>
      </w:pPr>
    </w:p>
    <w:p>
      <w:pPr>
        <w:jc w:val="center"/>
        <w:rPr>
          <w:rFonts w:ascii="黑体" w:hAnsi="黑体" w:eastAsia="黑体"/>
          <w:b/>
          <w:sz w:val="44"/>
          <w:szCs w:val="44"/>
        </w:rPr>
      </w:pPr>
      <w:bookmarkStart w:id="97" w:name="_Toc18379_WPSOffice_Level2"/>
      <w:bookmarkStart w:id="98" w:name="_Toc25053_WPSOffice_Level2"/>
      <w:r>
        <w:rPr>
          <w:rFonts w:hint="eastAsia" w:ascii="黑体" w:hAnsi="黑体" w:eastAsia="黑体"/>
          <w:b/>
          <w:sz w:val="44"/>
          <w:szCs w:val="44"/>
        </w:rPr>
        <w:t>项目支出绩效自评报告</w:t>
      </w:r>
      <w:bookmarkEnd w:id="97"/>
      <w:bookmarkEnd w:id="98"/>
    </w:p>
    <w:p>
      <w:pPr>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eastAsia="zh-CN"/>
        </w:rPr>
        <w:t>峨胜集团公司奖励金</w:t>
      </w:r>
      <w:r>
        <w:rPr>
          <w:rFonts w:hint="eastAsia" w:ascii="黑体" w:hAnsi="黑体" w:eastAsia="黑体"/>
          <w:sz w:val="28"/>
          <w:szCs w:val="28"/>
        </w:rPr>
        <w:t>项目）</w:t>
      </w:r>
    </w:p>
    <w:p>
      <w:pPr>
        <w:jc w:val="center"/>
        <w:rPr>
          <w:rFonts w:ascii="仿宋" w:hAnsi="仿宋" w:eastAsia="仿宋"/>
          <w:sz w:val="30"/>
          <w:szCs w:val="30"/>
        </w:rPr>
      </w:pPr>
    </w:p>
    <w:p>
      <w:pPr>
        <w:ind w:firstLine="602" w:firstLineChars="200"/>
        <w:rPr>
          <w:rFonts w:ascii="仿宋" w:hAnsi="仿宋" w:eastAsia="仿宋"/>
          <w:b/>
          <w:bCs/>
          <w:sz w:val="30"/>
          <w:szCs w:val="30"/>
        </w:rPr>
      </w:pPr>
      <w:r>
        <w:rPr>
          <w:rFonts w:hint="eastAsia" w:ascii="仿宋" w:hAnsi="仿宋" w:eastAsia="仿宋"/>
          <w:b/>
          <w:bCs/>
          <w:sz w:val="30"/>
          <w:szCs w:val="30"/>
        </w:rPr>
        <w:t>一、项目概况</w:t>
      </w:r>
    </w:p>
    <w:p>
      <w:pPr>
        <w:ind w:firstLine="600"/>
        <w:rPr>
          <w:rFonts w:hint="eastAsia" w:ascii="仿宋" w:hAnsi="仿宋" w:eastAsia="仿宋"/>
          <w:sz w:val="30"/>
          <w:szCs w:val="30"/>
        </w:rPr>
      </w:pPr>
      <w:r>
        <w:rPr>
          <w:rFonts w:hint="eastAsia" w:ascii="仿宋" w:hAnsi="仿宋" w:eastAsia="仿宋"/>
          <w:sz w:val="30"/>
          <w:szCs w:val="30"/>
        </w:rPr>
        <w:t>根据峨府定[2015]51号关于峨胜集团公司首批参保老职工参照改制国有和城镇集体企业发放生活补贴有关事项的决定，逐年安排对峨胜公司的奖励金，人社局协助制定完善奖励金工作方案，市政府第54次常委会审议通过。</w:t>
      </w:r>
    </w:p>
    <w:p>
      <w:pPr>
        <w:ind w:firstLine="600"/>
        <w:rPr>
          <w:rFonts w:ascii="仿宋" w:hAnsi="仿宋" w:eastAsia="仿宋"/>
          <w:b/>
          <w:bCs/>
          <w:sz w:val="30"/>
          <w:szCs w:val="30"/>
        </w:rPr>
      </w:pPr>
      <w:r>
        <w:rPr>
          <w:rFonts w:hint="eastAsia" w:ascii="仿宋" w:hAnsi="仿宋" w:eastAsia="仿宋"/>
          <w:b/>
          <w:bCs/>
          <w:sz w:val="30"/>
          <w:szCs w:val="30"/>
        </w:rPr>
        <w:t>二、项目实施和管理情况</w:t>
      </w:r>
    </w:p>
    <w:p>
      <w:pPr>
        <w:ind w:firstLine="600"/>
        <w:rPr>
          <w:rFonts w:hint="eastAsia" w:ascii="仿宋" w:hAnsi="仿宋" w:eastAsia="仿宋"/>
          <w:sz w:val="30"/>
          <w:szCs w:val="30"/>
          <w:lang w:eastAsia="zh-CN"/>
        </w:rPr>
      </w:pPr>
      <w:r>
        <w:rPr>
          <w:rFonts w:hint="eastAsia" w:ascii="仿宋" w:hAnsi="仿宋" w:eastAsia="仿宋"/>
          <w:sz w:val="30"/>
          <w:szCs w:val="30"/>
          <w:lang w:eastAsia="zh-CN"/>
        </w:rPr>
        <w:t>（一）项目资金申报及批复情况</w:t>
      </w:r>
    </w:p>
    <w:p>
      <w:pPr>
        <w:ind w:firstLine="600"/>
        <w:rPr>
          <w:rFonts w:hint="eastAsia" w:ascii="仿宋" w:hAnsi="仿宋" w:eastAsia="仿宋"/>
          <w:sz w:val="30"/>
          <w:szCs w:val="30"/>
          <w:lang w:eastAsia="zh-CN"/>
        </w:rPr>
      </w:pPr>
      <w:r>
        <w:rPr>
          <w:rFonts w:hint="eastAsia" w:ascii="仿宋" w:hAnsi="仿宋" w:eastAsia="仿宋"/>
          <w:sz w:val="30"/>
          <w:szCs w:val="30"/>
          <w:lang w:eastAsia="zh-CN"/>
        </w:rPr>
        <w:t>该项目资金列入了部门预算，并经财政局批复。</w:t>
      </w:r>
    </w:p>
    <w:p>
      <w:pPr>
        <w:ind w:firstLine="60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）资金计划、到位及使用情况。</w:t>
      </w:r>
    </w:p>
    <w:p>
      <w:pPr>
        <w:ind w:firstLine="600"/>
        <w:rPr>
          <w:rFonts w:ascii="仿宋" w:hAnsi="仿宋" w:eastAsia="仿宋"/>
          <w:sz w:val="30"/>
          <w:szCs w:val="30"/>
        </w:rPr>
      </w:pPr>
      <w:r>
        <w:rPr>
          <w:rFonts w:hint="eastAsia" w:ascii="仿宋" w:hAnsi="仿宋" w:eastAsia="仿宋"/>
          <w:sz w:val="30"/>
          <w:szCs w:val="30"/>
        </w:rPr>
        <w:t>1、资金计划及到位。计划投入资金</w:t>
      </w:r>
      <w:r>
        <w:rPr>
          <w:rFonts w:hint="eastAsia" w:ascii="仿宋" w:hAnsi="仿宋" w:eastAsia="仿宋"/>
          <w:sz w:val="30"/>
          <w:szCs w:val="30"/>
          <w:lang w:val="en-US" w:eastAsia="zh-CN"/>
        </w:rPr>
        <w:t>89.7</w:t>
      </w:r>
      <w:r>
        <w:rPr>
          <w:rFonts w:hint="eastAsia" w:ascii="仿宋" w:hAnsi="仿宋" w:eastAsia="仿宋"/>
          <w:sz w:val="30"/>
          <w:szCs w:val="30"/>
        </w:rPr>
        <w:t>万元，实际申请划拨</w:t>
      </w:r>
      <w:r>
        <w:rPr>
          <w:rFonts w:hint="eastAsia" w:ascii="仿宋" w:hAnsi="仿宋" w:eastAsia="仿宋"/>
          <w:sz w:val="30"/>
          <w:szCs w:val="30"/>
          <w:lang w:val="en-US" w:eastAsia="zh-CN"/>
        </w:rPr>
        <w:t>89.07</w:t>
      </w:r>
      <w:r>
        <w:rPr>
          <w:rFonts w:hint="eastAsia" w:ascii="仿宋" w:hAnsi="仿宋" w:eastAsia="仿宋"/>
          <w:sz w:val="30"/>
          <w:szCs w:val="30"/>
        </w:rPr>
        <w:t>万元，到位资金</w:t>
      </w:r>
      <w:r>
        <w:rPr>
          <w:rFonts w:hint="eastAsia" w:ascii="仿宋" w:hAnsi="仿宋" w:eastAsia="仿宋"/>
          <w:sz w:val="30"/>
          <w:szCs w:val="30"/>
          <w:lang w:val="en-US" w:eastAsia="zh-CN"/>
        </w:rPr>
        <w:t>89.07</w:t>
      </w:r>
      <w:r>
        <w:rPr>
          <w:rFonts w:hint="eastAsia" w:ascii="仿宋" w:hAnsi="仿宋" w:eastAsia="仿宋"/>
          <w:sz w:val="30"/>
          <w:szCs w:val="30"/>
        </w:rPr>
        <w:t>万元，资金100%到位。</w:t>
      </w:r>
    </w:p>
    <w:p>
      <w:pPr>
        <w:ind w:firstLine="600"/>
        <w:rPr>
          <w:rFonts w:ascii="仿宋" w:hAnsi="仿宋" w:eastAsia="仿宋"/>
          <w:sz w:val="30"/>
          <w:szCs w:val="30"/>
        </w:rPr>
      </w:pPr>
      <w:r>
        <w:rPr>
          <w:rFonts w:hint="eastAsia" w:ascii="仿宋" w:hAnsi="仿宋" w:eastAsia="仿宋"/>
          <w:sz w:val="30"/>
          <w:szCs w:val="30"/>
        </w:rPr>
        <w:t>2、资金使用。20</w:t>
      </w:r>
      <w:r>
        <w:rPr>
          <w:rFonts w:hint="eastAsia" w:ascii="仿宋" w:hAnsi="仿宋" w:eastAsia="仿宋"/>
          <w:sz w:val="30"/>
          <w:szCs w:val="30"/>
          <w:lang w:val="en-US" w:eastAsia="zh-CN"/>
        </w:rPr>
        <w:t>20</w:t>
      </w:r>
      <w:r>
        <w:rPr>
          <w:rFonts w:hint="eastAsia" w:ascii="仿宋" w:hAnsi="仿宋" w:eastAsia="仿宋"/>
          <w:sz w:val="30"/>
          <w:szCs w:val="30"/>
        </w:rPr>
        <w:t>年按项目进度共支付</w:t>
      </w:r>
      <w:r>
        <w:rPr>
          <w:rFonts w:hint="eastAsia" w:ascii="仿宋" w:hAnsi="仿宋" w:eastAsia="仿宋"/>
          <w:sz w:val="30"/>
          <w:szCs w:val="30"/>
          <w:lang w:val="en-US" w:eastAsia="zh-CN"/>
        </w:rPr>
        <w:t>89.07</w:t>
      </w:r>
      <w:r>
        <w:rPr>
          <w:rFonts w:hint="eastAsia" w:ascii="仿宋" w:hAnsi="仿宋" w:eastAsia="仿宋"/>
          <w:sz w:val="30"/>
          <w:szCs w:val="30"/>
        </w:rPr>
        <w:t>万元，支付依据合规合法，资金支付与预算相符。</w:t>
      </w:r>
    </w:p>
    <w:p>
      <w:pPr>
        <w:ind w:firstLine="450" w:firstLineChars="15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）项目财务管理情况</w:t>
      </w:r>
    </w:p>
    <w:p>
      <w:pPr>
        <w:ind w:firstLine="600"/>
        <w:rPr>
          <w:rFonts w:ascii="仿宋" w:hAnsi="仿宋" w:eastAsia="仿宋"/>
          <w:sz w:val="30"/>
          <w:szCs w:val="30"/>
        </w:rPr>
      </w:pPr>
      <w:r>
        <w:rPr>
          <w:rFonts w:hint="eastAsia" w:ascii="仿宋" w:hAnsi="仿宋" w:eastAsia="仿宋"/>
          <w:sz w:val="30"/>
          <w:szCs w:val="30"/>
        </w:rPr>
        <w:t>对考评的项目资金我局严格执行《中华人民共和国会计法》、《会计基础工作规范》等规定规范管理和使用。财务处理及时、会计核算规范。</w:t>
      </w:r>
    </w:p>
    <w:p>
      <w:pPr>
        <w:ind w:firstLine="60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）项目组织实施情况</w:t>
      </w:r>
    </w:p>
    <w:p>
      <w:pPr>
        <w:ind w:firstLine="600"/>
        <w:rPr>
          <w:rFonts w:hint="default" w:ascii="仿宋" w:hAnsi="仿宋" w:eastAsia="仿宋"/>
          <w:sz w:val="30"/>
          <w:szCs w:val="30"/>
          <w:lang w:val="en-US" w:eastAsia="zh-CN"/>
        </w:rPr>
      </w:pPr>
      <w:r>
        <w:rPr>
          <w:rFonts w:hint="eastAsia" w:ascii="仿宋" w:hAnsi="仿宋" w:eastAsia="仿宋"/>
          <w:sz w:val="30"/>
          <w:szCs w:val="30"/>
          <w:lang w:eastAsia="zh-CN"/>
        </w:rPr>
        <w:t>按照峨府定</w:t>
      </w:r>
      <w:r>
        <w:rPr>
          <w:rFonts w:hint="eastAsia" w:ascii="仿宋" w:hAnsi="仿宋" w:eastAsia="仿宋"/>
          <w:sz w:val="30"/>
          <w:szCs w:val="30"/>
          <w:lang w:val="en-US" w:eastAsia="zh-CN"/>
        </w:rPr>
        <w:t>[2015]51号精神由峨胜集团公司自行安排资金对达到提前退休年龄的首批老职工发放生活补贴，由峨眉山市社会保险事务中心核清财政需安排的奖励金计入政府与峨胜水泥集团公司清算内容，与峨胜集团公司总结算。</w:t>
      </w:r>
    </w:p>
    <w:p>
      <w:pPr>
        <w:ind w:firstLine="600"/>
        <w:rPr>
          <w:rFonts w:ascii="仿宋" w:hAnsi="仿宋" w:eastAsia="仿宋"/>
          <w:b/>
          <w:bCs/>
          <w:sz w:val="30"/>
          <w:szCs w:val="30"/>
        </w:rPr>
      </w:pPr>
      <w:r>
        <w:rPr>
          <w:rFonts w:hint="eastAsia" w:ascii="仿宋" w:hAnsi="仿宋" w:eastAsia="仿宋"/>
          <w:b/>
          <w:bCs/>
          <w:sz w:val="30"/>
          <w:szCs w:val="30"/>
        </w:rPr>
        <w:t>三、项目绩效情况</w:t>
      </w:r>
    </w:p>
    <w:p>
      <w:pPr>
        <w:ind w:firstLine="600"/>
        <w:rPr>
          <w:rFonts w:ascii="仿宋" w:hAnsi="仿宋" w:eastAsia="仿宋"/>
          <w:sz w:val="30"/>
          <w:szCs w:val="30"/>
        </w:rPr>
      </w:pPr>
      <w:r>
        <w:rPr>
          <w:rFonts w:hint="eastAsia" w:ascii="仿宋" w:hAnsi="仿宋" w:eastAsia="仿宋"/>
          <w:sz w:val="30"/>
          <w:szCs w:val="30"/>
        </w:rPr>
        <w:t>（一）项目完成情况。</w:t>
      </w:r>
    </w:p>
    <w:p>
      <w:pPr>
        <w:ind w:firstLine="600"/>
        <w:rPr>
          <w:rFonts w:hint="default" w:ascii="仿宋" w:hAnsi="仿宋" w:eastAsia="仿宋"/>
          <w:sz w:val="30"/>
          <w:szCs w:val="30"/>
          <w:lang w:val="en-US" w:eastAsia="zh-CN"/>
        </w:rPr>
      </w:pPr>
      <w:r>
        <w:rPr>
          <w:rFonts w:hint="eastAsia" w:ascii="仿宋" w:hAnsi="仿宋" w:eastAsia="仿宋"/>
          <w:sz w:val="30"/>
          <w:szCs w:val="30"/>
          <w:lang w:eastAsia="zh-CN"/>
        </w:rPr>
        <w:t>按照市政府要求，于</w:t>
      </w:r>
      <w:r>
        <w:rPr>
          <w:rFonts w:hint="eastAsia" w:ascii="仿宋" w:hAnsi="仿宋" w:eastAsia="仿宋"/>
          <w:sz w:val="30"/>
          <w:szCs w:val="30"/>
          <w:lang w:val="en-US" w:eastAsia="zh-CN"/>
        </w:rPr>
        <w:t>2020年12月划拨峨胜水泥集团有限公司2019年奖励金89.07万元，用于2019年峨胜集团公司52人提前退休生活补贴支出。</w:t>
      </w:r>
    </w:p>
    <w:p>
      <w:pPr>
        <w:ind w:firstLine="600"/>
        <w:rPr>
          <w:rFonts w:ascii="仿宋" w:hAnsi="仿宋" w:eastAsia="仿宋"/>
          <w:sz w:val="30"/>
          <w:szCs w:val="30"/>
        </w:rPr>
      </w:pPr>
      <w:r>
        <w:rPr>
          <w:rFonts w:hint="eastAsia" w:ascii="仿宋" w:hAnsi="仿宋" w:eastAsia="仿宋"/>
          <w:sz w:val="30"/>
          <w:szCs w:val="30"/>
        </w:rPr>
        <w:t>（二）项目效益情况。</w:t>
      </w:r>
    </w:p>
    <w:p>
      <w:pPr>
        <w:ind w:firstLine="600" w:firstLineChars="200"/>
        <w:rPr>
          <w:rFonts w:hint="eastAsia" w:ascii="仿宋" w:hAnsi="仿宋" w:eastAsia="仿宋"/>
          <w:sz w:val="30"/>
          <w:szCs w:val="30"/>
          <w:lang w:eastAsia="zh-CN"/>
        </w:rPr>
      </w:pPr>
      <w:r>
        <w:rPr>
          <w:rFonts w:hint="eastAsia" w:ascii="仿宋" w:hAnsi="仿宋" w:eastAsia="仿宋"/>
          <w:sz w:val="30"/>
          <w:szCs w:val="30"/>
        </w:rPr>
        <w:t>对峨胜水泥集团股份公司提前退休职工生活补贴，确保社会稳定</w:t>
      </w:r>
      <w:r>
        <w:rPr>
          <w:rFonts w:hint="eastAsia" w:ascii="仿宋" w:hAnsi="仿宋" w:eastAsia="仿宋"/>
          <w:sz w:val="30"/>
          <w:szCs w:val="30"/>
          <w:lang w:eastAsia="zh-CN"/>
        </w:rPr>
        <w:t>。</w:t>
      </w:r>
    </w:p>
    <w:p>
      <w:pPr>
        <w:ind w:firstLine="602" w:firstLineChars="200"/>
        <w:rPr>
          <w:rFonts w:hint="default" w:ascii="仿宋" w:hAnsi="仿宋" w:eastAsia="仿宋"/>
          <w:b/>
          <w:bCs/>
          <w:sz w:val="30"/>
          <w:szCs w:val="30"/>
          <w:lang w:val="en-US" w:eastAsia="zh-CN"/>
        </w:rPr>
      </w:pPr>
      <w:r>
        <w:rPr>
          <w:rFonts w:hint="eastAsia" w:ascii="仿宋" w:hAnsi="仿宋" w:eastAsia="仿宋"/>
          <w:b/>
          <w:bCs/>
          <w:sz w:val="30"/>
          <w:szCs w:val="30"/>
          <w:lang w:val="en-US" w:eastAsia="zh-CN"/>
        </w:rPr>
        <w:t>四、评价结论及建设</w:t>
      </w:r>
    </w:p>
    <w:p>
      <w:pPr>
        <w:ind w:firstLine="600"/>
        <w:rPr>
          <w:rFonts w:hint="default" w:ascii="仿宋" w:hAnsi="仿宋" w:eastAsia="仿宋"/>
          <w:sz w:val="30"/>
          <w:szCs w:val="30"/>
          <w:lang w:val="en-US" w:eastAsia="zh-CN"/>
        </w:rPr>
      </w:pPr>
      <w:r>
        <w:rPr>
          <w:rFonts w:hint="eastAsia" w:ascii="仿宋" w:hAnsi="仿宋" w:eastAsia="仿宋"/>
          <w:sz w:val="30"/>
          <w:szCs w:val="30"/>
          <w:lang w:val="en-US" w:eastAsia="zh-CN"/>
        </w:rPr>
        <w:t>项目预算、执行、完成情况较好，达到了预期绩效目标。</w:t>
      </w:r>
    </w:p>
    <w:p>
      <w:pPr>
        <w:ind w:firstLine="600" w:firstLineChars="200"/>
        <w:rPr>
          <w:rFonts w:hint="eastAsia" w:ascii="仿宋" w:hAnsi="仿宋" w:eastAsia="仿宋"/>
          <w:sz w:val="30"/>
          <w:szCs w:val="30"/>
          <w:lang w:eastAsia="zh-CN"/>
        </w:rPr>
      </w:pPr>
    </w:p>
    <w:p>
      <w:pPr>
        <w:ind w:firstLine="600"/>
        <w:rPr>
          <w:rFonts w:ascii="仿宋" w:hAnsi="仿宋" w:eastAsia="仿宋"/>
          <w:sz w:val="30"/>
          <w:szCs w:val="30"/>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both"/>
        <w:outlineLvl w:val="9"/>
        <w:rPr>
          <w:rFonts w:hint="eastAsia" w:ascii="黑体" w:hAnsi="黑体" w:eastAsia="黑体"/>
          <w:color w:val="000000"/>
          <w:sz w:val="44"/>
          <w:szCs w:val="44"/>
        </w:rPr>
      </w:pPr>
    </w:p>
    <w:p>
      <w:pPr>
        <w:jc w:val="center"/>
        <w:rPr>
          <w:rFonts w:ascii="黑体" w:hAnsi="黑体" w:eastAsia="黑体"/>
          <w:b/>
          <w:sz w:val="44"/>
          <w:szCs w:val="44"/>
        </w:rPr>
      </w:pPr>
      <w:bookmarkStart w:id="99" w:name="_Toc20437_WPSOffice_Level2"/>
      <w:bookmarkStart w:id="100" w:name="_Toc19371_WPSOffice_Level2"/>
      <w:bookmarkStart w:id="101" w:name="_Toc11209_WPSOffice_Level2"/>
      <w:r>
        <w:rPr>
          <w:rFonts w:hint="eastAsia" w:ascii="黑体" w:hAnsi="黑体" w:eastAsia="黑体"/>
          <w:b/>
          <w:sz w:val="44"/>
          <w:szCs w:val="44"/>
        </w:rPr>
        <w:t>项目支出绩效自评报告</w:t>
      </w:r>
      <w:bookmarkEnd w:id="99"/>
      <w:bookmarkEnd w:id="100"/>
      <w:bookmarkEnd w:id="101"/>
    </w:p>
    <w:p>
      <w:pPr>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仲裁监察工作经费</w:t>
      </w:r>
      <w:r>
        <w:rPr>
          <w:rFonts w:hint="eastAsia" w:ascii="黑体" w:hAnsi="黑体" w:eastAsia="黑体"/>
          <w:sz w:val="28"/>
          <w:szCs w:val="28"/>
        </w:rPr>
        <w:t>）</w:t>
      </w:r>
    </w:p>
    <w:p>
      <w:pPr>
        <w:jc w:val="center"/>
        <w:rPr>
          <w:rFonts w:ascii="仿宋" w:hAnsi="仿宋" w:eastAsia="仿宋"/>
          <w:sz w:val="30"/>
          <w:szCs w:val="30"/>
        </w:rPr>
      </w:pPr>
    </w:p>
    <w:p>
      <w:pPr>
        <w:ind w:firstLine="602" w:firstLineChars="200"/>
        <w:rPr>
          <w:rFonts w:ascii="仿宋" w:hAnsi="仿宋" w:eastAsia="仿宋"/>
          <w:b/>
          <w:bCs/>
          <w:sz w:val="30"/>
          <w:szCs w:val="30"/>
        </w:rPr>
      </w:pPr>
      <w:bookmarkStart w:id="102" w:name="_Toc12421_WPSOffice_Level2"/>
      <w:bookmarkStart w:id="103" w:name="_Toc19394_WPSOffice_Level2"/>
      <w:bookmarkStart w:id="104" w:name="_Toc4780_WPSOffice_Level2"/>
      <w:r>
        <w:rPr>
          <w:rFonts w:hint="eastAsia" w:ascii="仿宋" w:hAnsi="仿宋" w:eastAsia="仿宋"/>
          <w:b/>
          <w:bCs/>
          <w:sz w:val="30"/>
          <w:szCs w:val="30"/>
        </w:rPr>
        <w:t>一、项目概况</w:t>
      </w:r>
      <w:bookmarkEnd w:id="102"/>
      <w:bookmarkEnd w:id="103"/>
      <w:bookmarkEnd w:id="104"/>
    </w:p>
    <w:p>
      <w:pPr>
        <w:ind w:firstLine="600"/>
        <w:rPr>
          <w:rFonts w:hint="default" w:ascii="仿宋" w:hAnsi="仿宋" w:eastAsia="仿宋"/>
          <w:sz w:val="30"/>
          <w:szCs w:val="30"/>
          <w:lang w:val="en-US" w:eastAsia="zh-CN"/>
        </w:rPr>
      </w:pPr>
      <w:r>
        <w:rPr>
          <w:rFonts w:hint="eastAsia" w:ascii="仿宋" w:hAnsi="仿宋" w:eastAsia="仿宋"/>
          <w:sz w:val="30"/>
          <w:szCs w:val="30"/>
          <w:lang w:val="en-US" w:eastAsia="zh-CN"/>
        </w:rPr>
        <w:t>仲裁监察工作经费绩效目标完成情况综述：项目全年预算数20万元，执行数20万元，完成预算的100%。通过项目实施，开展劳动保障监察，积极稳妥处置监察案件。</w:t>
      </w:r>
    </w:p>
    <w:p>
      <w:pPr>
        <w:ind w:firstLine="600"/>
        <w:rPr>
          <w:rFonts w:ascii="仿宋" w:hAnsi="仿宋" w:eastAsia="仿宋"/>
          <w:b/>
          <w:bCs/>
          <w:sz w:val="30"/>
          <w:szCs w:val="30"/>
        </w:rPr>
      </w:pPr>
      <w:bookmarkStart w:id="105" w:name="_Toc29662_WPSOffice_Level2"/>
      <w:bookmarkStart w:id="106" w:name="_Toc3485_WPSOffice_Level2"/>
      <w:bookmarkStart w:id="107" w:name="_Toc12764_WPSOffice_Level2"/>
      <w:r>
        <w:rPr>
          <w:rFonts w:hint="eastAsia" w:ascii="仿宋" w:hAnsi="仿宋" w:eastAsia="仿宋"/>
          <w:b/>
          <w:bCs/>
          <w:sz w:val="30"/>
          <w:szCs w:val="30"/>
        </w:rPr>
        <w:t>二、项目实施和管理情况</w:t>
      </w:r>
      <w:bookmarkEnd w:id="105"/>
      <w:bookmarkEnd w:id="106"/>
      <w:bookmarkEnd w:id="107"/>
    </w:p>
    <w:p>
      <w:pPr>
        <w:ind w:firstLine="600"/>
        <w:rPr>
          <w:rFonts w:hint="eastAsia" w:ascii="仿宋" w:hAnsi="仿宋" w:eastAsia="仿宋"/>
          <w:sz w:val="30"/>
          <w:szCs w:val="30"/>
          <w:lang w:eastAsia="zh-CN"/>
        </w:rPr>
      </w:pPr>
      <w:r>
        <w:rPr>
          <w:rFonts w:hint="eastAsia" w:ascii="仿宋" w:hAnsi="仿宋" w:eastAsia="仿宋"/>
          <w:sz w:val="30"/>
          <w:szCs w:val="30"/>
          <w:lang w:eastAsia="zh-CN"/>
        </w:rPr>
        <w:t>（一）项目资金申报及批复情况</w:t>
      </w:r>
    </w:p>
    <w:p>
      <w:pPr>
        <w:ind w:firstLine="600"/>
        <w:rPr>
          <w:rFonts w:hint="eastAsia" w:ascii="仿宋" w:hAnsi="仿宋" w:eastAsia="仿宋"/>
          <w:sz w:val="30"/>
          <w:szCs w:val="30"/>
          <w:lang w:eastAsia="zh-CN"/>
        </w:rPr>
      </w:pPr>
      <w:r>
        <w:rPr>
          <w:rFonts w:hint="eastAsia" w:ascii="仿宋" w:hAnsi="仿宋" w:eastAsia="仿宋"/>
          <w:sz w:val="30"/>
          <w:szCs w:val="30"/>
          <w:lang w:eastAsia="zh-CN"/>
        </w:rPr>
        <w:t>该项目资金列入了部门预算，并经财政局批复。</w:t>
      </w:r>
    </w:p>
    <w:p>
      <w:pPr>
        <w:ind w:firstLine="60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）资金计划、到位及使用情况。</w:t>
      </w:r>
    </w:p>
    <w:p>
      <w:pPr>
        <w:ind w:firstLine="600"/>
        <w:rPr>
          <w:rFonts w:ascii="仿宋" w:hAnsi="仿宋" w:eastAsia="仿宋"/>
          <w:sz w:val="30"/>
          <w:szCs w:val="30"/>
        </w:rPr>
      </w:pPr>
      <w:r>
        <w:rPr>
          <w:rFonts w:hint="eastAsia" w:ascii="仿宋" w:hAnsi="仿宋" w:eastAsia="仿宋"/>
          <w:sz w:val="30"/>
          <w:szCs w:val="30"/>
        </w:rPr>
        <w:t>1、资金计划及到位。计划投入资金</w:t>
      </w:r>
      <w:r>
        <w:rPr>
          <w:rFonts w:hint="eastAsia" w:ascii="仿宋" w:hAnsi="仿宋" w:eastAsia="仿宋"/>
          <w:sz w:val="30"/>
          <w:szCs w:val="30"/>
          <w:lang w:val="en-US" w:eastAsia="zh-CN"/>
        </w:rPr>
        <w:t>20</w:t>
      </w:r>
      <w:r>
        <w:rPr>
          <w:rFonts w:hint="eastAsia" w:ascii="仿宋" w:hAnsi="仿宋" w:eastAsia="仿宋"/>
          <w:sz w:val="30"/>
          <w:szCs w:val="30"/>
        </w:rPr>
        <w:t>万元，实际申请划拨</w:t>
      </w:r>
      <w:r>
        <w:rPr>
          <w:rFonts w:hint="eastAsia" w:ascii="仿宋" w:hAnsi="仿宋" w:eastAsia="仿宋"/>
          <w:sz w:val="30"/>
          <w:szCs w:val="30"/>
          <w:lang w:val="en-US" w:eastAsia="zh-CN"/>
        </w:rPr>
        <w:t>20</w:t>
      </w:r>
      <w:r>
        <w:rPr>
          <w:rFonts w:hint="eastAsia" w:ascii="仿宋" w:hAnsi="仿宋" w:eastAsia="仿宋"/>
          <w:sz w:val="30"/>
          <w:szCs w:val="30"/>
        </w:rPr>
        <w:t>万元，到位资金</w:t>
      </w:r>
      <w:r>
        <w:rPr>
          <w:rFonts w:hint="eastAsia" w:ascii="仿宋" w:hAnsi="仿宋" w:eastAsia="仿宋"/>
          <w:sz w:val="30"/>
          <w:szCs w:val="30"/>
          <w:lang w:val="en-US" w:eastAsia="zh-CN"/>
        </w:rPr>
        <w:t>20</w:t>
      </w:r>
      <w:r>
        <w:rPr>
          <w:rFonts w:hint="eastAsia" w:ascii="仿宋" w:hAnsi="仿宋" w:eastAsia="仿宋"/>
          <w:sz w:val="30"/>
          <w:szCs w:val="30"/>
        </w:rPr>
        <w:t>万元，资金100%到位。</w:t>
      </w:r>
    </w:p>
    <w:p>
      <w:pPr>
        <w:ind w:firstLine="600"/>
        <w:rPr>
          <w:rFonts w:ascii="仿宋" w:hAnsi="仿宋" w:eastAsia="仿宋"/>
          <w:sz w:val="30"/>
          <w:szCs w:val="30"/>
        </w:rPr>
      </w:pPr>
      <w:r>
        <w:rPr>
          <w:rFonts w:hint="eastAsia" w:ascii="仿宋" w:hAnsi="仿宋" w:eastAsia="仿宋"/>
          <w:sz w:val="30"/>
          <w:szCs w:val="30"/>
        </w:rPr>
        <w:t>2、资金使用。20</w:t>
      </w:r>
      <w:r>
        <w:rPr>
          <w:rFonts w:hint="eastAsia" w:ascii="仿宋" w:hAnsi="仿宋" w:eastAsia="仿宋"/>
          <w:sz w:val="30"/>
          <w:szCs w:val="30"/>
          <w:lang w:val="en-US" w:eastAsia="zh-CN"/>
        </w:rPr>
        <w:t>20</w:t>
      </w:r>
      <w:r>
        <w:rPr>
          <w:rFonts w:hint="eastAsia" w:ascii="仿宋" w:hAnsi="仿宋" w:eastAsia="仿宋"/>
          <w:sz w:val="30"/>
          <w:szCs w:val="30"/>
        </w:rPr>
        <w:t>年按项目进度共支付</w:t>
      </w:r>
      <w:r>
        <w:rPr>
          <w:rFonts w:hint="eastAsia" w:ascii="仿宋" w:hAnsi="仿宋" w:eastAsia="仿宋"/>
          <w:sz w:val="30"/>
          <w:szCs w:val="30"/>
          <w:lang w:val="en-US" w:eastAsia="zh-CN"/>
        </w:rPr>
        <w:t>20</w:t>
      </w:r>
      <w:r>
        <w:rPr>
          <w:rFonts w:hint="eastAsia" w:ascii="仿宋" w:hAnsi="仿宋" w:eastAsia="仿宋"/>
          <w:sz w:val="30"/>
          <w:szCs w:val="30"/>
        </w:rPr>
        <w:t>万元，支付依据合规合法，资金支付与预算相符。</w:t>
      </w:r>
    </w:p>
    <w:p>
      <w:pPr>
        <w:ind w:firstLine="450" w:firstLineChars="15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）项目财务管理情况</w:t>
      </w:r>
    </w:p>
    <w:p>
      <w:pPr>
        <w:ind w:firstLine="600"/>
        <w:rPr>
          <w:rFonts w:ascii="仿宋" w:hAnsi="仿宋" w:eastAsia="仿宋"/>
          <w:sz w:val="30"/>
          <w:szCs w:val="30"/>
        </w:rPr>
      </w:pPr>
      <w:r>
        <w:rPr>
          <w:rFonts w:hint="eastAsia" w:ascii="仿宋" w:hAnsi="仿宋" w:eastAsia="仿宋"/>
          <w:sz w:val="30"/>
          <w:szCs w:val="30"/>
        </w:rPr>
        <w:t>对考评的项目资金我局严格执行《中华人民共和国会计法》、《会计基础工作规范》等规定规范管理和使用。财务处理及时、会计核算规范。</w:t>
      </w:r>
    </w:p>
    <w:p>
      <w:pPr>
        <w:ind w:firstLine="600"/>
        <w:rPr>
          <w:rFonts w:ascii="仿宋" w:hAnsi="仿宋" w:eastAsia="仿宋"/>
          <w:b/>
          <w:bCs/>
          <w:sz w:val="30"/>
          <w:szCs w:val="30"/>
        </w:rPr>
      </w:pPr>
      <w:bookmarkStart w:id="108" w:name="_Toc5482_WPSOffice_Level2"/>
      <w:bookmarkStart w:id="109" w:name="_Toc2567_WPSOffice_Level2"/>
      <w:bookmarkStart w:id="110" w:name="_Toc11548_WPSOffice_Level2"/>
      <w:r>
        <w:rPr>
          <w:rFonts w:hint="eastAsia" w:ascii="仿宋" w:hAnsi="仿宋" w:eastAsia="仿宋"/>
          <w:b/>
          <w:bCs/>
          <w:sz w:val="30"/>
          <w:szCs w:val="30"/>
        </w:rPr>
        <w:t>三、项目绩效情况</w:t>
      </w:r>
      <w:bookmarkEnd w:id="108"/>
      <w:bookmarkEnd w:id="109"/>
      <w:bookmarkEnd w:id="110"/>
    </w:p>
    <w:p>
      <w:pPr>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是进一步加强对行政调解工作的组织领导，制订完善相关制度和工作措施，保障各项工作落实到位；二是加大培训指导力度，提高行政调解工作能力和水平；三是继续做好法制宣传和政策指导，充分运用办公平台、报刊、电视、网络等媒介，对行政调解工作内容、程序和实践进行宣传，提高行政机关工作人员的行政调解意识，增强群众对行政调解途径的信赖。</w:t>
      </w:r>
    </w:p>
    <w:p>
      <w:pPr>
        <w:ind w:firstLine="602" w:firstLineChars="200"/>
        <w:rPr>
          <w:rFonts w:hint="default" w:ascii="仿宋" w:hAnsi="仿宋" w:eastAsia="仿宋"/>
          <w:b/>
          <w:bCs/>
          <w:sz w:val="30"/>
          <w:szCs w:val="30"/>
          <w:lang w:val="en-US" w:eastAsia="zh-CN"/>
        </w:rPr>
      </w:pPr>
      <w:bookmarkStart w:id="111" w:name="_Toc20640_WPSOffice_Level2"/>
      <w:bookmarkStart w:id="112" w:name="_Toc15830_WPSOffice_Level2"/>
      <w:bookmarkStart w:id="113" w:name="_Toc13727_WPSOffice_Level2"/>
      <w:r>
        <w:rPr>
          <w:rFonts w:hint="eastAsia" w:ascii="仿宋" w:hAnsi="仿宋" w:eastAsia="仿宋"/>
          <w:b/>
          <w:bCs/>
          <w:sz w:val="30"/>
          <w:szCs w:val="30"/>
          <w:lang w:val="en-US" w:eastAsia="zh-CN"/>
        </w:rPr>
        <w:t>四、评价结论及建设</w:t>
      </w:r>
      <w:bookmarkEnd w:id="111"/>
      <w:bookmarkEnd w:id="112"/>
      <w:bookmarkEnd w:id="113"/>
    </w:p>
    <w:p>
      <w:pPr>
        <w:ind w:firstLine="600"/>
        <w:rPr>
          <w:rFonts w:hint="default" w:ascii="仿宋" w:hAnsi="仿宋" w:eastAsia="仿宋"/>
          <w:sz w:val="30"/>
          <w:szCs w:val="30"/>
          <w:lang w:val="en-US" w:eastAsia="zh-CN"/>
        </w:rPr>
      </w:pPr>
      <w:r>
        <w:rPr>
          <w:rFonts w:hint="eastAsia" w:ascii="仿宋" w:hAnsi="仿宋" w:eastAsia="仿宋"/>
          <w:sz w:val="30"/>
          <w:szCs w:val="30"/>
          <w:lang w:val="en-US" w:eastAsia="zh-CN"/>
        </w:rPr>
        <w:t>项目预算、执行、完成情况较好，达到了预期绩效目标。</w:t>
      </w: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pStyle w:val="7"/>
        <w:rPr>
          <w:rFonts w:hint="eastAsia" w:ascii="黑体" w:hAnsi="黑体" w:eastAsia="黑体"/>
          <w:color w:val="000000"/>
          <w:sz w:val="44"/>
          <w:szCs w:val="44"/>
        </w:rPr>
      </w:pPr>
    </w:p>
    <w:p>
      <w:pPr>
        <w:pStyle w:val="7"/>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jc w:val="center"/>
        <w:rPr>
          <w:rFonts w:ascii="黑体" w:hAnsi="黑体" w:eastAsia="黑体"/>
          <w:b/>
          <w:sz w:val="44"/>
          <w:szCs w:val="44"/>
        </w:rPr>
      </w:pPr>
      <w:bookmarkStart w:id="114" w:name="_Toc31884_WPSOffice_Level2"/>
      <w:bookmarkStart w:id="115" w:name="_Toc18440_WPSOffice_Level2"/>
      <w:bookmarkStart w:id="116" w:name="_Toc3193_WPSOffice_Level2"/>
      <w:r>
        <w:rPr>
          <w:rFonts w:hint="eastAsia" w:ascii="黑体" w:hAnsi="黑体" w:eastAsia="黑体"/>
          <w:b/>
          <w:sz w:val="44"/>
          <w:szCs w:val="44"/>
        </w:rPr>
        <w:t>项目支出绩效自评报告</w:t>
      </w:r>
      <w:bookmarkEnd w:id="114"/>
      <w:bookmarkEnd w:id="115"/>
      <w:bookmarkEnd w:id="116"/>
    </w:p>
    <w:p>
      <w:pPr>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职称评审、岗位设置及专业继续教育工作经费</w:t>
      </w:r>
      <w:r>
        <w:rPr>
          <w:rFonts w:hint="eastAsia" w:ascii="黑体" w:hAnsi="黑体" w:eastAsia="黑体"/>
          <w:sz w:val="28"/>
          <w:szCs w:val="28"/>
        </w:rPr>
        <w:t>）</w:t>
      </w:r>
    </w:p>
    <w:p>
      <w:pPr>
        <w:jc w:val="center"/>
        <w:rPr>
          <w:rFonts w:ascii="仿宋" w:hAnsi="仿宋" w:eastAsia="仿宋"/>
          <w:sz w:val="30"/>
          <w:szCs w:val="30"/>
        </w:rPr>
      </w:pPr>
    </w:p>
    <w:p>
      <w:pPr>
        <w:ind w:firstLine="602" w:firstLineChars="200"/>
        <w:rPr>
          <w:rFonts w:ascii="仿宋" w:hAnsi="仿宋" w:eastAsia="仿宋"/>
          <w:b/>
          <w:bCs/>
          <w:sz w:val="30"/>
          <w:szCs w:val="30"/>
        </w:rPr>
      </w:pPr>
      <w:r>
        <w:rPr>
          <w:rFonts w:hint="eastAsia" w:ascii="仿宋" w:hAnsi="仿宋" w:eastAsia="仿宋"/>
          <w:b/>
          <w:bCs/>
          <w:sz w:val="30"/>
          <w:szCs w:val="30"/>
        </w:rPr>
        <w:t>一、项目概况</w:t>
      </w:r>
    </w:p>
    <w:p>
      <w:pPr>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职称评审、岗位设置及专业继续教育工作经费绩效目标完成情况综述：项目全年预算数15万元，执行数15万元，完成预算的100%。通过项目实施，开展全市职称评审、岗位设置及专业继续教育工作。</w:t>
      </w:r>
    </w:p>
    <w:p>
      <w:pPr>
        <w:ind w:firstLine="600"/>
        <w:rPr>
          <w:rFonts w:ascii="仿宋" w:hAnsi="仿宋" w:eastAsia="仿宋"/>
          <w:b/>
          <w:bCs/>
          <w:sz w:val="30"/>
          <w:szCs w:val="30"/>
        </w:rPr>
      </w:pPr>
      <w:r>
        <w:rPr>
          <w:rFonts w:hint="eastAsia" w:ascii="仿宋" w:hAnsi="仿宋" w:eastAsia="仿宋"/>
          <w:b/>
          <w:bCs/>
          <w:sz w:val="30"/>
          <w:szCs w:val="30"/>
        </w:rPr>
        <w:t>二、项目实施和管理情况</w:t>
      </w:r>
    </w:p>
    <w:p>
      <w:pPr>
        <w:ind w:firstLine="600"/>
        <w:rPr>
          <w:rFonts w:hint="eastAsia" w:ascii="仿宋" w:hAnsi="仿宋" w:eastAsia="仿宋"/>
          <w:sz w:val="30"/>
          <w:szCs w:val="30"/>
          <w:lang w:eastAsia="zh-CN"/>
        </w:rPr>
      </w:pPr>
      <w:r>
        <w:rPr>
          <w:rFonts w:hint="eastAsia" w:ascii="仿宋" w:hAnsi="仿宋" w:eastAsia="仿宋"/>
          <w:sz w:val="30"/>
          <w:szCs w:val="30"/>
          <w:lang w:eastAsia="zh-CN"/>
        </w:rPr>
        <w:t>（一）项目资金申报及批复情况</w:t>
      </w:r>
    </w:p>
    <w:p>
      <w:pPr>
        <w:ind w:firstLine="600"/>
        <w:rPr>
          <w:rFonts w:hint="eastAsia" w:ascii="仿宋" w:hAnsi="仿宋" w:eastAsia="仿宋"/>
          <w:sz w:val="30"/>
          <w:szCs w:val="30"/>
          <w:lang w:eastAsia="zh-CN"/>
        </w:rPr>
      </w:pPr>
      <w:r>
        <w:rPr>
          <w:rFonts w:hint="eastAsia" w:ascii="仿宋" w:hAnsi="仿宋" w:eastAsia="仿宋"/>
          <w:sz w:val="30"/>
          <w:szCs w:val="30"/>
          <w:lang w:eastAsia="zh-CN"/>
        </w:rPr>
        <w:t>该项目资金列入了部门预算，并经财政局批复。</w:t>
      </w:r>
    </w:p>
    <w:p>
      <w:pPr>
        <w:ind w:firstLine="60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）资金计划、到位及使用情况。</w:t>
      </w:r>
    </w:p>
    <w:p>
      <w:pPr>
        <w:ind w:firstLine="600"/>
        <w:rPr>
          <w:rFonts w:ascii="仿宋" w:hAnsi="仿宋" w:eastAsia="仿宋"/>
          <w:sz w:val="30"/>
          <w:szCs w:val="30"/>
        </w:rPr>
      </w:pPr>
      <w:r>
        <w:rPr>
          <w:rFonts w:hint="eastAsia" w:ascii="仿宋" w:hAnsi="仿宋" w:eastAsia="仿宋"/>
          <w:sz w:val="30"/>
          <w:szCs w:val="30"/>
        </w:rPr>
        <w:t>1、资金计划及到位。计划投入资金</w:t>
      </w:r>
      <w:r>
        <w:rPr>
          <w:rFonts w:hint="eastAsia" w:ascii="仿宋" w:hAnsi="仿宋" w:eastAsia="仿宋"/>
          <w:sz w:val="30"/>
          <w:szCs w:val="30"/>
          <w:lang w:val="en-US" w:eastAsia="zh-CN"/>
        </w:rPr>
        <w:t>15</w:t>
      </w:r>
      <w:r>
        <w:rPr>
          <w:rFonts w:hint="eastAsia" w:ascii="仿宋" w:hAnsi="仿宋" w:eastAsia="仿宋"/>
          <w:sz w:val="30"/>
          <w:szCs w:val="30"/>
        </w:rPr>
        <w:t>万元，实际申请划拨</w:t>
      </w:r>
      <w:r>
        <w:rPr>
          <w:rFonts w:hint="eastAsia" w:ascii="仿宋" w:hAnsi="仿宋" w:eastAsia="仿宋"/>
          <w:sz w:val="30"/>
          <w:szCs w:val="30"/>
          <w:lang w:val="en-US" w:eastAsia="zh-CN"/>
        </w:rPr>
        <w:t>15</w:t>
      </w:r>
      <w:r>
        <w:rPr>
          <w:rFonts w:hint="eastAsia" w:ascii="仿宋" w:hAnsi="仿宋" w:eastAsia="仿宋"/>
          <w:sz w:val="30"/>
          <w:szCs w:val="30"/>
        </w:rPr>
        <w:t>万元，到位资金</w:t>
      </w:r>
      <w:r>
        <w:rPr>
          <w:rFonts w:hint="eastAsia" w:ascii="仿宋" w:hAnsi="仿宋" w:eastAsia="仿宋"/>
          <w:sz w:val="30"/>
          <w:szCs w:val="30"/>
          <w:lang w:val="en-US" w:eastAsia="zh-CN"/>
        </w:rPr>
        <w:t>15</w:t>
      </w:r>
      <w:r>
        <w:rPr>
          <w:rFonts w:hint="eastAsia" w:ascii="仿宋" w:hAnsi="仿宋" w:eastAsia="仿宋"/>
          <w:sz w:val="30"/>
          <w:szCs w:val="30"/>
        </w:rPr>
        <w:t>万元，资金100%到位。</w:t>
      </w:r>
    </w:p>
    <w:p>
      <w:pPr>
        <w:ind w:firstLine="600"/>
        <w:rPr>
          <w:rFonts w:ascii="仿宋" w:hAnsi="仿宋" w:eastAsia="仿宋"/>
          <w:sz w:val="30"/>
          <w:szCs w:val="30"/>
        </w:rPr>
      </w:pPr>
      <w:r>
        <w:rPr>
          <w:rFonts w:hint="eastAsia" w:ascii="仿宋" w:hAnsi="仿宋" w:eastAsia="仿宋"/>
          <w:sz w:val="30"/>
          <w:szCs w:val="30"/>
        </w:rPr>
        <w:t>2、资金使用。20</w:t>
      </w:r>
      <w:r>
        <w:rPr>
          <w:rFonts w:hint="eastAsia" w:ascii="仿宋" w:hAnsi="仿宋" w:eastAsia="仿宋"/>
          <w:sz w:val="30"/>
          <w:szCs w:val="30"/>
          <w:lang w:val="en-US" w:eastAsia="zh-CN"/>
        </w:rPr>
        <w:t>20</w:t>
      </w:r>
      <w:r>
        <w:rPr>
          <w:rFonts w:hint="eastAsia" w:ascii="仿宋" w:hAnsi="仿宋" w:eastAsia="仿宋"/>
          <w:sz w:val="30"/>
          <w:szCs w:val="30"/>
        </w:rPr>
        <w:t>年按项目进度共支付</w:t>
      </w:r>
      <w:r>
        <w:rPr>
          <w:rFonts w:hint="eastAsia" w:ascii="仿宋" w:hAnsi="仿宋" w:eastAsia="仿宋"/>
          <w:sz w:val="30"/>
          <w:szCs w:val="30"/>
          <w:lang w:val="en-US" w:eastAsia="zh-CN"/>
        </w:rPr>
        <w:t>15</w:t>
      </w:r>
      <w:r>
        <w:rPr>
          <w:rFonts w:hint="eastAsia" w:ascii="仿宋" w:hAnsi="仿宋" w:eastAsia="仿宋"/>
          <w:sz w:val="30"/>
          <w:szCs w:val="30"/>
        </w:rPr>
        <w:t>万元，支付依据合规合法，资金支付与预算相符。</w:t>
      </w:r>
    </w:p>
    <w:p>
      <w:pPr>
        <w:ind w:firstLine="450" w:firstLineChars="15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）项目财务管理情况</w:t>
      </w:r>
    </w:p>
    <w:p>
      <w:pPr>
        <w:ind w:firstLine="600"/>
        <w:rPr>
          <w:rFonts w:ascii="仿宋" w:hAnsi="仿宋" w:eastAsia="仿宋"/>
          <w:sz w:val="30"/>
          <w:szCs w:val="30"/>
        </w:rPr>
      </w:pPr>
      <w:r>
        <w:rPr>
          <w:rFonts w:hint="eastAsia" w:ascii="仿宋" w:hAnsi="仿宋" w:eastAsia="仿宋"/>
          <w:sz w:val="30"/>
          <w:szCs w:val="30"/>
        </w:rPr>
        <w:t>对考评的项目资金我局严格执行《中华人民共和国会计法》、《会计基础工作规范》等规定规范管理和使用。财务处理及时、会计核算规范。</w:t>
      </w:r>
    </w:p>
    <w:p>
      <w:pPr>
        <w:ind w:firstLine="600"/>
        <w:rPr>
          <w:rFonts w:ascii="仿宋" w:hAnsi="仿宋" w:eastAsia="仿宋"/>
          <w:b/>
          <w:bCs/>
          <w:sz w:val="30"/>
          <w:szCs w:val="30"/>
        </w:rPr>
      </w:pPr>
      <w:r>
        <w:rPr>
          <w:rFonts w:hint="eastAsia" w:ascii="仿宋" w:hAnsi="仿宋" w:eastAsia="仿宋"/>
          <w:b/>
          <w:bCs/>
          <w:sz w:val="30"/>
          <w:szCs w:val="30"/>
        </w:rPr>
        <w:t>三、项目绩效情况</w:t>
      </w:r>
    </w:p>
    <w:p>
      <w:pPr>
        <w:ind w:firstLine="600"/>
        <w:rPr>
          <w:rFonts w:hint="eastAsia" w:ascii="仿宋" w:hAnsi="仿宋" w:eastAsia="仿宋"/>
          <w:sz w:val="30"/>
          <w:szCs w:val="30"/>
          <w:lang w:eastAsia="zh-CN"/>
        </w:rPr>
      </w:pPr>
      <w:r>
        <w:rPr>
          <w:rFonts w:hint="eastAsia" w:ascii="仿宋" w:hAnsi="仿宋" w:eastAsia="仿宋"/>
          <w:sz w:val="30"/>
          <w:szCs w:val="30"/>
          <w:lang w:eastAsia="zh-CN"/>
        </w:rPr>
        <w:t>认真开展专业技术人员职称评审和推荐工作。完成</w:t>
      </w:r>
      <w:r>
        <w:rPr>
          <w:rFonts w:hint="eastAsia" w:ascii="仿宋" w:hAnsi="仿宋" w:eastAsia="仿宋"/>
          <w:sz w:val="30"/>
          <w:szCs w:val="30"/>
          <w:lang w:val="en-US" w:eastAsia="zh-CN"/>
        </w:rPr>
        <w:t>120名高级职称评审的推荐，全年完成230名初中级专业技术职称评审。完成全市142名职业农民职称资格的评审，通过121人。</w:t>
      </w:r>
    </w:p>
    <w:p>
      <w:pPr>
        <w:ind w:firstLine="602" w:firstLineChars="200"/>
        <w:rPr>
          <w:rFonts w:hint="default" w:ascii="仿宋" w:hAnsi="仿宋" w:eastAsia="仿宋"/>
          <w:b/>
          <w:bCs/>
          <w:sz w:val="30"/>
          <w:szCs w:val="30"/>
          <w:lang w:val="en-US" w:eastAsia="zh-CN"/>
        </w:rPr>
      </w:pPr>
      <w:r>
        <w:rPr>
          <w:rFonts w:hint="eastAsia" w:ascii="仿宋" w:hAnsi="仿宋" w:eastAsia="仿宋"/>
          <w:b/>
          <w:bCs/>
          <w:sz w:val="30"/>
          <w:szCs w:val="30"/>
          <w:lang w:val="en-US" w:eastAsia="zh-CN"/>
        </w:rPr>
        <w:t xml:space="preserve">四、评价结论及建设   </w:t>
      </w:r>
    </w:p>
    <w:p>
      <w:pPr>
        <w:spacing w:line="600" w:lineRule="exact"/>
        <w:jc w:val="center"/>
        <w:outlineLvl w:val="9"/>
        <w:rPr>
          <w:rFonts w:hint="eastAsia" w:ascii="黑体" w:hAnsi="黑体" w:eastAsia="黑体"/>
          <w:color w:val="000000"/>
          <w:sz w:val="44"/>
          <w:szCs w:val="44"/>
        </w:rPr>
      </w:pPr>
      <w:bookmarkStart w:id="117" w:name="_Toc5701_WPSOffice_Level2"/>
      <w:bookmarkStart w:id="118" w:name="_Toc29487_WPSOffice_Level2"/>
      <w:bookmarkStart w:id="119" w:name="_Toc20186_WPSOffice_Level2"/>
      <w:r>
        <w:rPr>
          <w:rFonts w:hint="eastAsia" w:ascii="仿宋" w:hAnsi="仿宋" w:eastAsia="仿宋"/>
          <w:sz w:val="30"/>
          <w:szCs w:val="30"/>
          <w:lang w:val="en-US" w:eastAsia="zh-CN"/>
        </w:rPr>
        <w:t>项目预算、执行、完成情况较好，达到了预期绩效目标。</w:t>
      </w:r>
      <w:bookmarkEnd w:id="117"/>
      <w:bookmarkEnd w:id="118"/>
      <w:bookmarkEnd w:id="119"/>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pStyle w:val="7"/>
        <w:rPr>
          <w:rFonts w:hint="eastAsia" w:ascii="黑体" w:hAnsi="黑体" w:eastAsia="黑体"/>
          <w:color w:val="000000"/>
          <w:sz w:val="44"/>
          <w:szCs w:val="44"/>
        </w:rPr>
      </w:pPr>
    </w:p>
    <w:p>
      <w:pPr>
        <w:pStyle w:val="7"/>
        <w:rPr>
          <w:rFonts w:hint="eastAsia" w:ascii="黑体" w:hAnsi="黑体" w:eastAsia="黑体"/>
          <w:color w:val="000000"/>
          <w:sz w:val="44"/>
          <w:szCs w:val="44"/>
        </w:rPr>
      </w:pPr>
    </w:p>
    <w:p>
      <w:pPr>
        <w:pStyle w:val="7"/>
        <w:rPr>
          <w:rFonts w:hint="eastAsia" w:ascii="黑体" w:hAnsi="黑体" w:eastAsia="黑体"/>
          <w:color w:val="000000"/>
          <w:sz w:val="44"/>
          <w:szCs w:val="44"/>
        </w:rPr>
      </w:pPr>
    </w:p>
    <w:p>
      <w:pPr>
        <w:pStyle w:val="7"/>
        <w:rPr>
          <w:rFonts w:hint="eastAsia" w:ascii="黑体" w:hAnsi="黑体" w:eastAsia="黑体"/>
          <w:color w:val="000000"/>
          <w:sz w:val="44"/>
          <w:szCs w:val="44"/>
        </w:rPr>
      </w:pPr>
    </w:p>
    <w:p>
      <w:pPr>
        <w:pStyle w:val="7"/>
        <w:rPr>
          <w:rFonts w:hint="eastAsia" w:ascii="黑体" w:hAnsi="黑体" w:eastAsia="黑体"/>
          <w:color w:val="000000"/>
          <w:sz w:val="44"/>
          <w:szCs w:val="44"/>
        </w:rPr>
      </w:pPr>
    </w:p>
    <w:p>
      <w:pPr>
        <w:pStyle w:val="7"/>
        <w:rPr>
          <w:rFonts w:hint="eastAsia" w:ascii="黑体" w:hAnsi="黑体" w:eastAsia="黑体"/>
          <w:color w:val="000000"/>
          <w:sz w:val="44"/>
          <w:szCs w:val="44"/>
        </w:rPr>
      </w:pPr>
    </w:p>
    <w:p>
      <w:pPr>
        <w:pStyle w:val="7"/>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jc w:val="center"/>
        <w:rPr>
          <w:rFonts w:ascii="黑体" w:hAnsi="黑体" w:eastAsia="黑体"/>
          <w:b/>
          <w:sz w:val="44"/>
          <w:szCs w:val="44"/>
        </w:rPr>
      </w:pPr>
      <w:bookmarkStart w:id="120" w:name="_Toc5661_WPSOffice_Level2"/>
      <w:bookmarkStart w:id="121" w:name="_Toc16257_WPSOffice_Level2"/>
      <w:bookmarkStart w:id="122" w:name="_Toc2039_WPSOffice_Level2"/>
      <w:r>
        <w:rPr>
          <w:rFonts w:hint="eastAsia" w:ascii="黑体" w:hAnsi="黑体" w:eastAsia="黑体"/>
          <w:b/>
          <w:sz w:val="44"/>
          <w:szCs w:val="44"/>
        </w:rPr>
        <w:t>项目支出绩效自评报告</w:t>
      </w:r>
      <w:bookmarkEnd w:id="120"/>
      <w:bookmarkEnd w:id="121"/>
      <w:bookmarkEnd w:id="122"/>
    </w:p>
    <w:p>
      <w:pPr>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维稳工作经费</w:t>
      </w:r>
      <w:r>
        <w:rPr>
          <w:rFonts w:hint="eastAsia" w:ascii="黑体" w:hAnsi="黑体" w:eastAsia="黑体"/>
          <w:sz w:val="28"/>
          <w:szCs w:val="28"/>
        </w:rPr>
        <w:t>）</w:t>
      </w:r>
    </w:p>
    <w:p>
      <w:pPr>
        <w:jc w:val="center"/>
        <w:rPr>
          <w:rFonts w:ascii="仿宋" w:hAnsi="仿宋" w:eastAsia="仿宋"/>
          <w:sz w:val="30"/>
          <w:szCs w:val="30"/>
        </w:rPr>
      </w:pPr>
    </w:p>
    <w:p>
      <w:pPr>
        <w:ind w:firstLine="602" w:firstLineChars="200"/>
        <w:rPr>
          <w:rFonts w:ascii="仿宋" w:hAnsi="仿宋" w:eastAsia="仿宋"/>
          <w:b/>
          <w:bCs/>
          <w:sz w:val="30"/>
          <w:szCs w:val="30"/>
        </w:rPr>
      </w:pPr>
      <w:r>
        <w:rPr>
          <w:rFonts w:hint="eastAsia" w:ascii="仿宋" w:hAnsi="仿宋" w:eastAsia="仿宋"/>
          <w:b/>
          <w:bCs/>
          <w:sz w:val="30"/>
          <w:szCs w:val="30"/>
        </w:rPr>
        <w:t>一、项目概况</w:t>
      </w:r>
    </w:p>
    <w:p>
      <w:pPr>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维稳工作经费绩效目标完成情况综述：项目全年预算数8万元，执行数8万元，完成预算的100%。通过项目实施，确保本年度内无信访维稳人员出省上京上访，全局各项工作顺利开展。</w:t>
      </w:r>
    </w:p>
    <w:p>
      <w:pPr>
        <w:ind w:firstLine="600"/>
        <w:rPr>
          <w:rFonts w:ascii="仿宋" w:hAnsi="仿宋" w:eastAsia="仿宋"/>
          <w:b/>
          <w:bCs/>
          <w:sz w:val="30"/>
          <w:szCs w:val="30"/>
        </w:rPr>
      </w:pPr>
      <w:r>
        <w:rPr>
          <w:rFonts w:hint="eastAsia" w:ascii="仿宋" w:hAnsi="仿宋" w:eastAsia="仿宋"/>
          <w:b/>
          <w:bCs/>
          <w:sz w:val="30"/>
          <w:szCs w:val="30"/>
        </w:rPr>
        <w:t>二、项目实施和管理情况</w:t>
      </w:r>
    </w:p>
    <w:p>
      <w:pPr>
        <w:ind w:firstLine="600"/>
        <w:rPr>
          <w:rFonts w:hint="eastAsia" w:ascii="仿宋" w:hAnsi="仿宋" w:eastAsia="仿宋"/>
          <w:sz w:val="30"/>
          <w:szCs w:val="30"/>
          <w:lang w:eastAsia="zh-CN"/>
        </w:rPr>
      </w:pPr>
      <w:r>
        <w:rPr>
          <w:rFonts w:hint="eastAsia" w:ascii="仿宋" w:hAnsi="仿宋" w:eastAsia="仿宋"/>
          <w:sz w:val="30"/>
          <w:szCs w:val="30"/>
          <w:lang w:eastAsia="zh-CN"/>
        </w:rPr>
        <w:t>（一）项目资金申报及批复情况</w:t>
      </w:r>
    </w:p>
    <w:p>
      <w:pPr>
        <w:ind w:firstLine="600"/>
        <w:rPr>
          <w:rFonts w:hint="eastAsia" w:ascii="仿宋" w:hAnsi="仿宋" w:eastAsia="仿宋"/>
          <w:sz w:val="30"/>
          <w:szCs w:val="30"/>
          <w:lang w:eastAsia="zh-CN"/>
        </w:rPr>
      </w:pPr>
      <w:r>
        <w:rPr>
          <w:rFonts w:hint="eastAsia" w:ascii="仿宋" w:hAnsi="仿宋" w:eastAsia="仿宋"/>
          <w:sz w:val="30"/>
          <w:szCs w:val="30"/>
          <w:lang w:eastAsia="zh-CN"/>
        </w:rPr>
        <w:t>该项目资金列入了部门预算，并经财政局批复。</w:t>
      </w:r>
    </w:p>
    <w:p>
      <w:pPr>
        <w:ind w:firstLine="60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）资金计划、到位及使用情况。</w:t>
      </w:r>
    </w:p>
    <w:p>
      <w:pPr>
        <w:ind w:firstLine="600"/>
        <w:rPr>
          <w:rFonts w:ascii="仿宋" w:hAnsi="仿宋" w:eastAsia="仿宋"/>
          <w:sz w:val="30"/>
          <w:szCs w:val="30"/>
        </w:rPr>
      </w:pPr>
      <w:r>
        <w:rPr>
          <w:rFonts w:hint="eastAsia" w:ascii="仿宋" w:hAnsi="仿宋" w:eastAsia="仿宋"/>
          <w:sz w:val="30"/>
          <w:szCs w:val="30"/>
        </w:rPr>
        <w:t>1、资金计划及到位。计划投入资金</w:t>
      </w:r>
      <w:r>
        <w:rPr>
          <w:rFonts w:hint="eastAsia" w:ascii="仿宋" w:hAnsi="仿宋" w:eastAsia="仿宋"/>
          <w:sz w:val="30"/>
          <w:szCs w:val="30"/>
          <w:lang w:val="en-US" w:eastAsia="zh-CN"/>
        </w:rPr>
        <w:t>8</w:t>
      </w:r>
      <w:r>
        <w:rPr>
          <w:rFonts w:hint="eastAsia" w:ascii="仿宋" w:hAnsi="仿宋" w:eastAsia="仿宋"/>
          <w:sz w:val="30"/>
          <w:szCs w:val="30"/>
        </w:rPr>
        <w:t>万元，实际申请划拨</w:t>
      </w:r>
      <w:r>
        <w:rPr>
          <w:rFonts w:hint="eastAsia" w:ascii="仿宋" w:hAnsi="仿宋" w:eastAsia="仿宋"/>
          <w:sz w:val="30"/>
          <w:szCs w:val="30"/>
          <w:lang w:val="en-US" w:eastAsia="zh-CN"/>
        </w:rPr>
        <w:t>8</w:t>
      </w:r>
      <w:r>
        <w:rPr>
          <w:rFonts w:hint="eastAsia" w:ascii="仿宋" w:hAnsi="仿宋" w:eastAsia="仿宋"/>
          <w:sz w:val="30"/>
          <w:szCs w:val="30"/>
        </w:rPr>
        <w:t>万元，到位资金</w:t>
      </w:r>
      <w:r>
        <w:rPr>
          <w:rFonts w:hint="eastAsia" w:ascii="仿宋" w:hAnsi="仿宋" w:eastAsia="仿宋"/>
          <w:sz w:val="30"/>
          <w:szCs w:val="30"/>
          <w:lang w:val="en-US" w:eastAsia="zh-CN"/>
        </w:rPr>
        <w:t>8</w:t>
      </w:r>
      <w:r>
        <w:rPr>
          <w:rFonts w:hint="eastAsia" w:ascii="仿宋" w:hAnsi="仿宋" w:eastAsia="仿宋"/>
          <w:sz w:val="30"/>
          <w:szCs w:val="30"/>
        </w:rPr>
        <w:t>万元，资金100%到位。</w:t>
      </w:r>
    </w:p>
    <w:p>
      <w:pPr>
        <w:ind w:firstLine="600"/>
        <w:rPr>
          <w:rFonts w:ascii="仿宋" w:hAnsi="仿宋" w:eastAsia="仿宋"/>
          <w:sz w:val="30"/>
          <w:szCs w:val="30"/>
        </w:rPr>
      </w:pPr>
      <w:r>
        <w:rPr>
          <w:rFonts w:hint="eastAsia" w:ascii="仿宋" w:hAnsi="仿宋" w:eastAsia="仿宋"/>
          <w:sz w:val="30"/>
          <w:szCs w:val="30"/>
        </w:rPr>
        <w:t>2、资金使用。20</w:t>
      </w:r>
      <w:r>
        <w:rPr>
          <w:rFonts w:hint="eastAsia" w:ascii="仿宋" w:hAnsi="仿宋" w:eastAsia="仿宋"/>
          <w:sz w:val="30"/>
          <w:szCs w:val="30"/>
          <w:lang w:val="en-US" w:eastAsia="zh-CN"/>
        </w:rPr>
        <w:t>20</w:t>
      </w:r>
      <w:r>
        <w:rPr>
          <w:rFonts w:hint="eastAsia" w:ascii="仿宋" w:hAnsi="仿宋" w:eastAsia="仿宋"/>
          <w:sz w:val="30"/>
          <w:szCs w:val="30"/>
        </w:rPr>
        <w:t>年按项目进度共支付</w:t>
      </w:r>
      <w:r>
        <w:rPr>
          <w:rFonts w:hint="eastAsia" w:ascii="仿宋" w:hAnsi="仿宋" w:eastAsia="仿宋"/>
          <w:sz w:val="30"/>
          <w:szCs w:val="30"/>
          <w:lang w:val="en-US" w:eastAsia="zh-CN"/>
        </w:rPr>
        <w:t>8</w:t>
      </w:r>
      <w:r>
        <w:rPr>
          <w:rFonts w:hint="eastAsia" w:ascii="仿宋" w:hAnsi="仿宋" w:eastAsia="仿宋"/>
          <w:sz w:val="30"/>
          <w:szCs w:val="30"/>
        </w:rPr>
        <w:t>万元，支付依据合规合法，资金支付与预算相符。</w:t>
      </w:r>
    </w:p>
    <w:p>
      <w:pPr>
        <w:ind w:firstLine="450" w:firstLineChars="15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）项目财务管理情况</w:t>
      </w:r>
    </w:p>
    <w:p>
      <w:pPr>
        <w:ind w:firstLine="600"/>
        <w:rPr>
          <w:rFonts w:ascii="仿宋" w:hAnsi="仿宋" w:eastAsia="仿宋"/>
          <w:sz w:val="30"/>
          <w:szCs w:val="30"/>
        </w:rPr>
      </w:pPr>
      <w:r>
        <w:rPr>
          <w:rFonts w:hint="eastAsia" w:ascii="仿宋" w:hAnsi="仿宋" w:eastAsia="仿宋"/>
          <w:sz w:val="30"/>
          <w:szCs w:val="30"/>
        </w:rPr>
        <w:t>对考评的项目资金我局严格执行《中华人民共和国会计法》、《会计基础工作规范》等规定规范管理和使用。财务处理及时、会计核算规范。</w:t>
      </w:r>
    </w:p>
    <w:p>
      <w:pPr>
        <w:ind w:firstLine="600"/>
        <w:rPr>
          <w:rFonts w:ascii="仿宋" w:hAnsi="仿宋" w:eastAsia="仿宋"/>
          <w:b/>
          <w:bCs/>
          <w:sz w:val="30"/>
          <w:szCs w:val="30"/>
        </w:rPr>
      </w:pPr>
      <w:r>
        <w:rPr>
          <w:rFonts w:hint="eastAsia" w:ascii="仿宋" w:hAnsi="仿宋" w:eastAsia="仿宋"/>
          <w:b/>
          <w:bCs/>
          <w:sz w:val="30"/>
          <w:szCs w:val="30"/>
        </w:rPr>
        <w:t>三、项目绩效情况</w:t>
      </w:r>
    </w:p>
    <w:p>
      <w:pPr>
        <w:ind w:firstLine="600" w:firstLineChars="200"/>
        <w:jc w:val="left"/>
        <w:outlineLvl w:val="9"/>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多措并举确保社会稳定。完成企业职工退休人员待遇资格认证63305人，年审率95%；机关事业单位退休人员领取待遇资格认证工作已完成单位211个，完成率100%；对特殊群体缴费人员的军龄进行重新计算，特殊群体涉军人员军龄重算发放817人，月发放金额18.03万元；继续开展退役军人养老保险缴费核查认定补缴工作，已完成725名退役军人的养老保险补缴工作；做好“中人”待遇核发和宣传解释工作。及时召开全市机关事业单位退休“中人”待遇兑现工作会，全市131家事业单位150人参加培训；9月底前，为4838 名“中人”提前支付10月退休养老金共计2244万元。</w:t>
      </w:r>
    </w:p>
    <w:p>
      <w:pPr>
        <w:ind w:firstLine="602" w:firstLineChars="200"/>
        <w:rPr>
          <w:rFonts w:hint="default" w:ascii="仿宋" w:hAnsi="仿宋" w:eastAsia="仿宋"/>
          <w:b/>
          <w:bCs/>
          <w:sz w:val="30"/>
          <w:szCs w:val="30"/>
          <w:lang w:val="en-US" w:eastAsia="zh-CN"/>
        </w:rPr>
      </w:pPr>
      <w:r>
        <w:rPr>
          <w:rFonts w:hint="eastAsia" w:ascii="仿宋" w:hAnsi="仿宋" w:eastAsia="仿宋"/>
          <w:b/>
          <w:bCs/>
          <w:sz w:val="30"/>
          <w:szCs w:val="30"/>
          <w:lang w:val="en-US" w:eastAsia="zh-CN"/>
        </w:rPr>
        <w:t>四、评价结论及建设</w:t>
      </w:r>
    </w:p>
    <w:p>
      <w:pPr>
        <w:pStyle w:val="7"/>
        <w:ind w:firstLine="600" w:firstLineChars="200"/>
        <w:rPr>
          <w:rFonts w:hint="eastAsia"/>
        </w:rPr>
      </w:pPr>
      <w:r>
        <w:rPr>
          <w:rFonts w:hint="eastAsia" w:ascii="仿宋" w:hAnsi="仿宋" w:eastAsia="仿宋"/>
          <w:sz w:val="30"/>
          <w:szCs w:val="30"/>
          <w:lang w:val="en-US" w:eastAsia="zh-CN"/>
        </w:rPr>
        <w:t>项目预算、执行、完成情况较好，基本达到了预期绩效目标。</w:t>
      </w: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pStyle w:val="7"/>
        <w:outlineLvl w:val="9"/>
        <w:rPr>
          <w:rFonts w:hint="eastAsia" w:ascii="黑体" w:hAnsi="黑体" w:eastAsia="黑体"/>
          <w:color w:val="000000"/>
          <w:sz w:val="44"/>
          <w:szCs w:val="44"/>
        </w:rPr>
      </w:pPr>
    </w:p>
    <w:p>
      <w:pPr>
        <w:pStyle w:val="7"/>
        <w:outlineLvl w:val="9"/>
        <w:rPr>
          <w:rFonts w:hint="eastAsia" w:ascii="黑体" w:hAnsi="黑体" w:eastAsia="黑体"/>
          <w:color w:val="000000"/>
          <w:sz w:val="44"/>
          <w:szCs w:val="44"/>
        </w:rPr>
      </w:pPr>
    </w:p>
    <w:p>
      <w:pPr>
        <w:pStyle w:val="7"/>
        <w:outlineLvl w:val="9"/>
        <w:rPr>
          <w:rFonts w:hint="eastAsia" w:ascii="黑体" w:hAnsi="黑体" w:eastAsia="黑体"/>
          <w:color w:val="000000"/>
          <w:sz w:val="44"/>
          <w:szCs w:val="44"/>
        </w:rPr>
      </w:pPr>
    </w:p>
    <w:p>
      <w:pPr>
        <w:pStyle w:val="7"/>
        <w:outlineLvl w:val="9"/>
        <w:rPr>
          <w:rFonts w:hint="eastAsia" w:ascii="黑体" w:hAnsi="黑体" w:eastAsia="黑体"/>
          <w:color w:val="000000"/>
          <w:sz w:val="44"/>
          <w:szCs w:val="44"/>
        </w:rPr>
      </w:pPr>
    </w:p>
    <w:p>
      <w:pPr>
        <w:pStyle w:val="7"/>
        <w:outlineLvl w:val="9"/>
        <w:rPr>
          <w:rFonts w:hint="eastAsia" w:ascii="黑体" w:hAnsi="黑体" w:eastAsia="黑体"/>
          <w:color w:val="000000"/>
          <w:sz w:val="44"/>
          <w:szCs w:val="44"/>
        </w:rPr>
      </w:pPr>
    </w:p>
    <w:p>
      <w:pPr>
        <w:pStyle w:val="7"/>
        <w:rPr>
          <w:rFonts w:hint="eastAsia" w:ascii="黑体" w:hAnsi="黑体" w:eastAsia="黑体"/>
          <w:color w:val="000000"/>
          <w:sz w:val="44"/>
          <w:szCs w:val="44"/>
        </w:rPr>
      </w:pPr>
    </w:p>
    <w:p>
      <w:pPr>
        <w:jc w:val="center"/>
        <w:rPr>
          <w:rFonts w:ascii="黑体" w:hAnsi="黑体" w:eastAsia="黑体"/>
          <w:b/>
          <w:sz w:val="44"/>
          <w:szCs w:val="44"/>
        </w:rPr>
      </w:pPr>
      <w:bookmarkStart w:id="123" w:name="_Toc11133_WPSOffice_Level2"/>
      <w:bookmarkStart w:id="124" w:name="_Toc26579_WPSOffice_Level2"/>
      <w:bookmarkStart w:id="125" w:name="_Toc14498_WPSOffice_Level2"/>
      <w:r>
        <w:rPr>
          <w:rFonts w:hint="eastAsia" w:ascii="黑体" w:hAnsi="黑体" w:eastAsia="黑体"/>
          <w:b/>
          <w:sz w:val="44"/>
          <w:szCs w:val="44"/>
        </w:rPr>
        <w:t>项目支出绩效自评报告</w:t>
      </w:r>
      <w:bookmarkEnd w:id="123"/>
      <w:bookmarkEnd w:id="124"/>
      <w:bookmarkEnd w:id="125"/>
    </w:p>
    <w:p>
      <w:pPr>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农民工工资清欠工作经费</w:t>
      </w:r>
      <w:r>
        <w:rPr>
          <w:rFonts w:hint="eastAsia" w:ascii="黑体" w:hAnsi="黑体" w:eastAsia="黑体"/>
          <w:sz w:val="28"/>
          <w:szCs w:val="28"/>
        </w:rPr>
        <w:t>）</w:t>
      </w:r>
    </w:p>
    <w:p>
      <w:pPr>
        <w:jc w:val="center"/>
        <w:rPr>
          <w:rFonts w:ascii="仿宋" w:hAnsi="仿宋" w:eastAsia="仿宋"/>
          <w:sz w:val="30"/>
          <w:szCs w:val="30"/>
        </w:rPr>
      </w:pPr>
    </w:p>
    <w:p>
      <w:pPr>
        <w:ind w:firstLine="602" w:firstLineChars="200"/>
        <w:rPr>
          <w:rFonts w:ascii="仿宋" w:hAnsi="仿宋" w:eastAsia="仿宋"/>
          <w:b/>
          <w:bCs/>
          <w:sz w:val="30"/>
          <w:szCs w:val="30"/>
        </w:rPr>
      </w:pPr>
      <w:r>
        <w:rPr>
          <w:rFonts w:hint="eastAsia" w:ascii="仿宋" w:hAnsi="仿宋" w:eastAsia="仿宋"/>
          <w:b/>
          <w:bCs/>
          <w:sz w:val="30"/>
          <w:szCs w:val="30"/>
        </w:rPr>
        <w:t>一、项目概况</w:t>
      </w:r>
    </w:p>
    <w:p>
      <w:pPr>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农民工工资清欠工作经费绩效目标完成情况综述：项目全年预算数5万元，执行数5万元，完成预算的100%。通过项目实施，保障农民工工资及时足额发放到手，保证无农民工工资清欠上访事件发生。</w:t>
      </w:r>
    </w:p>
    <w:p>
      <w:pPr>
        <w:ind w:firstLine="600"/>
        <w:rPr>
          <w:rFonts w:ascii="仿宋" w:hAnsi="仿宋" w:eastAsia="仿宋"/>
          <w:b/>
          <w:bCs/>
          <w:sz w:val="30"/>
          <w:szCs w:val="30"/>
        </w:rPr>
      </w:pPr>
      <w:r>
        <w:rPr>
          <w:rFonts w:hint="eastAsia" w:ascii="仿宋" w:hAnsi="仿宋" w:eastAsia="仿宋"/>
          <w:b/>
          <w:bCs/>
          <w:sz w:val="30"/>
          <w:szCs w:val="30"/>
        </w:rPr>
        <w:t>二、项目实施和管理情况</w:t>
      </w:r>
    </w:p>
    <w:p>
      <w:pPr>
        <w:ind w:firstLine="600"/>
        <w:rPr>
          <w:rFonts w:hint="eastAsia" w:ascii="仿宋" w:hAnsi="仿宋" w:eastAsia="仿宋"/>
          <w:sz w:val="30"/>
          <w:szCs w:val="30"/>
          <w:lang w:eastAsia="zh-CN"/>
        </w:rPr>
      </w:pPr>
      <w:r>
        <w:rPr>
          <w:rFonts w:hint="eastAsia" w:ascii="仿宋" w:hAnsi="仿宋" w:eastAsia="仿宋"/>
          <w:sz w:val="30"/>
          <w:szCs w:val="30"/>
          <w:lang w:eastAsia="zh-CN"/>
        </w:rPr>
        <w:t>（一）项目资金申报及批复情况</w:t>
      </w:r>
    </w:p>
    <w:p>
      <w:pPr>
        <w:ind w:firstLine="600"/>
        <w:rPr>
          <w:rFonts w:hint="eastAsia" w:ascii="仿宋" w:hAnsi="仿宋" w:eastAsia="仿宋"/>
          <w:sz w:val="30"/>
          <w:szCs w:val="30"/>
          <w:lang w:eastAsia="zh-CN"/>
        </w:rPr>
      </w:pPr>
      <w:r>
        <w:rPr>
          <w:rFonts w:hint="eastAsia" w:ascii="仿宋" w:hAnsi="仿宋" w:eastAsia="仿宋"/>
          <w:sz w:val="30"/>
          <w:szCs w:val="30"/>
          <w:lang w:eastAsia="zh-CN"/>
        </w:rPr>
        <w:t>该项目资金列入了部门预算，并经财政局批复。</w:t>
      </w:r>
    </w:p>
    <w:p>
      <w:pPr>
        <w:ind w:firstLine="60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）资金计划、到位及使用情况。</w:t>
      </w:r>
    </w:p>
    <w:p>
      <w:pPr>
        <w:ind w:firstLine="600"/>
        <w:rPr>
          <w:rFonts w:ascii="仿宋" w:hAnsi="仿宋" w:eastAsia="仿宋"/>
          <w:sz w:val="30"/>
          <w:szCs w:val="30"/>
        </w:rPr>
      </w:pPr>
      <w:r>
        <w:rPr>
          <w:rFonts w:hint="eastAsia" w:ascii="仿宋" w:hAnsi="仿宋" w:eastAsia="仿宋"/>
          <w:sz w:val="30"/>
          <w:szCs w:val="30"/>
        </w:rPr>
        <w:t>1、资金计划及到位。计划投入资金</w:t>
      </w:r>
      <w:r>
        <w:rPr>
          <w:rFonts w:hint="eastAsia" w:ascii="仿宋" w:hAnsi="仿宋" w:eastAsia="仿宋"/>
          <w:sz w:val="30"/>
          <w:szCs w:val="30"/>
          <w:lang w:val="en-US" w:eastAsia="zh-CN"/>
        </w:rPr>
        <w:t>5</w:t>
      </w:r>
      <w:r>
        <w:rPr>
          <w:rFonts w:hint="eastAsia" w:ascii="仿宋" w:hAnsi="仿宋" w:eastAsia="仿宋"/>
          <w:sz w:val="30"/>
          <w:szCs w:val="30"/>
        </w:rPr>
        <w:t>万元，实际申请划拨</w:t>
      </w:r>
      <w:r>
        <w:rPr>
          <w:rFonts w:hint="eastAsia" w:ascii="仿宋" w:hAnsi="仿宋" w:eastAsia="仿宋"/>
          <w:sz w:val="30"/>
          <w:szCs w:val="30"/>
          <w:lang w:val="en-US" w:eastAsia="zh-CN"/>
        </w:rPr>
        <w:t>5</w:t>
      </w:r>
      <w:r>
        <w:rPr>
          <w:rFonts w:hint="eastAsia" w:ascii="仿宋" w:hAnsi="仿宋" w:eastAsia="仿宋"/>
          <w:sz w:val="30"/>
          <w:szCs w:val="30"/>
        </w:rPr>
        <w:t>万元，到位资金</w:t>
      </w:r>
      <w:r>
        <w:rPr>
          <w:rFonts w:hint="eastAsia" w:ascii="仿宋" w:hAnsi="仿宋" w:eastAsia="仿宋"/>
          <w:sz w:val="30"/>
          <w:szCs w:val="30"/>
          <w:lang w:val="en-US" w:eastAsia="zh-CN"/>
        </w:rPr>
        <w:t>5</w:t>
      </w:r>
      <w:r>
        <w:rPr>
          <w:rFonts w:hint="eastAsia" w:ascii="仿宋" w:hAnsi="仿宋" w:eastAsia="仿宋"/>
          <w:sz w:val="30"/>
          <w:szCs w:val="30"/>
        </w:rPr>
        <w:t>万元，资金100%到位。</w:t>
      </w:r>
    </w:p>
    <w:p>
      <w:pPr>
        <w:ind w:firstLine="600"/>
        <w:rPr>
          <w:rFonts w:ascii="仿宋" w:hAnsi="仿宋" w:eastAsia="仿宋"/>
          <w:sz w:val="30"/>
          <w:szCs w:val="30"/>
        </w:rPr>
      </w:pPr>
      <w:r>
        <w:rPr>
          <w:rFonts w:hint="eastAsia" w:ascii="仿宋" w:hAnsi="仿宋" w:eastAsia="仿宋"/>
          <w:sz w:val="30"/>
          <w:szCs w:val="30"/>
        </w:rPr>
        <w:t>2、资金使用。20</w:t>
      </w:r>
      <w:r>
        <w:rPr>
          <w:rFonts w:hint="eastAsia" w:ascii="仿宋" w:hAnsi="仿宋" w:eastAsia="仿宋"/>
          <w:sz w:val="30"/>
          <w:szCs w:val="30"/>
          <w:lang w:val="en-US" w:eastAsia="zh-CN"/>
        </w:rPr>
        <w:t>20</w:t>
      </w:r>
      <w:r>
        <w:rPr>
          <w:rFonts w:hint="eastAsia" w:ascii="仿宋" w:hAnsi="仿宋" w:eastAsia="仿宋"/>
          <w:sz w:val="30"/>
          <w:szCs w:val="30"/>
        </w:rPr>
        <w:t>年按项目进度共支付</w:t>
      </w:r>
      <w:r>
        <w:rPr>
          <w:rFonts w:hint="eastAsia" w:ascii="仿宋" w:hAnsi="仿宋" w:eastAsia="仿宋"/>
          <w:sz w:val="30"/>
          <w:szCs w:val="30"/>
          <w:lang w:val="en-US" w:eastAsia="zh-CN"/>
        </w:rPr>
        <w:t>5</w:t>
      </w:r>
      <w:r>
        <w:rPr>
          <w:rFonts w:hint="eastAsia" w:ascii="仿宋" w:hAnsi="仿宋" w:eastAsia="仿宋"/>
          <w:sz w:val="30"/>
          <w:szCs w:val="30"/>
        </w:rPr>
        <w:t>万元，支付依据合规合法，资金支付与预算相符。</w:t>
      </w:r>
    </w:p>
    <w:p>
      <w:pPr>
        <w:ind w:firstLine="450" w:firstLineChars="150"/>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）项目财务管理情况</w:t>
      </w:r>
    </w:p>
    <w:p>
      <w:pPr>
        <w:ind w:firstLine="600"/>
        <w:rPr>
          <w:rFonts w:ascii="仿宋" w:hAnsi="仿宋" w:eastAsia="仿宋"/>
          <w:sz w:val="30"/>
          <w:szCs w:val="30"/>
        </w:rPr>
      </w:pPr>
      <w:r>
        <w:rPr>
          <w:rFonts w:hint="eastAsia" w:ascii="仿宋" w:hAnsi="仿宋" w:eastAsia="仿宋"/>
          <w:sz w:val="30"/>
          <w:szCs w:val="30"/>
        </w:rPr>
        <w:t>对考评的项目资金我局严格执行《中华人民共和国会计法》、《会计基础工作规范》等规定规范管理和使用。财务处理及时、会计核算规范。</w:t>
      </w:r>
    </w:p>
    <w:p>
      <w:pPr>
        <w:ind w:firstLine="600"/>
        <w:rPr>
          <w:rFonts w:ascii="仿宋" w:hAnsi="仿宋" w:eastAsia="仿宋"/>
          <w:b/>
          <w:bCs/>
          <w:sz w:val="30"/>
          <w:szCs w:val="30"/>
        </w:rPr>
      </w:pPr>
      <w:r>
        <w:rPr>
          <w:rFonts w:hint="eastAsia" w:ascii="仿宋" w:hAnsi="仿宋" w:eastAsia="仿宋"/>
          <w:b/>
          <w:bCs/>
          <w:sz w:val="30"/>
          <w:szCs w:val="30"/>
        </w:rPr>
        <w:t>三、项目绩效情况</w:t>
      </w:r>
    </w:p>
    <w:p>
      <w:pPr>
        <w:ind w:firstLine="800" w:firstLineChars="250"/>
        <w:rPr>
          <w:rFonts w:hint="eastAsia" w:ascii="仿宋_GB2312" w:eastAsia="仿宋_GB2312"/>
          <w:sz w:val="32"/>
          <w:szCs w:val="32"/>
        </w:rPr>
      </w:pPr>
      <w:r>
        <w:rPr>
          <w:rFonts w:hint="eastAsia" w:ascii="仿宋_GB2312" w:eastAsia="仿宋_GB2312"/>
          <w:sz w:val="32"/>
          <w:szCs w:val="32"/>
          <w:lang w:val="en-US" w:eastAsia="zh-CN"/>
        </w:rPr>
        <w:t>一是</w:t>
      </w:r>
      <w:r>
        <w:rPr>
          <w:rFonts w:hint="eastAsia" w:ascii="仿宋_GB2312" w:eastAsia="仿宋_GB2312"/>
          <w:sz w:val="32"/>
          <w:szCs w:val="32"/>
        </w:rPr>
        <w:t>切实提高政治站位，多方联动，铁腕推进根治欠薪；</w:t>
      </w:r>
      <w:r>
        <w:rPr>
          <w:rFonts w:hint="eastAsia" w:ascii="仿宋_GB2312" w:hAnsi="宋体" w:eastAsia="仿宋_GB2312" w:cs="宋体"/>
          <w:sz w:val="32"/>
          <w:szCs w:val="32"/>
        </w:rPr>
        <w:t>提早比照省上成立工作领导小组，</w:t>
      </w:r>
      <w:r>
        <w:rPr>
          <w:rFonts w:hint="eastAsia" w:ascii="仿宋_GB2312" w:eastAsia="仿宋_GB2312"/>
          <w:sz w:val="32"/>
          <w:szCs w:val="32"/>
        </w:rPr>
        <w:t>针对重点难点案件，成立联合处置组，全力解决，</w:t>
      </w:r>
      <w:r>
        <w:rPr>
          <w:rFonts w:hint="eastAsia" w:ascii="仿宋_GB2312" w:hAnsi="宋体" w:eastAsia="仿宋_GB2312" w:cs="宋体"/>
          <w:sz w:val="32"/>
          <w:szCs w:val="32"/>
        </w:rPr>
        <w:t>“峨眉之星”等列入重大欠薪隐患的项目民工工资问题在2020年春节前圆满解决，未发生群体性讨薪事件</w:t>
      </w:r>
      <w:r>
        <w:rPr>
          <w:rFonts w:hint="eastAsia" w:ascii="仿宋_GB2312" w:eastAsia="仿宋_GB2312"/>
          <w:sz w:val="32"/>
          <w:szCs w:val="32"/>
        </w:rPr>
        <w:t>，确保了全市和谐稳定；压紧压实责任，积极做好迎接乐山市交叉检查工作，取得了全市前三名成绩。</w:t>
      </w:r>
    </w:p>
    <w:p>
      <w:pPr>
        <w:rPr>
          <w:rFonts w:hint="eastAsia" w:ascii="仿宋" w:hAnsi="仿宋" w:eastAsia="仿宋"/>
          <w:sz w:val="32"/>
          <w:szCs w:val="32"/>
          <w:lang w:val="en-US" w:eastAsia="zh-CN"/>
        </w:rPr>
      </w:pPr>
      <w:r>
        <w:rPr>
          <w:rFonts w:hint="eastAsia" w:ascii="仿宋_GB2312" w:eastAsia="仿宋_GB2312"/>
          <w:sz w:val="32"/>
          <w:szCs w:val="32"/>
          <w:lang w:val="en-US" w:eastAsia="zh-CN"/>
        </w:rPr>
        <w:t>二是加大宣贯力度。以</w:t>
      </w:r>
      <w:r>
        <w:rPr>
          <w:rFonts w:hint="eastAsia" w:ascii="仿宋" w:hAnsi="仿宋" w:eastAsia="仿宋"/>
          <w:color w:val="000000"/>
          <w:sz w:val="32"/>
          <w:szCs w:val="32"/>
          <w:lang w:eastAsia="zh-CN"/>
        </w:rPr>
        <w:t>《保障农民工工资支付条例》</w:t>
      </w:r>
      <w:r>
        <w:rPr>
          <w:rFonts w:hint="eastAsia" w:ascii="仿宋" w:hAnsi="仿宋" w:eastAsia="仿宋"/>
          <w:color w:val="000000"/>
          <w:sz w:val="32"/>
          <w:szCs w:val="32"/>
          <w:lang w:val="en-US" w:eastAsia="zh-CN"/>
        </w:rPr>
        <w:t>实施为契机，加大对劳动法律法规宣传力度，发放宣传</w:t>
      </w:r>
      <w:r>
        <w:rPr>
          <w:rFonts w:hint="eastAsia" w:ascii="仿宋" w:hAnsi="仿宋" w:eastAsia="仿宋"/>
          <w:color w:val="000000"/>
          <w:sz w:val="32"/>
          <w:szCs w:val="32"/>
        </w:rPr>
        <w:t xml:space="preserve">资料 </w:t>
      </w:r>
      <w:r>
        <w:rPr>
          <w:rFonts w:hint="eastAsia" w:ascii="仿宋" w:hAnsi="仿宋" w:eastAsia="仿宋"/>
          <w:color w:val="000000"/>
          <w:sz w:val="32"/>
          <w:szCs w:val="32"/>
          <w:lang w:val="en-US" w:eastAsia="zh-CN"/>
        </w:rPr>
        <w:t>6000</w:t>
      </w:r>
      <w:r>
        <w:rPr>
          <w:rFonts w:hint="eastAsia" w:ascii="仿宋" w:hAnsi="仿宋" w:eastAsia="仿宋"/>
          <w:color w:val="000000"/>
          <w:sz w:val="32"/>
          <w:szCs w:val="32"/>
        </w:rPr>
        <w:t>余份，现场接受群众咨询 1</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00余人次</w:t>
      </w:r>
      <w:r>
        <w:rPr>
          <w:rFonts w:hint="eastAsia" w:ascii="仿宋" w:hAnsi="仿宋" w:eastAsia="仿宋"/>
          <w:color w:val="000000"/>
          <w:sz w:val="32"/>
          <w:szCs w:val="32"/>
          <w:lang w:eastAsia="zh-CN"/>
        </w:rPr>
        <w:t>；</w:t>
      </w:r>
      <w:r>
        <w:rPr>
          <w:rFonts w:hint="eastAsia" w:ascii="仿宋_GB2312" w:hAnsi="仿宋_GB2312" w:eastAsia="仿宋_GB2312" w:cs="仿宋_GB2312"/>
          <w:i w:val="0"/>
          <w:caps w:val="0"/>
          <w:color w:val="333333"/>
          <w:spacing w:val="0"/>
          <w:sz w:val="32"/>
          <w:szCs w:val="32"/>
          <w:lang w:val="en-US" w:eastAsia="zh-CN"/>
        </w:rPr>
        <w:t>对全市60余家企业以及30多个在建项目负责人和劳资人员开展专题培训。三</w:t>
      </w:r>
      <w:r>
        <w:rPr>
          <w:rFonts w:hint="eastAsia" w:ascii="仿宋" w:hAnsi="仿宋" w:eastAsia="仿宋"/>
          <w:sz w:val="32"/>
          <w:szCs w:val="32"/>
        </w:rPr>
        <w:t>是</w:t>
      </w:r>
      <w:r>
        <w:rPr>
          <w:rFonts w:hint="eastAsia" w:ascii="仿宋" w:hAnsi="仿宋" w:eastAsia="仿宋"/>
          <w:sz w:val="32"/>
          <w:szCs w:val="32"/>
          <w:lang w:val="en-US" w:eastAsia="zh-CN"/>
        </w:rPr>
        <w:t>积极开展冬病夏治、根治欠薪冬季攻坚等专项行动。检查用人单位45户次，涉及劳动者1.2万人次，为600余名劳动者追发劳动报酬200余万元。</w:t>
      </w:r>
    </w:p>
    <w:p>
      <w:pPr>
        <w:ind w:firstLine="602" w:firstLineChars="200"/>
        <w:rPr>
          <w:rFonts w:hint="default" w:ascii="仿宋" w:hAnsi="仿宋" w:eastAsia="仿宋"/>
          <w:b/>
          <w:bCs/>
          <w:sz w:val="30"/>
          <w:szCs w:val="30"/>
          <w:lang w:val="en-US" w:eastAsia="zh-CN"/>
        </w:rPr>
      </w:pPr>
      <w:r>
        <w:rPr>
          <w:rFonts w:hint="eastAsia" w:ascii="仿宋" w:hAnsi="仿宋" w:eastAsia="仿宋"/>
          <w:b/>
          <w:bCs/>
          <w:sz w:val="30"/>
          <w:szCs w:val="30"/>
          <w:lang w:val="en-US" w:eastAsia="zh-CN"/>
        </w:rPr>
        <w:t>四、评价结论及建设</w:t>
      </w:r>
    </w:p>
    <w:p>
      <w:pPr>
        <w:pStyle w:val="7"/>
        <w:ind w:firstLine="600" w:firstLineChars="200"/>
        <w:rPr>
          <w:rFonts w:hint="eastAsia"/>
        </w:rPr>
      </w:pPr>
      <w:r>
        <w:rPr>
          <w:rFonts w:hint="eastAsia" w:ascii="仿宋" w:hAnsi="仿宋" w:eastAsia="仿宋"/>
          <w:sz w:val="30"/>
          <w:szCs w:val="30"/>
          <w:lang w:val="en-US" w:eastAsia="zh-CN"/>
        </w:rPr>
        <w:t>项目预算、执行、完成情况较好，达到了预期绩效目标。</w:t>
      </w:r>
    </w:p>
    <w:p>
      <w:pPr>
        <w:pStyle w:val="7"/>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0"/>
        <w:rPr>
          <w:rStyle w:val="27"/>
          <w:rFonts w:ascii="黑体" w:hAnsi="黑体" w:eastAsia="黑体"/>
          <w:b w:val="0"/>
        </w:rPr>
      </w:pPr>
      <w:bookmarkStart w:id="126" w:name="_Toc3739_WPSOffice_Level1"/>
      <w:r>
        <w:rPr>
          <w:rFonts w:hint="eastAsia" w:ascii="黑体" w:hAnsi="黑体" w:eastAsia="黑体"/>
          <w:color w:val="000000"/>
          <w:sz w:val="44"/>
          <w:szCs w:val="44"/>
        </w:rPr>
        <w:t>第</w:t>
      </w:r>
      <w:r>
        <w:rPr>
          <w:rStyle w:val="27"/>
          <w:rFonts w:hint="eastAsia" w:ascii="黑体" w:hAnsi="黑体" w:eastAsia="黑体"/>
          <w:b w:val="0"/>
        </w:rPr>
        <w:t>五部分 附表</w:t>
      </w:r>
      <w:bookmarkEnd w:id="78"/>
      <w:bookmarkEnd w:id="96"/>
      <w:bookmarkEnd w:id="126"/>
    </w:p>
    <w:p>
      <w:pPr>
        <w:spacing w:line="600" w:lineRule="exact"/>
        <w:jc w:val="center"/>
        <w:outlineLvl w:val="0"/>
        <w:rPr>
          <w:rFonts w:ascii="仿宋" w:hAnsi="仿宋" w:eastAsia="仿宋"/>
          <w:b/>
          <w:color w:val="000000"/>
          <w:sz w:val="44"/>
          <w:szCs w:val="44"/>
        </w:rPr>
      </w:pPr>
    </w:p>
    <w:p>
      <w:pPr>
        <w:pStyle w:val="5"/>
        <w:rPr>
          <w:rFonts w:ascii="仿宋" w:hAnsi="仿宋" w:eastAsia="仿宋"/>
          <w:color w:val="000000"/>
        </w:rPr>
      </w:pPr>
      <w:bookmarkStart w:id="127" w:name="_Toc15396619"/>
      <w:bookmarkStart w:id="128" w:name="_Toc7350_WPSOffice_Level2"/>
      <w:r>
        <w:rPr>
          <w:rFonts w:hint="eastAsia" w:ascii="仿宋" w:hAnsi="仿宋" w:eastAsia="仿宋"/>
          <w:b w:val="0"/>
          <w:color w:val="000000"/>
        </w:rPr>
        <w:t>一、收</w:t>
      </w:r>
      <w:r>
        <w:rPr>
          <w:rStyle w:val="28"/>
          <w:rFonts w:hint="eastAsia" w:ascii="仿宋" w:hAnsi="仿宋" w:eastAsia="仿宋"/>
          <w:b w:val="0"/>
          <w:bCs w:val="0"/>
        </w:rPr>
        <w:t>入支出决算总表</w:t>
      </w:r>
      <w:bookmarkEnd w:id="127"/>
      <w:bookmarkEnd w:id="128"/>
    </w:p>
    <w:p>
      <w:pPr>
        <w:pStyle w:val="5"/>
        <w:rPr>
          <w:rFonts w:ascii="仿宋" w:hAnsi="仿宋" w:eastAsia="仿宋"/>
          <w:color w:val="000000"/>
        </w:rPr>
      </w:pPr>
      <w:bookmarkStart w:id="129" w:name="_Toc14401_WPSOffice_Level2"/>
      <w:bookmarkStart w:id="130"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129"/>
      <w:bookmarkEnd w:id="130"/>
    </w:p>
    <w:p>
      <w:pPr>
        <w:pStyle w:val="5"/>
        <w:rPr>
          <w:rFonts w:ascii="仿宋" w:hAnsi="仿宋" w:eastAsia="仿宋"/>
          <w:color w:val="000000"/>
        </w:rPr>
      </w:pPr>
      <w:bookmarkStart w:id="131" w:name="_Toc11192_WPSOffice_Level2"/>
      <w:bookmarkStart w:id="132"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31"/>
      <w:bookmarkEnd w:id="132"/>
    </w:p>
    <w:p>
      <w:pPr>
        <w:pStyle w:val="5"/>
        <w:rPr>
          <w:rFonts w:ascii="仿宋" w:hAnsi="仿宋" w:eastAsia="仿宋"/>
          <w:b w:val="0"/>
          <w:color w:val="000000"/>
        </w:rPr>
      </w:pPr>
      <w:bookmarkStart w:id="133" w:name="_Toc15396622"/>
      <w:bookmarkStart w:id="134" w:name="_Toc26304_WPSOffice_Level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33"/>
      <w:bookmarkEnd w:id="134"/>
    </w:p>
    <w:p>
      <w:pPr>
        <w:pStyle w:val="5"/>
        <w:rPr>
          <w:rStyle w:val="28"/>
          <w:rFonts w:ascii="仿宋" w:hAnsi="仿宋" w:eastAsia="仿宋"/>
          <w:b w:val="0"/>
          <w:bCs w:val="0"/>
        </w:rPr>
      </w:pPr>
      <w:bookmarkStart w:id="135" w:name="_Toc32335_WPSOffice_Level2"/>
      <w:bookmarkStart w:id="136"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35"/>
      <w:bookmarkEnd w:id="136"/>
      <w:bookmarkStart w:id="137" w:name="_Toc15396624"/>
    </w:p>
    <w:p>
      <w:pPr>
        <w:pStyle w:val="5"/>
        <w:rPr>
          <w:rFonts w:ascii="仿宋" w:hAnsi="仿宋" w:eastAsia="仿宋"/>
          <w:color w:val="000000"/>
        </w:rPr>
      </w:pPr>
      <w:bookmarkStart w:id="138" w:name="_Toc731_WPSOffice_Level2"/>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37"/>
      <w:bookmarkEnd w:id="138"/>
    </w:p>
    <w:p>
      <w:pPr>
        <w:pStyle w:val="5"/>
        <w:rPr>
          <w:rFonts w:ascii="仿宋" w:hAnsi="仿宋" w:eastAsia="仿宋"/>
          <w:color w:val="000000"/>
        </w:rPr>
      </w:pPr>
      <w:bookmarkStart w:id="139" w:name="_Toc15396625"/>
      <w:bookmarkStart w:id="140" w:name="_Toc25597_WPSOffice_Level2"/>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39"/>
      <w:bookmarkEnd w:id="140"/>
    </w:p>
    <w:p>
      <w:pPr>
        <w:pStyle w:val="5"/>
        <w:rPr>
          <w:rFonts w:ascii="仿宋" w:hAnsi="仿宋" w:eastAsia="仿宋"/>
          <w:color w:val="000000"/>
        </w:rPr>
      </w:pPr>
      <w:bookmarkStart w:id="141" w:name="_Toc15396626"/>
      <w:bookmarkStart w:id="142" w:name="_Toc17146_WPSOffice_Level2"/>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41"/>
      <w:bookmarkEnd w:id="142"/>
    </w:p>
    <w:p>
      <w:pPr>
        <w:pStyle w:val="5"/>
        <w:rPr>
          <w:rFonts w:ascii="仿宋" w:hAnsi="仿宋" w:eastAsia="仿宋"/>
          <w:color w:val="000000"/>
        </w:rPr>
      </w:pPr>
      <w:bookmarkStart w:id="143" w:name="_Toc15396627"/>
      <w:bookmarkStart w:id="144" w:name="_Toc29383_WPSOffice_Level2"/>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43"/>
      <w:bookmarkEnd w:id="144"/>
    </w:p>
    <w:p>
      <w:pPr>
        <w:pStyle w:val="5"/>
        <w:rPr>
          <w:rFonts w:ascii="仿宋" w:hAnsi="仿宋" w:eastAsia="仿宋"/>
          <w:color w:val="000000"/>
        </w:rPr>
      </w:pPr>
      <w:bookmarkStart w:id="145" w:name="_Toc15396628"/>
      <w:bookmarkStart w:id="146" w:name="_Toc16711_WPSOffice_Level2"/>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45"/>
      <w:bookmarkEnd w:id="146"/>
    </w:p>
    <w:p>
      <w:pPr>
        <w:pStyle w:val="5"/>
        <w:rPr>
          <w:rFonts w:ascii="仿宋" w:hAnsi="仿宋" w:eastAsia="仿宋"/>
          <w:color w:val="000000"/>
        </w:rPr>
      </w:pPr>
      <w:bookmarkStart w:id="147" w:name="_Toc15396629"/>
      <w:bookmarkStart w:id="148" w:name="_Toc12164_WPSOffice_Level2"/>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47"/>
      <w:bookmarkEnd w:id="148"/>
    </w:p>
    <w:p>
      <w:pPr>
        <w:pStyle w:val="5"/>
        <w:rPr>
          <w:rFonts w:ascii="仿宋" w:hAnsi="仿宋" w:eastAsia="仿宋"/>
          <w:color w:val="000000"/>
        </w:rPr>
      </w:pPr>
      <w:bookmarkStart w:id="149" w:name="_Toc15396630"/>
      <w:bookmarkStart w:id="150" w:name="_Toc15683_WPSOffice_Level2"/>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49"/>
      <w:bookmarkEnd w:id="150"/>
    </w:p>
    <w:p>
      <w:pPr>
        <w:pStyle w:val="5"/>
        <w:rPr>
          <w:rStyle w:val="28"/>
          <w:rFonts w:hint="eastAsia" w:ascii="仿宋" w:hAnsi="仿宋" w:eastAsia="仿宋"/>
          <w:b w:val="0"/>
          <w:bCs w:val="0"/>
          <w:lang w:eastAsia="zh-CN"/>
        </w:rPr>
      </w:pPr>
      <w:bookmarkStart w:id="151" w:name="_Toc15396631"/>
      <w:bookmarkStart w:id="152" w:name="_Toc6545_WPSOffice_Level2"/>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w:t>
      </w:r>
      <w:bookmarkEnd w:id="151"/>
      <w:r>
        <w:rPr>
          <w:rStyle w:val="28"/>
          <w:rFonts w:hint="eastAsia" w:ascii="仿宋" w:hAnsi="仿宋" w:eastAsia="仿宋"/>
          <w:b w:val="0"/>
          <w:bCs w:val="0"/>
          <w:lang w:eastAsia="zh-CN"/>
        </w:rPr>
        <w:t>预算财政拨款收入支出决算表</w:t>
      </w:r>
      <w:bookmarkEnd w:id="152"/>
    </w:p>
    <w:p>
      <w:pPr>
        <w:rPr>
          <w:rFonts w:hint="eastAsia"/>
          <w:lang w:eastAsia="zh-CN"/>
        </w:rPr>
      </w:pPr>
      <w:bookmarkStart w:id="153" w:name="_Toc1845_WPSOffice_Level2"/>
      <w:r>
        <w:rPr>
          <w:rStyle w:val="28"/>
          <w:rFonts w:hint="eastAsia" w:ascii="仿宋" w:hAnsi="仿宋" w:eastAsia="仿宋"/>
          <w:b w:val="0"/>
          <w:bCs w:val="0"/>
          <w:lang w:eastAsia="zh-CN"/>
        </w:rPr>
        <w:t>十四、国有资本经营预算财政拨款支出决算表</w:t>
      </w:r>
      <w:bookmarkEnd w:id="15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2CD6AF2"/>
    <w:multiLevelType w:val="singleLevel"/>
    <w:tmpl w:val="02CD6AF2"/>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FED1748"/>
    <w:multiLevelType w:val="singleLevel"/>
    <w:tmpl w:val="5FED1748"/>
    <w:lvl w:ilvl="0" w:tentative="0">
      <w:start w:val="1"/>
      <w:numFmt w:val="decimal"/>
      <w:suff w:val="nothing"/>
      <w:lvlText w:val="%1、"/>
      <w:lvlJc w:val="left"/>
      <w:pPr>
        <w:ind w:left="640" w:leftChars="0" w:firstLine="0" w:firstLineChars="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2B3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916422"/>
    <w:rsid w:val="03197AE1"/>
    <w:rsid w:val="0686581E"/>
    <w:rsid w:val="06DE46D0"/>
    <w:rsid w:val="084D0DC5"/>
    <w:rsid w:val="08EB063C"/>
    <w:rsid w:val="090571E6"/>
    <w:rsid w:val="095955DF"/>
    <w:rsid w:val="0BA16C23"/>
    <w:rsid w:val="0CEB5A2B"/>
    <w:rsid w:val="0D277082"/>
    <w:rsid w:val="0EB04465"/>
    <w:rsid w:val="0EF65157"/>
    <w:rsid w:val="0F2B3C28"/>
    <w:rsid w:val="10C055FF"/>
    <w:rsid w:val="113A7F6C"/>
    <w:rsid w:val="114F324E"/>
    <w:rsid w:val="117D3B0A"/>
    <w:rsid w:val="135D1E0D"/>
    <w:rsid w:val="13AE0EAD"/>
    <w:rsid w:val="15213EC1"/>
    <w:rsid w:val="15C45F16"/>
    <w:rsid w:val="161F3CD7"/>
    <w:rsid w:val="16BB723D"/>
    <w:rsid w:val="17811651"/>
    <w:rsid w:val="1A8E3CC0"/>
    <w:rsid w:val="1ACA5142"/>
    <w:rsid w:val="1B6E24DB"/>
    <w:rsid w:val="1DD40B6E"/>
    <w:rsid w:val="1E1367D1"/>
    <w:rsid w:val="210E2C53"/>
    <w:rsid w:val="22E46A8C"/>
    <w:rsid w:val="23CF0A97"/>
    <w:rsid w:val="23D31A10"/>
    <w:rsid w:val="240371BF"/>
    <w:rsid w:val="26375DC2"/>
    <w:rsid w:val="27052A7F"/>
    <w:rsid w:val="296B07FA"/>
    <w:rsid w:val="29FD04D3"/>
    <w:rsid w:val="2B7720A9"/>
    <w:rsid w:val="2D5518D8"/>
    <w:rsid w:val="2F7409A2"/>
    <w:rsid w:val="31032178"/>
    <w:rsid w:val="319F7F4E"/>
    <w:rsid w:val="334D00A7"/>
    <w:rsid w:val="33816CCC"/>
    <w:rsid w:val="37DC6BDC"/>
    <w:rsid w:val="388603AC"/>
    <w:rsid w:val="3A933E03"/>
    <w:rsid w:val="3D095363"/>
    <w:rsid w:val="3DBD3BA6"/>
    <w:rsid w:val="3E4068FD"/>
    <w:rsid w:val="4063300E"/>
    <w:rsid w:val="414D6F6B"/>
    <w:rsid w:val="41D97AD6"/>
    <w:rsid w:val="43DF391B"/>
    <w:rsid w:val="444D2D23"/>
    <w:rsid w:val="44B542DC"/>
    <w:rsid w:val="466D0588"/>
    <w:rsid w:val="47605B9B"/>
    <w:rsid w:val="47951233"/>
    <w:rsid w:val="4BC81178"/>
    <w:rsid w:val="4D240FFC"/>
    <w:rsid w:val="4D4B60FA"/>
    <w:rsid w:val="4D92648F"/>
    <w:rsid w:val="4ECE2238"/>
    <w:rsid w:val="4F3343B0"/>
    <w:rsid w:val="4FE70AF1"/>
    <w:rsid w:val="500E3161"/>
    <w:rsid w:val="530C3A4C"/>
    <w:rsid w:val="56B64393"/>
    <w:rsid w:val="57804C01"/>
    <w:rsid w:val="582F4BBC"/>
    <w:rsid w:val="58CC630B"/>
    <w:rsid w:val="5A667AEE"/>
    <w:rsid w:val="5A6D6AA8"/>
    <w:rsid w:val="5A873E4F"/>
    <w:rsid w:val="5D6359A4"/>
    <w:rsid w:val="5EF73B6C"/>
    <w:rsid w:val="5F1B1922"/>
    <w:rsid w:val="6076747B"/>
    <w:rsid w:val="617F319A"/>
    <w:rsid w:val="618D6D0A"/>
    <w:rsid w:val="61EA4DD8"/>
    <w:rsid w:val="63942CF4"/>
    <w:rsid w:val="64CF295E"/>
    <w:rsid w:val="652516C1"/>
    <w:rsid w:val="65525BED"/>
    <w:rsid w:val="65690CAD"/>
    <w:rsid w:val="65A67CAB"/>
    <w:rsid w:val="66736C9D"/>
    <w:rsid w:val="67401E34"/>
    <w:rsid w:val="6A102ED1"/>
    <w:rsid w:val="6AF033BC"/>
    <w:rsid w:val="6CDB3D21"/>
    <w:rsid w:val="6CEE7912"/>
    <w:rsid w:val="6DC0345E"/>
    <w:rsid w:val="6DF629B7"/>
    <w:rsid w:val="6E3639C8"/>
    <w:rsid w:val="6FCC1DB1"/>
    <w:rsid w:val="70525DB0"/>
    <w:rsid w:val="70D31633"/>
    <w:rsid w:val="72734D90"/>
    <w:rsid w:val="7301542C"/>
    <w:rsid w:val="733D69A6"/>
    <w:rsid w:val="734B289B"/>
    <w:rsid w:val="736947DA"/>
    <w:rsid w:val="74EF6EA1"/>
    <w:rsid w:val="789F0CC6"/>
    <w:rsid w:val="790F5277"/>
    <w:rsid w:val="793F3BCA"/>
    <w:rsid w:val="7A773F1E"/>
    <w:rsid w:val="7AD53EB9"/>
    <w:rsid w:val="7B603C57"/>
    <w:rsid w:val="7C270C6A"/>
    <w:rsid w:val="7CA6014D"/>
    <w:rsid w:val="7CE10381"/>
    <w:rsid w:val="7E4E647C"/>
    <w:rsid w:val="7ECB0A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qFormat/>
    <w:uiPriority w:val="0"/>
    <w:pPr>
      <w:widowControl w:val="0"/>
      <w:spacing w:after="120"/>
      <w:ind w:left="420" w:leftChars="200" w:firstLine="420" w:firstLineChars="200"/>
      <w:jc w:val="both"/>
    </w:pPr>
    <w:rPr>
      <w:rFonts w:ascii="Calibri" w:hAnsi="Calibri" w:eastAsia="宋体" w:cs="Calibri"/>
      <w:kern w:val="2"/>
      <w:sz w:val="24"/>
      <w:szCs w:val="24"/>
      <w:lang w:val="en-US" w:eastAsia="zh-CN" w:bidi="ar-SA"/>
    </w:rPr>
  </w:style>
  <w:style w:type="paragraph" w:styleId="4">
    <w:name w:val="Title"/>
    <w:basedOn w:val="1"/>
    <w:next w:val="1"/>
    <w:qFormat/>
    <w:uiPriority w:val="0"/>
    <w:pPr>
      <w:adjustRightInd w:val="0"/>
      <w:spacing w:line="620" w:lineRule="exact"/>
      <w:ind w:firstLine="0" w:firstLineChars="0"/>
      <w:jc w:val="center"/>
    </w:pPr>
    <w:rPr>
      <w:rFonts w:ascii="方正小标宋简体" w:hAnsi="宋体" w:eastAsia="方正小标宋_GBK" w:cstheme="majorBidi"/>
      <w:sz w:val="44"/>
      <w:szCs w:val="44"/>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Calibri" w:hAnsi="Calibri" w:eastAsia="宋体" w:cs="Times New Roman"/>
      <w:sz w:val="20"/>
      <w:szCs w:val="20"/>
    </w:rPr>
  </w:style>
  <w:style w:type="paragraph" w:customStyle="1" w:styleId="34">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05875"/>
          <c:y val="0.025"/>
        </c:manualLayout>
      </c:layout>
      <c:overlay val="0"/>
      <c:spPr>
        <a:noFill/>
        <a:ln>
          <a:noFill/>
        </a:ln>
        <a:effectLst/>
      </c:spPr>
    </c:title>
    <c:autoTitleDeleted val="0"/>
    <c:plotArea>
      <c:layout>
        <c:manualLayout>
          <c:layoutTarget val="inner"/>
          <c:xMode val="edge"/>
          <c:yMode val="edge"/>
          <c:x val="0.06995"/>
          <c:y val="0.2118669250646"/>
          <c:w val="0.904875"/>
          <c:h val="0.715633333333333"/>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Sheet1!$B$2</c:f>
              <c:numCache>
                <c:formatCode>General</c:formatCode>
                <c:ptCount val="1"/>
                <c:pt idx="0">
                  <c:v>1521.37</c:v>
                </c:pt>
              </c:numCache>
            </c:numRef>
          </c:val>
        </c:ser>
        <c:ser>
          <c:idx val="1"/>
          <c:order val="1"/>
          <c:tx>
            <c:strRef>
              <c:f>Sheet1!$C$1</c:f>
              <c:strCache>
                <c:ptCount val="1"/>
                <c:pt idx="0">
                  <c:v>2019年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Sheet1!$C$2</c:f>
              <c:numCache>
                <c:formatCode>General</c:formatCode>
                <c:ptCount val="1"/>
                <c:pt idx="0">
                  <c:v>1450.1</c:v>
                </c:pt>
              </c:numCache>
            </c:numRef>
          </c:val>
        </c:ser>
        <c:dLbls>
          <c:showLegendKey val="0"/>
          <c:showVal val="1"/>
          <c:showCatName val="0"/>
          <c:showSerName val="0"/>
          <c:showPercent val="0"/>
          <c:showBubbleSize val="0"/>
        </c:dLbls>
        <c:gapWidth val="219"/>
        <c:overlap val="-27"/>
        <c:axId val="576970678"/>
        <c:axId val="25304242"/>
      </c:barChart>
      <c:catAx>
        <c:axId val="57697067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04242"/>
        <c:crosses val="autoZero"/>
        <c:auto val="1"/>
        <c:lblAlgn val="ctr"/>
        <c:lblOffset val="100"/>
        <c:noMultiLvlLbl val="0"/>
      </c:catAx>
      <c:valAx>
        <c:axId val="253042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970678"/>
        <c:crosses val="autoZero"/>
        <c:crossBetween val="between"/>
      </c:valAx>
      <c:spPr>
        <a:noFill/>
        <a:ln>
          <a:noFill/>
        </a:ln>
        <a:effectLst/>
      </c:spPr>
    </c:plotArea>
    <c:legend>
      <c:legendPos val="b"/>
      <c:layout>
        <c:manualLayout>
          <c:xMode val="edge"/>
          <c:yMode val="edge"/>
          <c:x val="0.399"/>
          <c:y val="0.930232558139535"/>
          <c:w val="0.202125"/>
          <c:h val="0.06511627906976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收入决算结构图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75"/>
          <c:y val="0.127"/>
          <c:w val="0.945"/>
          <c:h val="0.719666666666667"/>
        </c:manualLayout>
      </c:layout>
      <c:pie3DChart>
        <c:varyColors val="1"/>
        <c:ser>
          <c:idx val="0"/>
          <c:order val="0"/>
          <c:tx>
            <c:strRef>
              <c:f>Sheet1!$B$1</c:f>
              <c:strCache>
                <c:ptCount val="1"/>
                <c:pt idx="0">
                  <c:v>本年收入</c:v>
                </c:pt>
              </c:strCache>
            </c:strRef>
          </c:tx>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20000"/>
                  </a:prstClr>
                </a:outerShdw>
              </a:effectLst>
            </c:spPr>
          </c:dPt>
          <c:dPt>
            <c:idx val="1"/>
            <c:bubble3D val="0"/>
            <c:spPr>
              <a:solidFill>
                <a:schemeClr val="accent2"/>
              </a:solidFill>
              <a:ln>
                <a:noFill/>
              </a:ln>
              <a:effectLst>
                <a:outerShdw blurRad="889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一般公共预算财政拨款收入</c:v>
                </c:pt>
                <c:pt idx="1">
                  <c:v>政府性基金预算财政拨款</c:v>
                </c:pt>
              </c:strCache>
            </c:strRef>
          </c:cat>
          <c:val>
            <c:numRef>
              <c:f>Sheet1!$B$2:$B$3</c:f>
              <c:numCache>
                <c:formatCode>General</c:formatCode>
                <c:ptCount val="2"/>
                <c:pt idx="0">
                  <c:v>1372.66</c:v>
                </c:pt>
                <c:pt idx="1">
                  <c:v>5</c:v>
                </c:pt>
              </c:numCache>
            </c:numRef>
          </c:val>
        </c:ser>
        <c:dLbls>
          <c:showLegendKey val="0"/>
          <c:showVal val="0"/>
          <c:showCatName val="1"/>
          <c:showSerName val="0"/>
          <c:showPercent val="0"/>
          <c:showBubbleSize val="0"/>
        </c:dLbls>
      </c:pie3D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3075"/>
          <c:y val="0.204516129032258"/>
          <c:w val="0.8316"/>
          <c:h val="0.702795698924731"/>
        </c:manualLayout>
      </c:layout>
      <c:pie3DChart>
        <c:varyColors val="1"/>
        <c:ser>
          <c:idx val="0"/>
          <c:order val="0"/>
          <c:tx>
            <c:strRef>
              <c:f>Sheet1!$B$1</c:f>
              <c:strCache>
                <c:ptCount val="1"/>
                <c:pt idx="0">
                  <c:v>本年支出</c:v>
                </c:pt>
              </c:strCache>
            </c:strRef>
          </c:tx>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10000"/>
                  </a:prstClr>
                </a:outerShdw>
              </a:effectLst>
            </c:spPr>
          </c:dPt>
          <c:dPt>
            <c:idx val="1"/>
            <c:bubble3D val="0"/>
            <c:spPr>
              <a:solidFill>
                <a:schemeClr val="accent2"/>
              </a:solidFill>
              <a:ln>
                <a:noFill/>
              </a:ln>
              <a:effectLst>
                <a:outerShdw blurRad="88900" sx="102000" sy="102000" algn="ctr" rotWithShape="0">
                  <a:prstClr val="black">
                    <a:alpha val="1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659.12</c:v>
                </c:pt>
                <c:pt idx="1">
                  <c:v>295.29</c:v>
                </c:pt>
              </c:numCache>
            </c:numRef>
          </c:val>
        </c:ser>
        <c:dLbls>
          <c:showLegendKey val="0"/>
          <c:showVal val="0"/>
          <c:showCatName val="1"/>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97375"/>
          <c:y val="0.056559346062593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c:v>
                </c:pt>
              </c:strCache>
            </c:strRef>
          </c:cat>
          <c:val>
            <c:numRef>
              <c:f>Sheet1!$B$2</c:f>
              <c:numCache>
                <c:formatCode>General</c:formatCode>
                <c:ptCount val="1"/>
                <c:pt idx="0">
                  <c:v>1511.28</c:v>
                </c:pt>
              </c:numCache>
            </c:numRef>
          </c:val>
        </c:ser>
        <c:ser>
          <c:idx val="1"/>
          <c:order val="1"/>
          <c:tx>
            <c:strRef>
              <c:f>Sheet1!$C$1</c:f>
              <c:strCache>
                <c:ptCount val="1"/>
                <c:pt idx="0">
                  <c:v>2019年</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c:v>
                </c:pt>
              </c:strCache>
            </c:strRef>
          </c:cat>
          <c:val>
            <c:numRef>
              <c:f>Sheet1!$C$2</c:f>
              <c:numCache>
                <c:formatCode>General</c:formatCode>
                <c:ptCount val="1"/>
                <c:pt idx="0">
                  <c:v>1438.94</c:v>
                </c:pt>
              </c:numCache>
            </c:numRef>
          </c:val>
        </c:ser>
        <c:dLbls>
          <c:showLegendKey val="0"/>
          <c:showVal val="1"/>
          <c:showCatName val="0"/>
          <c:showSerName val="0"/>
          <c:showPercent val="0"/>
          <c:showBubbleSize val="0"/>
        </c:dLbls>
        <c:gapWidth val="100"/>
        <c:overlap val="-24"/>
        <c:axId val="272522336"/>
        <c:axId val="434880393"/>
      </c:barChart>
      <c:catAx>
        <c:axId val="27252233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880393"/>
        <c:crosses val="autoZero"/>
        <c:auto val="1"/>
        <c:lblAlgn val="ctr"/>
        <c:lblOffset val="100"/>
        <c:noMultiLvlLbl val="0"/>
      </c:catAx>
      <c:valAx>
        <c:axId val="4348803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522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29625"/>
          <c:y val="0.0530701625315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c:v>
                </c:pt>
              </c:strCache>
            </c:strRef>
          </c:cat>
          <c:val>
            <c:numRef>
              <c:f>Sheet1!$B$2</c:f>
              <c:numCache>
                <c:formatCode>General</c:formatCode>
                <c:ptCount val="1"/>
                <c:pt idx="0">
                  <c:v>949.35</c:v>
                </c:pt>
              </c:numCache>
            </c:numRef>
          </c:val>
        </c:ser>
        <c:ser>
          <c:idx val="1"/>
          <c:order val="1"/>
          <c:tx>
            <c:strRef>
              <c:f>Sheet1!$C$1</c:f>
              <c:strCache>
                <c:ptCount val="1"/>
                <c:pt idx="0">
                  <c:v>2019年</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c:v>
                </c:pt>
              </c:strCache>
            </c:strRef>
          </c:cat>
          <c:val>
            <c:numRef>
              <c:f>Sheet1!$C$2</c:f>
              <c:numCache>
                <c:formatCode>General</c:formatCode>
                <c:ptCount val="1"/>
                <c:pt idx="0">
                  <c:v>1153.34</c:v>
                </c:pt>
              </c:numCache>
            </c:numRef>
          </c:val>
        </c:ser>
        <c:dLbls>
          <c:showLegendKey val="0"/>
          <c:showVal val="1"/>
          <c:showCatName val="0"/>
          <c:showSerName val="0"/>
          <c:showPercent val="0"/>
          <c:showBubbleSize val="0"/>
        </c:dLbls>
        <c:gapWidth val="100"/>
        <c:overlap val="-24"/>
        <c:axId val="272522336"/>
        <c:axId val="434880393"/>
      </c:barChart>
      <c:catAx>
        <c:axId val="27252233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880393"/>
        <c:crosses val="autoZero"/>
        <c:auto val="1"/>
        <c:lblAlgn val="ctr"/>
        <c:lblOffset val="100"/>
        <c:noMultiLvlLbl val="0"/>
      </c:catAx>
      <c:valAx>
        <c:axId val="4348803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522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c:v>
                </c:pt>
              </c:strCache>
            </c:strRef>
          </c:tx>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20000"/>
                  </a:prstClr>
                </a:outerShdw>
              </a:effectLst>
            </c:spPr>
          </c:dPt>
          <c:dPt>
            <c:idx val="1"/>
            <c:bubble3D val="0"/>
            <c:spPr>
              <a:solidFill>
                <a:schemeClr val="accent2"/>
              </a:solidFill>
              <a:ln>
                <a:noFill/>
              </a:ln>
              <a:effectLst>
                <a:outerShdw blurRad="88900" sx="102000" sy="102000" algn="ctr" rotWithShape="0">
                  <a:prstClr val="black">
                    <a:alpha val="20000"/>
                  </a:prstClr>
                </a:outerShdw>
              </a:effectLst>
            </c:spPr>
          </c:dPt>
          <c:dPt>
            <c:idx val="2"/>
            <c:bubble3D val="0"/>
            <c:spPr>
              <a:solidFill>
                <a:schemeClr val="accent3"/>
              </a:solidFill>
              <a:ln>
                <a:noFill/>
              </a:ln>
              <a:effectLst>
                <a:outerShdw blurRad="88900" sx="102000" sy="102000" algn="ctr" rotWithShape="0">
                  <a:prstClr val="black">
                    <a:alpha val="20000"/>
                  </a:prstClr>
                </a:outerShdw>
              </a:effectLst>
            </c:spPr>
          </c:dPt>
          <c:dPt>
            <c:idx val="3"/>
            <c:bubble3D val="0"/>
            <c:spPr>
              <a:solidFill>
                <a:schemeClr val="accent4"/>
              </a:solidFill>
              <a:ln>
                <a:noFill/>
              </a:ln>
              <a:effectLst>
                <a:outerShdw blurRad="88900" sx="102000" sy="102000" algn="ctr" rotWithShape="0">
                  <a:prstClr val="black">
                    <a:alpha val="2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882.26</c:v>
                </c:pt>
                <c:pt idx="1">
                  <c:v>14.01</c:v>
                </c:pt>
                <c:pt idx="2">
                  <c:v>2.99</c:v>
                </c:pt>
                <c:pt idx="3">
                  <c:v>50.09</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因公出国（境）费用</c:v>
                </c:pt>
                <c:pt idx="1">
                  <c:v>公务用车购置及运行维护费</c:v>
                </c:pt>
                <c:pt idx="2">
                  <c:v>公务接待费</c:v>
                </c:pt>
              </c:strCache>
            </c:strRef>
          </c:cat>
          <c:val>
            <c:numRef>
              <c:f>Sheet1!$B$2:$B$4</c:f>
              <c:numCache>
                <c:formatCode>General</c:formatCode>
                <c:ptCount val="3"/>
                <c:pt idx="0">
                  <c:v>0</c:v>
                </c:pt>
                <c:pt idx="1">
                  <c:v>16.27</c:v>
                </c:pt>
                <c:pt idx="2">
                  <c:v>0.85</c:v>
                </c:pt>
              </c:numCache>
            </c:numRef>
          </c:val>
        </c:ser>
        <c:dLbls>
          <c:showLegendKey val="0"/>
          <c:showVal val="0"/>
          <c:showCatName val="1"/>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7438e58-0874-446b-828e-1f787c96b5d5}"/>
        <w:style w:val=""/>
        <w:category>
          <w:name w:val="常规"/>
          <w:gallery w:val="placeholder"/>
        </w:category>
        <w:types>
          <w:type w:val="bbPlcHdr"/>
        </w:types>
        <w:behaviors>
          <w:behavior w:val="content"/>
        </w:behaviors>
        <w:description w:val=""/>
        <w:guid w:val="{37438e58-0874-446b-828e-1f787c96b5d5}"/>
      </w:docPartPr>
      <w:docPartBody>
        <w:p>
          <w:r>
            <w:rPr>
              <w:color w:val="808080"/>
            </w:rPr>
            <w:t>单击此处输入文字。</w:t>
          </w:r>
        </w:p>
      </w:docPartBody>
    </w:docPart>
    <w:docPart>
      <w:docPartPr>
        <w:name w:val="{065f7ad5-b35b-4f39-be60-4aba6c595dc3}"/>
        <w:style w:val=""/>
        <w:category>
          <w:name w:val="常规"/>
          <w:gallery w:val="placeholder"/>
        </w:category>
        <w:types>
          <w:type w:val="bbPlcHdr"/>
        </w:types>
        <w:behaviors>
          <w:behavior w:val="content"/>
        </w:behaviors>
        <w:description w:val=""/>
        <w:guid w:val="{065f7ad5-b35b-4f39-be60-4aba6c595dc3}"/>
      </w:docPartPr>
      <w:docPartBody>
        <w:p>
          <w:r>
            <w:rPr>
              <w:color w:val="808080"/>
            </w:rPr>
            <w:t>单击此处输入文字。</w:t>
          </w:r>
        </w:p>
      </w:docPartBody>
    </w:docPart>
    <w:docPart>
      <w:docPartPr>
        <w:name w:val="{c2b99477-8032-4123-9750-7154b942840f}"/>
        <w:style w:val=""/>
        <w:category>
          <w:name w:val="常规"/>
          <w:gallery w:val="placeholder"/>
        </w:category>
        <w:types>
          <w:type w:val="bbPlcHdr"/>
        </w:types>
        <w:behaviors>
          <w:behavior w:val="content"/>
        </w:behaviors>
        <w:description w:val=""/>
        <w:guid w:val="{c2b99477-8032-4123-9750-7154b942840f}"/>
      </w:docPartPr>
      <w:docPartBody>
        <w:p>
          <w:r>
            <w:rPr>
              <w:color w:val="808080"/>
            </w:rPr>
            <w:t>单击此处输入文字。</w:t>
          </w:r>
        </w:p>
      </w:docPartBody>
    </w:docPart>
    <w:docPart>
      <w:docPartPr>
        <w:name w:val="{d0582419-c12c-42ee-9f66-a881260fbb67}"/>
        <w:style w:val=""/>
        <w:category>
          <w:name w:val="常规"/>
          <w:gallery w:val="placeholder"/>
        </w:category>
        <w:types>
          <w:type w:val="bbPlcHdr"/>
        </w:types>
        <w:behaviors>
          <w:behavior w:val="content"/>
        </w:behaviors>
        <w:description w:val=""/>
        <w:guid w:val="{d0582419-c12c-42ee-9f66-a881260fbb67}"/>
      </w:docPartPr>
      <w:docPartBody>
        <w:p>
          <w:r>
            <w:rPr>
              <w:color w:val="808080"/>
            </w:rPr>
            <w:t>单击此处输入文字。</w:t>
          </w:r>
        </w:p>
      </w:docPartBody>
    </w:docPart>
    <w:docPart>
      <w:docPartPr>
        <w:name w:val="{d17290d8-ba0e-4936-9d7f-c676a2365575}"/>
        <w:style w:val=""/>
        <w:category>
          <w:name w:val="常规"/>
          <w:gallery w:val="placeholder"/>
        </w:category>
        <w:types>
          <w:type w:val="bbPlcHdr"/>
        </w:types>
        <w:behaviors>
          <w:behavior w:val="content"/>
        </w:behaviors>
        <w:description w:val=""/>
        <w:guid w:val="{d17290d8-ba0e-4936-9d7f-c676a2365575}"/>
      </w:docPartPr>
      <w:docPartBody>
        <w:p>
          <w:r>
            <w:rPr>
              <w:color w:val="808080"/>
            </w:rPr>
            <w:t>单击此处输入文字。</w:t>
          </w:r>
        </w:p>
      </w:docPartBody>
    </w:docPart>
    <w:docPart>
      <w:docPartPr>
        <w:name w:val="{62790b34-4184-427c-b268-04e28d443254}"/>
        <w:style w:val=""/>
        <w:category>
          <w:name w:val="常规"/>
          <w:gallery w:val="placeholder"/>
        </w:category>
        <w:types>
          <w:type w:val="bbPlcHdr"/>
        </w:types>
        <w:behaviors>
          <w:behavior w:val="content"/>
        </w:behaviors>
        <w:description w:val=""/>
        <w:guid w:val="{62790b34-4184-427c-b268-04e28d443254}"/>
      </w:docPartPr>
      <w:docPartBody>
        <w:p>
          <w:r>
            <w:rPr>
              <w:color w:val="808080"/>
            </w:rPr>
            <w:t>单击此处输入文字。</w:t>
          </w:r>
        </w:p>
      </w:docPartBody>
    </w:docPart>
    <w:docPart>
      <w:docPartPr>
        <w:name w:val="{07aaf0c1-95e3-422b-886f-1f11e2e274f6}"/>
        <w:style w:val=""/>
        <w:category>
          <w:name w:val="常规"/>
          <w:gallery w:val="placeholder"/>
        </w:category>
        <w:types>
          <w:type w:val="bbPlcHdr"/>
        </w:types>
        <w:behaviors>
          <w:behavior w:val="content"/>
        </w:behaviors>
        <w:description w:val=""/>
        <w:guid w:val="{07aaf0c1-95e3-422b-886f-1f11e2e274f6}"/>
      </w:docPartPr>
      <w:docPartBody>
        <w:p>
          <w:r>
            <w:rPr>
              <w:color w:val="808080"/>
            </w:rPr>
            <w:t>单击此处输入文字。</w:t>
          </w:r>
        </w:p>
      </w:docPartBody>
    </w:docPart>
    <w:docPart>
      <w:docPartPr>
        <w:name w:val="{08341593-ff58-4d00-bd66-8afd238db58e}"/>
        <w:style w:val=""/>
        <w:category>
          <w:name w:val="常规"/>
          <w:gallery w:val="placeholder"/>
        </w:category>
        <w:types>
          <w:type w:val="bbPlcHdr"/>
        </w:types>
        <w:behaviors>
          <w:behavior w:val="content"/>
        </w:behaviors>
        <w:description w:val=""/>
        <w:guid w:val="{08341593-ff58-4d00-bd66-8afd238db58e}"/>
      </w:docPartPr>
      <w:docPartBody>
        <w:p>
          <w:r>
            <w:rPr>
              <w:color w:val="808080"/>
            </w:rPr>
            <w:t>单击此处输入文字。</w:t>
          </w:r>
        </w:p>
      </w:docPartBody>
    </w:docPart>
    <w:docPart>
      <w:docPartPr>
        <w:name w:val="{ecd4e692-f789-472c-a377-d73d1b1e1433}"/>
        <w:style w:val=""/>
        <w:category>
          <w:name w:val="常规"/>
          <w:gallery w:val="placeholder"/>
        </w:category>
        <w:types>
          <w:type w:val="bbPlcHdr"/>
        </w:types>
        <w:behaviors>
          <w:behavior w:val="content"/>
        </w:behaviors>
        <w:description w:val=""/>
        <w:guid w:val="{ecd4e692-f789-472c-a377-d73d1b1e1433}"/>
      </w:docPartPr>
      <w:docPartBody>
        <w:p>
          <w:r>
            <w:rPr>
              <w:color w:val="808080"/>
            </w:rPr>
            <w:t>单击此处输入文字。</w:t>
          </w:r>
        </w:p>
      </w:docPartBody>
    </w:docPart>
    <w:docPart>
      <w:docPartPr>
        <w:name w:val="{b31cbc5c-ca5b-43c9-83dc-1c257a50f202}"/>
        <w:style w:val=""/>
        <w:category>
          <w:name w:val="常规"/>
          <w:gallery w:val="placeholder"/>
        </w:category>
        <w:types>
          <w:type w:val="bbPlcHdr"/>
        </w:types>
        <w:behaviors>
          <w:behavior w:val="content"/>
        </w:behaviors>
        <w:description w:val=""/>
        <w:guid w:val="{b31cbc5c-ca5b-43c9-83dc-1c257a50f202}"/>
      </w:docPartPr>
      <w:docPartBody>
        <w:p>
          <w:r>
            <w:rPr>
              <w:color w:val="808080"/>
            </w:rPr>
            <w:t>单击此处输入文字。</w:t>
          </w:r>
        </w:p>
      </w:docPartBody>
    </w:docPart>
    <w:docPart>
      <w:docPartPr>
        <w:name w:val="{965100a8-053a-4262-bd34-2bb8162e6cc7}"/>
        <w:style w:val=""/>
        <w:category>
          <w:name w:val="常规"/>
          <w:gallery w:val="placeholder"/>
        </w:category>
        <w:types>
          <w:type w:val="bbPlcHdr"/>
        </w:types>
        <w:behaviors>
          <w:behavior w:val="content"/>
        </w:behaviors>
        <w:description w:val=""/>
        <w:guid w:val="{965100a8-053a-4262-bd34-2bb8162e6cc7}"/>
      </w:docPartPr>
      <w:docPartBody>
        <w:p>
          <w:r>
            <w:rPr>
              <w:color w:val="808080"/>
            </w:rPr>
            <w:t>单击此处输入文字。</w:t>
          </w:r>
        </w:p>
      </w:docPartBody>
    </w:docPart>
    <w:docPart>
      <w:docPartPr>
        <w:name w:val="{bfabac02-bf19-496f-8c9b-cffd7db999de}"/>
        <w:style w:val=""/>
        <w:category>
          <w:name w:val="常规"/>
          <w:gallery w:val="placeholder"/>
        </w:category>
        <w:types>
          <w:type w:val="bbPlcHdr"/>
        </w:types>
        <w:behaviors>
          <w:behavior w:val="content"/>
        </w:behaviors>
        <w:description w:val=""/>
        <w:guid w:val="{bfabac02-bf19-496f-8c9b-cffd7db999de}"/>
      </w:docPartPr>
      <w:docPartBody>
        <w:p>
          <w:r>
            <w:rPr>
              <w:color w:val="808080"/>
            </w:rPr>
            <w:t>单击此处输入文字。</w:t>
          </w:r>
        </w:p>
      </w:docPartBody>
    </w:docPart>
    <w:docPart>
      <w:docPartPr>
        <w:name w:val="{00a3b430-0e64-4f1c-8549-0eb79272a39d}"/>
        <w:style w:val=""/>
        <w:category>
          <w:name w:val="常规"/>
          <w:gallery w:val="placeholder"/>
        </w:category>
        <w:types>
          <w:type w:val="bbPlcHdr"/>
        </w:types>
        <w:behaviors>
          <w:behavior w:val="content"/>
        </w:behaviors>
        <w:description w:val=""/>
        <w:guid w:val="{00a3b430-0e64-4f1c-8549-0eb79272a39d}"/>
      </w:docPartPr>
      <w:docPartBody>
        <w:p>
          <w:r>
            <w:rPr>
              <w:color w:val="808080"/>
            </w:rPr>
            <w:t>单击此处输入文字。</w:t>
          </w:r>
        </w:p>
      </w:docPartBody>
    </w:docPart>
    <w:docPart>
      <w:docPartPr>
        <w:name w:val="{6bd9724a-db64-4337-8701-d2cd5bec07b9}"/>
        <w:style w:val=""/>
        <w:category>
          <w:name w:val="常规"/>
          <w:gallery w:val="placeholder"/>
        </w:category>
        <w:types>
          <w:type w:val="bbPlcHdr"/>
        </w:types>
        <w:behaviors>
          <w:behavior w:val="content"/>
        </w:behaviors>
        <w:description w:val=""/>
        <w:guid w:val="{6bd9724a-db64-4337-8701-d2cd5bec07b9}"/>
      </w:docPartPr>
      <w:docPartBody>
        <w:p>
          <w:r>
            <w:rPr>
              <w:color w:val="808080"/>
            </w:rPr>
            <w:t>单击此处输入文字。</w:t>
          </w:r>
        </w:p>
      </w:docPartBody>
    </w:docPart>
    <w:docPart>
      <w:docPartPr>
        <w:name w:val="{7628da6e-5f2b-48eb-aa56-a65188d5b512}"/>
        <w:style w:val=""/>
        <w:category>
          <w:name w:val="常规"/>
          <w:gallery w:val="placeholder"/>
        </w:category>
        <w:types>
          <w:type w:val="bbPlcHdr"/>
        </w:types>
        <w:behaviors>
          <w:behavior w:val="content"/>
        </w:behaviors>
        <w:description w:val=""/>
        <w:guid w:val="{7628da6e-5f2b-48eb-aa56-a65188d5b512}"/>
      </w:docPartPr>
      <w:docPartBody>
        <w:p>
          <w:r>
            <w:rPr>
              <w:color w:val="808080"/>
            </w:rPr>
            <w:t>单击此处输入文字。</w:t>
          </w:r>
        </w:p>
      </w:docPartBody>
    </w:docPart>
    <w:docPart>
      <w:docPartPr>
        <w:name w:val="{072ff9b2-08a4-4dc0-bae4-a72799d49205}"/>
        <w:style w:val=""/>
        <w:category>
          <w:name w:val="常规"/>
          <w:gallery w:val="placeholder"/>
        </w:category>
        <w:types>
          <w:type w:val="bbPlcHdr"/>
        </w:types>
        <w:behaviors>
          <w:behavior w:val="content"/>
        </w:behaviors>
        <w:description w:val=""/>
        <w:guid w:val="{072ff9b2-08a4-4dc0-bae4-a72799d49205}"/>
      </w:docPartPr>
      <w:docPartBody>
        <w:p>
          <w:r>
            <w:rPr>
              <w:color w:val="808080"/>
            </w:rPr>
            <w:t>单击此处输入文字。</w:t>
          </w:r>
        </w:p>
      </w:docPartBody>
    </w:docPart>
    <w:docPart>
      <w:docPartPr>
        <w:name w:val="{19e1d936-bca2-4f9b-b710-9c7448107fc4}"/>
        <w:style w:val=""/>
        <w:category>
          <w:name w:val="常规"/>
          <w:gallery w:val="placeholder"/>
        </w:category>
        <w:types>
          <w:type w:val="bbPlcHdr"/>
        </w:types>
        <w:behaviors>
          <w:behavior w:val="content"/>
        </w:behaviors>
        <w:description w:val=""/>
        <w:guid w:val="{19e1d936-bca2-4f9b-b710-9c7448107fc4}"/>
      </w:docPartPr>
      <w:docPartBody>
        <w:p>
          <w:r>
            <w:rPr>
              <w:color w:val="808080"/>
            </w:rPr>
            <w:t>单击此处输入文字。</w:t>
          </w:r>
        </w:p>
      </w:docPartBody>
    </w:docPart>
    <w:docPart>
      <w:docPartPr>
        <w:name w:val="{7fc35ed3-35e0-4660-9394-da81197a6fc0}"/>
        <w:style w:val=""/>
        <w:category>
          <w:name w:val="常规"/>
          <w:gallery w:val="placeholder"/>
        </w:category>
        <w:types>
          <w:type w:val="bbPlcHdr"/>
        </w:types>
        <w:behaviors>
          <w:behavior w:val="content"/>
        </w:behaviors>
        <w:description w:val=""/>
        <w:guid w:val="{7fc35ed3-35e0-4660-9394-da81197a6fc0}"/>
      </w:docPartPr>
      <w:docPartBody>
        <w:p>
          <w:r>
            <w:rPr>
              <w:color w:val="808080"/>
            </w:rPr>
            <w:t>单击此处输入文字。</w:t>
          </w:r>
        </w:p>
      </w:docPartBody>
    </w:docPart>
    <w:docPart>
      <w:docPartPr>
        <w:name w:val="{f30358d3-a89a-498a-9e94-83551ecd957a}"/>
        <w:style w:val=""/>
        <w:category>
          <w:name w:val="常规"/>
          <w:gallery w:val="placeholder"/>
        </w:category>
        <w:types>
          <w:type w:val="bbPlcHdr"/>
        </w:types>
        <w:behaviors>
          <w:behavior w:val="content"/>
        </w:behaviors>
        <w:description w:val=""/>
        <w:guid w:val="{f30358d3-a89a-498a-9e94-83551ecd957a}"/>
      </w:docPartPr>
      <w:docPartBody>
        <w:p>
          <w:r>
            <w:rPr>
              <w:color w:val="808080"/>
            </w:rPr>
            <w:t>单击此处输入文字。</w:t>
          </w:r>
        </w:p>
      </w:docPartBody>
    </w:docPart>
    <w:docPart>
      <w:docPartPr>
        <w:name w:val="{79a018a0-2bba-4c48-91ab-76d7bc00fac8}"/>
        <w:style w:val=""/>
        <w:category>
          <w:name w:val="常规"/>
          <w:gallery w:val="placeholder"/>
        </w:category>
        <w:types>
          <w:type w:val="bbPlcHdr"/>
        </w:types>
        <w:behaviors>
          <w:behavior w:val="content"/>
        </w:behaviors>
        <w:description w:val=""/>
        <w:guid w:val="{79a018a0-2bba-4c48-91ab-76d7bc00fac8}"/>
      </w:docPartPr>
      <w:docPartBody>
        <w:p>
          <w:r>
            <w:rPr>
              <w:color w:val="808080"/>
            </w:rPr>
            <w:t>单击此处输入文字。</w:t>
          </w:r>
        </w:p>
      </w:docPartBody>
    </w:docPart>
    <w:docPart>
      <w:docPartPr>
        <w:name w:val="{359888fb-5ad5-4629-90f3-d0e4968d284f}"/>
        <w:style w:val=""/>
        <w:category>
          <w:name w:val="常规"/>
          <w:gallery w:val="placeholder"/>
        </w:category>
        <w:types>
          <w:type w:val="bbPlcHdr"/>
        </w:types>
        <w:behaviors>
          <w:behavior w:val="content"/>
        </w:behaviors>
        <w:description w:val=""/>
        <w:guid w:val="{359888fb-5ad5-4629-90f3-d0e4968d284f}"/>
      </w:docPartPr>
      <w:docPartBody>
        <w:p>
          <w:r>
            <w:rPr>
              <w:color w:val="808080"/>
            </w:rPr>
            <w:t>单击此处输入文字。</w:t>
          </w:r>
        </w:p>
      </w:docPartBody>
    </w:docPart>
    <w:docPart>
      <w:docPartPr>
        <w:name w:val="{c4a91268-60a1-438a-9e6c-acc14b6eb7fa}"/>
        <w:style w:val=""/>
        <w:category>
          <w:name w:val="常规"/>
          <w:gallery w:val="placeholder"/>
        </w:category>
        <w:types>
          <w:type w:val="bbPlcHdr"/>
        </w:types>
        <w:behaviors>
          <w:behavior w:val="content"/>
        </w:behaviors>
        <w:description w:val=""/>
        <w:guid w:val="{c4a91268-60a1-438a-9e6c-acc14b6eb7fa}"/>
      </w:docPartPr>
      <w:docPartBody>
        <w:p>
          <w:r>
            <w:rPr>
              <w:color w:val="808080"/>
            </w:rPr>
            <w:t>单击此处输入文字。</w:t>
          </w:r>
        </w:p>
      </w:docPartBody>
    </w:docPart>
    <w:docPart>
      <w:docPartPr>
        <w:name w:val="{15ae8815-b67a-475b-9efe-0f26a4190c80}"/>
        <w:style w:val=""/>
        <w:category>
          <w:name w:val="常规"/>
          <w:gallery w:val="placeholder"/>
        </w:category>
        <w:types>
          <w:type w:val="bbPlcHdr"/>
        </w:types>
        <w:behaviors>
          <w:behavior w:val="content"/>
        </w:behaviors>
        <w:description w:val=""/>
        <w:guid w:val="{15ae8815-b67a-475b-9efe-0f26a4190c80}"/>
      </w:docPartPr>
      <w:docPartBody>
        <w:p>
          <w:r>
            <w:rPr>
              <w:color w:val="808080"/>
            </w:rPr>
            <w:t>单击此处输入文字。</w:t>
          </w:r>
        </w:p>
      </w:docPartBody>
    </w:docPart>
    <w:docPart>
      <w:docPartPr>
        <w:name w:val="{b4827ab1-3207-4929-b0c9-c99c411ccddb}"/>
        <w:style w:val=""/>
        <w:category>
          <w:name w:val="常规"/>
          <w:gallery w:val="placeholder"/>
        </w:category>
        <w:types>
          <w:type w:val="bbPlcHdr"/>
        </w:types>
        <w:behaviors>
          <w:behavior w:val="content"/>
        </w:behaviors>
        <w:description w:val=""/>
        <w:guid w:val="{b4827ab1-3207-4929-b0c9-c99c411ccddb}"/>
      </w:docPartPr>
      <w:docPartBody>
        <w:p>
          <w:r>
            <w:rPr>
              <w:color w:val="808080"/>
            </w:rPr>
            <w:t>单击此处输入文字。</w:t>
          </w:r>
        </w:p>
      </w:docPartBody>
    </w:docPart>
    <w:docPart>
      <w:docPartPr>
        <w:name w:val="{0fd159c5-c88c-40ba-87a4-143f984bd5e5}"/>
        <w:style w:val=""/>
        <w:category>
          <w:name w:val="常规"/>
          <w:gallery w:val="placeholder"/>
        </w:category>
        <w:types>
          <w:type w:val="bbPlcHdr"/>
        </w:types>
        <w:behaviors>
          <w:behavior w:val="content"/>
        </w:behaviors>
        <w:description w:val=""/>
        <w:guid w:val="{0fd159c5-c88c-40ba-87a4-143f984bd5e5}"/>
      </w:docPartPr>
      <w:docPartBody>
        <w:p>
          <w:r>
            <w:rPr>
              <w:color w:val="808080"/>
            </w:rPr>
            <w:t>单击此处输入文字。</w:t>
          </w:r>
        </w:p>
      </w:docPartBody>
    </w:docPart>
    <w:docPart>
      <w:docPartPr>
        <w:name w:val="{80567d2a-e769-4230-83eb-4e669de3e0f2}"/>
        <w:style w:val=""/>
        <w:category>
          <w:name w:val="常规"/>
          <w:gallery w:val="placeholder"/>
        </w:category>
        <w:types>
          <w:type w:val="bbPlcHdr"/>
        </w:types>
        <w:behaviors>
          <w:behavior w:val="content"/>
        </w:behaviors>
        <w:description w:val=""/>
        <w:guid w:val="{80567d2a-e769-4230-83eb-4e669de3e0f2}"/>
      </w:docPartPr>
      <w:docPartBody>
        <w:p>
          <w:r>
            <w:rPr>
              <w:color w:val="808080"/>
            </w:rPr>
            <w:t>单击此处输入文字。</w:t>
          </w:r>
        </w:p>
      </w:docPartBody>
    </w:docPart>
    <w:docPart>
      <w:docPartPr>
        <w:name w:val="{8761f8a3-bcb9-4e3b-833d-e8f7d727ed9f}"/>
        <w:style w:val=""/>
        <w:category>
          <w:name w:val="常规"/>
          <w:gallery w:val="placeholder"/>
        </w:category>
        <w:types>
          <w:type w:val="bbPlcHdr"/>
        </w:types>
        <w:behaviors>
          <w:behavior w:val="content"/>
        </w:behaviors>
        <w:description w:val=""/>
        <w:guid w:val="{8761f8a3-bcb9-4e3b-833d-e8f7d727ed9f}"/>
      </w:docPartPr>
      <w:docPartBody>
        <w:p>
          <w:r>
            <w:rPr>
              <w:color w:val="808080"/>
            </w:rPr>
            <w:t>单击此处输入文字。</w:t>
          </w:r>
        </w:p>
      </w:docPartBody>
    </w:docPart>
    <w:docPart>
      <w:docPartPr>
        <w:name w:val="{68d7dcb4-b4a9-4b63-a12d-557607c9a3ea}"/>
        <w:style w:val=""/>
        <w:category>
          <w:name w:val="常规"/>
          <w:gallery w:val="placeholder"/>
        </w:category>
        <w:types>
          <w:type w:val="bbPlcHdr"/>
        </w:types>
        <w:behaviors>
          <w:behavior w:val="content"/>
        </w:behaviors>
        <w:description w:val=""/>
        <w:guid w:val="{68d7dcb4-b4a9-4b63-a12d-557607c9a3ea}"/>
      </w:docPartPr>
      <w:docPartBody>
        <w:p>
          <w:r>
            <w:rPr>
              <w:color w:val="808080"/>
            </w:rPr>
            <w:t>单击此处输入文字。</w:t>
          </w:r>
        </w:p>
      </w:docPartBody>
    </w:docPart>
    <w:docPart>
      <w:docPartPr>
        <w:name w:val="{90ddf160-fe60-4677-b2c1-b686d05ae469}"/>
        <w:style w:val=""/>
        <w:category>
          <w:name w:val="常规"/>
          <w:gallery w:val="placeholder"/>
        </w:category>
        <w:types>
          <w:type w:val="bbPlcHdr"/>
        </w:types>
        <w:behaviors>
          <w:behavior w:val="content"/>
        </w:behaviors>
        <w:description w:val=""/>
        <w:guid w:val="{90ddf160-fe60-4677-b2c1-b686d05ae469}"/>
      </w:docPartPr>
      <w:docPartBody>
        <w:p>
          <w:r>
            <w:rPr>
              <w:color w:val="808080"/>
            </w:rPr>
            <w:t>单击此处输入文字。</w:t>
          </w:r>
        </w:p>
      </w:docPartBody>
    </w:docPart>
    <w:docPart>
      <w:docPartPr>
        <w:name w:val="{be7bc540-a671-4773-bcd5-73ce866f2f66}"/>
        <w:style w:val=""/>
        <w:category>
          <w:name w:val="常规"/>
          <w:gallery w:val="placeholder"/>
        </w:category>
        <w:types>
          <w:type w:val="bbPlcHdr"/>
        </w:types>
        <w:behaviors>
          <w:behavior w:val="content"/>
        </w:behaviors>
        <w:description w:val=""/>
        <w:guid w:val="{be7bc540-a671-4773-bcd5-73ce866f2f66}"/>
      </w:docPartPr>
      <w:docPartBody>
        <w:p>
          <w:r>
            <w:rPr>
              <w:color w:val="808080"/>
            </w:rPr>
            <w:t>单击此处输入文字。</w:t>
          </w:r>
        </w:p>
      </w:docPartBody>
    </w:docPart>
    <w:docPart>
      <w:docPartPr>
        <w:name w:val="{bc70d963-bfbe-4954-8062-de730fd24363}"/>
        <w:style w:val=""/>
        <w:category>
          <w:name w:val="常规"/>
          <w:gallery w:val="placeholder"/>
        </w:category>
        <w:types>
          <w:type w:val="bbPlcHdr"/>
        </w:types>
        <w:behaviors>
          <w:behavior w:val="content"/>
        </w:behaviors>
        <w:description w:val=""/>
        <w:guid w:val="{bc70d963-bfbe-4954-8062-de730fd24363}"/>
      </w:docPartPr>
      <w:docPartBody>
        <w:p>
          <w:r>
            <w:rPr>
              <w:color w:val="808080"/>
            </w:rPr>
            <w:t>单击此处输入文字。</w:t>
          </w:r>
        </w:p>
      </w:docPartBody>
    </w:docPart>
    <w:docPart>
      <w:docPartPr>
        <w:name w:val="{e3346777-f8d8-4e96-b823-979b946f2f61}"/>
        <w:style w:val=""/>
        <w:category>
          <w:name w:val="常规"/>
          <w:gallery w:val="placeholder"/>
        </w:category>
        <w:types>
          <w:type w:val="bbPlcHdr"/>
        </w:types>
        <w:behaviors>
          <w:behavior w:val="content"/>
        </w:behaviors>
        <w:description w:val=""/>
        <w:guid w:val="{e3346777-f8d8-4e96-b823-979b946f2f61}"/>
      </w:docPartPr>
      <w:docPartBody>
        <w:p>
          <w:r>
            <w:rPr>
              <w:color w:val="808080"/>
            </w:rPr>
            <w:t>单击此处输入文字。</w:t>
          </w:r>
        </w:p>
      </w:docPartBody>
    </w:docPart>
    <w:docPart>
      <w:docPartPr>
        <w:name w:val="{b0f11c72-de26-4b49-b448-6c911d745f77}"/>
        <w:style w:val=""/>
        <w:category>
          <w:name w:val="常规"/>
          <w:gallery w:val="placeholder"/>
        </w:category>
        <w:types>
          <w:type w:val="bbPlcHdr"/>
        </w:types>
        <w:behaviors>
          <w:behavior w:val="content"/>
        </w:behaviors>
        <w:description w:val=""/>
        <w:guid w:val="{b0f11c72-de26-4b49-b448-6c911d745f7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949</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2021-10-20T02:44:47Z</cp:lastPrinted>
  <dcterms:modified xsi:type="dcterms:W3CDTF">2021-10-20T02:50:48Z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