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hint="eastAsia" w:ascii="方正小标宋简体" w:hAnsi="宋体" w:eastAsia="方正小标宋简体"/>
          <w:color w:val="000000"/>
          <w:sz w:val="72"/>
          <w:szCs w:val="72"/>
        </w:rPr>
      </w:pPr>
      <w:bookmarkStart w:id="1" w:name="_Toc15377425"/>
      <w:bookmarkStart w:id="2" w:name="_Toc15377193"/>
      <w:bookmarkStart w:id="3" w:name="_Toc15396597"/>
      <w:bookmarkStart w:id="4" w:name="_Toc15378441"/>
      <w:bookmarkStart w:id="5" w:name="_Toc15396475"/>
      <w:r>
        <w:rPr>
          <w:rFonts w:hint="eastAsia" w:ascii="方正小标宋简体" w:hAnsi="宋体" w:eastAsia="方正小标宋简体"/>
          <w:color w:val="000000"/>
          <w:sz w:val="72"/>
          <w:szCs w:val="72"/>
        </w:rPr>
        <w:t>四川省乐山市峨眉山市</w:t>
      </w:r>
    </w:p>
    <w:p>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r>
        <w:rPr>
          <w:rFonts w:hint="eastAsia" w:ascii="方正小标宋简体" w:hAnsi="宋体" w:eastAsia="方正小标宋简体"/>
          <w:color w:val="000000"/>
          <w:sz w:val="72"/>
          <w:szCs w:val="72"/>
        </w:rPr>
        <w:t>九里镇第一小学校</w:t>
      </w:r>
      <w:r>
        <w:rPr>
          <w:rFonts w:ascii="黑体" w:hAnsi="黑体" w:eastAsia="黑体"/>
          <w:color w:val="000000"/>
          <w:sz w:val="72"/>
          <w:szCs w:val="72"/>
        </w:rPr>
        <w:t>20</w:t>
      </w:r>
      <w:r>
        <w:rPr>
          <w:rFonts w:hint="eastAsia" w:ascii="黑体" w:hAnsi="黑体" w:eastAsia="黑体"/>
          <w:color w:val="000000"/>
          <w:sz w:val="72"/>
          <w:szCs w:val="72"/>
          <w:lang w:val="en-US" w:eastAsia="zh-CN"/>
        </w:rPr>
        <w:t>20</w:t>
      </w:r>
      <w:r>
        <w:rPr>
          <w:rFonts w:hint="eastAsia" w:ascii="方正小标宋简体" w:hAnsi="宋体" w:eastAsia="方正小标宋简体"/>
          <w:color w:val="000000"/>
          <w:sz w:val="72"/>
          <w:szCs w:val="72"/>
        </w:rPr>
        <w:t>年度</w:t>
      </w:r>
      <w:bookmarkEnd w:id="0"/>
      <w:bookmarkEnd w:id="1"/>
      <w:bookmarkEnd w:id="2"/>
      <w:bookmarkEnd w:id="3"/>
      <w:bookmarkEnd w:id="4"/>
      <w:bookmarkEnd w:id="5"/>
      <w:bookmarkStart w:id="6" w:name="_Toc15396598"/>
      <w:bookmarkStart w:id="7" w:name="_Toc15396476"/>
      <w:bookmarkStart w:id="8" w:name="_Toc15377426"/>
      <w:bookmarkStart w:id="9" w:name="_Toc15377194"/>
      <w:bookmarkStart w:id="10" w:name="_Toc15378442"/>
      <w:bookmarkStart w:id="11" w:name="_Toc15306268"/>
      <w:r>
        <w:rPr>
          <w:rFonts w:hint="eastAsia" w:ascii="方正小标宋简体" w:hAnsi="宋体" w:eastAsia="方正小标宋简体"/>
          <w:color w:val="000000"/>
          <w:sz w:val="72"/>
          <w:szCs w:val="72"/>
        </w:rPr>
        <w:t>决算</w:t>
      </w:r>
      <w:bookmarkEnd w:id="6"/>
      <w:bookmarkEnd w:id="7"/>
      <w:bookmarkEnd w:id="8"/>
      <w:bookmarkEnd w:id="9"/>
      <w:bookmarkEnd w:id="10"/>
      <w:bookmarkEnd w:id="11"/>
      <w:r>
        <w:rPr>
          <w:rFonts w:hint="eastAsia" w:ascii="方正小标宋简体" w:hAnsi="宋体" w:eastAsia="方正小标宋简体"/>
          <w:color w:val="000000"/>
          <w:sz w:val="72"/>
          <w:szCs w:val="72"/>
          <w:lang w:eastAsia="zh-CN"/>
        </w:rPr>
        <w:t>公开编制说明</w:t>
      </w:r>
    </w:p>
    <w:p>
      <w:pPr>
        <w:widowControl/>
        <w:jc w:val="center"/>
        <w:rPr>
          <w:rFonts w:ascii="黑体" w:hAnsi="黑体" w:eastAsia="黑体"/>
          <w:color w:val="000000"/>
          <w:sz w:val="48"/>
          <w:szCs w:val="48"/>
        </w:rPr>
      </w:pPr>
      <w:bookmarkStart w:id="73" w:name="_GoBack"/>
      <w:bookmarkEnd w:id="73"/>
      <w:r>
        <w:rPr>
          <w:rFonts w:ascii="方正小标宋简体" w:hAnsi="宋体" w:eastAsia="方正小标宋简体"/>
          <w:color w:val="000000"/>
          <w:sz w:val="36"/>
          <w:szCs w:val="36"/>
        </w:rPr>
        <w:br w:type="page"/>
      </w:r>
      <w:bookmarkStart w:id="12" w:name="_Toc15396599"/>
      <w:bookmarkStart w:id="13" w:name="_Toc15377196"/>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rPr>
          <w:sz w:val="32"/>
          <w:szCs w:val="32"/>
        </w:rPr>
      </w:pPr>
      <w:r>
        <w:rPr>
          <w:rFonts w:hint="eastAsia"/>
          <w:sz w:val="32"/>
          <w:szCs w:val="32"/>
        </w:rPr>
        <w:t>公开时间：202</w:t>
      </w:r>
      <w:r>
        <w:rPr>
          <w:rFonts w:hint="eastAsia"/>
          <w:sz w:val="32"/>
          <w:szCs w:val="32"/>
          <w:lang w:val="en-US" w:eastAsia="zh-CN"/>
        </w:rPr>
        <w:t>1</w:t>
      </w:r>
      <w:r>
        <w:rPr>
          <w:rFonts w:hint="eastAsia"/>
          <w:sz w:val="32"/>
          <w:szCs w:val="32"/>
        </w:rPr>
        <w:t>年10月</w:t>
      </w:r>
      <w:r>
        <w:rPr>
          <w:rFonts w:hint="eastAsia"/>
          <w:sz w:val="32"/>
          <w:szCs w:val="32"/>
          <w:lang w:val="en-US" w:eastAsia="zh-CN"/>
        </w:rPr>
        <w:t>22</w:t>
      </w:r>
      <w:r>
        <w:rPr>
          <w:rFonts w:hint="eastAsia"/>
          <w:sz w:val="32"/>
          <w:szCs w:val="32"/>
        </w:rPr>
        <w:t>日</w:t>
      </w:r>
    </w:p>
    <w:p>
      <w:pPr>
        <w:rPr>
          <w:rFonts w:ascii="仿宋" w:hAnsi="仿宋" w:eastAsia="仿宋"/>
          <w:sz w:val="32"/>
          <w:szCs w:val="32"/>
        </w:rPr>
      </w:pPr>
    </w:p>
    <w:p>
      <w:pPr>
        <w:pStyle w:val="10"/>
        <w:adjustRightInd w:val="0"/>
        <w:snapToGrid w:val="0"/>
        <w:spacing w:before="0" w:line="440" w:lineRule="exact"/>
        <w:jc w:val="left"/>
        <w:rPr>
          <w:rFonts w:cstheme="minorBidi"/>
          <w:sz w:val="32"/>
          <w:szCs w:val="32"/>
        </w:rPr>
      </w:pPr>
      <w:r>
        <w:rPr>
          <w:rFonts w:hint="eastAsia"/>
          <w:sz w:val="32"/>
          <w:szCs w:val="32"/>
        </w:rPr>
        <w:t>第一部分</w:t>
      </w:r>
      <w:r>
        <w:rPr>
          <w:sz w:val="32"/>
          <w:szCs w:val="32"/>
        </w:rPr>
        <w:t xml:space="preserve"> </w:t>
      </w:r>
      <w:r>
        <w:rPr>
          <w:rFonts w:hint="eastAsia"/>
          <w:sz w:val="32"/>
          <w:szCs w:val="32"/>
        </w:rPr>
        <w:t>部门概况（4）</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一、基本职能及主要工作（4）</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二、机构设置（4）</w:t>
      </w:r>
    </w:p>
    <w:p>
      <w:pPr>
        <w:pStyle w:val="10"/>
        <w:adjustRightInd w:val="0"/>
        <w:snapToGrid w:val="0"/>
        <w:spacing w:before="0" w:line="440" w:lineRule="exact"/>
        <w:jc w:val="left"/>
        <w:rPr>
          <w:sz w:val="32"/>
          <w:szCs w:val="32"/>
        </w:rPr>
      </w:pPr>
      <w:r>
        <w:rPr>
          <w:rFonts w:hint="eastAsia"/>
          <w:sz w:val="32"/>
          <w:szCs w:val="32"/>
        </w:rPr>
        <w:t>第二部分度部门决算情况说明（5）</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一、收入支出决算总体情况说明（5）</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二、收入决算情况说明（5）</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三、支出决算情况说明（5-6）</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四、财政拨款收入支出决算总体情况说明（6-7）</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五、一般公共预算财政拨款支出决算情况说明（7-9）</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六、一般公共预算财政拨款基本支出决算情况说明（9-10）</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七、</w:t>
      </w:r>
      <w:r>
        <w:rPr>
          <w:rFonts w:ascii="仿宋" w:hAnsi="仿宋" w:eastAsia="仿宋"/>
          <w:sz w:val="32"/>
          <w:szCs w:val="32"/>
        </w:rPr>
        <w:t>“</w:t>
      </w:r>
      <w:r>
        <w:rPr>
          <w:rFonts w:hint="eastAsia" w:ascii="仿宋" w:hAnsi="仿宋" w:eastAsia="仿宋"/>
          <w:sz w:val="32"/>
          <w:szCs w:val="32"/>
        </w:rPr>
        <w:t>三公”经费财政拨款支出决算情况说明（10-11）</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八、政府性基金预算支出决算情况说明（11-12）</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九、</w:t>
      </w:r>
      <w:r>
        <w:rPr>
          <w:rFonts w:ascii="仿宋" w:hAnsi="仿宋" w:eastAsia="仿宋"/>
          <w:sz w:val="32"/>
          <w:szCs w:val="32"/>
        </w:rPr>
        <w:t xml:space="preserve"> 国</w:t>
      </w:r>
      <w:r>
        <w:rPr>
          <w:rFonts w:hint="eastAsia" w:ascii="仿宋" w:hAnsi="仿宋" w:eastAsia="仿宋"/>
          <w:sz w:val="32"/>
          <w:szCs w:val="32"/>
        </w:rPr>
        <w:t>有资本经营预算支出决算情况说明（12）</w:t>
      </w:r>
    </w:p>
    <w:p>
      <w:pPr>
        <w:pStyle w:val="11"/>
        <w:adjustRightInd w:val="0"/>
        <w:snapToGrid w:val="0"/>
        <w:spacing w:line="440" w:lineRule="exact"/>
        <w:jc w:val="left"/>
        <w:rPr>
          <w:rFonts w:ascii="仿宋" w:hAnsi="仿宋" w:eastAsia="仿宋"/>
          <w:sz w:val="32"/>
          <w:szCs w:val="32"/>
        </w:rPr>
      </w:pPr>
      <w:r>
        <w:rPr>
          <w:rStyle w:val="15"/>
          <w:rFonts w:hint="eastAsia" w:ascii="仿宋" w:hAnsi="仿宋" w:eastAsia="仿宋"/>
          <w:color w:val="000000" w:themeColor="text1"/>
          <w:sz w:val="32"/>
          <w:szCs w:val="32"/>
          <w:u w:val="none"/>
        </w:rPr>
        <w:t>十、</w:t>
      </w:r>
      <w:r>
        <w:rPr>
          <w:rFonts w:hint="eastAsia" w:ascii="仿宋" w:hAnsi="仿宋" w:eastAsia="仿宋"/>
          <w:sz w:val="32"/>
          <w:szCs w:val="32"/>
        </w:rPr>
        <w:t>其他重要事项的情况说明（13-16）</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第三部分</w:t>
      </w:r>
      <w:r>
        <w:rPr>
          <w:rFonts w:ascii="仿宋" w:hAnsi="仿宋" w:eastAsia="仿宋"/>
          <w:sz w:val="32"/>
          <w:szCs w:val="32"/>
        </w:rPr>
        <w:t xml:space="preserve"> </w:t>
      </w:r>
      <w:r>
        <w:rPr>
          <w:rFonts w:hint="eastAsia" w:ascii="仿宋" w:hAnsi="仿宋" w:eastAsia="仿宋"/>
          <w:sz w:val="32"/>
          <w:szCs w:val="32"/>
        </w:rPr>
        <w:t>名词解释（17-19）</w:t>
      </w:r>
    </w:p>
    <w:p>
      <w:pPr>
        <w:pStyle w:val="10"/>
        <w:adjustRightInd w:val="0"/>
        <w:snapToGrid w:val="0"/>
        <w:spacing w:before="0" w:line="440" w:lineRule="exact"/>
        <w:jc w:val="left"/>
        <w:rPr>
          <w:rFonts w:cstheme="minorBidi"/>
          <w:sz w:val="32"/>
          <w:szCs w:val="32"/>
        </w:rPr>
      </w:pPr>
      <w:r>
        <w:rPr>
          <w:rFonts w:hint="eastAsia"/>
          <w:sz w:val="32"/>
          <w:szCs w:val="32"/>
        </w:rPr>
        <w:t>第四部分</w:t>
      </w:r>
      <w:r>
        <w:rPr>
          <w:sz w:val="32"/>
          <w:szCs w:val="32"/>
        </w:rPr>
        <w:t xml:space="preserve"> </w:t>
      </w:r>
      <w:r>
        <w:rPr>
          <w:rFonts w:hint="eastAsia"/>
          <w:sz w:val="32"/>
          <w:szCs w:val="32"/>
        </w:rPr>
        <w:t>附件</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1</w:t>
      </w:r>
      <w:r>
        <w:rPr>
          <w:rFonts w:hint="eastAsia" w:ascii="仿宋" w:hAnsi="仿宋" w:eastAsia="仿宋"/>
          <w:sz w:val="32"/>
          <w:szCs w:val="32"/>
        </w:rPr>
        <w:t>（20-28）</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2</w:t>
      </w:r>
      <w:r>
        <w:rPr>
          <w:rFonts w:hint="eastAsia" w:ascii="仿宋" w:hAnsi="仿宋" w:eastAsia="仿宋"/>
          <w:sz w:val="32"/>
          <w:szCs w:val="32"/>
        </w:rPr>
        <w:t>（29-32）</w:t>
      </w:r>
    </w:p>
    <w:p>
      <w:pPr>
        <w:pStyle w:val="10"/>
        <w:adjustRightInd w:val="0"/>
        <w:snapToGrid w:val="0"/>
        <w:spacing w:before="0" w:line="440" w:lineRule="exact"/>
        <w:jc w:val="left"/>
        <w:rPr>
          <w:rFonts w:cstheme="minorBidi"/>
          <w:sz w:val="32"/>
          <w:szCs w:val="32"/>
        </w:rPr>
      </w:pPr>
      <w:r>
        <w:rPr>
          <w:rFonts w:hint="eastAsia"/>
          <w:sz w:val="32"/>
          <w:szCs w:val="32"/>
        </w:rPr>
        <w:t>第五部分</w:t>
      </w:r>
      <w:r>
        <w:rPr>
          <w:sz w:val="32"/>
          <w:szCs w:val="32"/>
        </w:rPr>
        <w:t xml:space="preserve"> </w:t>
      </w:r>
      <w:r>
        <w:rPr>
          <w:rFonts w:hint="eastAsia"/>
          <w:sz w:val="32"/>
          <w:szCs w:val="32"/>
        </w:rPr>
        <w:t>附表</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一、收入支出决算总表</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二、收入决算表</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三、支出决算表</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四、财政拨款收入支出决算总表</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五、财政拨款支出决算明细表</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六、一般公共预算财政拨款支出决算表</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七、一般公共预算财政拨款支出决算明细表</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八、一般公共预算财政拨款基本支出决算表</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九、一般公共预算财政拨款项目支出决算表</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十、一般公共预算财政拨款“三公”经费支出决算表</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十一、政府性基金预算财政拨款收入支出决算表</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十二、政府性基金预算财政拨款“三公”经费支出决算表</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十三、国有资本经营预算支出决算表</w:t>
      </w:r>
    </w:p>
    <w:p>
      <w:pPr>
        <w:widowControl/>
        <w:jc w:val="center"/>
        <w:rPr>
          <w:rFonts w:ascii="仿宋" w:hAnsi="仿宋" w:eastAsia="仿宋"/>
          <w:bCs/>
          <w:kern w:val="44"/>
          <w:sz w:val="24"/>
        </w:rPr>
      </w:pPr>
      <w:r>
        <w:rPr>
          <w:rFonts w:ascii="仿宋" w:hAnsi="仿宋" w:eastAsia="仿宋"/>
          <w:b/>
          <w:sz w:val="24"/>
        </w:rPr>
        <w:br w:type="page"/>
      </w: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5"/>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r>
        <w:rPr>
          <w:rFonts w:hint="eastAsia" w:ascii="仿宋" w:hAnsi="仿宋" w:eastAsia="仿宋"/>
          <w:color w:val="0C0C0C"/>
          <w:sz w:val="32"/>
          <w:szCs w:val="32"/>
        </w:rPr>
        <w:t>实施小学义务教育。</w:t>
      </w:r>
      <w:r>
        <w:rPr>
          <w:rFonts w:hint="eastAsia" w:ascii="仿宋" w:hAnsi="仿宋" w:eastAsia="仿宋"/>
          <w:bCs/>
          <w:color w:val="000000"/>
          <w:sz w:val="32"/>
          <w:szCs w:val="32"/>
        </w:rPr>
        <w:t>（职能参照省政府批准的三定方案）</w:t>
      </w:r>
      <w:bookmarkEnd w:id="16"/>
      <w:bookmarkEnd w:id="17"/>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w:t>
      </w:r>
      <w:r>
        <w:rPr>
          <w:rFonts w:hint="eastAsia" w:ascii="仿宋" w:hAnsi="仿宋" w:eastAsia="仿宋"/>
          <w:bCs/>
          <w:color w:val="000000"/>
          <w:sz w:val="32"/>
          <w:szCs w:val="32"/>
          <w:lang w:val="en-US" w:eastAsia="zh-CN"/>
        </w:rPr>
        <w:t>20</w:t>
      </w:r>
      <w:r>
        <w:rPr>
          <w:rFonts w:hint="eastAsia" w:ascii="仿宋" w:hAnsi="仿宋" w:eastAsia="仿宋"/>
          <w:bCs/>
          <w:color w:val="000000"/>
          <w:sz w:val="32"/>
          <w:szCs w:val="32"/>
        </w:rPr>
        <w:t>年重点工作完成情况</w:t>
      </w:r>
      <w:bookmarkEnd w:id="18"/>
      <w:bookmarkEnd w:id="19"/>
      <w:r>
        <w:rPr>
          <w:rFonts w:hint="eastAsia" w:ascii="仿宋" w:hAnsi="仿宋" w:eastAsia="仿宋"/>
          <w:bCs/>
          <w:color w:val="000000"/>
          <w:sz w:val="32"/>
          <w:szCs w:val="32"/>
        </w:rPr>
        <w:t>:</w:t>
      </w:r>
      <w:r>
        <w:rPr>
          <w:rFonts w:hint="eastAsia" w:ascii="仿宋" w:hAnsi="仿宋" w:eastAsia="仿宋"/>
          <w:color w:val="0C0C0C"/>
          <w:sz w:val="32"/>
          <w:szCs w:val="32"/>
        </w:rPr>
        <w:t xml:space="preserve"> 我校为小学义务教育学校，本年度在主管部门的领导下正常开展教育教学工作，小学教学质量全市</w:t>
      </w:r>
      <w:r>
        <w:rPr>
          <w:rFonts w:hint="eastAsia" w:ascii="仿宋" w:hAnsi="仿宋" w:eastAsia="仿宋"/>
          <w:color w:val="0C0C0C"/>
          <w:sz w:val="32"/>
          <w:szCs w:val="32"/>
          <w:lang w:eastAsia="zh-CN"/>
        </w:rPr>
        <w:t>二</w:t>
      </w:r>
      <w:r>
        <w:rPr>
          <w:rFonts w:hint="eastAsia" w:ascii="仿宋" w:hAnsi="仿宋" w:eastAsia="仿宋"/>
          <w:color w:val="0C0C0C"/>
          <w:sz w:val="32"/>
          <w:szCs w:val="32"/>
        </w:rPr>
        <w:t>等奖</w:t>
      </w:r>
    </w:p>
    <w:p>
      <w:pPr>
        <w:pStyle w:val="3"/>
        <w:rPr>
          <w:rStyle w:val="25"/>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ind w:firstLine="800" w:firstLineChars="250"/>
        <w:rPr>
          <w:rFonts w:ascii="仿宋" w:hAnsi="仿宋" w:eastAsia="仿宋"/>
          <w:sz w:val="32"/>
          <w:szCs w:val="32"/>
        </w:rPr>
      </w:pPr>
      <w:r>
        <w:rPr>
          <w:rFonts w:hint="eastAsia" w:ascii="仿宋" w:hAnsi="仿宋" w:eastAsia="仿宋"/>
          <w:sz w:val="32"/>
          <w:szCs w:val="32"/>
        </w:rPr>
        <w:t>峨眉山市九里镇第一小学校下属二级单位0个，其中行政单位0个，参照公务员法管理的事业单位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个，其他事业单位1个。</w:t>
      </w:r>
    </w:p>
    <w:p>
      <w:pPr>
        <w:pStyle w:val="2"/>
        <w:ind w:right="1320"/>
        <w:rPr>
          <w:rFonts w:ascii="黑体" w:hAnsi="黑体" w:eastAsia="黑体"/>
          <w:b w:val="0"/>
          <w:color w:val="000000"/>
        </w:rPr>
      </w:pPr>
      <w:bookmarkStart w:id="22" w:name="_Toc15396602"/>
      <w:bookmarkStart w:id="23" w:name="_Toc15377204"/>
    </w:p>
    <w:p/>
    <w:p>
      <w:pPr>
        <w:pStyle w:val="2"/>
        <w:ind w:right="1320"/>
        <w:rPr>
          <w:rFonts w:hint="eastAsia" w:ascii="黑体" w:hAnsi="黑体" w:eastAsia="黑体"/>
          <w:b w:val="0"/>
          <w:color w:val="000000"/>
        </w:rPr>
      </w:pPr>
    </w:p>
    <w:p>
      <w:pPr>
        <w:rPr>
          <w:rFonts w:hint="eastAsia"/>
        </w:rPr>
      </w:pPr>
    </w:p>
    <w:p>
      <w:pPr>
        <w:pStyle w:val="2"/>
        <w:numPr>
          <w:ilvl w:val="0"/>
          <w:numId w:val="1"/>
        </w:numPr>
        <w:ind w:right="1320"/>
        <w:rPr>
          <w:rStyle w:val="24"/>
          <w:rFonts w:hint="eastAsia" w:ascii="黑体" w:hAnsi="黑体" w:eastAsia="黑体"/>
          <w:b w:val="0"/>
          <w:bCs w:val="0"/>
          <w:lang w:eastAsia="zh-CN"/>
        </w:rPr>
      </w:pPr>
      <w:r>
        <w:rPr>
          <w:rStyle w:val="24"/>
          <w:rFonts w:hint="eastAsia" w:ascii="黑体" w:hAnsi="黑体" w:eastAsia="黑体"/>
          <w:b w:val="0"/>
          <w:bCs w:val="0"/>
          <w:lang w:val="en-US" w:eastAsia="zh-CN"/>
        </w:rPr>
        <w:t>2020</w:t>
      </w:r>
      <w:r>
        <w:rPr>
          <w:rStyle w:val="24"/>
          <w:rFonts w:hint="eastAsia" w:ascii="黑体" w:hAnsi="黑体" w:eastAsia="黑体"/>
          <w:b w:val="0"/>
          <w:bCs w:val="0"/>
        </w:rPr>
        <w:t>年度部门决算情况</w:t>
      </w:r>
      <w:bookmarkEnd w:id="22"/>
      <w:bookmarkEnd w:id="23"/>
      <w:r>
        <w:rPr>
          <w:rStyle w:val="24"/>
          <w:rFonts w:hint="eastAsia" w:ascii="黑体" w:hAnsi="黑体" w:eastAsia="黑体"/>
          <w:b w:val="0"/>
          <w:bCs w:val="0"/>
          <w:lang w:eastAsia="zh-CN"/>
        </w:rPr>
        <w:t>说</w:t>
      </w:r>
    </w:p>
    <w:p>
      <w:pPr>
        <w:pStyle w:val="2"/>
        <w:numPr>
          <w:ilvl w:val="0"/>
          <w:numId w:val="0"/>
        </w:numPr>
        <w:ind w:right="1320" w:rightChars="0"/>
        <w:rPr>
          <w:rFonts w:hint="eastAsia" w:ascii="黑体" w:hAnsi="黑体" w:eastAsia="黑体"/>
          <w:b w:val="0"/>
          <w:bCs w:val="0"/>
          <w:lang w:eastAsia="zh-CN"/>
        </w:rPr>
      </w:pPr>
      <w:r>
        <w:rPr>
          <w:rStyle w:val="24"/>
          <w:rFonts w:hint="eastAsia" w:ascii="黑体" w:hAnsi="黑体" w:eastAsia="黑体"/>
          <w:b w:val="0"/>
          <w:bCs w:val="0"/>
          <w:lang w:eastAsia="zh-CN"/>
        </w:rPr>
        <w:t>明</w:t>
      </w:r>
    </w:p>
    <w:p>
      <w:pPr>
        <w:pStyle w:val="23"/>
        <w:numPr>
          <w:ilvl w:val="0"/>
          <w:numId w:val="2"/>
        </w:numPr>
        <w:spacing w:line="600" w:lineRule="exact"/>
        <w:ind w:firstLineChars="0"/>
        <w:outlineLvl w:val="1"/>
        <w:rPr>
          <w:rStyle w:val="25"/>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年度收、支总计961.58万元。与201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w:t>
      </w:r>
      <w:r>
        <w:rPr>
          <w:rFonts w:ascii="仿宋" w:hAnsi="仿宋" w:eastAsia="仿宋"/>
          <w:color w:val="000000"/>
          <w:sz w:val="32"/>
          <w:szCs w:val="32"/>
        </w:rPr>
        <w:t>526.57</w:t>
      </w:r>
      <w:r>
        <w:rPr>
          <w:rFonts w:hint="eastAsia" w:ascii="仿宋" w:hAnsi="仿宋" w:eastAsia="仿宋"/>
          <w:color w:val="000000"/>
          <w:sz w:val="32"/>
          <w:szCs w:val="32"/>
        </w:rPr>
        <w:t>万元相比，收、支总计各增加</w:t>
      </w:r>
      <w:r>
        <w:rPr>
          <w:rFonts w:hint="eastAsia" w:ascii="仿宋" w:hAnsi="仿宋" w:eastAsia="仿宋"/>
          <w:color w:val="000000"/>
          <w:sz w:val="32"/>
          <w:szCs w:val="32"/>
          <w:lang w:val="en-US" w:eastAsia="zh-CN"/>
        </w:rPr>
        <w:t>435.01</w:t>
      </w:r>
      <w:r>
        <w:rPr>
          <w:rFonts w:hint="eastAsia" w:ascii="仿宋" w:hAnsi="仿宋" w:eastAsia="仿宋"/>
          <w:color w:val="000000"/>
          <w:sz w:val="32"/>
          <w:szCs w:val="32"/>
        </w:rPr>
        <w:t>万元。主要变动原因是人员人员经费和学校合并后开支增加。</w:t>
      </w:r>
    </w:p>
    <w:p>
      <w:pPr>
        <w:spacing w:line="600" w:lineRule="exact"/>
        <w:rPr>
          <w:rFonts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4143375" cy="286702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4143375" cy="2867025"/>
                    </a:xfrm>
                    <a:prstGeom prst="rect">
                      <a:avLst/>
                    </a:prstGeom>
                    <a:noFill/>
                    <a:ln w="9525">
                      <a:noFill/>
                    </a:ln>
                  </pic:spPr>
                </pic:pic>
              </a:graphicData>
            </a:graphic>
          </wp:inline>
        </w:drawing>
      </w:r>
    </w:p>
    <w:p>
      <w:pPr>
        <w:keepNext w:val="0"/>
        <w:keepLines w:val="0"/>
        <w:widowControl/>
        <w:suppressLineNumbers w:val="0"/>
        <w:jc w:val="left"/>
      </w:pPr>
    </w:p>
    <w:p>
      <w:pPr>
        <w:widowControl/>
        <w:jc w:val="left"/>
        <w:rPr>
          <w:rFonts w:ascii="宋体" w:hAnsi="宋体" w:cs="宋体"/>
          <w:kern w:val="0"/>
          <w:sz w:val="24"/>
        </w:rPr>
      </w:pPr>
    </w:p>
    <w:p>
      <w:pPr>
        <w:pStyle w:val="23"/>
        <w:numPr>
          <w:ilvl w:val="0"/>
          <w:numId w:val="0"/>
        </w:numPr>
        <w:spacing w:line="600" w:lineRule="exact"/>
        <w:outlineLvl w:val="1"/>
        <w:rPr>
          <w:rStyle w:val="25"/>
          <w:rFonts w:ascii="仿宋" w:hAnsi="仿宋" w:eastAsia="仿宋" w:cs="Times New Roman"/>
          <w:b w:val="0"/>
          <w:bCs w:val="0"/>
          <w:color w:val="000000"/>
        </w:rPr>
      </w:pPr>
      <w:bookmarkStart w:id="26" w:name="_Toc15396604"/>
      <w:bookmarkStart w:id="27" w:name="_Toc15377206"/>
      <w:r>
        <w:rPr>
          <w:rFonts w:hint="eastAsia" w:ascii="黑体" w:hAnsi="黑体" w:eastAsia="黑体"/>
          <w:color w:val="000000"/>
          <w:sz w:val="32"/>
          <w:szCs w:val="32"/>
          <w:lang w:eastAsia="zh-CN"/>
        </w:rPr>
        <w:t>二、</w:t>
      </w:r>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r>
        <w:rPr>
          <w:rStyle w:val="25"/>
          <w:rFonts w:hint="eastAsia" w:ascii="黑体" w:hAnsi="黑体" w:eastAsia="黑体"/>
          <w:b w:val="0"/>
        </w:rPr>
        <w:t>来源于</w:t>
      </w:r>
    </w:p>
    <w:p>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年本年收入合计755.61万元，其中：一般公共预算财政拨款收入75</w:t>
      </w:r>
      <w:r>
        <w:rPr>
          <w:rFonts w:hint="eastAsia" w:ascii="仿宋" w:hAnsi="仿宋" w:eastAsia="仿宋"/>
          <w:color w:val="000000"/>
          <w:sz w:val="32"/>
          <w:szCs w:val="32"/>
          <w:lang w:val="en-US" w:eastAsia="zh-CN"/>
        </w:rPr>
        <w:t>1.19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99.42</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4.42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0.58</w:t>
      </w:r>
      <w:r>
        <w:rPr>
          <w:rFonts w:ascii="仿宋" w:hAnsi="仿宋" w:eastAsia="仿宋"/>
          <w:color w:val="000000"/>
          <w:sz w:val="32"/>
          <w:szCs w:val="32"/>
        </w:rPr>
        <w:t>%</w:t>
      </w:r>
      <w:r>
        <w:rPr>
          <w:rFonts w:hint="eastAsia" w:ascii="仿宋" w:hAnsi="仿宋" w:eastAsia="仿宋"/>
          <w:color w:val="000000"/>
          <w:sz w:val="32"/>
          <w:szCs w:val="32"/>
        </w:rPr>
        <w:t>；上级补助收入0万元，占0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658235" cy="2426970"/>
            <wp:effectExtent l="0" t="0" r="18415" b="11430"/>
            <wp:docPr id="7"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IMG_256"/>
                    <pic:cNvPicPr>
                      <a:picLocks noChangeAspect="1"/>
                    </pic:cNvPicPr>
                  </pic:nvPicPr>
                  <pic:blipFill>
                    <a:blip r:embed="rId7"/>
                    <a:stretch>
                      <a:fillRect/>
                    </a:stretch>
                  </pic:blipFill>
                  <pic:spPr>
                    <a:xfrm>
                      <a:off x="0" y="0"/>
                      <a:ext cx="3658235" cy="2426970"/>
                    </a:xfrm>
                    <a:prstGeom prst="rect">
                      <a:avLst/>
                    </a:prstGeom>
                    <a:noFill/>
                    <a:ln w="9525">
                      <a:noFill/>
                    </a:ln>
                  </pic:spPr>
                </pic:pic>
              </a:graphicData>
            </a:graphic>
          </wp:inline>
        </w:drawing>
      </w:r>
    </w:p>
    <w:p>
      <w:pPr>
        <w:widowControl/>
        <w:jc w:val="left"/>
        <w:rPr>
          <w:rFonts w:ascii="宋体" w:hAnsi="宋体" w:cs="宋体"/>
          <w:kern w:val="0"/>
          <w:sz w:val="24"/>
        </w:rPr>
      </w:pPr>
    </w:p>
    <w:p>
      <w:pPr>
        <w:spacing w:line="600" w:lineRule="exact"/>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pPr>
        <w:pStyle w:val="23"/>
        <w:numPr>
          <w:ilvl w:val="0"/>
          <w:numId w:val="2"/>
        </w:numPr>
        <w:spacing w:line="600" w:lineRule="exact"/>
        <w:ind w:firstLineChars="0"/>
        <w:outlineLvl w:val="1"/>
        <w:rPr>
          <w:rStyle w:val="25"/>
          <w:rFonts w:ascii="仿宋" w:hAnsi="仿宋" w:eastAsia="仿宋" w:cs="Times New Roman"/>
          <w:b w:val="0"/>
          <w:bCs w:val="0"/>
          <w:color w:val="000000"/>
        </w:rPr>
      </w:pPr>
      <w:bookmarkStart w:id="28" w:name="_Toc15377207"/>
      <w:bookmarkStart w:id="29" w:name="_Toc15396605"/>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spacing w:line="600" w:lineRule="exact"/>
        <w:ind w:left="640"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年本年支出合计897.45万元，其中：基本支出725.38万元，占</w:t>
      </w:r>
      <w:r>
        <w:rPr>
          <w:rFonts w:hint="eastAsia" w:ascii="仿宋" w:hAnsi="仿宋" w:eastAsia="仿宋"/>
          <w:color w:val="000000"/>
          <w:sz w:val="32"/>
          <w:szCs w:val="32"/>
          <w:lang w:val="en-US" w:eastAsia="zh-CN"/>
        </w:rPr>
        <w:t>80.83</w:t>
      </w:r>
      <w:r>
        <w:rPr>
          <w:rFonts w:ascii="仿宋" w:hAnsi="仿宋" w:eastAsia="仿宋"/>
          <w:color w:val="000000"/>
          <w:sz w:val="32"/>
          <w:szCs w:val="32"/>
        </w:rPr>
        <w:t>%</w:t>
      </w:r>
      <w:r>
        <w:rPr>
          <w:rFonts w:hint="eastAsia" w:ascii="仿宋" w:hAnsi="仿宋" w:eastAsia="仿宋"/>
          <w:color w:val="000000"/>
          <w:sz w:val="32"/>
          <w:szCs w:val="32"/>
        </w:rPr>
        <w:t>；；项目支出172.07万元，占</w:t>
      </w:r>
      <w:r>
        <w:rPr>
          <w:rFonts w:hint="eastAsia" w:ascii="仿宋" w:hAnsi="仿宋" w:eastAsia="仿宋"/>
          <w:color w:val="000000"/>
          <w:sz w:val="32"/>
          <w:szCs w:val="32"/>
          <w:lang w:val="en-US" w:eastAsia="zh-CN"/>
        </w:rPr>
        <w:t>19.17</w:t>
      </w:r>
      <w:r>
        <w:rPr>
          <w:rFonts w:ascii="仿宋" w:hAnsi="仿宋" w:eastAsia="仿宋"/>
          <w:color w:val="000000"/>
          <w:sz w:val="32"/>
          <w:szCs w:val="32"/>
        </w:rPr>
        <w:t>%</w:t>
      </w:r>
      <w:r>
        <w:rPr>
          <w:rFonts w:hint="eastAsia" w:ascii="仿宋" w:hAnsi="仿宋" w:eastAsia="仿宋"/>
          <w:color w:val="000000"/>
          <w:sz w:val="32"/>
          <w:szCs w:val="32"/>
        </w:rPr>
        <w:t>；上缴上级支出0元，占0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themeColor="text1"/>
          <w:sz w:val="32"/>
          <w:szCs w:val="32"/>
        </w:rPr>
        <w:t>0</w:t>
      </w:r>
      <w:r>
        <w:rPr>
          <w:rFonts w:hint="eastAsia" w:ascii="仿宋" w:hAnsi="仿宋" w:eastAsia="仿宋"/>
          <w:color w:val="000000"/>
          <w:sz w:val="32"/>
          <w:szCs w:val="32"/>
        </w:rPr>
        <w:t>万元，占</w:t>
      </w:r>
      <w:r>
        <w:rPr>
          <w:rFonts w:hint="eastAsia" w:ascii="仿宋" w:hAnsi="仿宋" w:eastAsia="仿宋"/>
          <w:color w:val="000000" w:themeColor="text1"/>
          <w:sz w:val="32"/>
          <w:szCs w:val="32"/>
        </w:rPr>
        <w:t>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themeColor="text1"/>
          <w:sz w:val="32"/>
          <w:szCs w:val="32"/>
        </w:rPr>
        <w:t>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pPr>
      <w:r>
        <w:rPr>
          <w:rFonts w:hint="eastAsia" w:ascii="仿宋" w:hAnsi="仿宋" w:eastAsia="仿宋"/>
          <w:color w:val="000000" w:themeColor="text1"/>
          <w:sz w:val="32"/>
          <w:szCs w:val="32"/>
        </w:rPr>
        <w:t>（图3：支出决算结构图）（饼状图）</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096895" cy="2223770"/>
            <wp:effectExtent l="0" t="0" r="8255" b="5080"/>
            <wp:docPr id="11"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IMG_256"/>
                    <pic:cNvPicPr>
                      <a:picLocks noChangeAspect="1"/>
                    </pic:cNvPicPr>
                  </pic:nvPicPr>
                  <pic:blipFill>
                    <a:blip r:embed="rId8"/>
                    <a:stretch>
                      <a:fillRect/>
                    </a:stretch>
                  </pic:blipFill>
                  <pic:spPr>
                    <a:xfrm>
                      <a:off x="0" y="0"/>
                      <a:ext cx="3096895" cy="2223770"/>
                    </a:xfrm>
                    <a:prstGeom prst="rect">
                      <a:avLst/>
                    </a:prstGeom>
                    <a:noFill/>
                    <a:ln w="9525">
                      <a:noFill/>
                    </a:ln>
                  </pic:spPr>
                </pic:pic>
              </a:graphicData>
            </a:graphic>
          </wp:inline>
        </w:drawing>
      </w:r>
    </w:p>
    <w:p>
      <w:pPr>
        <w:widowControl/>
        <w:jc w:val="left"/>
        <w:rPr>
          <w:rFonts w:ascii="宋体" w:hAnsi="宋体" w:cs="宋体"/>
          <w:kern w:val="0"/>
          <w:sz w:val="24"/>
        </w:rPr>
      </w:pPr>
    </w:p>
    <w:p>
      <w:pPr>
        <w:spacing w:line="600" w:lineRule="exact"/>
        <w:rPr>
          <w:rFonts w:ascii="仿宋_GB2312" w:eastAsia="仿宋_GB2312"/>
          <w:color w:val="FF0000"/>
          <w:sz w:val="32"/>
          <w:szCs w:val="32"/>
        </w:rPr>
      </w:pPr>
    </w:p>
    <w:p>
      <w:pPr>
        <w:pStyle w:val="23"/>
        <w:numPr>
          <w:ilvl w:val="0"/>
          <w:numId w:val="2"/>
        </w:numPr>
        <w:spacing w:line="600" w:lineRule="exact"/>
        <w:ind w:firstLineChars="0"/>
        <w:outlineLvl w:val="1"/>
        <w:rPr>
          <w:rStyle w:val="25"/>
          <w:rFonts w:ascii="黑体" w:hAnsi="黑体" w:eastAsia="黑体"/>
          <w:b w:val="0"/>
        </w:rPr>
      </w:pPr>
      <w:bookmarkStart w:id="30" w:name="_Toc15377208"/>
      <w:bookmarkStart w:id="31" w:name="_Toc15396606"/>
      <w:r>
        <w:rPr>
          <w:rFonts w:hint="eastAsia" w:ascii="黑体" w:hAnsi="黑体" w:eastAsia="黑体"/>
          <w:color w:val="000000"/>
          <w:sz w:val="32"/>
          <w:szCs w:val="32"/>
        </w:rPr>
        <w:t>财</w:t>
      </w:r>
      <w:r>
        <w:rPr>
          <w:rStyle w:val="25"/>
          <w:rFonts w:hint="eastAsia" w:ascii="黑体" w:hAnsi="黑体" w:eastAsia="黑体"/>
          <w:b w:val="0"/>
        </w:rPr>
        <w:t>政拨款收入支出决算总体情况说明</w:t>
      </w:r>
      <w:bookmarkEnd w:id="30"/>
      <w:bookmarkEnd w:id="31"/>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val="en-US" w:eastAsia="zh-CN"/>
        </w:rPr>
        <w:t>961.58</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w:t>
      </w:r>
      <w:r>
        <w:rPr>
          <w:rFonts w:ascii="仿宋" w:hAnsi="仿宋" w:eastAsia="仿宋"/>
          <w:color w:val="000000"/>
          <w:sz w:val="32"/>
          <w:szCs w:val="32"/>
        </w:rPr>
        <w:t>50</w:t>
      </w:r>
      <w:r>
        <w:rPr>
          <w:rFonts w:hint="eastAsia" w:ascii="仿宋" w:hAnsi="仿宋" w:eastAsia="仿宋"/>
          <w:color w:val="000000"/>
          <w:sz w:val="32"/>
          <w:szCs w:val="32"/>
        </w:rPr>
        <w:t>1.29万元相比，财政拨款收/支增加</w:t>
      </w:r>
      <w:r>
        <w:rPr>
          <w:rFonts w:hint="eastAsia" w:ascii="仿宋" w:hAnsi="仿宋" w:eastAsia="仿宋"/>
          <w:color w:val="000000"/>
          <w:sz w:val="32"/>
          <w:szCs w:val="32"/>
          <w:lang w:val="en-US" w:eastAsia="zh-CN"/>
        </w:rPr>
        <w:t>460.29</w:t>
      </w:r>
      <w:r>
        <w:rPr>
          <w:rFonts w:hint="eastAsia" w:ascii="仿宋" w:hAnsi="仿宋" w:eastAsia="仿宋"/>
          <w:color w:val="000000"/>
          <w:sz w:val="32"/>
          <w:szCs w:val="32"/>
        </w:rPr>
        <w:t>万元，上升9</w:t>
      </w:r>
      <w:r>
        <w:rPr>
          <w:rFonts w:hint="eastAsia" w:ascii="仿宋" w:hAnsi="仿宋" w:eastAsia="仿宋"/>
          <w:color w:val="000000"/>
          <w:sz w:val="32"/>
          <w:szCs w:val="32"/>
          <w:lang w:val="en-US" w:eastAsia="zh-CN"/>
        </w:rPr>
        <w:t>1.82</w:t>
      </w:r>
      <w:r>
        <w:rPr>
          <w:rFonts w:ascii="仿宋" w:hAnsi="仿宋" w:eastAsia="仿宋"/>
          <w:color w:val="000000"/>
          <w:sz w:val="32"/>
          <w:szCs w:val="32"/>
        </w:rPr>
        <w:t>%</w:t>
      </w:r>
      <w:r>
        <w:rPr>
          <w:rFonts w:hint="eastAsia" w:ascii="仿宋" w:hAnsi="仿宋" w:eastAsia="仿宋"/>
          <w:color w:val="000000"/>
          <w:sz w:val="32"/>
          <w:szCs w:val="32"/>
        </w:rPr>
        <w:t>。主要变动原因是人员经费增加，学校合并后开支增加。</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4200525" cy="2914650"/>
            <wp:effectExtent l="0" t="0" r="9525"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9"/>
                    <a:stretch>
                      <a:fillRect/>
                    </a:stretch>
                  </pic:blipFill>
                  <pic:spPr>
                    <a:xfrm>
                      <a:off x="0" y="0"/>
                      <a:ext cx="4200525" cy="2914650"/>
                    </a:xfrm>
                    <a:prstGeom prst="rect">
                      <a:avLst/>
                    </a:prstGeom>
                    <a:noFill/>
                    <a:ln w="9525">
                      <a:noFill/>
                    </a:ln>
                  </pic:spPr>
                </pic:pic>
              </a:graphicData>
            </a:graphic>
          </wp:inline>
        </w:drawing>
      </w:r>
    </w:p>
    <w:p>
      <w:pPr>
        <w:widowControl/>
        <w:jc w:val="left"/>
        <w:rPr>
          <w:rFonts w:ascii="宋体" w:hAnsi="宋体" w:cs="宋体"/>
          <w:kern w:val="0"/>
          <w:sz w:val="24"/>
        </w:rPr>
      </w:pPr>
    </w:p>
    <w:p>
      <w:pPr>
        <w:widowControl/>
        <w:jc w:val="left"/>
        <w:rPr>
          <w:rFonts w:ascii="宋体" w:hAnsi="宋体" w:cs="宋体"/>
          <w:kern w:val="0"/>
          <w:sz w:val="24"/>
        </w:rPr>
      </w:pPr>
    </w:p>
    <w:p>
      <w:pPr>
        <w:spacing w:line="600" w:lineRule="exact"/>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pPr>
        <w:spacing w:line="600" w:lineRule="exact"/>
        <w:outlineLvl w:val="1"/>
        <w:rPr>
          <w:rStyle w:val="25"/>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spacing w:line="600" w:lineRule="exact"/>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893.02</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w:t>
      </w:r>
      <w:r>
        <w:rPr>
          <w:rFonts w:ascii="仿宋" w:hAnsi="仿宋" w:eastAsia="仿宋"/>
          <w:color w:val="000000"/>
          <w:sz w:val="32"/>
          <w:szCs w:val="32"/>
        </w:rPr>
        <w:t>419.28</w:t>
      </w:r>
      <w:r>
        <w:rPr>
          <w:rFonts w:hint="eastAsia" w:ascii="仿宋" w:hAnsi="仿宋" w:eastAsia="仿宋"/>
          <w:color w:val="000000"/>
          <w:sz w:val="32"/>
          <w:szCs w:val="32"/>
        </w:rPr>
        <w:t>万元相比，一般公共预算财政拨款支出</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537.88</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112.99</w:t>
      </w:r>
      <w:r>
        <w:rPr>
          <w:rFonts w:ascii="仿宋" w:hAnsi="仿宋" w:eastAsia="仿宋"/>
          <w:color w:val="000000"/>
          <w:sz w:val="32"/>
          <w:szCs w:val="32"/>
        </w:rPr>
        <w:t>%</w:t>
      </w:r>
      <w:r>
        <w:rPr>
          <w:rFonts w:hint="eastAsia" w:ascii="仿宋" w:hAnsi="仿宋" w:eastAsia="仿宋"/>
          <w:color w:val="000000"/>
          <w:sz w:val="32"/>
          <w:szCs w:val="32"/>
        </w:rPr>
        <w:t>。主要变动原因是学校合并</w:t>
      </w:r>
      <w:r>
        <w:rPr>
          <w:rFonts w:hint="eastAsia" w:ascii="仿宋" w:hAnsi="仿宋" w:eastAsia="仿宋"/>
          <w:color w:val="000000"/>
          <w:sz w:val="32"/>
          <w:szCs w:val="32"/>
          <w:lang w:eastAsia="zh-CN"/>
        </w:rPr>
        <w:t>、项目建设增加</w:t>
      </w:r>
      <w:r>
        <w:rPr>
          <w:rFonts w:hint="eastAsia" w:ascii="仿宋" w:hAnsi="仿宋" w:eastAsia="仿宋"/>
          <w:color w:val="000000"/>
          <w:sz w:val="32"/>
          <w:szCs w:val="32"/>
        </w:rPr>
        <w:t>。</w:t>
      </w:r>
    </w:p>
    <w:p>
      <w:pPr>
        <w:widowControl/>
        <w:jc w:val="left"/>
        <w:rPr>
          <w:rFonts w:hint="eastAsia" w:ascii="宋体" w:hAnsi="宋体" w:eastAsia="宋体" w:cs="宋体"/>
          <w:kern w:val="0"/>
          <w:sz w:val="24"/>
          <w:lang w:eastAsia="zh-CN"/>
        </w:rPr>
      </w:pPr>
      <w:r>
        <w:rPr>
          <w:rFonts w:hint="eastAsia" w:ascii="宋体" w:hAnsi="宋体" w:eastAsia="宋体" w:cs="宋体"/>
          <w:kern w:val="0"/>
          <w:sz w:val="24"/>
          <w:lang w:eastAsia="zh-CN"/>
        </w:rPr>
        <w:drawing>
          <wp:inline distT="0" distB="0" distL="114300" distR="114300">
            <wp:extent cx="2696210" cy="1715135"/>
            <wp:effectExtent l="0" t="0" r="8890" b="18415"/>
            <wp:docPr id="12" name="图片 12" descr="16340242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634024214(1)"/>
                    <pic:cNvPicPr>
                      <a:picLocks noChangeAspect="1"/>
                    </pic:cNvPicPr>
                  </pic:nvPicPr>
                  <pic:blipFill>
                    <a:blip r:embed="rId10"/>
                    <a:stretch>
                      <a:fillRect/>
                    </a:stretch>
                  </pic:blipFill>
                  <pic:spPr>
                    <a:xfrm>
                      <a:off x="0" y="0"/>
                      <a:ext cx="2696210" cy="1715135"/>
                    </a:xfrm>
                    <a:prstGeom prst="rect">
                      <a:avLst/>
                    </a:prstGeom>
                  </pic:spPr>
                </pic:pic>
              </a:graphicData>
            </a:graphic>
          </wp:inline>
        </w:drawing>
      </w:r>
    </w:p>
    <w:p>
      <w:pPr>
        <w:widowControl/>
        <w:jc w:val="left"/>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pPr>
        <w:spacing w:line="600" w:lineRule="exact"/>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b/>
          <w:color w:val="000000" w:themeColor="text1"/>
          <w:sz w:val="32"/>
          <w:szCs w:val="32"/>
        </w:rPr>
      </w:pP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themeColor="text1"/>
          <w:sz w:val="32"/>
          <w:szCs w:val="32"/>
          <w:lang w:val="en-US" w:eastAsia="zh-CN"/>
        </w:rPr>
        <w:t>893.02</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教育支出（205）</w:t>
      </w:r>
      <w:r>
        <w:rPr>
          <w:rFonts w:hint="eastAsia" w:ascii="仿宋" w:hAnsi="仿宋" w:eastAsia="仿宋"/>
          <w:color w:val="000000" w:themeColor="text1"/>
          <w:sz w:val="32"/>
          <w:szCs w:val="32"/>
        </w:rPr>
        <w:t>717.58万元，占</w:t>
      </w:r>
      <w:r>
        <w:rPr>
          <w:rFonts w:hint="eastAsia" w:ascii="仿宋" w:hAnsi="仿宋" w:eastAsia="仿宋"/>
          <w:color w:val="000000" w:themeColor="text1"/>
          <w:sz w:val="32"/>
          <w:szCs w:val="32"/>
          <w:lang w:val="en-US" w:eastAsia="zh-CN"/>
        </w:rPr>
        <w:t>80.35</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文化旅游体育与传媒（类）支出0万元，占0</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社会保障和就业（208）</w:t>
      </w:r>
      <w:r>
        <w:rPr>
          <w:rFonts w:hint="eastAsia" w:ascii="仿宋" w:hAnsi="仿宋" w:eastAsia="仿宋"/>
          <w:color w:val="000000" w:themeColor="text1"/>
          <w:sz w:val="32"/>
          <w:szCs w:val="32"/>
        </w:rPr>
        <w:t>支出92.74万元，占</w:t>
      </w:r>
      <w:r>
        <w:rPr>
          <w:rFonts w:hint="eastAsia" w:ascii="仿宋" w:hAnsi="仿宋" w:eastAsia="仿宋"/>
          <w:color w:val="000000" w:themeColor="text1"/>
          <w:sz w:val="32"/>
          <w:szCs w:val="32"/>
          <w:lang w:val="en-US" w:eastAsia="zh-CN"/>
        </w:rPr>
        <w:t>10.38</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b/>
          <w:color w:val="000000" w:themeColor="text1"/>
          <w:sz w:val="32"/>
          <w:szCs w:val="32"/>
        </w:rPr>
        <w:t>（210）</w:t>
      </w:r>
      <w:r>
        <w:rPr>
          <w:rFonts w:hint="eastAsia" w:ascii="仿宋" w:hAnsi="仿宋" w:eastAsia="仿宋"/>
          <w:color w:val="000000" w:themeColor="text1"/>
          <w:sz w:val="32"/>
          <w:szCs w:val="32"/>
        </w:rPr>
        <w:t>22.54万元，占</w:t>
      </w:r>
      <w:r>
        <w:rPr>
          <w:rFonts w:hint="eastAsia" w:ascii="仿宋" w:hAnsi="仿宋" w:eastAsia="仿宋"/>
          <w:color w:val="000000" w:themeColor="text1"/>
          <w:sz w:val="32"/>
          <w:szCs w:val="32"/>
          <w:lang w:val="en-US" w:eastAsia="zh-CN"/>
        </w:rPr>
        <w:t>2.52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住房保障支出（221）</w:t>
      </w:r>
      <w:r>
        <w:rPr>
          <w:rFonts w:hint="eastAsia" w:ascii="仿宋" w:hAnsi="仿宋" w:eastAsia="仿宋"/>
          <w:color w:val="000000" w:themeColor="text1"/>
          <w:sz w:val="32"/>
          <w:szCs w:val="32"/>
        </w:rPr>
        <w:t>60.16万元，占</w:t>
      </w:r>
      <w:r>
        <w:rPr>
          <w:rFonts w:hint="eastAsia" w:ascii="仿宋" w:hAnsi="仿宋" w:eastAsia="仿宋"/>
          <w:color w:val="000000" w:themeColor="text1"/>
          <w:sz w:val="32"/>
          <w:szCs w:val="32"/>
          <w:lang w:val="en-US" w:eastAsia="zh-CN"/>
        </w:rPr>
        <w:t>6.75</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农林水支出（213）</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（罗列全部功能分类科目，至类级。）</w:t>
      </w:r>
    </w:p>
    <w:p>
      <w:pPr>
        <w:widowControl/>
        <w:jc w:val="left"/>
        <w:rPr>
          <w:rFonts w:ascii="宋体" w:hAnsi="宋体" w:cs="宋体"/>
          <w:kern w:val="0"/>
          <w:sz w:val="24"/>
        </w:rPr>
      </w:pPr>
    </w:p>
    <w:p>
      <w:pPr>
        <w:widowControl/>
        <w:jc w:val="left"/>
        <w:rPr>
          <w:rFonts w:hint="eastAsia" w:ascii="宋体" w:hAnsi="宋体" w:eastAsia="宋体" w:cs="宋体"/>
          <w:kern w:val="0"/>
          <w:sz w:val="24"/>
          <w:lang w:eastAsia="zh-CN"/>
        </w:rPr>
      </w:pPr>
      <w:r>
        <w:rPr>
          <w:rFonts w:hint="eastAsia" w:ascii="宋体" w:hAnsi="宋体" w:eastAsia="宋体" w:cs="宋体"/>
          <w:kern w:val="0"/>
          <w:sz w:val="24"/>
          <w:lang w:eastAsia="zh-CN"/>
        </w:rPr>
        <w:drawing>
          <wp:inline distT="0" distB="0" distL="114300" distR="114300">
            <wp:extent cx="4010660" cy="2498090"/>
            <wp:effectExtent l="0" t="0" r="8890" b="16510"/>
            <wp:docPr id="13" name="图片 13" descr="16340247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634024721(1)"/>
                    <pic:cNvPicPr>
                      <a:picLocks noChangeAspect="1"/>
                    </pic:cNvPicPr>
                  </pic:nvPicPr>
                  <pic:blipFill>
                    <a:blip r:embed="rId11"/>
                    <a:stretch>
                      <a:fillRect/>
                    </a:stretch>
                  </pic:blipFill>
                  <pic:spPr>
                    <a:xfrm>
                      <a:off x="0" y="0"/>
                      <a:ext cx="4010660" cy="2498090"/>
                    </a:xfrm>
                    <a:prstGeom prst="rect">
                      <a:avLst/>
                    </a:prstGeom>
                  </pic:spPr>
                </pic:pic>
              </a:graphicData>
            </a:graphic>
          </wp:inline>
        </w:drawing>
      </w:r>
    </w:p>
    <w:p>
      <w:pPr>
        <w:widowControl/>
        <w:jc w:val="left"/>
        <w:rPr>
          <w:rFonts w:ascii="仿宋" w:hAnsi="仿宋" w:eastAsia="仿宋"/>
          <w:color w:val="000000"/>
          <w:sz w:val="32"/>
          <w:szCs w:val="32"/>
        </w:rPr>
      </w:pPr>
    </w:p>
    <w:p>
      <w:pPr>
        <w:widowControl/>
        <w:jc w:val="left"/>
        <w:rPr>
          <w:rFonts w:ascii="宋体" w:hAnsi="宋体" w:cs="宋体"/>
          <w:kern w:val="0"/>
          <w:sz w:val="24"/>
        </w:rPr>
      </w:pPr>
      <w:r>
        <w:rPr>
          <w:rFonts w:hint="eastAsia" w:ascii="仿宋" w:hAnsi="仿宋" w:eastAsia="仿宋"/>
          <w:color w:val="000000"/>
          <w:sz w:val="32"/>
          <w:szCs w:val="32"/>
        </w:rPr>
        <w:t>（图6：一般公共预算财政拨款支出决算结构）（饼状图）</w:t>
      </w:r>
    </w:p>
    <w:p>
      <w:pPr>
        <w:spacing w:line="600" w:lineRule="exact"/>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0" w:firstLineChars="200"/>
        <w:outlineLvl w:val="2"/>
        <w:rPr>
          <w:rFonts w:ascii="仿宋" w:hAnsi="仿宋" w:eastAsia="仿宋"/>
          <w:color w:val="FF0000"/>
          <w:sz w:val="32"/>
          <w:szCs w:val="32"/>
        </w:rPr>
      </w:pPr>
      <w:bookmarkStart w:id="37" w:name="_Toc15377213"/>
      <w:bookmarkStart w:id="38" w:name="_Toc15377444"/>
      <w:bookmarkStart w:id="39" w:name="_Toc15378460"/>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b/>
          <w:color w:val="000000" w:themeColor="text1"/>
          <w:sz w:val="32"/>
          <w:szCs w:val="32"/>
        </w:rPr>
        <w:t>年般公共预算支出决算数为893.02</w:t>
      </w:r>
      <w:r>
        <w:rPr>
          <w:rFonts w:hint="eastAsia" w:ascii="仿宋" w:hAnsi="仿宋" w:eastAsia="仿宋"/>
          <w:b/>
          <w:color w:val="000000" w:themeColor="text1"/>
          <w:sz w:val="32"/>
          <w:szCs w:val="32"/>
          <w:lang w:eastAsia="zh-CN"/>
        </w:rPr>
        <w:t>万元</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spacing w:line="600" w:lineRule="exact"/>
        <w:ind w:firstLine="640"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一般公共服务（类）0（款）0（项）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支出决算为0万元，完成预算0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0" w:firstLineChars="200"/>
        <w:rPr>
          <w:rFonts w:ascii="仿宋" w:hAnsi="仿宋" w:eastAsia="仿宋"/>
          <w:b/>
          <w:color w:val="000000"/>
          <w:sz w:val="32"/>
          <w:szCs w:val="32"/>
        </w:rPr>
      </w:pPr>
      <w:r>
        <w:rPr>
          <w:rStyle w:val="14"/>
          <w:rFonts w:ascii="仿宋" w:hAnsi="仿宋" w:eastAsia="仿宋"/>
          <w:bCs/>
          <w:color w:val="000000"/>
          <w:sz w:val="32"/>
          <w:szCs w:val="32"/>
        </w:rPr>
        <w:t>2.</w:t>
      </w:r>
      <w:r>
        <w:rPr>
          <w:rStyle w:val="14"/>
          <w:rFonts w:hint="eastAsia" w:ascii="仿宋" w:hAnsi="仿宋" w:eastAsia="仿宋"/>
          <w:bCs/>
          <w:color w:val="000000"/>
          <w:sz w:val="32"/>
          <w:szCs w:val="32"/>
        </w:rPr>
        <w:t>教育（类）205（款）0202（项）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Fonts w:hint="eastAsia" w:ascii="仿宋" w:hAnsi="仿宋" w:eastAsia="仿宋"/>
          <w:color w:val="000000" w:themeColor="text1"/>
          <w:sz w:val="32"/>
          <w:szCs w:val="32"/>
        </w:rPr>
        <w:t>717.58</w:t>
      </w:r>
      <w:r>
        <w:rPr>
          <w:rStyle w:val="14"/>
          <w:rFonts w:hint="eastAsia" w:ascii="仿宋" w:hAnsi="仿宋" w:eastAsia="仿宋"/>
          <w:b w:val="0"/>
          <w:bCs/>
          <w:color w:val="000000"/>
          <w:sz w:val="32"/>
          <w:szCs w:val="32"/>
        </w:rPr>
        <w:t>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Fonts w:ascii="仿宋" w:hAnsi="仿宋" w:eastAsia="仿宋"/>
          <w:b/>
          <w:color w:val="000000"/>
          <w:sz w:val="32"/>
          <w:szCs w:val="32"/>
        </w:rPr>
      </w:pPr>
      <w:r>
        <w:rPr>
          <w:rStyle w:val="14"/>
          <w:rFonts w:ascii="仿宋" w:hAnsi="仿宋" w:eastAsia="仿宋"/>
          <w:bCs/>
          <w:color w:val="000000"/>
          <w:sz w:val="32"/>
          <w:szCs w:val="32"/>
        </w:rPr>
        <w:t>3.</w:t>
      </w:r>
      <w:r>
        <w:rPr>
          <w:rStyle w:val="14"/>
          <w:rFonts w:hint="eastAsia" w:ascii="仿宋" w:hAnsi="仿宋" w:eastAsia="仿宋"/>
          <w:bCs/>
          <w:color w:val="000000"/>
          <w:sz w:val="32"/>
          <w:szCs w:val="32"/>
        </w:rPr>
        <w:t>科学技术（类）0（款）0（项）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支出决算为0万元，完成预算0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0" w:firstLineChars="200"/>
        <w:rPr>
          <w:rFonts w:ascii="仿宋" w:hAnsi="仿宋" w:eastAsia="仿宋"/>
          <w:b/>
          <w:color w:val="000000"/>
          <w:sz w:val="32"/>
          <w:szCs w:val="32"/>
        </w:rPr>
      </w:pPr>
      <w:r>
        <w:rPr>
          <w:rStyle w:val="14"/>
          <w:rFonts w:ascii="仿宋" w:hAnsi="仿宋" w:eastAsia="仿宋"/>
          <w:bCs/>
          <w:color w:val="000000"/>
          <w:sz w:val="32"/>
          <w:szCs w:val="32"/>
        </w:rPr>
        <w:t>4.</w:t>
      </w:r>
      <w:r>
        <w:rPr>
          <w:rStyle w:val="14"/>
          <w:rFonts w:hint="eastAsia" w:ascii="仿宋" w:hAnsi="仿宋" w:eastAsia="仿宋"/>
          <w:bCs/>
          <w:color w:val="000000"/>
          <w:sz w:val="32"/>
          <w:szCs w:val="32"/>
        </w:rPr>
        <w:t>文化旅游体育与传媒（类）0（款）0（项）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支出决算为0万元，完成预算0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0" w:firstLineChars="200"/>
        <w:rPr>
          <w:rFonts w:ascii="仿宋" w:hAnsi="仿宋" w:eastAsia="仿宋"/>
          <w:b/>
          <w:color w:val="000000"/>
          <w:sz w:val="32"/>
          <w:szCs w:val="32"/>
        </w:rPr>
      </w:pPr>
      <w:r>
        <w:rPr>
          <w:rStyle w:val="14"/>
          <w:rFonts w:ascii="仿宋" w:hAnsi="仿宋" w:eastAsia="仿宋"/>
          <w:bCs/>
          <w:color w:val="000000"/>
          <w:sz w:val="32"/>
          <w:szCs w:val="32"/>
        </w:rPr>
        <w:t>5.</w:t>
      </w:r>
      <w:r>
        <w:rPr>
          <w:rStyle w:val="14"/>
          <w:rFonts w:hint="eastAsia" w:ascii="仿宋" w:hAnsi="仿宋" w:eastAsia="仿宋"/>
          <w:bCs/>
          <w:color w:val="000000"/>
          <w:sz w:val="32"/>
          <w:szCs w:val="32"/>
        </w:rPr>
        <w:t>社会保障和就业（类）208（款）0505（项）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Fonts w:hint="eastAsia" w:ascii="仿宋" w:hAnsi="仿宋" w:eastAsia="仿宋"/>
          <w:color w:val="000000" w:themeColor="text1"/>
          <w:sz w:val="32"/>
          <w:szCs w:val="32"/>
        </w:rPr>
        <w:t>92.74</w:t>
      </w:r>
      <w:r>
        <w:rPr>
          <w:rStyle w:val="14"/>
          <w:rFonts w:hint="eastAsia" w:ascii="仿宋" w:hAnsi="仿宋" w:eastAsia="仿宋"/>
          <w:b w:val="0"/>
          <w:bCs/>
          <w:color w:val="000000"/>
          <w:sz w:val="32"/>
          <w:szCs w:val="32"/>
        </w:rPr>
        <w:t>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6.</w:t>
      </w:r>
      <w:r>
        <w:rPr>
          <w:rFonts w:hint="eastAsia" w:ascii="仿宋" w:hAnsi="仿宋" w:eastAsia="仿宋"/>
          <w:b/>
          <w:bCs/>
          <w:color w:val="000000" w:themeColor="text1"/>
          <w:sz w:val="32"/>
          <w:szCs w:val="32"/>
        </w:rPr>
        <w:t>卫生健康</w:t>
      </w:r>
      <w:r>
        <w:rPr>
          <w:rStyle w:val="14"/>
          <w:rFonts w:hint="eastAsia" w:ascii="仿宋" w:hAnsi="仿宋" w:eastAsia="仿宋"/>
          <w:bCs/>
          <w:color w:val="000000"/>
          <w:sz w:val="32"/>
          <w:szCs w:val="32"/>
        </w:rPr>
        <w:t>（类）210（款）1102（项）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支出决算为22.54万元，完成预算100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Style w:val="14"/>
          <w:rFonts w:ascii="仿宋" w:hAnsi="仿宋" w:eastAsia="仿宋"/>
          <w:b w:val="0"/>
          <w:bCs/>
          <w:color w:val="000000"/>
          <w:sz w:val="32"/>
          <w:szCs w:val="32"/>
        </w:rPr>
      </w:pPr>
      <w:r>
        <w:rPr>
          <w:rStyle w:val="14"/>
          <w:rFonts w:hint="eastAsia" w:ascii="仿宋" w:hAnsi="仿宋" w:eastAsia="仿宋"/>
          <w:b w:val="0"/>
          <w:bCs/>
          <w:color w:val="000000"/>
          <w:sz w:val="32"/>
          <w:szCs w:val="32"/>
        </w:rPr>
        <w:t>7.</w:t>
      </w:r>
      <w:r>
        <w:rPr>
          <w:rFonts w:hint="eastAsia" w:ascii="仿宋" w:hAnsi="仿宋" w:eastAsia="仿宋"/>
          <w:b/>
          <w:color w:val="000000" w:themeColor="text1"/>
          <w:sz w:val="32"/>
          <w:szCs w:val="32"/>
        </w:rPr>
        <w:t xml:space="preserve"> 住房保障支出（221）</w:t>
      </w:r>
      <w:r>
        <w:rPr>
          <w:rFonts w:hint="eastAsia" w:ascii="仿宋" w:hAnsi="仿宋" w:eastAsia="仿宋"/>
          <w:color w:val="000000" w:themeColor="text1"/>
          <w:sz w:val="32"/>
          <w:szCs w:val="32"/>
        </w:rPr>
        <w:t>60.16万元，占100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firstLineChars="200"/>
        <w:rPr>
          <w:rStyle w:val="14"/>
          <w:rFonts w:ascii="仿宋" w:hAnsi="仿宋" w:eastAsia="仿宋"/>
          <w:b w:val="0"/>
          <w:bCs/>
          <w:color w:val="000000"/>
          <w:sz w:val="32"/>
          <w:szCs w:val="32"/>
        </w:rPr>
      </w:pPr>
      <w:r>
        <w:rPr>
          <w:rFonts w:hint="eastAsia" w:ascii="仿宋" w:hAnsi="仿宋" w:eastAsia="仿宋"/>
          <w:b/>
          <w:color w:val="000000"/>
          <w:sz w:val="32"/>
          <w:szCs w:val="32"/>
        </w:rPr>
        <w:t>8.</w:t>
      </w:r>
      <w:r>
        <w:rPr>
          <w:rFonts w:hint="eastAsia"/>
        </w:rPr>
        <w:t xml:space="preserve"> </w:t>
      </w:r>
      <w:r>
        <w:rPr>
          <w:rFonts w:hint="eastAsia" w:ascii="仿宋" w:hAnsi="仿宋" w:eastAsia="仿宋"/>
          <w:b/>
          <w:color w:val="000000"/>
          <w:sz w:val="32"/>
          <w:szCs w:val="32"/>
        </w:rPr>
        <w:t>农林水支出（类）</w:t>
      </w:r>
      <w:r>
        <w:rPr>
          <w:rStyle w:val="14"/>
          <w:rFonts w:hint="eastAsia" w:ascii="仿宋" w:hAnsi="仿宋" w:eastAsia="仿宋"/>
          <w:bCs/>
          <w:color w:val="000000"/>
          <w:sz w:val="32"/>
          <w:szCs w:val="32"/>
        </w:rPr>
        <w:t>213（款）0599（项）</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Fonts w:ascii="仿宋" w:hAnsi="仿宋" w:eastAsia="仿宋"/>
          <w:b/>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w:t>
      </w:r>
    </w:p>
    <w:p>
      <w:pPr>
        <w:spacing w:line="600" w:lineRule="exact"/>
        <w:ind w:firstLine="640"/>
        <w:rPr>
          <w:rFonts w:ascii="仿宋" w:hAnsi="仿宋" w:eastAsia="仿宋"/>
          <w:b/>
          <w:color w:val="000000"/>
          <w:sz w:val="32"/>
          <w:szCs w:val="32"/>
        </w:rPr>
      </w:pPr>
    </w:p>
    <w:p>
      <w:pPr>
        <w:tabs>
          <w:tab w:val="right" w:pos="8306"/>
        </w:tabs>
        <w:spacing w:line="600" w:lineRule="exact"/>
        <w:ind w:firstLine="640"/>
        <w:outlineLvl w:val="1"/>
        <w:rPr>
          <w:rStyle w:val="25"/>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年一般公共预算财政拨款基本支出725.38万元，其中：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698.27</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26.15</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年“三公”经费财政拨款支出决算为0万元，完成预算0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r>
        <w:drawing>
          <wp:inline distT="0" distB="0" distL="0" distR="0">
            <wp:extent cx="2500630" cy="1303655"/>
            <wp:effectExtent l="19050" t="0" r="13390" b="0"/>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。主要原因是…</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开支内容包括：…（团组名称、出访地点、取得成效）</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。主要原因是…</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0万元。全年按规定更新购置公务用车0辆，金额</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月底，单位共有公务用车0辆，其中：主要领导干部用车0辆、机要通信用车0辆、应急保障用车0辆、 执法执勤用车0辆…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0万元。主要用于</w:t>
      </w:r>
      <w:r>
        <w:rPr>
          <w:rFonts w:ascii="仿宋_GB2312" w:eastAsia="仿宋_GB2312"/>
          <w:color w:val="000000"/>
          <w:sz w:val="32"/>
          <w:szCs w:val="32"/>
        </w:rPr>
        <w:t>…</w:t>
      </w:r>
      <w:r>
        <w:rPr>
          <w:rFonts w:hint="eastAsia" w:ascii="仿宋_GB2312" w:eastAsia="仿宋_GB2312"/>
          <w:color w:val="000000"/>
          <w:sz w:val="32"/>
          <w:szCs w:val="32"/>
        </w:rPr>
        <w:t>（具体工作）等所需的公务用车燃料费、维修费、过路过桥费、保险费等支出。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。主要原因是…其中：</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万元，主要用于……(执行公务、开展业务活动开支的交通费、住宿费、用餐费等)。国内公务接待0批次，0人次（不包括陪同人员），共计支出0万元，具体内容包括：…（接待具体项目、金额）。</w:t>
      </w:r>
    </w:p>
    <w:p>
      <w:pPr>
        <w:spacing w:line="600" w:lineRule="exact"/>
        <w:ind w:firstLine="640" w:firstLineChars="200"/>
        <w:rPr>
          <w:rFonts w:ascii="仿宋_GB2312" w:eastAsia="仿宋_GB2312"/>
          <w:color w:val="000000" w:themeColor="text1"/>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，外事接待0批次，0人，共计支出0万元，主要用于接待</w:t>
      </w:r>
      <w:r>
        <w:rPr>
          <w:rFonts w:ascii="仿宋_GB2312" w:eastAsia="仿宋_GB2312"/>
          <w:color w:val="000000" w:themeColor="text1"/>
          <w:sz w:val="32"/>
          <w:szCs w:val="32"/>
        </w:rPr>
        <w:t>…</w:t>
      </w:r>
      <w:r>
        <w:rPr>
          <w:rFonts w:hint="eastAsia" w:ascii="仿宋_GB2312" w:eastAsia="仿宋_GB2312"/>
          <w:color w:val="000000" w:themeColor="text1"/>
          <w:sz w:val="32"/>
          <w:szCs w:val="32"/>
        </w:rPr>
        <w:t>（具体项目）</w:t>
      </w:r>
    </w:p>
    <w:p>
      <w:pPr>
        <w:spacing w:line="600" w:lineRule="exact"/>
        <w:ind w:firstLine="640"/>
        <w:outlineLvl w:val="1"/>
        <w:rPr>
          <w:rFonts w:ascii="黑体" w:eastAsia="黑体"/>
          <w:color w:val="000000"/>
          <w:sz w:val="32"/>
          <w:szCs w:val="32"/>
        </w:rPr>
      </w:pPr>
      <w:bookmarkStart w:id="46" w:name="_Toc15377218"/>
      <w:bookmarkStart w:id="47" w:name="_Toc15396610"/>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4.42</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3"/>
        </w:numPr>
        <w:spacing w:line="600" w:lineRule="exact"/>
        <w:ind w:firstLine="640"/>
        <w:outlineLvl w:val="1"/>
        <w:rPr>
          <w:rStyle w:val="25"/>
          <w:rFonts w:ascii="黑体" w:hAnsi="黑体" w:eastAsia="黑体"/>
          <w:b w:val="0"/>
        </w:rPr>
      </w:pPr>
      <w:bookmarkStart w:id="48" w:name="_Toc15396611"/>
      <w:bookmarkStart w:id="49" w:name="_Toc15377219"/>
      <w:r>
        <w:rPr>
          <w:rStyle w:val="25"/>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_GB2312" w:eastAsia="仿宋_GB2312"/>
          <w:color w:val="000000"/>
          <w:sz w:val="32"/>
          <w:szCs w:val="32"/>
        </w:rPr>
        <w:t>年国有资本经营预算拨款支出0万元。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5"/>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0"/>
      <w:bookmarkEnd w:id="51"/>
    </w:p>
    <w:p>
      <w:pPr>
        <w:spacing w:line="600" w:lineRule="exact"/>
        <w:ind w:firstLine="640"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ascii="仿宋_GB2312" w:eastAsia="仿宋_GB2312"/>
          <w:color w:val="000000"/>
          <w:sz w:val="32"/>
          <w:szCs w:val="32"/>
        </w:rPr>
        <w:t>***</w:t>
      </w:r>
      <w:r>
        <w:rPr>
          <w:rFonts w:hint="eastAsia" w:ascii="仿宋_GB2312" w:eastAsia="仿宋_GB2312"/>
          <w:color w:val="000000"/>
          <w:sz w:val="32"/>
          <w:szCs w:val="32"/>
        </w:rPr>
        <w:t>机关运行经费支出</w:t>
      </w:r>
      <w:r>
        <w:rPr>
          <w:rFonts w:ascii="仿宋_GB2312" w:eastAsia="仿宋_GB2312"/>
          <w:color w:val="000000"/>
          <w:sz w:val="32"/>
          <w:szCs w:val="32"/>
        </w:rPr>
        <w:t>**</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ascii="仿宋_GB2312" w:eastAsia="仿宋_GB2312"/>
          <w:color w:val="000000"/>
          <w:sz w:val="32"/>
          <w:szCs w:val="32"/>
        </w:rPr>
        <w:t>**</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ascii="仿宋_GB2312" w:eastAsia="仿宋_GB2312"/>
          <w:color w:val="000000"/>
          <w:sz w:val="32"/>
          <w:szCs w:val="32"/>
        </w:rPr>
        <w:t>**%</w:t>
      </w:r>
      <w:r>
        <w:rPr>
          <w:rFonts w:hint="eastAsia" w:ascii="仿宋_GB2312" w:eastAsia="仿宋_GB2312"/>
          <w:color w:val="000000"/>
          <w:sz w:val="32"/>
          <w:szCs w:val="32"/>
        </w:rPr>
        <w:t>（或与</w:t>
      </w:r>
      <w:r>
        <w:rPr>
          <w:rFonts w:ascii="仿宋_GB2312" w:eastAsia="仿宋_GB2312"/>
          <w:color w:val="000000"/>
          <w:sz w:val="32"/>
          <w:szCs w:val="32"/>
        </w:rPr>
        <w:t>201</w:t>
      </w:r>
      <w:r>
        <w:rPr>
          <w:rFonts w:hint="eastAsia" w:ascii="仿宋_GB2312" w:eastAsia="仿宋_GB2312"/>
          <w:color w:val="000000"/>
          <w:sz w:val="32"/>
          <w:szCs w:val="32"/>
        </w:rPr>
        <w:t>8年决算数持平cj7表）。</w:t>
      </w:r>
      <w:r>
        <w:rPr>
          <w:rFonts w:hint="eastAsia" w:ascii="仿宋_GB2312" w:eastAsia="仿宋_GB2312"/>
          <w:color w:val="000000" w:themeColor="text1"/>
          <w:sz w:val="32"/>
          <w:szCs w:val="32"/>
        </w:rPr>
        <w:t>主要原因是……</w:t>
      </w:r>
    </w:p>
    <w:p>
      <w:pPr>
        <w:autoSpaceDE w:val="0"/>
        <w:autoSpaceDN w:val="0"/>
        <w:adjustRightInd w:val="0"/>
        <w:spacing w:line="600" w:lineRule="exact"/>
        <w:ind w:firstLine="640"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r>
        <w:rPr>
          <w:rFonts w:hint="eastAsia" w:ascii="仿宋" w:hAnsi="仿宋" w:eastAsia="仿宋"/>
          <w:b/>
          <w:color w:val="000000"/>
          <w:sz w:val="32"/>
          <w:szCs w:val="32"/>
        </w:rPr>
        <w:t>——</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年，峨眉山市九里镇第一小学校政府采购支出总额0万元，其中：政府采购货物支出0万元、政府采购工程支出0万元、政府采购服务支出0万元。主要用于</w:t>
      </w:r>
      <w:r>
        <w:rPr>
          <w:rFonts w:ascii="仿宋_GB2312" w:eastAsia="仿宋_GB2312"/>
          <w:color w:val="000000"/>
          <w:sz w:val="32"/>
          <w:szCs w:val="32"/>
        </w:rPr>
        <w:t>…</w:t>
      </w:r>
      <w:r>
        <w:rPr>
          <w:rFonts w:hint="eastAsia" w:ascii="仿宋_GB2312" w:eastAsia="仿宋_GB2312"/>
          <w:color w:val="000000"/>
          <w:sz w:val="32"/>
          <w:szCs w:val="32"/>
        </w:rPr>
        <w:t>（具体工作）。授予中小企业合同金额0万元，占政府采购支出总额的0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0"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日，峨眉山市九里镇第一小学校共有车辆0辆，其中：主要领导干部用车0辆、机要通信用车0辆、应急保障用车0辆、其他用车0辆……</w:t>
      </w:r>
      <w:r>
        <w:rPr>
          <w:rFonts w:hint="eastAsia" w:ascii="仿宋_GB2312" w:eastAsia="仿宋_GB2312"/>
          <w:color w:val="000000" w:themeColor="text1"/>
          <w:sz w:val="32"/>
          <w:szCs w:val="32"/>
        </w:rPr>
        <w:t>其他用车主要是用于……单价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万元以上通用设备0台（套），单价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万元以上专用设备0台（套）。</w:t>
      </w:r>
    </w:p>
    <w:p>
      <w:pPr>
        <w:autoSpaceDE w:val="0"/>
        <w:autoSpaceDN w:val="0"/>
        <w:adjustRightInd w:val="0"/>
        <w:spacing w:line="600" w:lineRule="exact"/>
        <w:ind w:firstLine="640"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安保经费项目（项目名称）开展了预算事前绩效评估，对安保经费个项目编制了绩效目标，预算执行过程中，选取1个项目开展绩效监控，年终执行完毕后，对1个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整体支出开展绩效自评，从评价情况来看：完成情况良好（简要说明整体绩效情况）。本部门还自行组织了1个项目支出绩效评价，从评价情况来看效果良好（简要说明项目绩效情况；若未开展项目支出绩效评价，则说明未开展情况。如：本部门无专项预算项目，因此未组织开展项目支出绩效评价/本部门未组织开展项目支出绩效评价）。</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年度部门决算中反映“安保经费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等1个项目绩效目标实际完成情况。（本单位部门项目绩效目标个数在5个以上的，选取5个项目进行公开，目标个数在5个以下的，全部进行公开，公开内容包括选取的全部项目完成情况综述和完成情况表）。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（1）安保经费项目绩效目标完成情况综述。项目全年预算数</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6</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6</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万元，完成预算的100%。通过项目实施，保障学校安全保卫工作 (按照项目总体目标简要描述项目成效）。</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（2）安保经费项目绩效目标完成情况综述。项目全年预算数</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6</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6</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万元，完成预算的100%。通过项目实施，保障安全保卫工作（支持、促进、提高……）。</w:t>
      </w:r>
    </w:p>
    <w:p>
      <w:pPr>
        <w:spacing w:line="580" w:lineRule="exact"/>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803" w:type="dxa"/>
        <w:jc w:val="center"/>
        <w:tblLayout w:type="fixed"/>
        <w:tblCellMar>
          <w:top w:w="0" w:type="dxa"/>
          <w:left w:w="0" w:type="dxa"/>
          <w:bottom w:w="0" w:type="dxa"/>
          <w:right w:w="0" w:type="dxa"/>
        </w:tblCellMar>
      </w:tblPr>
      <w:tblGrid>
        <w:gridCol w:w="233"/>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803" w:type="dxa"/>
            <w:gridSpan w:val="6"/>
            <w:tcBorders>
              <w:top w:val="nil"/>
              <w:left w:val="nil"/>
              <w:bottom w:val="nil"/>
              <w:right w:val="nil"/>
            </w:tcBorders>
            <w:tcMar>
              <w:top w:w="15" w:type="dxa"/>
              <w:left w:w="15" w:type="dxa"/>
              <w:right w:w="15" w:type="dxa"/>
            </w:tcMar>
            <w:vAlign w:val="center"/>
          </w:tcPr>
          <w:p>
            <w:pPr>
              <w:widowControl/>
              <w:ind w:firstLine="3072" w:firstLineChars="850"/>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276" w:hRule="atLeast"/>
          <w:jc w:val="center"/>
        </w:trPr>
        <w:tc>
          <w:tcPr>
            <w:tcW w:w="26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安保经费</w:t>
            </w:r>
          </w:p>
        </w:tc>
      </w:tr>
      <w:tr>
        <w:tblPrEx>
          <w:tblCellMar>
            <w:top w:w="0" w:type="dxa"/>
            <w:left w:w="0" w:type="dxa"/>
            <w:bottom w:w="0" w:type="dxa"/>
            <w:right w:w="0" w:type="dxa"/>
          </w:tblCellMar>
        </w:tblPrEx>
        <w:trPr>
          <w:trHeight w:val="276" w:hRule="atLeast"/>
          <w:jc w:val="center"/>
        </w:trPr>
        <w:tc>
          <w:tcPr>
            <w:tcW w:w="26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峨眉山市九里镇第一小学校</w:t>
            </w:r>
          </w:p>
        </w:tc>
      </w:tr>
      <w:tr>
        <w:tblPrEx>
          <w:tblCellMar>
            <w:top w:w="0" w:type="dxa"/>
            <w:left w:w="0" w:type="dxa"/>
            <w:bottom w:w="0" w:type="dxa"/>
            <w:right w:w="0" w:type="dxa"/>
          </w:tblCellMar>
        </w:tblPrEx>
        <w:trPr>
          <w:trHeight w:val="276" w:hRule="atLeast"/>
          <w:jc w:val="center"/>
        </w:trPr>
        <w:tc>
          <w:tcPr>
            <w:tcW w:w="2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w:t>
            </w:r>
          </w:p>
        </w:tc>
      </w:tr>
      <w:tr>
        <w:tblPrEx>
          <w:tblCellMar>
            <w:top w:w="0" w:type="dxa"/>
            <w:left w:w="0" w:type="dxa"/>
            <w:bottom w:w="0" w:type="dxa"/>
            <w:right w:w="0" w:type="dxa"/>
          </w:tblCellMar>
        </w:tblPrEx>
        <w:trPr>
          <w:trHeight w:val="276" w:hRule="atLeast"/>
          <w:jc w:val="center"/>
        </w:trPr>
        <w:tc>
          <w:tcPr>
            <w:tcW w:w="2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仿宋_GB2312" w:hAnsi="仿宋_GB2312" w:eastAsia="仿宋_GB2312" w:cs="仿宋_GB2312"/>
                <w:sz w:val="32"/>
                <w:szCs w:val="32"/>
                <w:lang w:val="en-US" w:eastAsia="zh-CN"/>
              </w:rPr>
              <w:t>10.76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仿宋_GB2312" w:hAnsi="仿宋_GB2312" w:eastAsia="仿宋_GB2312" w:cs="仿宋_GB2312"/>
                <w:sz w:val="32"/>
                <w:szCs w:val="32"/>
                <w:lang w:val="en-US" w:eastAsia="zh-CN"/>
              </w:rPr>
              <w:t>10.76</w:t>
            </w:r>
          </w:p>
        </w:tc>
      </w:tr>
      <w:tr>
        <w:tblPrEx>
          <w:tblCellMar>
            <w:top w:w="0" w:type="dxa"/>
            <w:left w:w="0" w:type="dxa"/>
            <w:bottom w:w="0" w:type="dxa"/>
            <w:right w:w="0" w:type="dxa"/>
          </w:tblCellMar>
        </w:tblPrEx>
        <w:trPr>
          <w:trHeight w:val="1511" w:hRule="atLeast"/>
          <w:jc w:val="center"/>
        </w:trPr>
        <w:tc>
          <w:tcPr>
            <w:tcW w:w="2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2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2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保障学校安全</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全面完成预期目标</w:t>
            </w:r>
          </w:p>
        </w:tc>
      </w:tr>
      <w:tr>
        <w:tblPrEx>
          <w:tblCellMar>
            <w:top w:w="0" w:type="dxa"/>
            <w:left w:w="0" w:type="dxa"/>
            <w:bottom w:w="0" w:type="dxa"/>
            <w:right w:w="0" w:type="dxa"/>
          </w:tblCellMar>
        </w:tblPrEx>
        <w:trPr>
          <w:trHeight w:val="1042" w:hRule="atLeast"/>
          <w:jc w:val="center"/>
        </w:trPr>
        <w:tc>
          <w:tcPr>
            <w:tcW w:w="23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23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安保人数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w:t>
            </w:r>
          </w:p>
        </w:tc>
      </w:tr>
      <w:tr>
        <w:tblPrEx>
          <w:tblCellMar>
            <w:top w:w="0" w:type="dxa"/>
            <w:left w:w="0" w:type="dxa"/>
            <w:bottom w:w="0" w:type="dxa"/>
            <w:right w:w="0" w:type="dxa"/>
          </w:tblCellMar>
        </w:tblPrEx>
        <w:trPr>
          <w:trHeight w:val="1297" w:hRule="atLeast"/>
          <w:jc w:val="center"/>
        </w:trPr>
        <w:tc>
          <w:tcPr>
            <w:tcW w:w="23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保障安保人员最低生活标准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r>
      <w:tr>
        <w:tblPrEx>
          <w:tblCellMar>
            <w:top w:w="0" w:type="dxa"/>
            <w:left w:w="0" w:type="dxa"/>
            <w:bottom w:w="0" w:type="dxa"/>
            <w:right w:w="0" w:type="dxa"/>
          </w:tblCellMar>
        </w:tblPrEx>
        <w:trPr>
          <w:trHeight w:val="1042" w:hRule="atLeast"/>
          <w:jc w:val="center"/>
        </w:trPr>
        <w:tc>
          <w:tcPr>
            <w:tcW w:w="23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在规定时限内完成工资支付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r>
      <w:tr>
        <w:tblPrEx>
          <w:tblCellMar>
            <w:top w:w="0" w:type="dxa"/>
            <w:left w:w="0" w:type="dxa"/>
            <w:bottom w:w="0" w:type="dxa"/>
            <w:right w:w="0" w:type="dxa"/>
          </w:tblCellMar>
        </w:tblPrEx>
        <w:trPr>
          <w:trHeight w:val="1042" w:hRule="atLeast"/>
          <w:jc w:val="center"/>
        </w:trPr>
        <w:tc>
          <w:tcPr>
            <w:tcW w:w="23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社会指标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让社会对学校的安全标准工资得到认可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r>
      <w:tr>
        <w:tblPrEx>
          <w:tblCellMar>
            <w:top w:w="0" w:type="dxa"/>
            <w:left w:w="0" w:type="dxa"/>
            <w:bottom w:w="0" w:type="dxa"/>
            <w:right w:w="0" w:type="dxa"/>
          </w:tblCellMar>
        </w:tblPrEx>
        <w:trPr>
          <w:trHeight w:val="1042" w:hRule="atLeast"/>
          <w:jc w:val="center"/>
        </w:trPr>
        <w:tc>
          <w:tcPr>
            <w:tcW w:w="23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学生及家长认可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r>
    </w:tbl>
    <w:p>
      <w:pPr>
        <w:spacing w:line="580" w:lineRule="exact"/>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803" w:type="dxa"/>
        <w:jc w:val="center"/>
        <w:tblLayout w:type="fixed"/>
        <w:tblCellMar>
          <w:top w:w="0" w:type="dxa"/>
          <w:left w:w="0" w:type="dxa"/>
          <w:bottom w:w="0" w:type="dxa"/>
          <w:right w:w="0" w:type="dxa"/>
        </w:tblCellMar>
      </w:tblPr>
      <w:tblGrid>
        <w:gridCol w:w="233"/>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803" w:type="dxa"/>
            <w:gridSpan w:val="6"/>
            <w:tcBorders>
              <w:top w:val="nil"/>
              <w:left w:val="nil"/>
              <w:bottom w:val="nil"/>
              <w:right w:val="nil"/>
            </w:tcBorders>
            <w:tcMar>
              <w:top w:w="15" w:type="dxa"/>
              <w:left w:w="15" w:type="dxa"/>
              <w:right w:w="15" w:type="dxa"/>
            </w:tcMar>
            <w:vAlign w:val="center"/>
          </w:tcPr>
          <w:p>
            <w:pPr>
              <w:widowControl/>
              <w:ind w:firstLine="2349" w:firstLineChars="650"/>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276" w:hRule="atLeast"/>
          <w:jc w:val="center"/>
        </w:trPr>
        <w:tc>
          <w:tcPr>
            <w:tcW w:w="26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义教段免作业本费</w:t>
            </w:r>
          </w:p>
        </w:tc>
      </w:tr>
      <w:tr>
        <w:tblPrEx>
          <w:tblCellMar>
            <w:top w:w="0" w:type="dxa"/>
            <w:left w:w="0" w:type="dxa"/>
            <w:bottom w:w="0" w:type="dxa"/>
            <w:right w:w="0" w:type="dxa"/>
          </w:tblCellMar>
        </w:tblPrEx>
        <w:trPr>
          <w:trHeight w:val="276" w:hRule="atLeast"/>
          <w:jc w:val="center"/>
        </w:trPr>
        <w:tc>
          <w:tcPr>
            <w:tcW w:w="26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峨眉山市九里镇第一小学校</w:t>
            </w:r>
          </w:p>
        </w:tc>
      </w:tr>
      <w:tr>
        <w:tblPrEx>
          <w:tblCellMar>
            <w:top w:w="0" w:type="dxa"/>
            <w:left w:w="0" w:type="dxa"/>
            <w:bottom w:w="0" w:type="dxa"/>
            <w:right w:w="0" w:type="dxa"/>
          </w:tblCellMar>
        </w:tblPrEx>
        <w:trPr>
          <w:trHeight w:val="276" w:hRule="atLeast"/>
          <w:jc w:val="center"/>
        </w:trPr>
        <w:tc>
          <w:tcPr>
            <w:tcW w:w="2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w:t>
            </w:r>
          </w:p>
        </w:tc>
      </w:tr>
      <w:tr>
        <w:tblPrEx>
          <w:tblCellMar>
            <w:top w:w="0" w:type="dxa"/>
            <w:left w:w="0" w:type="dxa"/>
            <w:bottom w:w="0" w:type="dxa"/>
            <w:right w:w="0" w:type="dxa"/>
          </w:tblCellMar>
        </w:tblPrEx>
        <w:trPr>
          <w:trHeight w:val="276" w:hRule="atLeast"/>
          <w:jc w:val="center"/>
        </w:trPr>
        <w:tc>
          <w:tcPr>
            <w:tcW w:w="2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0.59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0.59</w:t>
            </w:r>
          </w:p>
        </w:tc>
      </w:tr>
      <w:tr>
        <w:tblPrEx>
          <w:tblCellMar>
            <w:top w:w="0" w:type="dxa"/>
            <w:left w:w="0" w:type="dxa"/>
            <w:bottom w:w="0" w:type="dxa"/>
            <w:right w:w="0" w:type="dxa"/>
          </w:tblCellMar>
        </w:tblPrEx>
        <w:trPr>
          <w:trHeight w:val="1511" w:hRule="atLeast"/>
          <w:jc w:val="center"/>
        </w:trPr>
        <w:tc>
          <w:tcPr>
            <w:tcW w:w="2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2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2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保障学校安全</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全面完成预期目标</w:t>
            </w:r>
          </w:p>
        </w:tc>
      </w:tr>
      <w:tr>
        <w:tblPrEx>
          <w:tblCellMar>
            <w:top w:w="0" w:type="dxa"/>
            <w:left w:w="0" w:type="dxa"/>
            <w:bottom w:w="0" w:type="dxa"/>
            <w:right w:w="0" w:type="dxa"/>
          </w:tblCellMar>
        </w:tblPrEx>
        <w:trPr>
          <w:trHeight w:val="1042" w:hRule="atLeast"/>
          <w:jc w:val="center"/>
        </w:trPr>
        <w:tc>
          <w:tcPr>
            <w:tcW w:w="23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23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学生人数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265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265</w:t>
            </w:r>
          </w:p>
        </w:tc>
      </w:tr>
      <w:tr>
        <w:tblPrEx>
          <w:tblCellMar>
            <w:top w:w="0" w:type="dxa"/>
            <w:left w:w="0" w:type="dxa"/>
            <w:bottom w:w="0" w:type="dxa"/>
            <w:right w:w="0" w:type="dxa"/>
          </w:tblCellMar>
        </w:tblPrEx>
        <w:trPr>
          <w:trHeight w:val="1297" w:hRule="atLeast"/>
          <w:jc w:val="center"/>
        </w:trPr>
        <w:tc>
          <w:tcPr>
            <w:tcW w:w="23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保障学习任务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r>
      <w:tr>
        <w:tblPrEx>
          <w:tblCellMar>
            <w:top w:w="0" w:type="dxa"/>
            <w:left w:w="0" w:type="dxa"/>
            <w:bottom w:w="0" w:type="dxa"/>
            <w:right w:w="0" w:type="dxa"/>
          </w:tblCellMar>
        </w:tblPrEx>
        <w:trPr>
          <w:trHeight w:val="1042" w:hRule="atLeast"/>
          <w:jc w:val="center"/>
        </w:trPr>
        <w:tc>
          <w:tcPr>
            <w:tcW w:w="23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在规定时限内完成工资支付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r>
      <w:tr>
        <w:tblPrEx>
          <w:tblCellMar>
            <w:top w:w="0" w:type="dxa"/>
            <w:left w:w="0" w:type="dxa"/>
            <w:bottom w:w="0" w:type="dxa"/>
            <w:right w:w="0" w:type="dxa"/>
          </w:tblCellMar>
        </w:tblPrEx>
        <w:trPr>
          <w:trHeight w:val="1042" w:hRule="atLeast"/>
          <w:jc w:val="center"/>
        </w:trPr>
        <w:tc>
          <w:tcPr>
            <w:tcW w:w="23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社会指标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让社会对学校得到认可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r>
      <w:tr>
        <w:tblPrEx>
          <w:tblCellMar>
            <w:top w:w="0" w:type="dxa"/>
            <w:left w:w="0" w:type="dxa"/>
            <w:bottom w:w="0" w:type="dxa"/>
            <w:right w:w="0" w:type="dxa"/>
          </w:tblCellMar>
        </w:tblPrEx>
        <w:trPr>
          <w:trHeight w:val="1042" w:hRule="atLeast"/>
          <w:jc w:val="center"/>
        </w:trPr>
        <w:tc>
          <w:tcPr>
            <w:tcW w:w="23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学生及家长认可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r>
      <w:tr>
        <w:tblPrEx>
          <w:tblCellMar>
            <w:top w:w="0" w:type="dxa"/>
            <w:left w:w="0" w:type="dxa"/>
            <w:bottom w:w="0" w:type="dxa"/>
            <w:right w:w="0" w:type="dxa"/>
          </w:tblCellMar>
        </w:tblPrEx>
        <w:trPr>
          <w:trHeight w:val="1042" w:hRule="atLeast"/>
          <w:jc w:val="center"/>
        </w:trPr>
        <w:tc>
          <w:tcPr>
            <w:tcW w:w="23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bl>
    <w:p>
      <w:pPr>
        <w:spacing w:line="580" w:lineRule="exact"/>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年部门整体支出绩效评价情况开展自评，《峨眉山市九里镇第一小学校部门20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年部门整体支出绩效评价报告》见附件（附件1）。</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本部门自行组织对安保经费项目《峨眉山市九里镇第一小学校安保经费项目20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年绩效评价报告》见附件（附件2）。（非涉密部门均需公开部门整体支出评价报告，部门自行组织的绩效评价情况根据部门实际公开，若未组织项目绩效评价，则只需说明部门整体支出绩效评价情况）</w:t>
      </w:r>
    </w:p>
    <w:p>
      <w:pPr>
        <w:widowControl/>
        <w:ind w:firstLine="1760" w:firstLineChars="400"/>
        <w:jc w:val="left"/>
        <w:rPr>
          <w:rStyle w:val="24"/>
          <w:rFonts w:ascii="仿宋_GB2312" w:eastAsia="仿宋_GB2312"/>
          <w:bCs w:val="0"/>
          <w:color w:val="000000"/>
          <w:kern w:val="2"/>
          <w:sz w:val="32"/>
          <w:szCs w:val="32"/>
        </w:rPr>
      </w:pPr>
      <w:bookmarkStart w:id="55" w:name="_Toc15377225"/>
      <w:bookmarkStart w:id="56" w:name="_Toc15396613"/>
      <w:r>
        <w:rPr>
          <w:rFonts w:hint="eastAsia" w:ascii="黑体" w:hAnsi="黑体" w:eastAsia="黑体"/>
          <w:color w:val="000000"/>
          <w:sz w:val="44"/>
          <w:szCs w:val="44"/>
        </w:rPr>
        <w:t>名</w:t>
      </w:r>
      <w:r>
        <w:rPr>
          <w:rStyle w:val="24"/>
          <w:rFonts w:hint="eastAsia" w:ascii="黑体" w:hAnsi="黑体" w:eastAsia="黑体"/>
          <w:b w:val="0"/>
        </w:rPr>
        <w:t>词解释</w:t>
      </w:r>
      <w:bookmarkEnd w:id="55"/>
      <w:bookmarkEnd w:id="56"/>
    </w:p>
    <w:p>
      <w:pPr>
        <w:pStyle w:val="22"/>
        <w:spacing w:line="560" w:lineRule="exact"/>
        <w:ind w:firstLine="480" w:firstLineChars="15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w:t>
      </w:r>
      <w:r>
        <w:rPr>
          <w:rFonts w:hint="eastAsia" w:ascii="仿宋" w:hAnsi="仿宋" w:eastAsia="仿宋"/>
          <w:b/>
          <w:color w:val="000000"/>
          <w:sz w:val="32"/>
          <w:szCs w:val="32"/>
          <w:lang w:val="en-US" w:eastAsia="zh-CN"/>
        </w:rPr>
        <w:t>20</w:t>
      </w:r>
      <w:r>
        <w:rPr>
          <w:rFonts w:hint="eastAsia" w:ascii="仿宋" w:hAnsi="仿宋" w:eastAsia="仿宋"/>
          <w:b/>
          <w:color w:val="000000"/>
          <w:sz w:val="32"/>
          <w:szCs w:val="32"/>
        </w:rPr>
        <w:t>年政府收支分类科目》增减内容。）</w:t>
      </w:r>
    </w:p>
    <w:p>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w:t>
      </w:r>
    </w:p>
    <w:p>
      <w:pPr>
        <w:pStyle w:val="22"/>
        <w:spacing w:line="560" w:lineRule="exact"/>
        <w:ind w:firstLine="640" w:firstLineChars="200"/>
        <w:rPr>
          <w:rFonts w:ascii="仿宋_GB2312" w:eastAsia="仿宋_GB2312" w:cs="黑体"/>
          <w:sz w:val="32"/>
          <w:szCs w:val="32"/>
        </w:rPr>
      </w:pPr>
    </w:p>
    <w:p>
      <w:pPr>
        <w:ind w:firstLine="640"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pPr>
        <w:spacing w:line="600" w:lineRule="exact"/>
        <w:jc w:val="center"/>
        <w:outlineLvl w:val="0"/>
        <w:rPr>
          <w:rStyle w:val="24"/>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8"/>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黑体" w:hAnsi="黑体" w:eastAsia="黑体"/>
          <w:b/>
          <w:color w:val="000000"/>
          <w:kern w:val="0"/>
          <w:sz w:val="40"/>
          <w:szCs w:val="44"/>
        </w:rPr>
      </w:pPr>
      <w:r>
        <w:rPr>
          <w:rFonts w:hint="eastAsia" w:ascii="黑体" w:hAnsi="黑体" w:eastAsia="黑体"/>
          <w:b/>
          <w:color w:val="000000"/>
          <w:kern w:val="0"/>
          <w:sz w:val="40"/>
          <w:szCs w:val="44"/>
        </w:rPr>
        <w:t>峨眉山市九里镇第一小学校</w:t>
      </w:r>
      <w:r>
        <w:rPr>
          <w:rFonts w:hint="eastAsia" w:ascii="黑体" w:hAnsi="黑体" w:eastAsia="黑体"/>
          <w:b/>
          <w:color w:val="000000"/>
          <w:kern w:val="0"/>
          <w:sz w:val="40"/>
          <w:szCs w:val="44"/>
          <w:lang w:val="zh-CN"/>
        </w:rPr>
        <w:t>部门</w:t>
      </w:r>
      <w:r>
        <w:rPr>
          <w:rFonts w:hint="eastAsia" w:ascii="黑体" w:hAnsi="黑体" w:eastAsia="黑体"/>
          <w:b/>
          <w:color w:val="000000"/>
          <w:kern w:val="0"/>
          <w:sz w:val="40"/>
          <w:szCs w:val="44"/>
          <w:lang w:val="en-US" w:eastAsia="zh-CN"/>
        </w:rPr>
        <w:t>2021</w:t>
      </w:r>
      <w:r>
        <w:rPr>
          <w:rFonts w:ascii="黑体" w:hAnsi="黑体" w:eastAsia="黑体"/>
          <w:b/>
          <w:color w:val="000000"/>
          <w:kern w:val="0"/>
          <w:sz w:val="40"/>
          <w:szCs w:val="44"/>
        </w:rPr>
        <w:t>年部门</w:t>
      </w:r>
    </w:p>
    <w:p>
      <w:pPr>
        <w:spacing w:line="600" w:lineRule="exact"/>
        <w:jc w:val="center"/>
        <w:rPr>
          <w:rFonts w:ascii="黑体" w:hAnsi="黑体" w:eastAsia="黑体"/>
          <w:b/>
          <w:color w:val="000000"/>
          <w:kern w:val="0"/>
          <w:sz w:val="40"/>
          <w:szCs w:val="44"/>
          <w:lang w:val="zh-CN"/>
        </w:rPr>
      </w:pPr>
      <w:r>
        <w:rPr>
          <w:rFonts w:hint="eastAsia" w:ascii="黑体" w:hAnsi="黑体" w:eastAsia="黑体"/>
          <w:b/>
          <w:color w:val="000000"/>
          <w:kern w:val="0"/>
          <w:sz w:val="40"/>
          <w:szCs w:val="44"/>
          <w:lang w:val="zh-CN"/>
        </w:rPr>
        <w:t>整体支出绩效评价报告</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shd w:val="clear" w:color="auto" w:fill="FFFFFF"/>
        <w:adjustRightInd w:val="0"/>
        <w:snapToGrid w:val="0"/>
        <w:spacing w:line="540" w:lineRule="exact"/>
        <w:ind w:firstLine="643"/>
        <w:jc w:val="left"/>
        <w:rPr>
          <w:rFonts w:hint="eastAsia" w:ascii="宋体" w:hAnsi="宋体" w:eastAsia="宋体" w:cs="宋体"/>
          <w:kern w:val="0"/>
          <w:sz w:val="32"/>
          <w:szCs w:val="32"/>
        </w:rPr>
      </w:pPr>
      <w:r>
        <w:rPr>
          <w:rFonts w:hint="eastAsia" w:ascii="宋体" w:hAnsi="宋体" w:eastAsia="宋体" w:cs="宋体"/>
          <w:color w:val="000000"/>
          <w:kern w:val="0"/>
          <w:sz w:val="32"/>
          <w:szCs w:val="32"/>
          <w:shd w:val="clear" w:color="auto" w:fill="FFFFFF"/>
          <w:lang w:val="zh-CN"/>
        </w:rPr>
        <w:t>（一）机构组成。</w:t>
      </w:r>
      <w:r>
        <w:rPr>
          <w:rFonts w:hint="eastAsia" w:ascii="宋体" w:hAnsi="宋体" w:eastAsia="宋体" w:cs="宋体"/>
          <w:kern w:val="0"/>
          <w:sz w:val="32"/>
          <w:szCs w:val="32"/>
          <w:shd w:val="clear" w:color="auto" w:fill="FFFFFF"/>
        </w:rPr>
        <w:t>峨眉山市九里镇第一小学校内设校长办公室.教导办公室.后勤办公室.安保室。</w:t>
      </w:r>
    </w:p>
    <w:p>
      <w:pPr>
        <w:widowControl/>
        <w:adjustRightInd w:val="0"/>
        <w:snapToGrid w:val="0"/>
        <w:spacing w:line="580" w:lineRule="exact"/>
        <w:ind w:firstLine="640" w:firstLineChars="200"/>
        <w:contextualSpacing/>
        <w:jc w:val="left"/>
        <w:rPr>
          <w:rFonts w:hint="eastAsia" w:ascii="宋体" w:hAnsi="宋体" w:eastAsia="宋体" w:cs="宋体"/>
          <w:color w:val="000000"/>
          <w:kern w:val="0"/>
          <w:sz w:val="32"/>
          <w:szCs w:val="32"/>
          <w:shd w:val="clear" w:color="auto" w:fill="FFFFFF"/>
          <w:lang w:val="zh-CN"/>
        </w:rPr>
      </w:pPr>
      <w:r>
        <w:rPr>
          <w:rFonts w:hint="eastAsia" w:ascii="宋体" w:hAnsi="宋体" w:eastAsia="宋体" w:cs="宋体"/>
          <w:color w:val="000000"/>
          <w:kern w:val="0"/>
          <w:sz w:val="32"/>
          <w:szCs w:val="32"/>
          <w:shd w:val="clear" w:color="auto" w:fill="FFFFFF"/>
          <w:lang w:val="zh-CN"/>
        </w:rPr>
        <w:t>（二）机构职能。</w:t>
      </w:r>
      <w:r>
        <w:rPr>
          <w:rFonts w:hint="eastAsia" w:ascii="宋体" w:hAnsi="宋体" w:eastAsia="宋体" w:cs="宋体"/>
          <w:sz w:val="32"/>
          <w:szCs w:val="32"/>
          <w:shd w:val="clear" w:color="auto" w:fill="FFFFFF"/>
        </w:rPr>
        <w:t>从事义务教育阶段小学教育教学工作。</w:t>
      </w:r>
    </w:p>
    <w:p>
      <w:pPr>
        <w:shd w:val="clear" w:color="auto" w:fill="FFFFFF"/>
        <w:spacing w:before="100" w:beforeAutospacing="1" w:after="100" w:afterAutospacing="1"/>
        <w:ind w:firstLine="640" w:firstLineChars="200"/>
        <w:rPr>
          <w:rFonts w:ascii="仿宋" w:hAnsi="仿宋" w:eastAsia="仿宋" w:cs="仿宋_GB2312"/>
          <w:kern w:val="0"/>
          <w:sz w:val="32"/>
          <w:szCs w:val="32"/>
        </w:rPr>
      </w:pPr>
      <w:r>
        <w:rPr>
          <w:rFonts w:hint="eastAsia" w:ascii="宋体" w:hAnsi="宋体" w:eastAsia="宋体" w:cs="宋体"/>
          <w:color w:val="000000"/>
          <w:kern w:val="0"/>
          <w:sz w:val="32"/>
          <w:szCs w:val="32"/>
          <w:shd w:val="clear" w:color="auto" w:fill="FFFFFF"/>
          <w:lang w:val="zh-CN"/>
        </w:rPr>
        <w:t>（三）人员概况。</w:t>
      </w:r>
      <w:r>
        <w:rPr>
          <w:rFonts w:hint="eastAsia" w:ascii="宋体" w:hAnsi="宋体" w:eastAsia="宋体" w:cs="宋体"/>
          <w:sz w:val="32"/>
          <w:szCs w:val="32"/>
        </w:rPr>
        <w:t>核定事业编制</w:t>
      </w:r>
      <w:r>
        <w:rPr>
          <w:rFonts w:hint="eastAsia" w:ascii="宋体" w:hAnsi="宋体" w:eastAsia="宋体" w:cs="宋体"/>
          <w:sz w:val="32"/>
          <w:szCs w:val="32"/>
          <w:lang w:val="en-US" w:eastAsia="zh-CN"/>
        </w:rPr>
        <w:t>45</w:t>
      </w:r>
      <w:r>
        <w:rPr>
          <w:rFonts w:hint="eastAsia" w:ascii="宋体" w:hAnsi="宋体" w:eastAsia="宋体" w:cs="宋体"/>
          <w:sz w:val="32"/>
          <w:szCs w:val="32"/>
        </w:rPr>
        <w:t>名，实际在编在岗人员</w:t>
      </w:r>
      <w:r>
        <w:rPr>
          <w:rFonts w:hint="eastAsia" w:ascii="仿宋" w:hAnsi="仿宋" w:eastAsia="仿宋" w:cs="仿宋_GB2312"/>
          <w:sz w:val="32"/>
          <w:szCs w:val="32"/>
          <w:lang w:val="en-US" w:eastAsia="zh-CN"/>
        </w:rPr>
        <w:t>41</w:t>
      </w:r>
      <w:r>
        <w:rPr>
          <w:rFonts w:hint="eastAsia" w:ascii="仿宋" w:hAnsi="仿宋" w:eastAsia="仿宋" w:cs="仿宋_GB2312"/>
          <w:sz w:val="32"/>
          <w:szCs w:val="32"/>
        </w:rPr>
        <w:t>名。</w:t>
      </w:r>
      <w:r>
        <w:rPr>
          <w:rFonts w:hint="eastAsia" w:ascii="仿宋" w:hAnsi="仿宋" w:eastAsia="仿宋" w:cs="仿宋_GB2312"/>
          <w:kern w:val="0"/>
          <w:sz w:val="32"/>
          <w:szCs w:val="32"/>
        </w:rPr>
        <w:t>长期聘用人员</w:t>
      </w:r>
      <w:r>
        <w:rPr>
          <w:rFonts w:hint="eastAsia" w:ascii="仿宋" w:hAnsi="仿宋" w:eastAsia="仿宋" w:cs="仿宋_GB2312"/>
          <w:kern w:val="0"/>
          <w:sz w:val="32"/>
          <w:szCs w:val="32"/>
          <w:lang w:val="en-US" w:eastAsia="zh-CN"/>
        </w:rPr>
        <w:t>3</w:t>
      </w:r>
      <w:r>
        <w:rPr>
          <w:rFonts w:hint="eastAsia" w:ascii="仿宋" w:hAnsi="仿宋" w:eastAsia="仿宋" w:cs="仿宋_GB2312"/>
          <w:kern w:val="0"/>
          <w:sz w:val="32"/>
          <w:szCs w:val="32"/>
        </w:rPr>
        <w:t>名。</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shd w:val="clear" w:color="auto" w:fill="FFFFFF"/>
        <w:adjustRightInd w:val="0"/>
        <w:snapToGrid w:val="0"/>
        <w:spacing w:before="100" w:beforeAutospacing="1" w:after="100" w:afterAutospacing="1"/>
        <w:ind w:firstLine="640" w:firstLineChars="200"/>
        <w:jc w:val="left"/>
        <w:outlineLvl w:val="0"/>
        <w:rPr>
          <w:rFonts w:ascii="仿宋" w:hAnsi="仿宋" w:eastAsia="仿宋" w:cs="仿宋_GB2312"/>
          <w:kern w:val="0"/>
          <w:sz w:val="32"/>
          <w:szCs w:val="32"/>
        </w:rPr>
      </w:pPr>
      <w:r>
        <w:rPr>
          <w:rFonts w:hint="eastAsia" w:ascii="仿宋_GB2312" w:hAnsi="宋体" w:eastAsia="仿宋_GB2312" w:cs="宋体"/>
          <w:color w:val="000000"/>
          <w:kern w:val="0"/>
          <w:sz w:val="32"/>
          <w:szCs w:val="32"/>
          <w:shd w:val="clear" w:color="auto" w:fill="FFFFFF"/>
          <w:lang w:val="zh-CN"/>
        </w:rPr>
        <w:t>（一）部门财政资金收入情况。</w:t>
      </w:r>
      <w:r>
        <w:rPr>
          <w:rFonts w:hint="eastAsia" w:ascii="仿宋" w:hAnsi="仿宋" w:eastAsia="仿宋" w:cs="仿宋_GB2312"/>
          <w:kern w:val="0"/>
          <w:sz w:val="32"/>
          <w:szCs w:val="32"/>
        </w:rPr>
        <w:t>我单位</w:t>
      </w:r>
      <w:r>
        <w:rPr>
          <w:rFonts w:hint="eastAsia" w:ascii="仿宋" w:hAnsi="仿宋" w:eastAsia="仿宋" w:cs="仿宋_GB2312"/>
          <w:kern w:val="0"/>
          <w:sz w:val="32"/>
          <w:szCs w:val="32"/>
          <w:lang w:val="en-US" w:eastAsia="zh-CN"/>
        </w:rPr>
        <w:t>2020</w:t>
      </w:r>
      <w:r>
        <w:rPr>
          <w:rFonts w:hint="eastAsia" w:ascii="仿宋" w:hAnsi="仿宋" w:eastAsia="仿宋" w:cs="仿宋_GB2312"/>
          <w:kern w:val="0"/>
          <w:sz w:val="32"/>
          <w:szCs w:val="32"/>
        </w:rPr>
        <w:t>年部门决算收入为</w:t>
      </w:r>
      <w:r>
        <w:rPr>
          <w:rFonts w:hint="eastAsia" w:ascii="仿宋" w:hAnsi="仿宋" w:eastAsia="仿宋" w:cs="仿宋_GB2312"/>
          <w:kern w:val="0"/>
          <w:sz w:val="32"/>
          <w:szCs w:val="32"/>
          <w:lang w:val="en-US" w:eastAsia="zh-CN"/>
        </w:rPr>
        <w:t>961.58</w:t>
      </w:r>
      <w:r>
        <w:rPr>
          <w:rFonts w:hint="eastAsia" w:ascii="仿宋" w:hAnsi="仿宋" w:eastAsia="仿宋" w:cs="仿宋_GB2312"/>
          <w:kern w:val="0"/>
          <w:sz w:val="32"/>
          <w:szCs w:val="32"/>
        </w:rPr>
        <w:t>万元，调整预算收入为</w:t>
      </w:r>
      <w:r>
        <w:rPr>
          <w:rFonts w:hint="eastAsia" w:ascii="仿宋" w:hAnsi="仿宋" w:eastAsia="仿宋" w:cs="仿宋_GB2312"/>
          <w:kern w:val="0"/>
          <w:sz w:val="32"/>
          <w:szCs w:val="32"/>
          <w:lang w:val="en-US" w:eastAsia="zh-CN"/>
        </w:rPr>
        <w:t>961.58</w:t>
      </w:r>
      <w:r>
        <w:rPr>
          <w:rFonts w:hint="eastAsia" w:ascii="仿宋" w:hAnsi="仿宋" w:eastAsia="仿宋" w:cs="仿宋_GB2312"/>
          <w:kern w:val="0"/>
          <w:sz w:val="32"/>
          <w:szCs w:val="32"/>
        </w:rPr>
        <w:t>万元，无政府性基金预算资金；决算收入与预算收入的差额0万元.</w:t>
      </w:r>
    </w:p>
    <w:p>
      <w:pPr>
        <w:widowControl/>
        <w:shd w:val="clear" w:color="auto" w:fill="FFFFFF"/>
        <w:adjustRightInd w:val="0"/>
        <w:snapToGrid w:val="0"/>
        <w:ind w:firstLine="640" w:firstLineChars="200"/>
        <w:jc w:val="left"/>
        <w:rPr>
          <w:rFonts w:ascii="仿宋" w:hAnsi="仿宋" w:eastAsia="仿宋" w:cs="仿宋_GB2312"/>
          <w:color w:val="000000" w:themeColor="text1"/>
          <w:kern w:val="0"/>
          <w:sz w:val="32"/>
          <w:szCs w:val="32"/>
        </w:rPr>
      </w:pPr>
      <w:r>
        <w:rPr>
          <w:rFonts w:hint="eastAsia" w:ascii="仿宋_GB2312" w:hAnsi="宋体" w:eastAsia="仿宋_GB2312" w:cs="宋体"/>
          <w:color w:val="000000"/>
          <w:kern w:val="0"/>
          <w:sz w:val="32"/>
          <w:szCs w:val="32"/>
          <w:shd w:val="clear" w:color="auto" w:fill="FFFFFF"/>
          <w:lang w:val="zh-CN"/>
        </w:rPr>
        <w:t>（二）部门财政资金支出情况。</w:t>
      </w:r>
      <w:r>
        <w:rPr>
          <w:rFonts w:hint="eastAsia" w:ascii="仿宋" w:hAnsi="仿宋" w:eastAsia="仿宋" w:cs="仿宋_GB2312"/>
          <w:kern w:val="0"/>
          <w:sz w:val="32"/>
          <w:szCs w:val="32"/>
        </w:rPr>
        <w:t>我单位</w:t>
      </w:r>
      <w:r>
        <w:rPr>
          <w:rFonts w:hint="eastAsia" w:ascii="仿宋" w:hAnsi="仿宋" w:eastAsia="仿宋" w:cs="仿宋_GB2312"/>
          <w:kern w:val="0"/>
          <w:sz w:val="32"/>
          <w:szCs w:val="32"/>
          <w:lang w:val="en-US" w:eastAsia="zh-CN"/>
        </w:rPr>
        <w:t>2020</w:t>
      </w:r>
      <w:r>
        <w:rPr>
          <w:rFonts w:hint="eastAsia" w:ascii="仿宋" w:hAnsi="仿宋" w:eastAsia="仿宋" w:cs="仿宋_GB2312"/>
          <w:kern w:val="0"/>
          <w:sz w:val="32"/>
          <w:szCs w:val="32"/>
        </w:rPr>
        <w:t>年支出决算数为</w:t>
      </w:r>
      <w:r>
        <w:rPr>
          <w:rFonts w:hint="eastAsia" w:ascii="仿宋" w:hAnsi="仿宋" w:eastAsia="仿宋" w:cs="仿宋_GB2312"/>
          <w:kern w:val="0"/>
          <w:sz w:val="32"/>
          <w:szCs w:val="32"/>
          <w:lang w:val="en-US" w:eastAsia="zh-CN"/>
        </w:rPr>
        <w:t>961.58</w:t>
      </w:r>
      <w:r>
        <w:rPr>
          <w:rFonts w:hint="eastAsia" w:ascii="仿宋" w:hAnsi="仿宋" w:eastAsia="仿宋" w:cs="仿宋_GB2312"/>
          <w:kern w:val="0"/>
          <w:sz w:val="32"/>
          <w:szCs w:val="32"/>
        </w:rPr>
        <w:t>万元，其中：基本支出</w:t>
      </w:r>
      <w:r>
        <w:rPr>
          <w:rFonts w:hint="eastAsia" w:ascii="仿宋" w:hAnsi="仿宋" w:eastAsia="仿宋" w:cs="仿宋_GB2312"/>
          <w:kern w:val="0"/>
          <w:sz w:val="32"/>
          <w:szCs w:val="32"/>
          <w:lang w:val="en-US" w:eastAsia="zh-CN"/>
        </w:rPr>
        <w:t>734.78</w:t>
      </w:r>
      <w:r>
        <w:rPr>
          <w:rFonts w:hint="eastAsia" w:ascii="仿宋" w:hAnsi="仿宋" w:eastAsia="仿宋" w:cs="仿宋_GB2312"/>
          <w:kern w:val="0"/>
          <w:sz w:val="32"/>
          <w:szCs w:val="32"/>
        </w:rPr>
        <w:t>万元，项目支出</w:t>
      </w:r>
      <w:r>
        <w:rPr>
          <w:rFonts w:hint="eastAsia" w:ascii="仿宋" w:hAnsi="仿宋" w:eastAsia="仿宋" w:cs="仿宋_GB2312"/>
          <w:kern w:val="0"/>
          <w:sz w:val="32"/>
          <w:szCs w:val="32"/>
          <w:lang w:val="en-US" w:eastAsia="zh-CN"/>
        </w:rPr>
        <w:t>226.81万</w:t>
      </w:r>
      <w:r>
        <w:rPr>
          <w:rFonts w:hint="eastAsia" w:ascii="仿宋" w:hAnsi="仿宋" w:eastAsia="仿宋" w:cs="仿宋_GB2312"/>
          <w:kern w:val="0"/>
          <w:sz w:val="32"/>
          <w:szCs w:val="32"/>
        </w:rPr>
        <w:t>元；预算数为</w:t>
      </w:r>
      <w:r>
        <w:rPr>
          <w:rFonts w:hint="eastAsia" w:ascii="仿宋" w:hAnsi="仿宋" w:eastAsia="仿宋" w:cs="仿宋_GB2312"/>
          <w:kern w:val="0"/>
          <w:sz w:val="32"/>
          <w:szCs w:val="32"/>
          <w:lang w:val="en-US" w:eastAsia="zh-CN"/>
        </w:rPr>
        <w:t>734.78</w:t>
      </w:r>
      <w:r>
        <w:rPr>
          <w:rFonts w:hint="eastAsia" w:ascii="仿宋" w:hAnsi="仿宋" w:eastAsia="仿宋" w:cs="仿宋_GB2312"/>
          <w:kern w:val="0"/>
          <w:sz w:val="32"/>
          <w:szCs w:val="32"/>
        </w:rPr>
        <w:t>万元，其中：基本支出</w:t>
      </w:r>
      <w:r>
        <w:rPr>
          <w:rFonts w:hint="eastAsia" w:ascii="仿宋" w:hAnsi="仿宋" w:eastAsia="仿宋" w:cs="仿宋_GB2312"/>
          <w:kern w:val="0"/>
          <w:sz w:val="32"/>
          <w:szCs w:val="32"/>
          <w:lang w:val="en-US" w:eastAsia="zh-CN"/>
        </w:rPr>
        <w:t>734.78万元</w:t>
      </w:r>
      <w:r>
        <w:rPr>
          <w:rFonts w:hint="eastAsia" w:ascii="仿宋" w:hAnsi="仿宋" w:eastAsia="仿宋" w:cs="仿宋_GB2312"/>
          <w:kern w:val="0"/>
          <w:sz w:val="32"/>
          <w:szCs w:val="32"/>
        </w:rPr>
        <w:t>，项目支出</w:t>
      </w:r>
      <w:r>
        <w:rPr>
          <w:rFonts w:hint="eastAsia" w:ascii="仿宋" w:hAnsi="仿宋" w:eastAsia="仿宋" w:cs="仿宋_GB2312"/>
          <w:kern w:val="0"/>
          <w:sz w:val="32"/>
          <w:szCs w:val="32"/>
          <w:lang w:val="en-US" w:eastAsia="zh-CN"/>
        </w:rPr>
        <w:t>172.07</w:t>
      </w:r>
      <w:r>
        <w:rPr>
          <w:rFonts w:hint="eastAsia" w:ascii="仿宋" w:hAnsi="仿宋" w:eastAsia="仿宋" w:cs="仿宋_GB2312"/>
          <w:kern w:val="0"/>
          <w:sz w:val="32"/>
          <w:szCs w:val="32"/>
        </w:rPr>
        <w:t>万元。基本支出较预算增加的</w:t>
      </w:r>
      <w:r>
        <w:rPr>
          <w:rFonts w:hint="eastAsia" w:ascii="仿宋" w:hAnsi="仿宋" w:eastAsia="仿宋" w:cs="仿宋_GB2312"/>
          <w:kern w:val="0"/>
          <w:sz w:val="32"/>
          <w:szCs w:val="32"/>
          <w:lang w:val="en-US" w:eastAsia="zh-CN"/>
        </w:rPr>
        <w:t>141.18</w:t>
      </w:r>
      <w:r>
        <w:rPr>
          <w:rFonts w:hint="eastAsia" w:ascii="仿宋" w:hAnsi="仿宋" w:eastAsia="仿宋" w:cs="仿宋_GB2312"/>
          <w:kern w:val="0"/>
          <w:sz w:val="32"/>
          <w:szCs w:val="32"/>
        </w:rPr>
        <w:t>万元，主要为调资等；</w:t>
      </w:r>
      <w:r>
        <w:rPr>
          <w:rFonts w:hint="eastAsia" w:ascii="仿宋" w:hAnsi="仿宋" w:eastAsia="仿宋" w:cs="仿宋_GB2312"/>
          <w:color w:val="000000" w:themeColor="text1"/>
          <w:kern w:val="0"/>
          <w:sz w:val="32"/>
          <w:szCs w:val="32"/>
        </w:rPr>
        <w:t>项目支出较预算减少</w:t>
      </w:r>
      <w:r>
        <w:rPr>
          <w:rFonts w:hint="eastAsia" w:ascii="仿宋" w:hAnsi="仿宋" w:eastAsia="仿宋" w:cs="仿宋_GB2312"/>
          <w:color w:val="000000" w:themeColor="text1"/>
          <w:kern w:val="0"/>
          <w:sz w:val="32"/>
          <w:szCs w:val="32"/>
          <w:lang w:val="en-US" w:eastAsia="zh-CN"/>
        </w:rPr>
        <w:t>54.74</w:t>
      </w:r>
      <w:r>
        <w:rPr>
          <w:rFonts w:hint="eastAsia" w:ascii="仿宋" w:hAnsi="仿宋" w:eastAsia="仿宋" w:cs="仿宋_GB2312"/>
          <w:color w:val="000000" w:themeColor="text1"/>
          <w:kern w:val="0"/>
          <w:sz w:val="32"/>
          <w:szCs w:val="32"/>
        </w:rPr>
        <w:t>万元,主要为运动场改建经费</w:t>
      </w:r>
      <w:r>
        <w:rPr>
          <w:rFonts w:hint="eastAsia" w:ascii="仿宋" w:hAnsi="仿宋" w:eastAsia="仿宋" w:cs="仿宋_GB2312"/>
          <w:color w:val="000000" w:themeColor="text1"/>
          <w:kern w:val="0"/>
          <w:sz w:val="32"/>
          <w:szCs w:val="32"/>
          <w:lang w:eastAsia="zh-CN"/>
        </w:rPr>
        <w:t>结余</w:t>
      </w:r>
      <w:r>
        <w:rPr>
          <w:rFonts w:hint="eastAsia" w:ascii="仿宋" w:hAnsi="仿宋" w:eastAsia="仿宋" w:cs="仿宋_GB2312"/>
          <w:color w:val="000000" w:themeColor="text1"/>
          <w:kern w:val="0"/>
          <w:sz w:val="32"/>
          <w:szCs w:val="32"/>
        </w:rPr>
        <w:t>。</w:t>
      </w:r>
    </w:p>
    <w:p>
      <w:pPr>
        <w:widowControl/>
        <w:shd w:val="clear" w:color="auto" w:fill="FFFFFF"/>
        <w:adjustRightInd w:val="0"/>
        <w:snapToGrid w:val="0"/>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决算支出较决算收入减少</w:t>
      </w:r>
      <w:r>
        <w:rPr>
          <w:rFonts w:hint="eastAsia" w:ascii="仿宋" w:hAnsi="仿宋" w:eastAsia="仿宋" w:cs="仿宋_GB2312"/>
          <w:kern w:val="0"/>
          <w:sz w:val="32"/>
          <w:szCs w:val="32"/>
          <w:lang w:val="en-US" w:eastAsia="zh-CN"/>
        </w:rPr>
        <w:t>25.71</w:t>
      </w:r>
      <w:r>
        <w:rPr>
          <w:rFonts w:hint="eastAsia" w:ascii="仿宋" w:hAnsi="仿宋" w:eastAsia="仿宋" w:cs="仿宋_GB2312"/>
          <w:kern w:val="0"/>
          <w:sz w:val="32"/>
          <w:szCs w:val="32"/>
        </w:rPr>
        <w:t>万元，年初结转结余列支</w:t>
      </w:r>
      <w:r>
        <w:rPr>
          <w:rFonts w:hint="eastAsia" w:ascii="仿宋" w:hAnsi="仿宋" w:eastAsia="仿宋" w:cs="仿宋_GB2312"/>
          <w:kern w:val="0"/>
          <w:sz w:val="32"/>
          <w:szCs w:val="32"/>
          <w:lang w:val="en-US" w:eastAsia="zh-CN"/>
        </w:rPr>
        <w:t>205.97</w:t>
      </w:r>
      <w:r>
        <w:rPr>
          <w:rFonts w:hint="eastAsia" w:ascii="仿宋" w:hAnsi="仿宋" w:eastAsia="仿宋" w:cs="仿宋_GB2312"/>
          <w:kern w:val="0"/>
          <w:sz w:val="32"/>
          <w:szCs w:val="32"/>
        </w:rPr>
        <w:t>万元，年末结转结余为</w:t>
      </w:r>
      <w:r>
        <w:rPr>
          <w:rFonts w:hint="eastAsia" w:ascii="仿宋" w:hAnsi="仿宋" w:eastAsia="仿宋" w:cs="仿宋_GB2312"/>
          <w:kern w:val="0"/>
          <w:sz w:val="32"/>
          <w:szCs w:val="32"/>
          <w:lang w:val="en-US" w:eastAsia="zh-CN"/>
        </w:rPr>
        <w:t>64.14</w:t>
      </w:r>
      <w:r>
        <w:rPr>
          <w:rFonts w:hint="eastAsia" w:ascii="仿宋" w:hAnsi="仿宋" w:eastAsia="仿宋" w:cs="仿宋_GB2312"/>
          <w:kern w:val="0"/>
          <w:sz w:val="32"/>
          <w:szCs w:val="32"/>
        </w:rPr>
        <w:t>万元。</w:t>
      </w:r>
    </w:p>
    <w:p>
      <w:pPr>
        <w:widowControl/>
        <w:shd w:val="clear" w:color="auto" w:fill="FFFFFF"/>
        <w:adjustRightInd w:val="0"/>
        <w:snapToGrid w:val="0"/>
        <w:spacing w:line="540" w:lineRule="exact"/>
        <w:ind w:firstLine="480" w:firstLineChars="200"/>
        <w:jc w:val="left"/>
        <w:outlineLvl w:val="0"/>
        <w:rPr>
          <w:rFonts w:asciiTheme="minorEastAsia" w:hAnsiTheme="minorEastAsia" w:eastAsiaTheme="minorEastAsia" w:cstheme="minorEastAsia"/>
          <w:kern w:val="0"/>
          <w:sz w:val="24"/>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shd w:val="clear" w:color="auto" w:fill="FFFFFF"/>
        <w:adjustRightInd w:val="0"/>
        <w:snapToGrid w:val="0"/>
        <w:spacing w:before="100" w:beforeAutospacing="1" w:after="100" w:afterAutospacing="1"/>
        <w:ind w:firstLine="640" w:firstLineChars="200"/>
        <w:jc w:val="left"/>
        <w:outlineLvl w:val="0"/>
        <w:rPr>
          <w:rFonts w:ascii="仿宋" w:hAnsi="仿宋" w:eastAsia="仿宋" w:cs="仿宋_GB2312"/>
          <w:sz w:val="32"/>
          <w:szCs w:val="32"/>
        </w:rPr>
      </w:pPr>
      <w:r>
        <w:rPr>
          <w:rFonts w:hint="eastAsia" w:ascii="仿宋" w:hAnsi="仿宋" w:eastAsia="仿宋" w:cs="仿宋_GB2312"/>
          <w:sz w:val="32"/>
          <w:szCs w:val="32"/>
        </w:rPr>
        <w:t>（一）预决算编制情况</w:t>
      </w:r>
    </w:p>
    <w:p>
      <w:pPr>
        <w:widowControl/>
        <w:shd w:val="clear" w:color="auto" w:fill="FFFFFF"/>
        <w:adjustRightInd w:val="0"/>
        <w:snapToGrid w:val="0"/>
        <w:spacing w:before="100" w:beforeAutospacing="1" w:after="100" w:afterAutospacing="1"/>
        <w:ind w:firstLine="800" w:firstLineChars="250"/>
        <w:jc w:val="left"/>
        <w:outlineLvl w:val="0"/>
        <w:rPr>
          <w:rFonts w:ascii="仿宋" w:hAnsi="仿宋" w:eastAsia="仿宋" w:cs="仿宋_GB2312"/>
          <w:sz w:val="32"/>
          <w:szCs w:val="32"/>
        </w:rPr>
      </w:pPr>
      <w:r>
        <w:rPr>
          <w:rFonts w:hint="eastAsia" w:ascii="仿宋" w:hAnsi="仿宋" w:eastAsia="仿宋" w:cs="仿宋_GB2312"/>
          <w:sz w:val="32"/>
          <w:szCs w:val="32"/>
        </w:rPr>
        <w:t>我单位严格按照财政部门的要求和实现编制预决算、填报绩效目标和专项项目进度表；</w:t>
      </w:r>
      <w:r>
        <w:rPr>
          <w:rFonts w:hint="eastAsia" w:ascii="仿宋" w:hAnsi="仿宋" w:eastAsia="仿宋" w:cs="仿宋_GB2312"/>
          <w:sz w:val="32"/>
          <w:szCs w:val="32"/>
          <w:lang w:val="en-US" w:eastAsia="zh-CN"/>
        </w:rPr>
        <w:t>2020</w:t>
      </w:r>
      <w:r>
        <w:rPr>
          <w:rFonts w:hint="eastAsia" w:ascii="仿宋" w:hAnsi="仿宋" w:eastAsia="仿宋" w:cs="仿宋_GB2312"/>
          <w:sz w:val="32"/>
          <w:szCs w:val="32"/>
        </w:rPr>
        <w:t>年收入预算为</w:t>
      </w:r>
      <w:r>
        <w:rPr>
          <w:rFonts w:hint="eastAsia" w:ascii="仿宋" w:hAnsi="仿宋" w:eastAsia="仿宋" w:cs="仿宋_GB2312"/>
          <w:sz w:val="32"/>
          <w:szCs w:val="32"/>
          <w:lang w:val="en-US" w:eastAsia="zh-CN"/>
        </w:rPr>
        <w:t>751.19</w:t>
      </w:r>
      <w:r>
        <w:rPr>
          <w:rFonts w:hint="eastAsia" w:ascii="仿宋" w:hAnsi="仿宋" w:eastAsia="仿宋" w:cs="仿宋_GB2312"/>
          <w:sz w:val="32"/>
          <w:szCs w:val="32"/>
        </w:rPr>
        <w:t>万元，公共财政预算收入</w:t>
      </w:r>
      <w:r>
        <w:rPr>
          <w:rFonts w:hint="eastAsia" w:ascii="仿宋" w:hAnsi="仿宋" w:eastAsia="仿宋" w:cs="仿宋_GB2312"/>
          <w:sz w:val="32"/>
          <w:szCs w:val="32"/>
          <w:lang w:val="en-US" w:eastAsia="zh-CN"/>
        </w:rPr>
        <w:t>751.19；</w:t>
      </w:r>
      <w:r>
        <w:rPr>
          <w:rFonts w:hint="eastAsia" w:ascii="仿宋" w:hAnsi="仿宋" w:eastAsia="仿宋" w:cs="仿宋_GB2312"/>
          <w:sz w:val="32"/>
          <w:szCs w:val="32"/>
        </w:rPr>
        <w:t>支出预算</w:t>
      </w:r>
      <w:r>
        <w:rPr>
          <w:rFonts w:hint="eastAsia" w:ascii="仿宋" w:hAnsi="仿宋" w:eastAsia="仿宋" w:cs="仿宋_GB2312"/>
          <w:sz w:val="32"/>
          <w:szCs w:val="32"/>
          <w:lang w:val="en-US" w:eastAsia="zh-CN"/>
        </w:rPr>
        <w:t>725.38</w:t>
      </w:r>
      <w:r>
        <w:rPr>
          <w:rFonts w:hint="eastAsia" w:ascii="仿宋" w:hAnsi="仿宋" w:eastAsia="仿宋" w:cs="仿宋_GB2312"/>
          <w:sz w:val="32"/>
          <w:szCs w:val="32"/>
        </w:rPr>
        <w:t>万元。决算收入</w:t>
      </w:r>
      <w:r>
        <w:rPr>
          <w:rFonts w:hint="eastAsia" w:ascii="仿宋" w:hAnsi="仿宋" w:eastAsia="仿宋" w:cs="仿宋_GB2312"/>
          <w:sz w:val="32"/>
          <w:szCs w:val="32"/>
          <w:lang w:val="en-US" w:eastAsia="zh-CN"/>
        </w:rPr>
        <w:t>751.19</w:t>
      </w:r>
      <w:r>
        <w:rPr>
          <w:rFonts w:hint="eastAsia" w:ascii="仿宋" w:hAnsi="仿宋" w:eastAsia="仿宋" w:cs="仿宋_GB2312"/>
          <w:sz w:val="32"/>
          <w:szCs w:val="32"/>
        </w:rPr>
        <w:t>万元，决算支出为</w:t>
      </w:r>
      <w:r>
        <w:rPr>
          <w:rFonts w:hint="eastAsia" w:ascii="仿宋" w:hAnsi="仿宋" w:eastAsia="仿宋" w:cs="仿宋_GB2312"/>
          <w:sz w:val="32"/>
          <w:szCs w:val="32"/>
          <w:lang w:val="en-US" w:eastAsia="zh-CN"/>
        </w:rPr>
        <w:t>725.38</w:t>
      </w:r>
      <w:r>
        <w:rPr>
          <w:rFonts w:hint="eastAsia" w:ascii="仿宋" w:hAnsi="仿宋" w:eastAsia="仿宋" w:cs="仿宋_GB2312"/>
          <w:sz w:val="32"/>
          <w:szCs w:val="32"/>
        </w:rPr>
        <w:t>万元，其中基本支出</w:t>
      </w:r>
      <w:r>
        <w:rPr>
          <w:rFonts w:hint="eastAsia" w:ascii="仿宋" w:hAnsi="仿宋" w:eastAsia="仿宋" w:cs="仿宋_GB2312"/>
          <w:kern w:val="0"/>
          <w:sz w:val="32"/>
          <w:szCs w:val="32"/>
          <w:lang w:val="en-US" w:eastAsia="zh-CN"/>
        </w:rPr>
        <w:t>734.78</w:t>
      </w:r>
      <w:r>
        <w:rPr>
          <w:rFonts w:hint="eastAsia" w:ascii="仿宋" w:hAnsi="仿宋" w:eastAsia="仿宋" w:cs="仿宋_GB2312"/>
          <w:sz w:val="32"/>
          <w:szCs w:val="32"/>
        </w:rPr>
        <w:t>万元，项目支出</w:t>
      </w:r>
      <w:r>
        <w:rPr>
          <w:rFonts w:hint="eastAsia" w:ascii="仿宋" w:hAnsi="仿宋" w:eastAsia="仿宋" w:cs="仿宋_GB2312"/>
          <w:sz w:val="32"/>
          <w:szCs w:val="32"/>
          <w:lang w:val="en-US" w:eastAsia="zh-CN"/>
        </w:rPr>
        <w:t>172.08</w:t>
      </w:r>
      <w:r>
        <w:rPr>
          <w:rFonts w:hint="eastAsia" w:ascii="仿宋" w:hAnsi="仿宋" w:eastAsia="仿宋" w:cs="仿宋_GB2312"/>
          <w:sz w:val="32"/>
          <w:szCs w:val="32"/>
        </w:rPr>
        <w:t>万元。</w:t>
      </w:r>
    </w:p>
    <w:p>
      <w:pPr>
        <w:widowControl/>
        <w:shd w:val="clear" w:color="auto" w:fill="FFFFFF"/>
        <w:adjustRightInd w:val="0"/>
        <w:snapToGrid w:val="0"/>
        <w:spacing w:before="100" w:beforeAutospacing="1" w:after="100" w:afterAutospacing="1"/>
        <w:ind w:firstLine="800" w:firstLineChars="250"/>
        <w:jc w:val="left"/>
        <w:outlineLvl w:val="0"/>
        <w:rPr>
          <w:rFonts w:ascii="仿宋" w:hAnsi="仿宋" w:eastAsia="仿宋" w:cs="仿宋_GB2312"/>
          <w:sz w:val="32"/>
          <w:szCs w:val="32"/>
        </w:rPr>
      </w:pPr>
      <w:r>
        <w:rPr>
          <w:rFonts w:hint="eastAsia" w:ascii="仿宋" w:hAnsi="仿宋" w:eastAsia="仿宋" w:cs="仿宋_GB2312"/>
          <w:sz w:val="32"/>
          <w:szCs w:val="32"/>
          <w:lang w:val="en-US" w:eastAsia="zh-CN"/>
        </w:rPr>
        <w:t>2020</w:t>
      </w:r>
      <w:r>
        <w:rPr>
          <w:rFonts w:hint="eastAsia" w:ascii="仿宋" w:hAnsi="仿宋" w:eastAsia="仿宋" w:cs="仿宋_GB2312"/>
          <w:sz w:val="32"/>
          <w:szCs w:val="32"/>
        </w:rPr>
        <w:t>年度年初结转结余</w:t>
      </w:r>
      <w:r>
        <w:rPr>
          <w:rFonts w:hint="eastAsia" w:ascii="仿宋" w:hAnsi="仿宋" w:eastAsia="仿宋" w:cs="仿宋_GB2312"/>
          <w:sz w:val="32"/>
          <w:szCs w:val="32"/>
          <w:lang w:val="en-US" w:eastAsia="zh-CN"/>
        </w:rPr>
        <w:t>205.97</w:t>
      </w:r>
      <w:r>
        <w:rPr>
          <w:rFonts w:hint="eastAsia" w:ascii="仿宋" w:hAnsi="仿宋" w:eastAsia="仿宋" w:cs="仿宋_GB2312"/>
          <w:sz w:val="32"/>
          <w:szCs w:val="32"/>
        </w:rPr>
        <w:t>万元，其中基本支出结转结余</w:t>
      </w:r>
      <w:r>
        <w:rPr>
          <w:rFonts w:hint="eastAsia" w:ascii="仿宋" w:hAnsi="仿宋" w:eastAsia="仿宋" w:cs="仿宋_GB2312"/>
          <w:sz w:val="32"/>
          <w:szCs w:val="32"/>
          <w:lang w:val="en-US" w:eastAsia="zh-CN"/>
        </w:rPr>
        <w:t>8.97</w:t>
      </w:r>
      <w:r>
        <w:rPr>
          <w:rFonts w:hint="eastAsia" w:ascii="仿宋" w:hAnsi="仿宋" w:eastAsia="仿宋" w:cs="仿宋_GB2312"/>
          <w:sz w:val="32"/>
          <w:szCs w:val="32"/>
        </w:rPr>
        <w:t>万元，项目支出结转结余</w:t>
      </w:r>
      <w:r>
        <w:rPr>
          <w:rFonts w:hint="eastAsia" w:ascii="仿宋" w:hAnsi="仿宋" w:eastAsia="仿宋" w:cs="仿宋_GB2312"/>
          <w:sz w:val="32"/>
          <w:szCs w:val="32"/>
          <w:lang w:val="en-US" w:eastAsia="zh-CN"/>
        </w:rPr>
        <w:t>197</w:t>
      </w:r>
      <w:r>
        <w:rPr>
          <w:rFonts w:hint="eastAsia" w:ascii="仿宋" w:hAnsi="仿宋" w:eastAsia="仿宋" w:cs="仿宋_GB2312"/>
          <w:sz w:val="32"/>
          <w:szCs w:val="32"/>
        </w:rPr>
        <w:t>万元。</w:t>
      </w:r>
    </w:p>
    <w:p>
      <w:pPr>
        <w:widowControl/>
        <w:shd w:val="clear" w:color="auto" w:fill="FFFFFF"/>
        <w:adjustRightInd w:val="0"/>
        <w:snapToGrid w:val="0"/>
        <w:spacing w:before="100" w:beforeAutospacing="1" w:after="100" w:afterAutospacing="1"/>
        <w:ind w:firstLine="800" w:firstLineChars="250"/>
        <w:jc w:val="left"/>
        <w:outlineLvl w:val="0"/>
        <w:rPr>
          <w:rFonts w:ascii="仿宋" w:hAnsi="仿宋" w:eastAsia="仿宋" w:cs="仿宋_GB2312"/>
          <w:sz w:val="32"/>
          <w:szCs w:val="32"/>
        </w:rPr>
      </w:pPr>
      <w:r>
        <w:rPr>
          <w:rFonts w:hint="eastAsia" w:ascii="仿宋" w:hAnsi="仿宋" w:eastAsia="仿宋" w:cs="仿宋_GB2312"/>
          <w:sz w:val="32"/>
          <w:szCs w:val="32"/>
          <w:lang w:val="en-US" w:eastAsia="zh-CN"/>
        </w:rPr>
        <w:t>2020</w:t>
      </w:r>
      <w:r>
        <w:rPr>
          <w:rFonts w:hint="eastAsia" w:ascii="仿宋" w:hAnsi="仿宋" w:eastAsia="仿宋" w:cs="仿宋_GB2312"/>
          <w:sz w:val="32"/>
          <w:szCs w:val="32"/>
        </w:rPr>
        <w:t>年年末结转结余</w:t>
      </w:r>
      <w:r>
        <w:rPr>
          <w:rFonts w:hint="eastAsia" w:ascii="仿宋" w:hAnsi="仿宋" w:eastAsia="仿宋" w:cs="仿宋_GB2312"/>
          <w:sz w:val="32"/>
          <w:szCs w:val="32"/>
          <w:lang w:val="en-US" w:eastAsia="zh-CN"/>
        </w:rPr>
        <w:t>64.14</w:t>
      </w:r>
      <w:r>
        <w:rPr>
          <w:rFonts w:hint="eastAsia" w:ascii="仿宋" w:hAnsi="仿宋" w:eastAsia="仿宋" w:cs="仿宋_GB2312"/>
          <w:sz w:val="32"/>
          <w:szCs w:val="32"/>
        </w:rPr>
        <w:t>万元，其中:基本支出结转结余</w:t>
      </w:r>
      <w:r>
        <w:rPr>
          <w:rFonts w:hint="eastAsia" w:ascii="仿宋" w:hAnsi="仿宋" w:eastAsia="仿宋" w:cs="仿宋_GB2312"/>
          <w:sz w:val="32"/>
          <w:szCs w:val="32"/>
          <w:lang w:val="en-US" w:eastAsia="zh-CN"/>
        </w:rPr>
        <w:t>9.4</w:t>
      </w:r>
      <w:r>
        <w:rPr>
          <w:rFonts w:hint="eastAsia" w:ascii="仿宋" w:hAnsi="仿宋" w:eastAsia="仿宋" w:cs="仿宋_GB2312"/>
          <w:sz w:val="32"/>
          <w:szCs w:val="32"/>
        </w:rPr>
        <w:t>万元，项目支出结转结余为</w:t>
      </w:r>
      <w:r>
        <w:rPr>
          <w:rFonts w:hint="eastAsia" w:ascii="仿宋" w:hAnsi="仿宋" w:eastAsia="仿宋" w:cs="仿宋_GB2312"/>
          <w:sz w:val="32"/>
          <w:szCs w:val="32"/>
          <w:lang w:val="en-US" w:eastAsia="zh-CN"/>
        </w:rPr>
        <w:t>54.74</w:t>
      </w:r>
      <w:r>
        <w:rPr>
          <w:rFonts w:hint="eastAsia" w:ascii="仿宋" w:hAnsi="仿宋" w:eastAsia="仿宋" w:cs="仿宋_GB2312"/>
          <w:sz w:val="32"/>
          <w:szCs w:val="32"/>
        </w:rPr>
        <w:t>万元。</w:t>
      </w:r>
    </w:p>
    <w:p>
      <w:pPr>
        <w:widowControl/>
        <w:shd w:val="clear" w:color="auto" w:fill="FFFFFF"/>
        <w:adjustRightInd w:val="0"/>
        <w:snapToGrid w:val="0"/>
        <w:spacing w:before="100" w:beforeAutospacing="1" w:after="100" w:afterAutospacing="1"/>
        <w:ind w:firstLine="640" w:firstLineChars="200"/>
        <w:jc w:val="left"/>
        <w:outlineLvl w:val="0"/>
        <w:rPr>
          <w:rFonts w:ascii="仿宋" w:hAnsi="仿宋" w:eastAsia="仿宋" w:cs="仿宋_GB2312"/>
          <w:sz w:val="32"/>
          <w:szCs w:val="32"/>
        </w:rPr>
      </w:pPr>
      <w:r>
        <w:rPr>
          <w:rFonts w:hint="eastAsia" w:ascii="仿宋" w:hAnsi="仿宋" w:eastAsia="仿宋" w:cs="仿宋_GB2312"/>
          <w:sz w:val="32"/>
          <w:szCs w:val="32"/>
        </w:rPr>
        <w:t>（二）执行管理情况</w:t>
      </w:r>
    </w:p>
    <w:p>
      <w:pPr>
        <w:snapToGrid w:val="0"/>
        <w:ind w:firstLine="800" w:firstLineChars="250"/>
        <w:rPr>
          <w:rFonts w:ascii="仿宋" w:hAnsi="仿宋" w:eastAsia="仿宋" w:cs="仿宋_GB2312"/>
          <w:sz w:val="32"/>
          <w:szCs w:val="32"/>
        </w:rPr>
      </w:pPr>
      <w:r>
        <w:rPr>
          <w:rFonts w:hint="eastAsia" w:ascii="仿宋" w:hAnsi="仿宋" w:eastAsia="仿宋" w:cs="仿宋_GB2312"/>
          <w:sz w:val="32"/>
          <w:szCs w:val="32"/>
        </w:rPr>
        <w:t>我单位严格按照上报的资金计划完成资金拨付，根据预算合理控制支出数额及支出进度，临时事项，按规定程序报市政府批准或是完成预算调整程序后执行。除临时任务和不可抗力原因外，我单位基本支出部分按月均匀执行，项目支出部分按所报项目进度及时执行。</w:t>
      </w:r>
      <w:r>
        <w:rPr>
          <w:rFonts w:hint="eastAsia" w:ascii="仿宋" w:hAnsi="仿宋" w:eastAsia="仿宋" w:cs="仿宋_GB2312"/>
          <w:sz w:val="32"/>
          <w:szCs w:val="32"/>
          <w:lang w:val="en-US" w:eastAsia="zh-CN"/>
        </w:rPr>
        <w:t>2020</w:t>
      </w:r>
      <w:r>
        <w:rPr>
          <w:rFonts w:hint="eastAsia" w:ascii="仿宋" w:hAnsi="仿宋" w:eastAsia="仿宋" w:cs="仿宋_GB2312"/>
          <w:sz w:val="32"/>
          <w:szCs w:val="32"/>
        </w:rPr>
        <w:t>年调整收入预算</w:t>
      </w:r>
      <w:r>
        <w:rPr>
          <w:rFonts w:hint="eastAsia" w:ascii="仿宋" w:hAnsi="仿宋" w:eastAsia="仿宋" w:cs="仿宋_GB2312"/>
          <w:sz w:val="32"/>
          <w:szCs w:val="32"/>
          <w:lang w:val="en-US" w:eastAsia="zh-CN"/>
        </w:rPr>
        <w:t>751.19</w:t>
      </w:r>
      <w:r>
        <w:rPr>
          <w:rFonts w:hint="eastAsia" w:ascii="仿宋" w:hAnsi="仿宋" w:eastAsia="仿宋" w:cs="仿宋_GB2312"/>
          <w:sz w:val="32"/>
          <w:szCs w:val="32"/>
        </w:rPr>
        <w:t>万元,截止</w:t>
      </w:r>
      <w:r>
        <w:rPr>
          <w:rFonts w:hint="eastAsia" w:ascii="仿宋" w:hAnsi="仿宋" w:eastAsia="仿宋" w:cs="仿宋_GB2312"/>
          <w:sz w:val="32"/>
          <w:szCs w:val="32"/>
          <w:lang w:val="en-US" w:eastAsia="zh-CN"/>
        </w:rPr>
        <w:t>2020</w:t>
      </w:r>
      <w:r>
        <w:rPr>
          <w:rFonts w:hint="eastAsia" w:ascii="仿宋" w:hAnsi="仿宋" w:eastAsia="仿宋" w:cs="仿宋_GB2312"/>
          <w:sz w:val="32"/>
          <w:szCs w:val="32"/>
        </w:rPr>
        <w:t>年12月支出</w:t>
      </w:r>
      <w:r>
        <w:rPr>
          <w:rFonts w:hint="eastAsia" w:ascii="仿宋" w:hAnsi="仿宋" w:eastAsia="仿宋" w:cs="仿宋_GB2312"/>
          <w:sz w:val="32"/>
          <w:szCs w:val="32"/>
          <w:lang w:val="en-US" w:eastAsia="zh-CN"/>
        </w:rPr>
        <w:t>725.38</w:t>
      </w:r>
      <w:r>
        <w:rPr>
          <w:rFonts w:hint="eastAsia" w:ascii="仿宋" w:hAnsi="仿宋" w:eastAsia="仿宋" w:cs="仿宋_GB2312"/>
          <w:sz w:val="32"/>
          <w:szCs w:val="32"/>
        </w:rPr>
        <w:t>万元,执行比例</w:t>
      </w:r>
      <w:r>
        <w:rPr>
          <w:rFonts w:hint="eastAsia" w:ascii="仿宋" w:hAnsi="仿宋" w:eastAsia="仿宋" w:cs="仿宋_GB2312"/>
          <w:sz w:val="32"/>
          <w:szCs w:val="32"/>
          <w:lang w:val="en-US" w:eastAsia="zh-CN"/>
        </w:rPr>
        <w:t>96</w:t>
      </w:r>
      <w:r>
        <w:rPr>
          <w:rFonts w:hint="eastAsia" w:ascii="仿宋" w:hAnsi="仿宋" w:eastAsia="仿宋" w:cs="仿宋_GB2312"/>
          <w:sz w:val="32"/>
          <w:szCs w:val="32"/>
        </w:rPr>
        <w:t>%，全年支出执行良好。</w:t>
      </w:r>
    </w:p>
    <w:p>
      <w:pPr>
        <w:widowControl/>
        <w:shd w:val="clear" w:color="auto" w:fill="FFFFFF"/>
        <w:adjustRightInd w:val="0"/>
        <w:snapToGrid w:val="0"/>
        <w:spacing w:before="100" w:beforeAutospacing="1" w:after="100" w:afterAutospacing="1"/>
        <w:ind w:firstLine="800" w:firstLineChars="250"/>
        <w:jc w:val="left"/>
        <w:outlineLvl w:val="0"/>
        <w:rPr>
          <w:rFonts w:ascii="仿宋" w:hAnsi="仿宋" w:eastAsia="仿宋" w:cs="仿宋_GB2312"/>
          <w:sz w:val="32"/>
          <w:szCs w:val="32"/>
        </w:rPr>
      </w:pPr>
      <w:r>
        <w:rPr>
          <w:rFonts w:hint="eastAsia" w:ascii="仿宋" w:hAnsi="仿宋" w:eastAsia="仿宋" w:cs="仿宋_GB2312"/>
          <w:sz w:val="32"/>
          <w:szCs w:val="32"/>
        </w:rPr>
        <w:t>（三）支出绩效情况</w:t>
      </w:r>
    </w:p>
    <w:p>
      <w:pPr>
        <w:widowControl/>
        <w:shd w:val="clear" w:color="auto" w:fill="FFFFFF"/>
        <w:adjustRightInd w:val="0"/>
        <w:snapToGrid w:val="0"/>
        <w:spacing w:before="100" w:beforeAutospacing="1" w:after="100" w:afterAutospacing="1"/>
        <w:ind w:firstLine="800" w:firstLineChars="250"/>
        <w:jc w:val="left"/>
        <w:outlineLvl w:val="0"/>
        <w:rPr>
          <w:rFonts w:ascii="仿宋" w:hAnsi="仿宋" w:eastAsia="仿宋" w:cs="仿宋_GB2312"/>
          <w:sz w:val="32"/>
          <w:szCs w:val="32"/>
        </w:rPr>
      </w:pPr>
      <w:r>
        <w:rPr>
          <w:rFonts w:hint="eastAsia" w:ascii="仿宋" w:hAnsi="仿宋" w:eastAsia="仿宋" w:cs="仿宋_GB2312"/>
          <w:sz w:val="32"/>
          <w:szCs w:val="32"/>
        </w:rPr>
        <w:t>1.部门支出绩效</w:t>
      </w:r>
    </w:p>
    <w:p>
      <w:pPr>
        <w:widowControl/>
        <w:shd w:val="clear" w:color="auto" w:fill="FFFFFF"/>
        <w:adjustRightInd w:val="0"/>
        <w:snapToGrid w:val="0"/>
        <w:spacing w:before="100" w:beforeAutospacing="1" w:after="100" w:afterAutospacing="1"/>
        <w:ind w:firstLine="800" w:firstLineChars="250"/>
        <w:jc w:val="left"/>
        <w:outlineLvl w:val="0"/>
        <w:rPr>
          <w:rFonts w:ascii="仿宋" w:hAnsi="仿宋" w:eastAsia="仿宋" w:cs="仿宋_GB2312"/>
          <w:sz w:val="32"/>
          <w:szCs w:val="32"/>
        </w:rPr>
      </w:pPr>
      <w:r>
        <w:rPr>
          <w:rFonts w:hint="eastAsia" w:ascii="仿宋" w:hAnsi="仿宋" w:eastAsia="仿宋" w:cs="仿宋_GB2312"/>
          <w:sz w:val="32"/>
          <w:szCs w:val="32"/>
        </w:rPr>
        <w:t>（1）行政运行保障</w:t>
      </w:r>
    </w:p>
    <w:p>
      <w:pPr>
        <w:widowControl/>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我单位基本支出的范围包括人员经费和日常公用经费，</w:t>
      </w:r>
      <w:r>
        <w:rPr>
          <w:rFonts w:hint="eastAsia" w:ascii="仿宋" w:hAnsi="仿宋" w:eastAsia="仿宋" w:cs="仿宋_GB2312"/>
          <w:kern w:val="0"/>
          <w:sz w:val="32"/>
          <w:szCs w:val="32"/>
          <w:lang w:val="en-US" w:eastAsia="zh-CN"/>
        </w:rPr>
        <w:t>2020</w:t>
      </w:r>
      <w:r>
        <w:rPr>
          <w:rFonts w:hint="eastAsia" w:ascii="仿宋" w:hAnsi="仿宋" w:eastAsia="仿宋" w:cs="仿宋_GB2312"/>
          <w:kern w:val="0"/>
          <w:sz w:val="32"/>
          <w:szCs w:val="32"/>
        </w:rPr>
        <w:t>年基本支出决算数</w:t>
      </w:r>
      <w:r>
        <w:rPr>
          <w:rFonts w:hint="eastAsia" w:ascii="仿宋" w:hAnsi="仿宋" w:eastAsia="仿宋" w:cs="仿宋_GB2312"/>
          <w:kern w:val="0"/>
          <w:sz w:val="32"/>
          <w:szCs w:val="32"/>
          <w:lang w:val="en-US" w:eastAsia="zh-CN"/>
        </w:rPr>
        <w:t>734.78</w:t>
      </w:r>
      <w:r>
        <w:rPr>
          <w:rFonts w:hint="eastAsia" w:ascii="仿宋" w:hAnsi="仿宋" w:eastAsia="仿宋" w:cs="仿宋_GB2312"/>
          <w:kern w:val="0"/>
          <w:sz w:val="32"/>
          <w:szCs w:val="32"/>
        </w:rPr>
        <w:t>万元，其中:人员经费</w:t>
      </w:r>
      <w:r>
        <w:rPr>
          <w:rFonts w:hint="eastAsia" w:ascii="仿宋" w:hAnsi="仿宋" w:eastAsia="仿宋" w:cs="仿宋_GB2312"/>
          <w:kern w:val="0"/>
          <w:sz w:val="32"/>
          <w:szCs w:val="32"/>
          <w:lang w:val="en-US" w:eastAsia="zh-CN"/>
        </w:rPr>
        <w:t>698.28</w:t>
      </w:r>
      <w:r>
        <w:rPr>
          <w:rFonts w:hint="eastAsia" w:ascii="仿宋" w:hAnsi="仿宋" w:eastAsia="仿宋" w:cs="仿宋_GB2312"/>
          <w:kern w:val="0"/>
          <w:sz w:val="32"/>
          <w:szCs w:val="32"/>
        </w:rPr>
        <w:t>万元（工资福利支出</w:t>
      </w:r>
      <w:r>
        <w:rPr>
          <w:rFonts w:hint="eastAsia" w:ascii="仿宋" w:hAnsi="仿宋" w:eastAsia="仿宋" w:cs="仿宋_GB2312"/>
          <w:kern w:val="0"/>
          <w:sz w:val="32"/>
          <w:szCs w:val="32"/>
          <w:lang w:val="en-US" w:eastAsia="zh-CN"/>
        </w:rPr>
        <w:t>650.37</w:t>
      </w:r>
      <w:r>
        <w:rPr>
          <w:rFonts w:hint="eastAsia" w:ascii="仿宋" w:hAnsi="仿宋" w:eastAsia="仿宋" w:cs="仿宋_GB2312"/>
          <w:kern w:val="0"/>
          <w:sz w:val="32"/>
          <w:szCs w:val="32"/>
        </w:rPr>
        <w:t>万元，对个人和家庭的补助</w:t>
      </w:r>
      <w:r>
        <w:rPr>
          <w:rFonts w:hint="eastAsia" w:ascii="仿宋" w:hAnsi="仿宋" w:eastAsia="仿宋" w:cs="仿宋_GB2312"/>
          <w:kern w:val="0"/>
          <w:sz w:val="32"/>
          <w:szCs w:val="32"/>
          <w:lang w:val="en-US" w:eastAsia="zh-CN"/>
        </w:rPr>
        <w:t>52.58</w:t>
      </w:r>
      <w:r>
        <w:rPr>
          <w:rFonts w:hint="eastAsia" w:ascii="仿宋" w:hAnsi="仿宋" w:eastAsia="仿宋" w:cs="仿宋_GB2312"/>
          <w:kern w:val="0"/>
          <w:sz w:val="32"/>
          <w:szCs w:val="32"/>
        </w:rPr>
        <w:t>万元），日常公用经费</w:t>
      </w:r>
      <w:r>
        <w:rPr>
          <w:rFonts w:hint="eastAsia" w:ascii="仿宋" w:hAnsi="仿宋" w:eastAsia="仿宋" w:cs="仿宋_GB2312"/>
          <w:kern w:val="0"/>
          <w:sz w:val="32"/>
          <w:szCs w:val="32"/>
          <w:lang w:val="en-US" w:eastAsia="zh-CN"/>
        </w:rPr>
        <w:t>36.5</w:t>
      </w:r>
      <w:r>
        <w:rPr>
          <w:rFonts w:hint="eastAsia" w:ascii="仿宋" w:hAnsi="仿宋" w:eastAsia="仿宋" w:cs="仿宋_GB2312"/>
          <w:kern w:val="0"/>
          <w:sz w:val="32"/>
          <w:szCs w:val="32"/>
        </w:rPr>
        <w:t>万元。基本支出能够保障职责的履行和机构运转。</w:t>
      </w:r>
    </w:p>
    <w:p>
      <w:pPr>
        <w:widowControl/>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（2）机关厉行节约。</w:t>
      </w:r>
    </w:p>
    <w:p>
      <w:pPr>
        <w:widowControl/>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2019年因公出国（境）费用、会议费、车辆购置及运行费用和公务接待经费等控制较好。</w:t>
      </w:r>
      <w:r>
        <w:rPr>
          <w:rFonts w:hint="eastAsia" w:ascii="仿宋" w:hAnsi="仿宋" w:eastAsia="仿宋" w:cs="仿宋_GB2312"/>
          <w:kern w:val="0"/>
          <w:sz w:val="32"/>
          <w:szCs w:val="32"/>
          <w:lang w:val="en-US" w:eastAsia="zh-CN"/>
        </w:rPr>
        <w:t>2020</w:t>
      </w:r>
      <w:r>
        <w:rPr>
          <w:rFonts w:hint="eastAsia" w:ascii="仿宋" w:hAnsi="仿宋" w:eastAsia="仿宋" w:cs="仿宋_GB2312"/>
          <w:kern w:val="0"/>
          <w:sz w:val="32"/>
          <w:szCs w:val="32"/>
        </w:rPr>
        <w:t>年三公经费、会议费、培训费总额0.</w:t>
      </w:r>
      <w:r>
        <w:rPr>
          <w:rFonts w:hint="eastAsia" w:ascii="仿宋" w:hAnsi="仿宋" w:eastAsia="仿宋" w:cs="仿宋_GB2312"/>
          <w:kern w:val="0"/>
          <w:sz w:val="32"/>
          <w:szCs w:val="32"/>
          <w:lang w:val="en-US" w:eastAsia="zh-CN"/>
        </w:rPr>
        <w:t>74</w:t>
      </w:r>
      <w:r>
        <w:rPr>
          <w:rFonts w:hint="eastAsia" w:ascii="仿宋" w:hAnsi="仿宋" w:eastAsia="仿宋" w:cs="仿宋_GB2312"/>
          <w:kern w:val="0"/>
          <w:sz w:val="32"/>
          <w:szCs w:val="32"/>
        </w:rPr>
        <w:t>万元，较201</w:t>
      </w:r>
      <w:r>
        <w:rPr>
          <w:rFonts w:hint="eastAsia" w:ascii="仿宋" w:hAnsi="仿宋" w:eastAsia="仿宋" w:cs="仿宋_GB2312"/>
          <w:kern w:val="0"/>
          <w:sz w:val="32"/>
          <w:szCs w:val="32"/>
          <w:lang w:val="en-US" w:eastAsia="zh-CN"/>
        </w:rPr>
        <w:t>9</w:t>
      </w:r>
      <w:r>
        <w:rPr>
          <w:rFonts w:hint="eastAsia" w:ascii="仿宋" w:hAnsi="仿宋" w:eastAsia="仿宋" w:cs="仿宋_GB2312"/>
          <w:kern w:val="0"/>
          <w:sz w:val="32"/>
          <w:szCs w:val="32"/>
        </w:rPr>
        <w:t>年（总额</w:t>
      </w:r>
      <w:r>
        <w:rPr>
          <w:rFonts w:hint="eastAsia" w:ascii="仿宋" w:hAnsi="仿宋" w:eastAsia="仿宋" w:cs="仿宋_GB2312"/>
          <w:kern w:val="0"/>
          <w:sz w:val="32"/>
          <w:szCs w:val="32"/>
          <w:lang w:val="en-US" w:eastAsia="zh-CN"/>
        </w:rPr>
        <w:t>0.93</w:t>
      </w:r>
      <w:r>
        <w:rPr>
          <w:rFonts w:hint="eastAsia" w:ascii="仿宋" w:hAnsi="仿宋" w:eastAsia="仿宋" w:cs="仿宋_GB2312"/>
          <w:kern w:val="0"/>
          <w:sz w:val="32"/>
          <w:szCs w:val="32"/>
        </w:rPr>
        <w:t>万元）下降。</w:t>
      </w:r>
      <w:r>
        <w:rPr>
          <w:rFonts w:hint="eastAsia" w:ascii="仿宋" w:hAnsi="仿宋" w:eastAsia="仿宋" w:cs="仿宋_GB2312"/>
          <w:kern w:val="0"/>
          <w:sz w:val="32"/>
          <w:szCs w:val="32"/>
          <w:lang w:val="en-US" w:eastAsia="zh-CN"/>
        </w:rPr>
        <w:t>2020</w:t>
      </w:r>
      <w:r>
        <w:rPr>
          <w:rFonts w:hint="eastAsia" w:ascii="仿宋" w:hAnsi="仿宋" w:eastAsia="仿宋" w:cs="仿宋_GB2312"/>
          <w:kern w:val="0"/>
          <w:sz w:val="32"/>
          <w:szCs w:val="32"/>
        </w:rPr>
        <w:t>年各项费用与201</w:t>
      </w:r>
      <w:r>
        <w:rPr>
          <w:rFonts w:hint="eastAsia" w:ascii="仿宋" w:hAnsi="仿宋" w:eastAsia="仿宋" w:cs="仿宋_GB2312"/>
          <w:kern w:val="0"/>
          <w:sz w:val="32"/>
          <w:szCs w:val="32"/>
          <w:lang w:val="en-US" w:eastAsia="zh-CN"/>
        </w:rPr>
        <w:t>9</w:t>
      </w:r>
      <w:r>
        <w:rPr>
          <w:rFonts w:hint="eastAsia" w:ascii="仿宋" w:hAnsi="仿宋" w:eastAsia="仿宋" w:cs="仿宋_GB2312"/>
          <w:kern w:val="0"/>
          <w:sz w:val="32"/>
          <w:szCs w:val="32"/>
        </w:rPr>
        <w:t>年对比情况如下：无因公出国出境费用、公务车运行维护费，与20</w:t>
      </w:r>
      <w:r>
        <w:rPr>
          <w:rFonts w:hint="eastAsia" w:ascii="仿宋" w:hAnsi="仿宋" w:eastAsia="仿宋" w:cs="仿宋_GB2312"/>
          <w:kern w:val="0"/>
          <w:sz w:val="32"/>
          <w:szCs w:val="32"/>
          <w:lang w:val="en-US" w:eastAsia="zh-CN"/>
        </w:rPr>
        <w:t>20</w:t>
      </w:r>
      <w:r>
        <w:rPr>
          <w:rFonts w:hint="eastAsia" w:ascii="仿宋" w:hAnsi="仿宋" w:eastAsia="仿宋" w:cs="仿宋_GB2312"/>
          <w:kern w:val="0"/>
          <w:sz w:val="32"/>
          <w:szCs w:val="32"/>
        </w:rPr>
        <w:t>年相同；公务接待费0万元;会议费</w:t>
      </w:r>
      <w:r>
        <w:rPr>
          <w:rFonts w:hint="eastAsia" w:ascii="仿宋" w:hAnsi="仿宋" w:eastAsia="仿宋" w:cs="仿宋_GB2312"/>
          <w:kern w:val="0"/>
          <w:sz w:val="32"/>
          <w:szCs w:val="32"/>
          <w:lang w:val="en-US" w:eastAsia="zh-CN"/>
        </w:rPr>
        <w:t>0.08</w:t>
      </w:r>
      <w:r>
        <w:rPr>
          <w:rFonts w:hint="eastAsia" w:ascii="仿宋" w:hAnsi="仿宋" w:eastAsia="仿宋" w:cs="仿宋_GB2312"/>
          <w:kern w:val="0"/>
          <w:sz w:val="32"/>
          <w:szCs w:val="32"/>
        </w:rPr>
        <w:t>万元，较201</w:t>
      </w:r>
      <w:r>
        <w:rPr>
          <w:rFonts w:hint="eastAsia" w:ascii="仿宋" w:hAnsi="仿宋" w:eastAsia="仿宋" w:cs="仿宋_GB2312"/>
          <w:kern w:val="0"/>
          <w:sz w:val="32"/>
          <w:szCs w:val="32"/>
          <w:lang w:val="en-US" w:eastAsia="zh-CN"/>
        </w:rPr>
        <w:t>9</w:t>
      </w:r>
      <w:r>
        <w:rPr>
          <w:rFonts w:hint="eastAsia" w:ascii="仿宋" w:hAnsi="仿宋" w:eastAsia="仿宋" w:cs="仿宋_GB2312"/>
          <w:kern w:val="0"/>
          <w:sz w:val="32"/>
          <w:szCs w:val="32"/>
        </w:rPr>
        <w:t>年下降</w:t>
      </w:r>
      <w:r>
        <w:rPr>
          <w:rFonts w:hint="eastAsia" w:ascii="仿宋" w:hAnsi="仿宋" w:eastAsia="仿宋" w:cs="仿宋_GB2312"/>
          <w:kern w:val="0"/>
          <w:sz w:val="32"/>
          <w:szCs w:val="32"/>
          <w:lang w:val="en-US" w:eastAsia="zh-CN"/>
        </w:rPr>
        <w:t>0.01</w:t>
      </w:r>
      <w:r>
        <w:rPr>
          <w:rFonts w:hint="eastAsia" w:ascii="仿宋" w:hAnsi="仿宋" w:eastAsia="仿宋" w:cs="仿宋_GB2312"/>
          <w:kern w:val="0"/>
          <w:sz w:val="32"/>
          <w:szCs w:val="32"/>
        </w:rPr>
        <w:t>万元，下降10%，主要遵守中央八项规定，励行节约；培训费0.</w:t>
      </w:r>
      <w:r>
        <w:rPr>
          <w:rFonts w:hint="eastAsia" w:ascii="仿宋" w:hAnsi="仿宋" w:eastAsia="仿宋" w:cs="仿宋_GB2312"/>
          <w:kern w:val="0"/>
          <w:sz w:val="32"/>
          <w:szCs w:val="32"/>
          <w:lang w:val="en-US" w:eastAsia="zh-CN"/>
        </w:rPr>
        <w:t>66</w:t>
      </w:r>
      <w:r>
        <w:rPr>
          <w:rFonts w:hint="eastAsia" w:ascii="仿宋" w:hAnsi="仿宋" w:eastAsia="仿宋" w:cs="仿宋_GB2312"/>
          <w:kern w:val="0"/>
          <w:sz w:val="32"/>
          <w:szCs w:val="32"/>
        </w:rPr>
        <w:t>万元，较2018年减少0.2</w:t>
      </w:r>
      <w:r>
        <w:rPr>
          <w:rFonts w:hint="eastAsia" w:ascii="仿宋" w:hAnsi="仿宋" w:eastAsia="仿宋" w:cs="仿宋_GB2312"/>
          <w:kern w:val="0"/>
          <w:sz w:val="32"/>
          <w:szCs w:val="32"/>
          <w:lang w:val="en-US" w:eastAsia="zh-CN"/>
        </w:rPr>
        <w:t>7</w:t>
      </w:r>
      <w:r>
        <w:rPr>
          <w:rFonts w:hint="eastAsia" w:ascii="仿宋" w:hAnsi="仿宋" w:eastAsia="仿宋" w:cs="仿宋_GB2312"/>
          <w:kern w:val="0"/>
          <w:sz w:val="32"/>
          <w:szCs w:val="32"/>
        </w:rPr>
        <w:t>万元。</w:t>
      </w:r>
    </w:p>
    <w:p>
      <w:pPr>
        <w:widowControl/>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（3）学校节能降耗</w:t>
      </w:r>
    </w:p>
    <w:p>
      <w:pPr>
        <w:widowControl/>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lang w:val="en-US" w:eastAsia="zh-CN"/>
        </w:rPr>
        <w:t>2020</w:t>
      </w:r>
      <w:r>
        <w:rPr>
          <w:rFonts w:hint="eastAsia" w:ascii="仿宋" w:hAnsi="仿宋" w:eastAsia="仿宋" w:cs="仿宋_GB2312"/>
          <w:kern w:val="0"/>
          <w:sz w:val="32"/>
          <w:szCs w:val="32"/>
        </w:rPr>
        <w:t>年学校总能耗</w:t>
      </w:r>
      <w:r>
        <w:rPr>
          <w:rFonts w:hint="eastAsia" w:ascii="仿宋" w:hAnsi="仿宋" w:eastAsia="仿宋" w:cs="仿宋_GB2312"/>
          <w:kern w:val="0"/>
          <w:sz w:val="32"/>
          <w:szCs w:val="32"/>
          <w:lang w:val="en-US" w:eastAsia="zh-CN"/>
        </w:rPr>
        <w:t>2.64</w:t>
      </w:r>
      <w:r>
        <w:rPr>
          <w:rFonts w:hint="eastAsia" w:ascii="仿宋" w:hAnsi="仿宋" w:eastAsia="仿宋" w:cs="仿宋_GB2312"/>
          <w:kern w:val="0"/>
          <w:sz w:val="32"/>
          <w:szCs w:val="32"/>
        </w:rPr>
        <w:t>万元，较</w:t>
      </w:r>
      <w:r>
        <w:rPr>
          <w:rFonts w:hint="eastAsia" w:ascii="仿宋" w:hAnsi="仿宋" w:eastAsia="仿宋" w:cs="仿宋_GB2312"/>
          <w:kern w:val="0"/>
          <w:sz w:val="32"/>
          <w:szCs w:val="32"/>
          <w:lang w:eastAsia="zh-CN"/>
        </w:rPr>
        <w:t>减少</w:t>
      </w:r>
      <w:r>
        <w:rPr>
          <w:rFonts w:hint="eastAsia" w:ascii="仿宋" w:hAnsi="仿宋" w:eastAsia="仿宋" w:cs="仿宋_GB2312"/>
          <w:kern w:val="0"/>
          <w:sz w:val="32"/>
          <w:szCs w:val="32"/>
        </w:rPr>
        <w:t>0.</w:t>
      </w:r>
      <w:r>
        <w:rPr>
          <w:rFonts w:hint="eastAsia" w:ascii="仿宋" w:hAnsi="仿宋" w:eastAsia="仿宋" w:cs="仿宋_GB2312"/>
          <w:kern w:val="0"/>
          <w:sz w:val="32"/>
          <w:szCs w:val="32"/>
          <w:lang w:val="en-US" w:eastAsia="zh-CN"/>
        </w:rPr>
        <w:t>62</w:t>
      </w:r>
      <w:r>
        <w:rPr>
          <w:rFonts w:hint="eastAsia" w:ascii="仿宋" w:hAnsi="仿宋" w:eastAsia="仿宋" w:cs="仿宋_GB2312"/>
          <w:kern w:val="0"/>
          <w:sz w:val="32"/>
          <w:szCs w:val="32"/>
        </w:rPr>
        <w:t>万元，节能降耗情况总体情况良好。</w:t>
      </w:r>
      <w:r>
        <w:rPr>
          <w:rFonts w:hint="eastAsia" w:ascii="仿宋" w:hAnsi="仿宋" w:eastAsia="仿宋" w:cs="仿宋_GB2312"/>
          <w:kern w:val="0"/>
          <w:sz w:val="32"/>
          <w:szCs w:val="32"/>
          <w:lang w:val="en-US" w:eastAsia="zh-CN"/>
        </w:rPr>
        <w:t>2020</w:t>
      </w:r>
      <w:r>
        <w:rPr>
          <w:rFonts w:hint="eastAsia" w:ascii="仿宋" w:hAnsi="仿宋" w:eastAsia="仿宋" w:cs="仿宋_GB2312"/>
          <w:kern w:val="0"/>
          <w:sz w:val="32"/>
          <w:szCs w:val="32"/>
        </w:rPr>
        <w:t>年能耗情况与201</w:t>
      </w:r>
      <w:r>
        <w:rPr>
          <w:rFonts w:hint="eastAsia" w:ascii="仿宋" w:hAnsi="仿宋" w:eastAsia="仿宋" w:cs="仿宋_GB2312"/>
          <w:kern w:val="0"/>
          <w:sz w:val="32"/>
          <w:szCs w:val="32"/>
          <w:lang w:val="en-US" w:eastAsia="zh-CN"/>
        </w:rPr>
        <w:t>9</w:t>
      </w:r>
      <w:r>
        <w:rPr>
          <w:rFonts w:hint="eastAsia" w:ascii="仿宋" w:hAnsi="仿宋" w:eastAsia="仿宋" w:cs="仿宋_GB2312"/>
          <w:kern w:val="0"/>
          <w:sz w:val="32"/>
          <w:szCs w:val="32"/>
        </w:rPr>
        <w:t>年对比情况如下：水费0.</w:t>
      </w:r>
      <w:r>
        <w:rPr>
          <w:rFonts w:hint="eastAsia" w:ascii="仿宋" w:hAnsi="仿宋" w:eastAsia="仿宋" w:cs="仿宋_GB2312"/>
          <w:kern w:val="0"/>
          <w:sz w:val="32"/>
          <w:szCs w:val="32"/>
          <w:lang w:val="en-US" w:eastAsia="zh-CN"/>
        </w:rPr>
        <w:t>88</w:t>
      </w:r>
      <w:r>
        <w:rPr>
          <w:rFonts w:hint="eastAsia" w:ascii="仿宋" w:hAnsi="仿宋" w:eastAsia="仿宋" w:cs="仿宋_GB2312"/>
          <w:kern w:val="0"/>
          <w:sz w:val="32"/>
          <w:szCs w:val="32"/>
        </w:rPr>
        <w:t>万元，较20</w:t>
      </w:r>
      <w:r>
        <w:rPr>
          <w:rFonts w:hint="eastAsia" w:ascii="仿宋" w:hAnsi="仿宋" w:eastAsia="仿宋" w:cs="仿宋_GB2312"/>
          <w:kern w:val="0"/>
          <w:sz w:val="32"/>
          <w:szCs w:val="32"/>
          <w:lang w:val="en-US" w:eastAsia="zh-CN"/>
        </w:rPr>
        <w:t>19</w:t>
      </w:r>
      <w:r>
        <w:rPr>
          <w:rFonts w:hint="eastAsia" w:ascii="仿宋" w:hAnsi="仿宋" w:eastAsia="仿宋" w:cs="仿宋_GB2312"/>
          <w:kern w:val="0"/>
          <w:sz w:val="32"/>
          <w:szCs w:val="32"/>
        </w:rPr>
        <w:t>年减少加0.01万元；电费1.7</w:t>
      </w:r>
      <w:r>
        <w:rPr>
          <w:rFonts w:hint="eastAsia" w:ascii="仿宋" w:hAnsi="仿宋" w:eastAsia="仿宋" w:cs="仿宋_GB2312"/>
          <w:kern w:val="0"/>
          <w:sz w:val="32"/>
          <w:szCs w:val="32"/>
          <w:lang w:val="en-US" w:eastAsia="zh-CN"/>
        </w:rPr>
        <w:t>5</w:t>
      </w:r>
      <w:r>
        <w:rPr>
          <w:rFonts w:hint="eastAsia" w:ascii="仿宋" w:hAnsi="仿宋" w:eastAsia="仿宋" w:cs="仿宋_GB2312"/>
          <w:kern w:val="0"/>
          <w:sz w:val="32"/>
          <w:szCs w:val="32"/>
        </w:rPr>
        <w:t>万元，较20</w:t>
      </w:r>
      <w:r>
        <w:rPr>
          <w:rFonts w:hint="eastAsia" w:ascii="仿宋" w:hAnsi="仿宋" w:eastAsia="仿宋" w:cs="仿宋_GB2312"/>
          <w:kern w:val="0"/>
          <w:sz w:val="32"/>
          <w:szCs w:val="32"/>
          <w:lang w:val="en-US" w:eastAsia="zh-CN"/>
        </w:rPr>
        <w:t>19</w:t>
      </w:r>
      <w:r>
        <w:rPr>
          <w:rFonts w:hint="eastAsia" w:ascii="仿宋" w:hAnsi="仿宋" w:eastAsia="仿宋" w:cs="仿宋_GB2312"/>
          <w:kern w:val="0"/>
          <w:sz w:val="32"/>
          <w:szCs w:val="32"/>
        </w:rPr>
        <w:t>年</w:t>
      </w:r>
      <w:r>
        <w:rPr>
          <w:rFonts w:hint="eastAsia" w:ascii="仿宋" w:hAnsi="仿宋" w:eastAsia="仿宋" w:cs="仿宋_GB2312"/>
          <w:kern w:val="0"/>
          <w:sz w:val="32"/>
          <w:szCs w:val="32"/>
          <w:lang w:eastAsia="zh-CN"/>
        </w:rPr>
        <w:t>减少</w:t>
      </w:r>
      <w:r>
        <w:rPr>
          <w:rFonts w:hint="eastAsia" w:ascii="仿宋" w:hAnsi="仿宋" w:eastAsia="仿宋" w:cs="仿宋_GB2312"/>
          <w:kern w:val="0"/>
          <w:sz w:val="32"/>
          <w:szCs w:val="32"/>
        </w:rPr>
        <w:t>0.</w:t>
      </w:r>
      <w:r>
        <w:rPr>
          <w:rFonts w:hint="eastAsia" w:ascii="仿宋" w:hAnsi="仿宋" w:eastAsia="仿宋" w:cs="仿宋_GB2312"/>
          <w:kern w:val="0"/>
          <w:sz w:val="32"/>
          <w:szCs w:val="32"/>
          <w:lang w:val="en-US" w:eastAsia="zh-CN"/>
        </w:rPr>
        <w:t>01</w:t>
      </w:r>
      <w:r>
        <w:rPr>
          <w:rFonts w:hint="eastAsia" w:ascii="仿宋" w:hAnsi="仿宋" w:eastAsia="仿宋" w:cs="仿宋_GB2312"/>
          <w:kern w:val="0"/>
          <w:sz w:val="32"/>
          <w:szCs w:val="32"/>
        </w:rPr>
        <w:t>万元；燃油费0万元。</w:t>
      </w:r>
    </w:p>
    <w:p>
      <w:pPr>
        <w:widowControl/>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2.专项预算项目支出绩效</w:t>
      </w:r>
    </w:p>
    <w:p>
      <w:pPr>
        <w:widowControl/>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（1）资金绩效分配情况</w:t>
      </w:r>
    </w:p>
    <w:p>
      <w:pPr>
        <w:widowControl/>
        <w:spacing w:line="480" w:lineRule="auto"/>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（1）资金绩效分配情况</w:t>
      </w:r>
    </w:p>
    <w:p>
      <w:pPr>
        <w:widowControl/>
        <w:spacing w:line="480" w:lineRule="auto"/>
        <w:ind w:firstLine="800" w:firstLineChars="250"/>
        <w:rPr>
          <w:rFonts w:ascii="仿宋" w:hAnsi="仿宋" w:eastAsia="仿宋" w:cs="仿宋_GB2312"/>
          <w:kern w:val="0"/>
          <w:sz w:val="32"/>
          <w:szCs w:val="32"/>
        </w:rPr>
      </w:pPr>
      <w:r>
        <w:rPr>
          <w:rFonts w:hint="eastAsia" w:ascii="仿宋" w:hAnsi="仿宋" w:eastAsia="仿宋" w:cs="仿宋_GB2312"/>
          <w:kern w:val="0"/>
          <w:sz w:val="32"/>
          <w:szCs w:val="32"/>
        </w:rPr>
        <w:sym w:font="Wingdings" w:char="F081"/>
      </w:r>
      <w:r>
        <w:rPr>
          <w:rFonts w:hint="eastAsia" w:ascii="仿宋" w:hAnsi="仿宋" w:eastAsia="仿宋" w:cs="仿宋_GB2312"/>
          <w:kern w:val="0"/>
          <w:sz w:val="32"/>
          <w:szCs w:val="32"/>
        </w:rPr>
        <w:t>小学教育安保经费</w:t>
      </w:r>
      <w:r>
        <w:rPr>
          <w:rFonts w:hint="eastAsia" w:ascii="仿宋" w:hAnsi="仿宋" w:eastAsia="仿宋" w:cs="仿宋_GB2312"/>
          <w:kern w:val="0"/>
          <w:sz w:val="32"/>
          <w:szCs w:val="32"/>
          <w:lang w:val="en-US" w:eastAsia="zh-CN"/>
        </w:rPr>
        <w:t>10.76</w:t>
      </w:r>
      <w:r>
        <w:rPr>
          <w:rFonts w:hint="eastAsia" w:ascii="仿宋" w:hAnsi="仿宋" w:eastAsia="仿宋" w:cs="仿宋_GB2312"/>
          <w:kern w:val="0"/>
          <w:sz w:val="32"/>
          <w:szCs w:val="32"/>
        </w:rPr>
        <w:t>万元。</w:t>
      </w:r>
    </w:p>
    <w:p>
      <w:pPr>
        <w:widowControl/>
        <w:spacing w:line="480" w:lineRule="auto"/>
        <w:ind w:firstLine="800" w:firstLineChars="250"/>
        <w:rPr>
          <w:rFonts w:hint="eastAsia" w:ascii="仿宋" w:hAnsi="仿宋" w:eastAsia="仿宋" w:cs="仿宋_GB2312"/>
          <w:kern w:val="0"/>
          <w:sz w:val="32"/>
          <w:szCs w:val="32"/>
        </w:rPr>
      </w:pPr>
      <w:r>
        <w:rPr>
          <w:rFonts w:hint="eastAsia" w:ascii="仿宋" w:hAnsi="仿宋" w:eastAsia="仿宋" w:cs="仿宋_GB2312"/>
          <w:kern w:val="0"/>
          <w:sz w:val="32"/>
          <w:szCs w:val="32"/>
        </w:rPr>
        <w:sym w:font="Wingdings" w:char="F082"/>
      </w:r>
      <w:r>
        <w:rPr>
          <w:rFonts w:hint="eastAsia" w:ascii="仿宋" w:hAnsi="仿宋" w:eastAsia="仿宋" w:cs="仿宋_GB2312"/>
          <w:kern w:val="0"/>
          <w:sz w:val="32"/>
          <w:szCs w:val="32"/>
        </w:rPr>
        <w:t>对口帮扶马边工作经费</w:t>
      </w:r>
      <w:r>
        <w:rPr>
          <w:rFonts w:hint="eastAsia" w:ascii="仿宋" w:hAnsi="仿宋" w:eastAsia="仿宋" w:cs="仿宋_GB2312"/>
          <w:kern w:val="0"/>
          <w:sz w:val="32"/>
          <w:szCs w:val="32"/>
          <w:lang w:val="en-US" w:eastAsia="zh-CN"/>
        </w:rPr>
        <w:t>4.42</w:t>
      </w:r>
      <w:r>
        <w:rPr>
          <w:rFonts w:hint="eastAsia" w:ascii="仿宋" w:hAnsi="仿宋" w:eastAsia="仿宋" w:cs="仿宋_GB2312"/>
          <w:kern w:val="0"/>
          <w:sz w:val="32"/>
          <w:szCs w:val="32"/>
        </w:rPr>
        <w:t>万元。</w:t>
      </w:r>
    </w:p>
    <w:p>
      <w:pPr>
        <w:widowControl/>
        <w:spacing w:line="480" w:lineRule="auto"/>
        <w:ind w:firstLine="800" w:firstLineChars="250"/>
        <w:rPr>
          <w:rFonts w:ascii="仿宋" w:hAnsi="仿宋" w:eastAsia="仿宋" w:cs="仿宋_GB2312"/>
          <w:kern w:val="0"/>
          <w:sz w:val="32"/>
          <w:szCs w:val="32"/>
        </w:rPr>
      </w:pPr>
      <w:r>
        <w:rPr>
          <w:rFonts w:hint="eastAsia" w:ascii="仿宋" w:hAnsi="仿宋" w:eastAsia="仿宋" w:cs="仿宋_GB2312"/>
          <w:kern w:val="0"/>
          <w:sz w:val="32"/>
          <w:szCs w:val="32"/>
        </w:rPr>
        <w:sym w:font="Wingdings" w:char="F083"/>
      </w:r>
      <w:r>
        <w:rPr>
          <w:rFonts w:hint="eastAsia" w:ascii="仿宋" w:hAnsi="仿宋" w:eastAsia="仿宋" w:cs="仿宋_GB2312"/>
          <w:kern w:val="0"/>
          <w:sz w:val="32"/>
          <w:szCs w:val="32"/>
        </w:rPr>
        <w:t>骨干教师津贴0.24万元.</w:t>
      </w:r>
    </w:p>
    <w:p>
      <w:pPr>
        <w:widowControl/>
        <w:spacing w:line="480" w:lineRule="auto"/>
        <w:ind w:firstLine="800" w:firstLineChars="250"/>
        <w:rPr>
          <w:rFonts w:hint="default" w:ascii="仿宋" w:hAnsi="仿宋" w:eastAsia="仿宋" w:cs="仿宋_GB2312"/>
          <w:kern w:val="0"/>
          <w:sz w:val="32"/>
          <w:szCs w:val="32"/>
          <w:lang w:val="en-US" w:eastAsia="zh-CN"/>
        </w:rPr>
      </w:pPr>
      <w:r>
        <w:rPr>
          <w:rFonts w:hint="eastAsia" w:ascii="仿宋" w:hAnsi="仿宋" w:eastAsia="仿宋" w:cs="仿宋_GB2312"/>
          <w:kern w:val="0"/>
          <w:sz w:val="32"/>
          <w:szCs w:val="32"/>
        </w:rPr>
        <w:t>④</w:t>
      </w:r>
      <w:r>
        <w:rPr>
          <w:rFonts w:hint="eastAsia" w:ascii="仿宋" w:hAnsi="仿宋" w:eastAsia="仿宋" w:cs="仿宋_GB2312"/>
          <w:kern w:val="0"/>
          <w:sz w:val="32"/>
          <w:szCs w:val="32"/>
          <w:lang w:eastAsia="zh-CN"/>
        </w:rPr>
        <w:t>校园维修专项资金</w:t>
      </w:r>
      <w:r>
        <w:rPr>
          <w:rFonts w:hint="eastAsia" w:ascii="仿宋" w:hAnsi="仿宋" w:eastAsia="仿宋" w:cs="仿宋_GB2312"/>
          <w:kern w:val="0"/>
          <w:sz w:val="32"/>
          <w:szCs w:val="32"/>
          <w:lang w:val="en-US" w:eastAsia="zh-CN"/>
        </w:rPr>
        <w:t>197万元</w:t>
      </w:r>
    </w:p>
    <w:p>
      <w:pPr>
        <w:widowControl/>
        <w:spacing w:line="480" w:lineRule="auto"/>
        <w:ind w:firstLine="800" w:firstLineChars="250"/>
        <w:rPr>
          <w:rFonts w:ascii="仿宋" w:hAnsi="仿宋" w:eastAsia="仿宋" w:cs="仿宋_GB2312"/>
          <w:kern w:val="0"/>
          <w:sz w:val="32"/>
          <w:szCs w:val="32"/>
        </w:rPr>
      </w:pPr>
      <w:r>
        <w:rPr>
          <w:rFonts w:hint="eastAsia" w:ascii="仿宋" w:hAnsi="仿宋" w:eastAsia="仿宋" w:cs="仿宋_GB2312"/>
          <w:kern w:val="0"/>
          <w:sz w:val="32"/>
          <w:szCs w:val="32"/>
        </w:rPr>
        <w:t>（2）项目资金管理情况</w:t>
      </w:r>
    </w:p>
    <w:p>
      <w:pPr>
        <w:widowControl/>
        <w:spacing w:line="480" w:lineRule="auto"/>
        <w:ind w:firstLine="800" w:firstLineChars="250"/>
        <w:rPr>
          <w:rFonts w:ascii="仿宋" w:hAnsi="仿宋" w:eastAsia="仿宋" w:cs="仿宋_GB2312"/>
          <w:kern w:val="0"/>
          <w:sz w:val="32"/>
          <w:szCs w:val="32"/>
        </w:rPr>
      </w:pPr>
      <w:r>
        <w:rPr>
          <w:rFonts w:hint="eastAsia" w:ascii="仿宋" w:hAnsi="仿宋" w:eastAsia="仿宋" w:cs="仿宋_GB2312"/>
          <w:kern w:val="0"/>
          <w:sz w:val="32"/>
          <w:szCs w:val="32"/>
        </w:rPr>
        <w:t>所有项目资金的管理都按照相关规定执行，实行专款专用。上级专项的资金主要管理如下：如有上级文件的要求，严格按照要求执行；没有上级文件明确要求的，由我单位会同本级财政共同拟定方案；需要上级备案的及时上报备案。财政本级专项资金主要管理如下：我单位根据财政部门的要求制定方案并上报财政，实际拨付时按照要求准备资料向同级财政申请拨付。</w:t>
      </w:r>
    </w:p>
    <w:p>
      <w:pPr>
        <w:widowControl/>
        <w:spacing w:line="480" w:lineRule="auto"/>
        <w:ind w:firstLine="800" w:firstLineChars="250"/>
        <w:rPr>
          <w:rFonts w:ascii="仿宋" w:hAnsi="仿宋" w:eastAsia="仿宋" w:cs="仿宋_GB2312"/>
          <w:kern w:val="0"/>
          <w:sz w:val="32"/>
          <w:szCs w:val="32"/>
        </w:rPr>
      </w:pPr>
      <w:r>
        <w:rPr>
          <w:rFonts w:hint="eastAsia" w:ascii="仿宋" w:hAnsi="仿宋" w:eastAsia="仿宋" w:cs="仿宋_GB2312"/>
          <w:kern w:val="0"/>
          <w:sz w:val="32"/>
          <w:szCs w:val="32"/>
        </w:rPr>
        <w:t xml:space="preserve">   （3）绩效目标完成情况</w:t>
      </w:r>
    </w:p>
    <w:p>
      <w:pPr>
        <w:widowControl/>
        <w:spacing w:line="480" w:lineRule="auto"/>
        <w:ind w:firstLine="800" w:firstLineChars="250"/>
        <w:rPr>
          <w:rFonts w:ascii="仿宋" w:hAnsi="仿宋" w:eastAsia="仿宋" w:cs="仿宋_GB2312"/>
          <w:kern w:val="0"/>
          <w:sz w:val="32"/>
          <w:szCs w:val="32"/>
        </w:rPr>
      </w:pPr>
      <w:r>
        <w:rPr>
          <w:rFonts w:hint="eastAsia" w:ascii="仿宋" w:hAnsi="仿宋" w:eastAsia="仿宋" w:cs="仿宋_GB2312"/>
          <w:kern w:val="0"/>
          <w:sz w:val="32"/>
          <w:szCs w:val="32"/>
        </w:rPr>
        <w:t>一学年以来，学校以党的十九大为主线，深入学习贯彻习近平总书记系列重要讲话精神和治国理政新理念新思想新战略，认真贯彻《国家中长期教育改革和发展规划纲要》和《峨眉山市教育发展“十三五”规划》精神，围绕上级教育主管部门的决策部署和工作要求，实践“为孩子明天幸福奠定基础”的办学理念，努力打造以“幸福教育”为特色的农村学校夯实“德育育人”，推进“幸福校园”工程，1、做好课程育人。充分发挥课堂教学的主渠道作用，统筹安排地方和学校课程，将中小学德育内容细化落实到教育教学全过程，深入开展法治、廉洁、反邪教、文明礼仪、环境、心理健康、劳动、毒品预防、影视等专题教育。 2、做好文化育人。因地制宜开展“幸福”校园文化建设，让校园处处成为育人场所；全面推进书香班级、书香校园建设，向学生推荐阅读书目，调动学生阅读积极性；全面建设好网络文化，搭建校园网站、论坛、信箱、博客、微信群、QQ群等网上宣传交流平台，引导学生合理使用网络，防止网络沉迷和伤害，提升网络素养，打造清朗的校园网络文化。 ３、做好活动育人。继续以“成长的印迹”为主线，深入开展“习礼”、“好习惯养成”实验教育展示、入学、入队、毕业等仪式主题教育活动；充分利用中秋、重阳等中华传统节日开展文化育人活动，增强传统节日的体验感和文化感；利用教师节、国庆节等节庆日开展爱党爱国、民族团结、热爱劳动、尊师重教、爱护环境等主题教育活动。 4、做好实践育人。充分利用爱国主义教育基地等各类校外活动场所、专题教育社会实践基地等资源，开展不同主题的实践活动。 5、做好管理育人。全面加强师德师风建设，培育、宣传师德标兵、教学骨干和优秀班主任、德育工作者等先进典型，引导教师争做“四有”好教师。 6、做好协同育人。积极争取家庭、社会共同参与和支持学校德育工作，进一步推进家长委员会、家长学校、家长会、家访、家长开放日、家长接待日、家长进课堂等各种家校沟通渠道建设，提升全员育人水平。一</w:t>
      </w:r>
      <w:r>
        <w:rPr>
          <w:rFonts w:hint="eastAsia" w:ascii="仿宋" w:hAnsi="仿宋" w:eastAsia="仿宋" w:cs="仿宋_GB2312"/>
          <w:kern w:val="0"/>
          <w:sz w:val="32"/>
          <w:szCs w:val="32"/>
          <w:lang w:eastAsia="zh-CN"/>
        </w:rPr>
        <w:t>年</w:t>
      </w:r>
      <w:r>
        <w:rPr>
          <w:rFonts w:hint="eastAsia" w:ascii="仿宋" w:hAnsi="仿宋" w:eastAsia="仿宋" w:cs="仿宋_GB2312"/>
          <w:kern w:val="0"/>
          <w:sz w:val="32"/>
          <w:szCs w:val="32"/>
        </w:rPr>
        <w:t>来，学校积极参加上级主管部门组织的各项活动， 学校共有</w:t>
      </w:r>
      <w:r>
        <w:rPr>
          <w:rFonts w:hint="eastAsia" w:ascii="仿宋" w:hAnsi="仿宋" w:eastAsia="仿宋" w:cs="仿宋_GB2312"/>
          <w:kern w:val="0"/>
          <w:sz w:val="32"/>
          <w:szCs w:val="32"/>
          <w:lang w:val="en-US" w:eastAsia="zh-CN"/>
        </w:rPr>
        <w:t>164余</w:t>
      </w:r>
      <w:r>
        <w:rPr>
          <w:rFonts w:hint="eastAsia" w:ascii="仿宋" w:hAnsi="仿宋" w:eastAsia="仿宋" w:cs="仿宋_GB2312"/>
          <w:kern w:val="0"/>
          <w:sz w:val="32"/>
          <w:szCs w:val="32"/>
        </w:rPr>
        <w:t xml:space="preserve">名学生获奖 ，24位家长进课堂亲自与学生分享知识。 一学期以来我校以积极开拓的奋斗精神，不断地丰富学校办学内涵，行进在为实现“幸福教育”为主要办学特色的农村学校这一目标的路上，积极实践“为孩子明天幸福奠定基础”的办学理念。 </w:t>
      </w:r>
    </w:p>
    <w:p>
      <w:pPr>
        <w:widowControl/>
        <w:spacing w:line="480" w:lineRule="auto"/>
        <w:ind w:firstLine="800" w:firstLineChars="250"/>
        <w:rPr>
          <w:rFonts w:ascii="仿宋" w:hAnsi="仿宋" w:eastAsia="仿宋" w:cs="仿宋_GB2312"/>
          <w:kern w:val="0"/>
          <w:sz w:val="32"/>
          <w:szCs w:val="32"/>
        </w:rPr>
      </w:pPr>
      <w:r>
        <w:rPr>
          <w:rFonts w:hint="eastAsia" w:ascii="仿宋" w:hAnsi="仿宋" w:eastAsia="仿宋" w:cs="仿宋_GB2312"/>
          <w:kern w:val="0"/>
          <w:sz w:val="32"/>
          <w:szCs w:val="32"/>
        </w:rPr>
        <w:t>（4）财务管理情况</w:t>
      </w:r>
    </w:p>
    <w:p>
      <w:pPr>
        <w:widowControl/>
        <w:spacing w:line="480" w:lineRule="auto"/>
        <w:ind w:firstLine="800" w:firstLineChars="250"/>
        <w:rPr>
          <w:rFonts w:ascii="仿宋" w:hAnsi="仿宋" w:eastAsia="仿宋" w:cs="仿宋_GB2312"/>
          <w:kern w:val="0"/>
          <w:sz w:val="32"/>
          <w:szCs w:val="32"/>
        </w:rPr>
      </w:pPr>
      <w:r>
        <w:rPr>
          <w:rFonts w:hint="eastAsia" w:ascii="仿宋" w:hAnsi="仿宋" w:eastAsia="仿宋" w:cs="仿宋_GB2312"/>
          <w:kern w:val="0"/>
          <w:sz w:val="32"/>
          <w:szCs w:val="32"/>
        </w:rPr>
        <w:t>所有专项资金实行专款专用，不得挪用、截留；在资金拨付阶段严格审核资金分配方案、对象主体资格、绩效评估报告、合同、文件、拨付审批等，确保资金拨付符合要求，合规合理。要求专账核算的项目，专账核算并单独装订凭证以备查验。各项采购严格按照政府采购制度执行。</w:t>
      </w:r>
    </w:p>
    <w:p>
      <w:pPr>
        <w:widowControl/>
        <w:shd w:val="clear" w:color="auto" w:fill="FFFFFF"/>
        <w:adjustRightInd w:val="0"/>
        <w:snapToGrid w:val="0"/>
        <w:spacing w:line="540" w:lineRule="exact"/>
        <w:ind w:firstLine="640" w:firstLineChars="200"/>
        <w:jc w:val="left"/>
        <w:outlineLvl w:val="0"/>
        <w:rPr>
          <w:rFonts w:ascii="仿宋_GB2312" w:hAnsi="宋体" w:eastAsia="仿宋_GB2312" w:cs="宋体"/>
          <w:color w:val="000000"/>
          <w:kern w:val="0"/>
          <w:sz w:val="32"/>
          <w:szCs w:val="32"/>
          <w:shd w:val="clear" w:color="auto" w:fill="FFFFFF"/>
          <w:lang w:val="zh-CN"/>
        </w:rPr>
      </w:pPr>
    </w:p>
    <w:p>
      <w:pPr>
        <w:widowControl/>
        <w:shd w:val="clear" w:color="auto" w:fill="FFFFFF"/>
        <w:adjustRightInd w:val="0"/>
        <w:snapToGrid w:val="0"/>
        <w:spacing w:line="540" w:lineRule="exact"/>
        <w:ind w:firstLine="555"/>
        <w:jc w:val="left"/>
        <w:outlineLvl w:val="0"/>
        <w:rPr>
          <w:rFonts w:ascii="仿宋" w:hAnsi="仿宋" w:eastAsia="仿宋" w:cstheme="minorEastAsia"/>
          <w:kern w:val="0"/>
          <w:sz w:val="32"/>
          <w:szCs w:val="32"/>
        </w:rPr>
      </w:pPr>
      <w:r>
        <w:rPr>
          <w:rFonts w:hint="eastAsia" w:ascii="仿宋_GB2312" w:hAnsi="宋体" w:eastAsia="仿宋_GB2312" w:cs="宋体"/>
          <w:b/>
          <w:bCs/>
          <w:color w:val="000000"/>
          <w:kern w:val="0"/>
          <w:sz w:val="32"/>
          <w:szCs w:val="32"/>
          <w:shd w:val="clear" w:color="auto" w:fill="FFFFFF"/>
          <w:lang w:val="zh-CN"/>
        </w:rPr>
        <w:t>（二）结果应用情况。</w:t>
      </w:r>
      <w:r>
        <w:rPr>
          <w:rFonts w:hint="eastAsia" w:ascii="仿宋" w:hAnsi="仿宋" w:eastAsia="仿宋" w:cstheme="minorEastAsia"/>
          <w:kern w:val="0"/>
          <w:sz w:val="32"/>
          <w:szCs w:val="32"/>
        </w:rPr>
        <w:t>根据《峨眉山市财政局关于开展202</w:t>
      </w:r>
      <w:r>
        <w:rPr>
          <w:rFonts w:hint="eastAsia" w:ascii="仿宋" w:hAnsi="仿宋" w:eastAsia="仿宋" w:cstheme="minorEastAsia"/>
          <w:kern w:val="0"/>
          <w:sz w:val="32"/>
          <w:szCs w:val="32"/>
          <w:lang w:val="en-US" w:eastAsia="zh-CN"/>
        </w:rPr>
        <w:t>1</w:t>
      </w:r>
      <w:r>
        <w:rPr>
          <w:rFonts w:hint="eastAsia" w:ascii="仿宋" w:hAnsi="仿宋" w:eastAsia="仿宋" w:cstheme="minorEastAsia"/>
          <w:kern w:val="0"/>
          <w:sz w:val="32"/>
          <w:szCs w:val="32"/>
        </w:rPr>
        <w:t>年</w:t>
      </w:r>
      <w:r>
        <w:rPr>
          <w:rFonts w:hint="eastAsia" w:ascii="仿宋" w:hAnsi="仿宋" w:eastAsia="仿宋" w:cstheme="minorEastAsia"/>
          <w:kern w:val="0"/>
          <w:sz w:val="32"/>
          <w:szCs w:val="32"/>
          <w:lang w:eastAsia="zh-CN"/>
        </w:rPr>
        <w:t>部门、政策和项目支出</w:t>
      </w:r>
      <w:r>
        <w:rPr>
          <w:rFonts w:hint="eastAsia" w:ascii="仿宋" w:hAnsi="仿宋" w:eastAsia="仿宋" w:cstheme="minorEastAsia"/>
          <w:kern w:val="0"/>
          <w:sz w:val="32"/>
          <w:szCs w:val="32"/>
        </w:rPr>
        <w:t>绩效评价工作的通知》（峨财通[202</w:t>
      </w:r>
      <w:r>
        <w:rPr>
          <w:rFonts w:hint="eastAsia" w:ascii="仿宋" w:hAnsi="仿宋" w:eastAsia="仿宋" w:cstheme="minorEastAsia"/>
          <w:kern w:val="0"/>
          <w:sz w:val="32"/>
          <w:szCs w:val="32"/>
          <w:lang w:val="en-US" w:eastAsia="zh-CN"/>
        </w:rPr>
        <w:t>1</w:t>
      </w:r>
      <w:r>
        <w:rPr>
          <w:rFonts w:hint="eastAsia" w:ascii="仿宋" w:hAnsi="仿宋" w:eastAsia="仿宋" w:cstheme="minorEastAsia"/>
          <w:kern w:val="0"/>
          <w:sz w:val="32"/>
          <w:szCs w:val="32"/>
        </w:rPr>
        <w:t>]</w:t>
      </w:r>
      <w:r>
        <w:rPr>
          <w:rFonts w:hint="eastAsia" w:ascii="仿宋" w:hAnsi="仿宋" w:eastAsia="仿宋" w:cstheme="minorEastAsia"/>
          <w:kern w:val="0"/>
          <w:sz w:val="32"/>
          <w:szCs w:val="32"/>
          <w:lang w:val="en-US" w:eastAsia="zh-CN"/>
        </w:rPr>
        <w:t>20</w:t>
      </w:r>
      <w:r>
        <w:rPr>
          <w:rFonts w:hint="eastAsia" w:ascii="仿宋" w:hAnsi="仿宋" w:eastAsia="仿宋" w:cstheme="minorEastAsia"/>
          <w:kern w:val="0"/>
          <w:sz w:val="32"/>
          <w:szCs w:val="32"/>
        </w:rPr>
        <w:t>号）文件精神</w:t>
      </w:r>
      <w:r>
        <w:rPr>
          <w:rFonts w:hint="eastAsia" w:ascii="仿宋" w:hAnsi="仿宋" w:eastAsia="仿宋" w:cstheme="minorEastAsia"/>
          <w:sz w:val="32"/>
          <w:szCs w:val="32"/>
        </w:rPr>
        <w:t>，</w:t>
      </w:r>
      <w:r>
        <w:rPr>
          <w:rFonts w:hint="eastAsia" w:ascii="仿宋" w:hAnsi="仿宋" w:eastAsia="仿宋" w:cstheme="minorEastAsia"/>
          <w:kern w:val="0"/>
          <w:sz w:val="32"/>
          <w:szCs w:val="32"/>
        </w:rPr>
        <w:t>我校成立了绩效评价工作领导小组，负责绩效评价工作的组织领导和具体实施。评价小组采取座谈等方式听取情况，检查基本支出、项目支出有关账目，收集整理支出相关资料，并根据各股室报送的绩效自评材料进行分析，形成评价结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shd w:val="clear" w:color="auto" w:fill="FFFFFF"/>
        <w:adjustRightInd w:val="0"/>
        <w:snapToGrid w:val="0"/>
        <w:spacing w:line="540" w:lineRule="exact"/>
        <w:ind w:left="640"/>
        <w:jc w:val="left"/>
        <w:rPr>
          <w:rFonts w:ascii="仿宋" w:hAnsi="仿宋" w:eastAsia="仿宋" w:cstheme="minorEastAsia"/>
          <w:b/>
          <w:bCs/>
          <w:kern w:val="0"/>
          <w:sz w:val="32"/>
          <w:szCs w:val="32"/>
        </w:rPr>
      </w:pPr>
      <w:r>
        <w:rPr>
          <w:rFonts w:hint="eastAsia" w:ascii="仿宋" w:hAnsi="仿宋" w:eastAsia="仿宋" w:cstheme="minorEastAsia"/>
          <w:kern w:val="0"/>
          <w:sz w:val="32"/>
          <w:szCs w:val="32"/>
        </w:rPr>
        <w:t>（一）评价结论：我单位部门支出绩效评价得分95 ，具体情况见下表：</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2551"/>
        <w:gridCol w:w="2694"/>
        <w:gridCol w:w="850"/>
        <w:gridCol w:w="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一级指标</w:t>
            </w:r>
          </w:p>
        </w:tc>
        <w:tc>
          <w:tcPr>
            <w:tcW w:w="2551" w:type="dxa"/>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二级指标</w:t>
            </w:r>
          </w:p>
        </w:tc>
        <w:tc>
          <w:tcPr>
            <w:tcW w:w="2694" w:type="dxa"/>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三级指标</w:t>
            </w:r>
          </w:p>
        </w:tc>
        <w:tc>
          <w:tcPr>
            <w:tcW w:w="850" w:type="dxa"/>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总分</w:t>
            </w:r>
          </w:p>
        </w:tc>
        <w:tc>
          <w:tcPr>
            <w:tcW w:w="901" w:type="dxa"/>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预算编制</w:t>
            </w:r>
          </w:p>
        </w:tc>
        <w:tc>
          <w:tcPr>
            <w:tcW w:w="2551" w:type="dxa"/>
            <w:vMerge w:val="restart"/>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报送时效</w:t>
            </w:r>
          </w:p>
        </w:tc>
        <w:tc>
          <w:tcPr>
            <w:tcW w:w="2694"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基础信息更新</w:t>
            </w:r>
          </w:p>
        </w:tc>
        <w:tc>
          <w:tcPr>
            <w:tcW w:w="850"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2</w:t>
            </w:r>
          </w:p>
        </w:tc>
        <w:tc>
          <w:tcPr>
            <w:tcW w:w="90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line="540" w:lineRule="exact"/>
              <w:jc w:val="center"/>
              <w:outlineLvl w:val="0"/>
              <w:rPr>
                <w:rFonts w:ascii="仿宋" w:hAnsi="仿宋" w:eastAsia="仿宋" w:cstheme="minorEastAsia"/>
                <w:kern w:val="0"/>
                <w:sz w:val="32"/>
                <w:szCs w:val="32"/>
              </w:rPr>
            </w:pPr>
          </w:p>
        </w:tc>
        <w:tc>
          <w:tcPr>
            <w:tcW w:w="2551" w:type="dxa"/>
            <w:vMerge w:val="continue"/>
            <w:vAlign w:val="center"/>
          </w:tcPr>
          <w:p>
            <w:pPr>
              <w:widowControl/>
              <w:adjustRightInd w:val="0"/>
              <w:snapToGrid w:val="0"/>
              <w:spacing w:line="540" w:lineRule="exact"/>
              <w:jc w:val="center"/>
              <w:outlineLvl w:val="0"/>
              <w:rPr>
                <w:rFonts w:ascii="仿宋" w:hAnsi="仿宋" w:eastAsia="仿宋" w:cstheme="minorEastAsia"/>
                <w:kern w:val="0"/>
                <w:sz w:val="32"/>
                <w:szCs w:val="32"/>
              </w:rPr>
            </w:pPr>
          </w:p>
        </w:tc>
        <w:tc>
          <w:tcPr>
            <w:tcW w:w="2694"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预算草案报送</w:t>
            </w:r>
          </w:p>
        </w:tc>
        <w:tc>
          <w:tcPr>
            <w:tcW w:w="850"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1</w:t>
            </w:r>
          </w:p>
        </w:tc>
        <w:tc>
          <w:tcPr>
            <w:tcW w:w="90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26" w:type="dxa"/>
            <w:vMerge w:val="continue"/>
            <w:vAlign w:val="center"/>
          </w:tcPr>
          <w:p>
            <w:pPr>
              <w:widowControl/>
              <w:adjustRightInd w:val="0"/>
              <w:snapToGrid w:val="0"/>
              <w:spacing w:line="540" w:lineRule="exact"/>
              <w:jc w:val="center"/>
              <w:outlineLvl w:val="0"/>
              <w:rPr>
                <w:rFonts w:ascii="仿宋" w:hAnsi="仿宋" w:eastAsia="仿宋" w:cstheme="minorEastAsia"/>
                <w:kern w:val="0"/>
                <w:sz w:val="32"/>
                <w:szCs w:val="32"/>
              </w:rPr>
            </w:pPr>
          </w:p>
        </w:tc>
        <w:tc>
          <w:tcPr>
            <w:tcW w:w="2551" w:type="dxa"/>
            <w:vMerge w:val="restart"/>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编制质量</w:t>
            </w:r>
          </w:p>
        </w:tc>
        <w:tc>
          <w:tcPr>
            <w:tcW w:w="2694"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预算编制准确</w:t>
            </w:r>
          </w:p>
        </w:tc>
        <w:tc>
          <w:tcPr>
            <w:tcW w:w="850"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3</w:t>
            </w:r>
          </w:p>
        </w:tc>
        <w:tc>
          <w:tcPr>
            <w:tcW w:w="90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line="540" w:lineRule="exact"/>
              <w:jc w:val="center"/>
              <w:outlineLvl w:val="0"/>
              <w:rPr>
                <w:rFonts w:ascii="仿宋" w:hAnsi="仿宋" w:eastAsia="仿宋" w:cstheme="minorEastAsia"/>
                <w:kern w:val="0"/>
                <w:sz w:val="32"/>
                <w:szCs w:val="32"/>
              </w:rPr>
            </w:pPr>
          </w:p>
        </w:tc>
        <w:tc>
          <w:tcPr>
            <w:tcW w:w="2551" w:type="dxa"/>
            <w:vMerge w:val="continue"/>
            <w:vAlign w:val="center"/>
          </w:tcPr>
          <w:p>
            <w:pPr>
              <w:widowControl/>
              <w:adjustRightInd w:val="0"/>
              <w:snapToGrid w:val="0"/>
              <w:spacing w:line="540" w:lineRule="exact"/>
              <w:jc w:val="center"/>
              <w:outlineLvl w:val="0"/>
              <w:rPr>
                <w:rFonts w:ascii="仿宋" w:hAnsi="仿宋" w:eastAsia="仿宋" w:cstheme="minorEastAsia"/>
                <w:kern w:val="0"/>
                <w:sz w:val="32"/>
                <w:szCs w:val="32"/>
              </w:rPr>
            </w:pPr>
          </w:p>
        </w:tc>
        <w:tc>
          <w:tcPr>
            <w:tcW w:w="2694"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预算执行调整</w:t>
            </w:r>
          </w:p>
        </w:tc>
        <w:tc>
          <w:tcPr>
            <w:tcW w:w="850"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3</w:t>
            </w:r>
          </w:p>
        </w:tc>
        <w:tc>
          <w:tcPr>
            <w:tcW w:w="90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line="540" w:lineRule="exact"/>
              <w:jc w:val="center"/>
              <w:outlineLvl w:val="0"/>
              <w:rPr>
                <w:rFonts w:ascii="仿宋" w:hAnsi="仿宋" w:eastAsia="仿宋" w:cstheme="minorEastAsia"/>
                <w:kern w:val="0"/>
                <w:sz w:val="32"/>
                <w:szCs w:val="32"/>
              </w:rPr>
            </w:pPr>
          </w:p>
        </w:tc>
        <w:tc>
          <w:tcPr>
            <w:tcW w:w="2551" w:type="dxa"/>
            <w:vMerge w:val="continue"/>
            <w:vAlign w:val="center"/>
          </w:tcPr>
          <w:p>
            <w:pPr>
              <w:widowControl/>
              <w:adjustRightInd w:val="0"/>
              <w:snapToGrid w:val="0"/>
              <w:spacing w:line="540" w:lineRule="exact"/>
              <w:jc w:val="center"/>
              <w:outlineLvl w:val="0"/>
              <w:rPr>
                <w:rFonts w:ascii="仿宋" w:hAnsi="仿宋" w:eastAsia="仿宋" w:cstheme="minorEastAsia"/>
                <w:kern w:val="0"/>
                <w:sz w:val="32"/>
                <w:szCs w:val="32"/>
              </w:rPr>
            </w:pPr>
          </w:p>
        </w:tc>
        <w:tc>
          <w:tcPr>
            <w:tcW w:w="2694"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部门预算审查</w:t>
            </w:r>
          </w:p>
        </w:tc>
        <w:tc>
          <w:tcPr>
            <w:tcW w:w="850"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2</w:t>
            </w:r>
          </w:p>
        </w:tc>
        <w:tc>
          <w:tcPr>
            <w:tcW w:w="90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line="540" w:lineRule="exact"/>
              <w:jc w:val="center"/>
              <w:outlineLvl w:val="0"/>
              <w:rPr>
                <w:rFonts w:ascii="仿宋" w:hAnsi="仿宋" w:eastAsia="仿宋" w:cstheme="minorEastAsia"/>
                <w:kern w:val="0"/>
                <w:sz w:val="32"/>
                <w:szCs w:val="32"/>
              </w:rPr>
            </w:pPr>
          </w:p>
        </w:tc>
        <w:tc>
          <w:tcPr>
            <w:tcW w:w="255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绩效目标</w:t>
            </w:r>
          </w:p>
        </w:tc>
        <w:tc>
          <w:tcPr>
            <w:tcW w:w="2694"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绩效目标编制</w:t>
            </w:r>
          </w:p>
        </w:tc>
        <w:tc>
          <w:tcPr>
            <w:tcW w:w="850"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5</w:t>
            </w:r>
          </w:p>
        </w:tc>
        <w:tc>
          <w:tcPr>
            <w:tcW w:w="90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26" w:type="dxa"/>
            <w:vMerge w:val="continue"/>
            <w:vAlign w:val="center"/>
          </w:tcPr>
          <w:p>
            <w:pPr>
              <w:widowControl/>
              <w:adjustRightInd w:val="0"/>
              <w:snapToGrid w:val="0"/>
              <w:spacing w:line="540" w:lineRule="exact"/>
              <w:jc w:val="center"/>
              <w:outlineLvl w:val="0"/>
              <w:rPr>
                <w:rFonts w:ascii="仿宋" w:hAnsi="仿宋" w:eastAsia="仿宋" w:cstheme="minorEastAsia"/>
                <w:kern w:val="0"/>
                <w:sz w:val="32"/>
                <w:szCs w:val="32"/>
              </w:rPr>
            </w:pPr>
          </w:p>
        </w:tc>
        <w:tc>
          <w:tcPr>
            <w:tcW w:w="255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专项预算提前细化</w:t>
            </w:r>
          </w:p>
        </w:tc>
        <w:tc>
          <w:tcPr>
            <w:tcW w:w="2694"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预控指标细化</w:t>
            </w:r>
          </w:p>
        </w:tc>
        <w:tc>
          <w:tcPr>
            <w:tcW w:w="850"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5</w:t>
            </w:r>
          </w:p>
        </w:tc>
        <w:tc>
          <w:tcPr>
            <w:tcW w:w="90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line="540" w:lineRule="exact"/>
              <w:jc w:val="center"/>
              <w:outlineLvl w:val="0"/>
              <w:rPr>
                <w:rFonts w:ascii="仿宋" w:hAnsi="仿宋" w:eastAsia="仿宋" w:cstheme="minorEastAsia"/>
                <w:kern w:val="0"/>
                <w:sz w:val="32"/>
                <w:szCs w:val="32"/>
              </w:rPr>
            </w:pPr>
          </w:p>
        </w:tc>
        <w:tc>
          <w:tcPr>
            <w:tcW w:w="255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预算公开</w:t>
            </w:r>
          </w:p>
        </w:tc>
        <w:tc>
          <w:tcPr>
            <w:tcW w:w="2694"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公开内容</w:t>
            </w:r>
          </w:p>
        </w:tc>
        <w:tc>
          <w:tcPr>
            <w:tcW w:w="850"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4</w:t>
            </w:r>
          </w:p>
        </w:tc>
        <w:tc>
          <w:tcPr>
            <w:tcW w:w="90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预算执行</w:t>
            </w:r>
          </w:p>
        </w:tc>
        <w:tc>
          <w:tcPr>
            <w:tcW w:w="255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绩效分配</w:t>
            </w:r>
          </w:p>
        </w:tc>
        <w:tc>
          <w:tcPr>
            <w:tcW w:w="2694"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项目绩效分配</w:t>
            </w:r>
          </w:p>
        </w:tc>
        <w:tc>
          <w:tcPr>
            <w:tcW w:w="850"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10</w:t>
            </w:r>
          </w:p>
        </w:tc>
        <w:tc>
          <w:tcPr>
            <w:tcW w:w="90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line="540" w:lineRule="exact"/>
              <w:jc w:val="center"/>
              <w:outlineLvl w:val="0"/>
              <w:rPr>
                <w:rFonts w:ascii="仿宋" w:hAnsi="仿宋" w:eastAsia="仿宋" w:cstheme="minorEastAsia"/>
                <w:kern w:val="0"/>
                <w:sz w:val="32"/>
                <w:szCs w:val="32"/>
              </w:rPr>
            </w:pPr>
          </w:p>
        </w:tc>
        <w:tc>
          <w:tcPr>
            <w:tcW w:w="2551" w:type="dxa"/>
            <w:vMerge w:val="restart"/>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执行进度</w:t>
            </w:r>
          </w:p>
        </w:tc>
        <w:tc>
          <w:tcPr>
            <w:tcW w:w="2694"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6月执行进度</w:t>
            </w:r>
          </w:p>
        </w:tc>
        <w:tc>
          <w:tcPr>
            <w:tcW w:w="850"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3</w:t>
            </w:r>
          </w:p>
        </w:tc>
        <w:tc>
          <w:tcPr>
            <w:tcW w:w="90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26" w:type="dxa"/>
            <w:vMerge w:val="continue"/>
            <w:vAlign w:val="center"/>
          </w:tcPr>
          <w:p>
            <w:pPr>
              <w:widowControl/>
              <w:adjustRightInd w:val="0"/>
              <w:snapToGrid w:val="0"/>
              <w:spacing w:line="540" w:lineRule="exact"/>
              <w:jc w:val="center"/>
              <w:outlineLvl w:val="0"/>
              <w:rPr>
                <w:rFonts w:ascii="仿宋" w:hAnsi="仿宋" w:eastAsia="仿宋" w:cstheme="minorEastAsia"/>
                <w:kern w:val="0"/>
                <w:sz w:val="32"/>
                <w:szCs w:val="32"/>
              </w:rPr>
            </w:pPr>
          </w:p>
        </w:tc>
        <w:tc>
          <w:tcPr>
            <w:tcW w:w="2551" w:type="dxa"/>
            <w:vMerge w:val="continue"/>
            <w:vAlign w:val="center"/>
          </w:tcPr>
          <w:p>
            <w:pPr>
              <w:widowControl/>
              <w:adjustRightInd w:val="0"/>
              <w:snapToGrid w:val="0"/>
              <w:spacing w:line="540" w:lineRule="exact"/>
              <w:jc w:val="center"/>
              <w:outlineLvl w:val="0"/>
              <w:rPr>
                <w:rFonts w:ascii="仿宋" w:hAnsi="仿宋" w:eastAsia="仿宋" w:cstheme="minorEastAsia"/>
                <w:kern w:val="0"/>
                <w:sz w:val="32"/>
                <w:szCs w:val="32"/>
              </w:rPr>
            </w:pPr>
          </w:p>
        </w:tc>
        <w:tc>
          <w:tcPr>
            <w:tcW w:w="2694"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9月执行进度</w:t>
            </w:r>
          </w:p>
        </w:tc>
        <w:tc>
          <w:tcPr>
            <w:tcW w:w="850"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4</w:t>
            </w:r>
          </w:p>
        </w:tc>
        <w:tc>
          <w:tcPr>
            <w:tcW w:w="90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line="540" w:lineRule="exact"/>
              <w:jc w:val="center"/>
              <w:outlineLvl w:val="0"/>
              <w:rPr>
                <w:rFonts w:ascii="仿宋" w:hAnsi="仿宋" w:eastAsia="仿宋" w:cstheme="minorEastAsia"/>
                <w:kern w:val="0"/>
                <w:sz w:val="32"/>
                <w:szCs w:val="32"/>
              </w:rPr>
            </w:pPr>
          </w:p>
        </w:tc>
        <w:tc>
          <w:tcPr>
            <w:tcW w:w="255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执行进度</w:t>
            </w:r>
          </w:p>
        </w:tc>
        <w:tc>
          <w:tcPr>
            <w:tcW w:w="2694"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12月执行进度</w:t>
            </w:r>
          </w:p>
        </w:tc>
        <w:tc>
          <w:tcPr>
            <w:tcW w:w="850"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3</w:t>
            </w:r>
          </w:p>
        </w:tc>
        <w:tc>
          <w:tcPr>
            <w:tcW w:w="90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line="540" w:lineRule="exact"/>
              <w:jc w:val="center"/>
              <w:outlineLvl w:val="0"/>
              <w:rPr>
                <w:rFonts w:ascii="仿宋" w:hAnsi="仿宋" w:eastAsia="仿宋" w:cstheme="minorEastAsia"/>
                <w:kern w:val="0"/>
                <w:sz w:val="32"/>
                <w:szCs w:val="32"/>
              </w:rPr>
            </w:pPr>
          </w:p>
        </w:tc>
        <w:tc>
          <w:tcPr>
            <w:tcW w:w="255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预算调整</w:t>
            </w:r>
          </w:p>
        </w:tc>
        <w:tc>
          <w:tcPr>
            <w:tcW w:w="2694"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执行中期评估</w:t>
            </w:r>
          </w:p>
        </w:tc>
        <w:tc>
          <w:tcPr>
            <w:tcW w:w="850"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9</w:t>
            </w:r>
          </w:p>
        </w:tc>
        <w:tc>
          <w:tcPr>
            <w:tcW w:w="90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line="540" w:lineRule="exact"/>
              <w:jc w:val="center"/>
              <w:outlineLvl w:val="0"/>
              <w:rPr>
                <w:rFonts w:ascii="仿宋" w:hAnsi="仿宋" w:eastAsia="仿宋" w:cstheme="minorEastAsia"/>
                <w:kern w:val="0"/>
                <w:sz w:val="32"/>
                <w:szCs w:val="32"/>
              </w:rPr>
            </w:pPr>
          </w:p>
        </w:tc>
        <w:tc>
          <w:tcPr>
            <w:tcW w:w="2551" w:type="dxa"/>
            <w:vMerge w:val="restart"/>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行政成本</w:t>
            </w:r>
          </w:p>
        </w:tc>
        <w:tc>
          <w:tcPr>
            <w:tcW w:w="2694"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节能降耗</w:t>
            </w:r>
          </w:p>
        </w:tc>
        <w:tc>
          <w:tcPr>
            <w:tcW w:w="850"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3</w:t>
            </w:r>
          </w:p>
        </w:tc>
        <w:tc>
          <w:tcPr>
            <w:tcW w:w="90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26" w:type="dxa"/>
            <w:vMerge w:val="continue"/>
            <w:vAlign w:val="center"/>
          </w:tcPr>
          <w:p>
            <w:pPr>
              <w:widowControl/>
              <w:adjustRightInd w:val="0"/>
              <w:snapToGrid w:val="0"/>
              <w:spacing w:line="540" w:lineRule="exact"/>
              <w:jc w:val="center"/>
              <w:outlineLvl w:val="0"/>
              <w:rPr>
                <w:rFonts w:ascii="仿宋" w:hAnsi="仿宋" w:eastAsia="仿宋" w:cstheme="minorEastAsia"/>
                <w:kern w:val="0"/>
                <w:sz w:val="32"/>
                <w:szCs w:val="32"/>
              </w:rPr>
            </w:pPr>
          </w:p>
        </w:tc>
        <w:tc>
          <w:tcPr>
            <w:tcW w:w="2551" w:type="dxa"/>
            <w:vMerge w:val="continue"/>
            <w:vAlign w:val="center"/>
          </w:tcPr>
          <w:p>
            <w:pPr>
              <w:widowControl/>
              <w:adjustRightInd w:val="0"/>
              <w:snapToGrid w:val="0"/>
              <w:spacing w:line="540" w:lineRule="exact"/>
              <w:jc w:val="center"/>
              <w:outlineLvl w:val="0"/>
              <w:rPr>
                <w:rFonts w:ascii="仿宋" w:hAnsi="仿宋" w:eastAsia="仿宋" w:cstheme="minorEastAsia"/>
                <w:kern w:val="0"/>
                <w:sz w:val="32"/>
                <w:szCs w:val="32"/>
              </w:rPr>
            </w:pPr>
          </w:p>
        </w:tc>
        <w:tc>
          <w:tcPr>
            <w:tcW w:w="2694"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廉洁行政</w:t>
            </w:r>
          </w:p>
        </w:tc>
        <w:tc>
          <w:tcPr>
            <w:tcW w:w="850"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3</w:t>
            </w:r>
          </w:p>
        </w:tc>
        <w:tc>
          <w:tcPr>
            <w:tcW w:w="90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支出绩效</w:t>
            </w:r>
          </w:p>
        </w:tc>
        <w:tc>
          <w:tcPr>
            <w:tcW w:w="2551" w:type="dxa"/>
            <w:vMerge w:val="restart"/>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绩效评价</w:t>
            </w:r>
          </w:p>
        </w:tc>
        <w:tc>
          <w:tcPr>
            <w:tcW w:w="2694"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部门预算绩效评价</w:t>
            </w:r>
          </w:p>
        </w:tc>
        <w:tc>
          <w:tcPr>
            <w:tcW w:w="850"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14</w:t>
            </w:r>
          </w:p>
        </w:tc>
        <w:tc>
          <w:tcPr>
            <w:tcW w:w="90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line="540" w:lineRule="exact"/>
              <w:jc w:val="center"/>
              <w:outlineLvl w:val="0"/>
              <w:rPr>
                <w:rFonts w:ascii="仿宋" w:hAnsi="仿宋" w:eastAsia="仿宋" w:cstheme="minorEastAsia"/>
                <w:kern w:val="0"/>
                <w:sz w:val="32"/>
                <w:szCs w:val="32"/>
              </w:rPr>
            </w:pPr>
          </w:p>
        </w:tc>
        <w:tc>
          <w:tcPr>
            <w:tcW w:w="2551" w:type="dxa"/>
            <w:vMerge w:val="continue"/>
            <w:vAlign w:val="center"/>
          </w:tcPr>
          <w:p>
            <w:pPr>
              <w:widowControl/>
              <w:adjustRightInd w:val="0"/>
              <w:snapToGrid w:val="0"/>
              <w:spacing w:line="540" w:lineRule="exact"/>
              <w:jc w:val="center"/>
              <w:outlineLvl w:val="0"/>
              <w:rPr>
                <w:rFonts w:ascii="仿宋" w:hAnsi="仿宋" w:eastAsia="仿宋" w:cstheme="minorEastAsia"/>
                <w:kern w:val="0"/>
                <w:sz w:val="32"/>
                <w:szCs w:val="32"/>
              </w:rPr>
            </w:pPr>
          </w:p>
        </w:tc>
        <w:tc>
          <w:tcPr>
            <w:tcW w:w="2694"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专项预算项目绩效评价</w:t>
            </w:r>
          </w:p>
        </w:tc>
        <w:tc>
          <w:tcPr>
            <w:tcW w:w="850"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14</w:t>
            </w:r>
          </w:p>
        </w:tc>
        <w:tc>
          <w:tcPr>
            <w:tcW w:w="90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line="540" w:lineRule="exact"/>
              <w:jc w:val="center"/>
              <w:outlineLvl w:val="0"/>
              <w:rPr>
                <w:rFonts w:ascii="仿宋" w:hAnsi="仿宋" w:eastAsia="仿宋" w:cstheme="minorEastAsia"/>
                <w:kern w:val="0"/>
                <w:sz w:val="32"/>
                <w:szCs w:val="32"/>
              </w:rPr>
            </w:pPr>
          </w:p>
        </w:tc>
        <w:tc>
          <w:tcPr>
            <w:tcW w:w="255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决算审查</w:t>
            </w:r>
          </w:p>
        </w:tc>
        <w:tc>
          <w:tcPr>
            <w:tcW w:w="2694"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部门决算差错率</w:t>
            </w:r>
          </w:p>
        </w:tc>
        <w:tc>
          <w:tcPr>
            <w:tcW w:w="850"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2</w:t>
            </w:r>
          </w:p>
        </w:tc>
        <w:tc>
          <w:tcPr>
            <w:tcW w:w="90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26" w:type="dxa"/>
            <w:vMerge w:val="continue"/>
            <w:vAlign w:val="center"/>
          </w:tcPr>
          <w:p>
            <w:pPr>
              <w:widowControl/>
              <w:adjustRightInd w:val="0"/>
              <w:snapToGrid w:val="0"/>
              <w:spacing w:line="540" w:lineRule="exact"/>
              <w:jc w:val="center"/>
              <w:outlineLvl w:val="0"/>
              <w:rPr>
                <w:rFonts w:ascii="仿宋" w:hAnsi="仿宋" w:eastAsia="仿宋" w:cstheme="minorEastAsia"/>
                <w:kern w:val="0"/>
                <w:sz w:val="32"/>
                <w:szCs w:val="32"/>
              </w:rPr>
            </w:pPr>
          </w:p>
        </w:tc>
        <w:tc>
          <w:tcPr>
            <w:tcW w:w="255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决算公开</w:t>
            </w:r>
          </w:p>
        </w:tc>
        <w:tc>
          <w:tcPr>
            <w:tcW w:w="2694"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公开内容</w:t>
            </w:r>
          </w:p>
        </w:tc>
        <w:tc>
          <w:tcPr>
            <w:tcW w:w="850"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3</w:t>
            </w:r>
          </w:p>
        </w:tc>
        <w:tc>
          <w:tcPr>
            <w:tcW w:w="90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line="540" w:lineRule="exact"/>
              <w:jc w:val="center"/>
              <w:outlineLvl w:val="0"/>
              <w:rPr>
                <w:rFonts w:ascii="仿宋" w:hAnsi="仿宋" w:eastAsia="仿宋" w:cstheme="minorEastAsia"/>
                <w:kern w:val="0"/>
                <w:sz w:val="32"/>
                <w:szCs w:val="32"/>
              </w:rPr>
            </w:pPr>
          </w:p>
        </w:tc>
        <w:tc>
          <w:tcPr>
            <w:tcW w:w="255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结余注销</w:t>
            </w:r>
          </w:p>
        </w:tc>
        <w:tc>
          <w:tcPr>
            <w:tcW w:w="2694"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结余注销率</w:t>
            </w:r>
          </w:p>
        </w:tc>
        <w:tc>
          <w:tcPr>
            <w:tcW w:w="850"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3</w:t>
            </w:r>
          </w:p>
        </w:tc>
        <w:tc>
          <w:tcPr>
            <w:tcW w:w="90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line="540" w:lineRule="exact"/>
              <w:jc w:val="center"/>
              <w:outlineLvl w:val="0"/>
              <w:rPr>
                <w:rFonts w:ascii="仿宋" w:hAnsi="仿宋" w:eastAsia="仿宋" w:cstheme="minorEastAsia"/>
                <w:kern w:val="0"/>
                <w:sz w:val="32"/>
                <w:szCs w:val="32"/>
              </w:rPr>
            </w:pPr>
          </w:p>
        </w:tc>
        <w:tc>
          <w:tcPr>
            <w:tcW w:w="255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绩效管理</w:t>
            </w:r>
          </w:p>
        </w:tc>
        <w:tc>
          <w:tcPr>
            <w:tcW w:w="2694"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工作开展</w:t>
            </w:r>
          </w:p>
        </w:tc>
        <w:tc>
          <w:tcPr>
            <w:tcW w:w="850"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4</w:t>
            </w:r>
          </w:p>
        </w:tc>
        <w:tc>
          <w:tcPr>
            <w:tcW w:w="90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合计</w:t>
            </w:r>
          </w:p>
        </w:tc>
        <w:tc>
          <w:tcPr>
            <w:tcW w:w="5245" w:type="dxa"/>
            <w:gridSpan w:val="2"/>
            <w:vAlign w:val="center"/>
          </w:tcPr>
          <w:p>
            <w:pPr>
              <w:widowControl/>
              <w:adjustRightInd w:val="0"/>
              <w:snapToGrid w:val="0"/>
              <w:spacing w:line="540" w:lineRule="exact"/>
              <w:jc w:val="center"/>
              <w:outlineLvl w:val="0"/>
              <w:rPr>
                <w:rFonts w:ascii="仿宋" w:hAnsi="仿宋" w:eastAsia="仿宋" w:cstheme="minorEastAsia"/>
                <w:kern w:val="0"/>
                <w:sz w:val="32"/>
                <w:szCs w:val="32"/>
              </w:rPr>
            </w:pPr>
          </w:p>
        </w:tc>
        <w:tc>
          <w:tcPr>
            <w:tcW w:w="850"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100</w:t>
            </w:r>
          </w:p>
        </w:tc>
        <w:tc>
          <w:tcPr>
            <w:tcW w:w="901" w:type="dxa"/>
            <w:vAlign w:val="center"/>
          </w:tcPr>
          <w:p>
            <w:pPr>
              <w:widowControl/>
              <w:adjustRightInd w:val="0"/>
              <w:snapToGrid w:val="0"/>
              <w:spacing w:line="540" w:lineRule="exact"/>
              <w:jc w:val="center"/>
              <w:outlineLvl w:val="0"/>
              <w:rPr>
                <w:rFonts w:ascii="仿宋" w:hAnsi="仿宋" w:eastAsia="仿宋" w:cstheme="minorEastAsia"/>
                <w:kern w:val="0"/>
                <w:sz w:val="32"/>
                <w:szCs w:val="32"/>
              </w:rPr>
            </w:pPr>
            <w:r>
              <w:rPr>
                <w:rFonts w:hint="eastAsia" w:ascii="仿宋" w:hAnsi="仿宋" w:eastAsia="仿宋" w:cstheme="minorEastAsia"/>
                <w:kern w:val="0"/>
                <w:sz w:val="32"/>
                <w:szCs w:val="32"/>
              </w:rPr>
              <w:t>92.5</w:t>
            </w:r>
          </w:p>
        </w:tc>
      </w:tr>
    </w:tbl>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p>
    <w:p>
      <w:pPr>
        <w:widowControl/>
        <w:shd w:val="clear" w:color="auto" w:fill="FFFFFF"/>
        <w:adjustRightInd w:val="0"/>
        <w:snapToGrid w:val="0"/>
        <w:spacing w:line="540" w:lineRule="exact"/>
        <w:ind w:firstLine="640" w:firstLineChars="200"/>
        <w:jc w:val="left"/>
        <w:rPr>
          <w:rFonts w:ascii="仿宋" w:hAnsi="仿宋" w:eastAsia="仿宋" w:cstheme="minorEastAsia"/>
          <w:kern w:val="0"/>
          <w:sz w:val="32"/>
          <w:szCs w:val="32"/>
        </w:rPr>
      </w:pPr>
      <w:r>
        <w:rPr>
          <w:rFonts w:hint="eastAsia" w:ascii="黑体" w:hAnsi="黑体" w:eastAsia="黑体" w:cs="宋体"/>
          <w:color w:val="000000"/>
          <w:kern w:val="0"/>
          <w:sz w:val="32"/>
          <w:szCs w:val="32"/>
          <w:shd w:val="clear" w:color="auto" w:fill="FFFFFF"/>
          <w:lang w:val="zh-CN"/>
        </w:rPr>
        <w:t>（二）存在问题。</w:t>
      </w:r>
      <w:r>
        <w:rPr>
          <w:rFonts w:hint="eastAsia" w:ascii="仿宋" w:hAnsi="仿宋" w:eastAsia="仿宋" w:cstheme="minorEastAsia"/>
          <w:kern w:val="0"/>
          <w:sz w:val="32"/>
          <w:szCs w:val="32"/>
        </w:rPr>
        <w:t>预算编制工作有待细化。预算编制不够明确和细化，预算编制的合理性需要提高，预算执行力度还要进一步加强。</w:t>
      </w:r>
    </w:p>
    <w:p>
      <w:pPr>
        <w:widowControl/>
        <w:shd w:val="clear" w:color="auto" w:fill="FFFFFF"/>
        <w:adjustRightInd w:val="0"/>
        <w:snapToGrid w:val="0"/>
        <w:spacing w:line="540" w:lineRule="exact"/>
        <w:ind w:firstLine="640"/>
        <w:jc w:val="left"/>
        <w:rPr>
          <w:rFonts w:ascii="仿宋" w:hAnsi="仿宋" w:eastAsia="仿宋" w:cstheme="minorEastAsia"/>
          <w:kern w:val="0"/>
          <w:sz w:val="32"/>
          <w:szCs w:val="32"/>
        </w:rPr>
      </w:pPr>
      <w:r>
        <w:rPr>
          <w:rFonts w:hint="eastAsia" w:ascii="黑体" w:hAnsi="黑体" w:eastAsia="黑体" w:cs="宋体"/>
          <w:color w:val="000000"/>
          <w:kern w:val="0"/>
          <w:sz w:val="32"/>
          <w:szCs w:val="32"/>
          <w:shd w:val="clear" w:color="auto" w:fill="FFFFFF"/>
          <w:lang w:val="zh-CN"/>
        </w:rPr>
        <w:t>（三）改进建议。</w:t>
      </w:r>
      <w:r>
        <w:rPr>
          <w:rFonts w:hint="eastAsia" w:ascii="仿宋" w:hAnsi="仿宋" w:eastAsia="仿宋" w:cstheme="minorEastAsia"/>
          <w:kern w:val="0"/>
          <w:sz w:val="32"/>
          <w:szCs w:val="32"/>
        </w:rPr>
        <w:t>1、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widowControl/>
        <w:shd w:val="clear" w:color="auto" w:fill="FFFFFF"/>
        <w:adjustRightInd w:val="0"/>
        <w:snapToGrid w:val="0"/>
        <w:spacing w:line="540" w:lineRule="exact"/>
        <w:ind w:firstLine="640"/>
        <w:jc w:val="left"/>
        <w:rPr>
          <w:rFonts w:ascii="仿宋" w:hAnsi="仿宋" w:eastAsia="仿宋" w:cstheme="minorEastAsia"/>
          <w:kern w:val="0"/>
          <w:sz w:val="32"/>
          <w:szCs w:val="32"/>
        </w:rPr>
      </w:pPr>
      <w:r>
        <w:rPr>
          <w:rFonts w:hint="eastAsia" w:ascii="仿宋" w:hAnsi="仿宋" w:eastAsia="仿宋" w:cstheme="minorEastAsia"/>
          <w:kern w:val="0"/>
          <w:sz w:val="32"/>
          <w:szCs w:val="32"/>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widowControl/>
        <w:shd w:val="clear" w:color="auto" w:fill="FFFFFF"/>
        <w:adjustRightInd w:val="0"/>
        <w:snapToGrid w:val="0"/>
        <w:spacing w:line="540" w:lineRule="exact"/>
        <w:ind w:firstLine="640"/>
        <w:jc w:val="left"/>
        <w:rPr>
          <w:rFonts w:ascii="仿宋" w:hAnsi="仿宋" w:eastAsia="仿宋" w:cstheme="minorEastAsia"/>
          <w:kern w:val="0"/>
          <w:sz w:val="32"/>
          <w:szCs w:val="32"/>
        </w:rPr>
      </w:pPr>
      <w:r>
        <w:rPr>
          <w:rFonts w:hint="eastAsia" w:ascii="仿宋" w:hAnsi="仿宋" w:eastAsia="仿宋" w:cstheme="minorEastAsia"/>
          <w:kern w:val="0"/>
          <w:sz w:val="32"/>
          <w:szCs w:val="32"/>
        </w:rPr>
        <w:t>3、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widowControl/>
        <w:shd w:val="clear" w:color="auto" w:fill="FFFFFF"/>
        <w:adjustRightInd w:val="0"/>
        <w:snapToGrid w:val="0"/>
        <w:spacing w:line="540" w:lineRule="exact"/>
        <w:ind w:firstLine="480"/>
        <w:jc w:val="left"/>
        <w:rPr>
          <w:rFonts w:ascii="仿宋" w:hAnsi="仿宋" w:eastAsia="仿宋" w:cstheme="minorEastAsia"/>
          <w:kern w:val="0"/>
          <w:sz w:val="32"/>
          <w:szCs w:val="32"/>
        </w:rPr>
      </w:pPr>
      <w:r>
        <w:rPr>
          <w:rFonts w:hint="eastAsia" w:ascii="仿宋" w:hAnsi="仿宋" w:eastAsia="仿宋" w:cstheme="minorEastAsia"/>
          <w:kern w:val="0"/>
          <w:sz w:val="32"/>
          <w:szCs w:val="32"/>
        </w:rPr>
        <w:t>4、对相关人员加强培训，特别是针对《预算法》、《政府会计制度》等学习培训，规范部门预算收支核算，切实提高部门预算收支管理水平。</w:t>
      </w:r>
    </w:p>
    <w:p>
      <w:pPr>
        <w:widowControl/>
        <w:adjustRightInd w:val="0"/>
        <w:snapToGrid w:val="0"/>
        <w:spacing w:line="580" w:lineRule="exact"/>
        <w:ind w:firstLine="48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Theme="minorEastAsia" w:hAnsiTheme="minorEastAsia" w:eastAsiaTheme="minorEastAsia" w:cstheme="minorEastAsia"/>
          <w:kern w:val="0"/>
          <w:sz w:val="24"/>
        </w:rPr>
        <w:t xml:space="preserve">                                 </w:t>
      </w:r>
    </w:p>
    <w:p>
      <w:pPr>
        <w:spacing w:line="580" w:lineRule="exact"/>
        <w:rPr>
          <w:rFonts w:ascii="黑体" w:hAnsi="黑体" w:eastAsia="黑体" w:cs="黑体"/>
          <w:sz w:val="32"/>
          <w:szCs w:val="32"/>
        </w:rPr>
      </w:pPr>
    </w:p>
    <w:p>
      <w:pPr>
        <w:spacing w:line="580" w:lineRule="exact"/>
        <w:ind w:firstLine="3200" w:firstLineChars="1000"/>
        <w:rPr>
          <w:rFonts w:hint="eastAsia" w:ascii="黑体" w:hAnsi="黑体" w:eastAsia="黑体" w:cs="黑体"/>
          <w:sz w:val="32"/>
          <w:szCs w:val="32"/>
          <w:lang w:eastAsia="zh-CN"/>
        </w:rPr>
      </w:pPr>
      <w:r>
        <w:rPr>
          <w:rFonts w:hint="eastAsia" w:ascii="黑体" w:hAnsi="黑体" w:eastAsia="黑体" w:cs="黑体"/>
          <w:sz w:val="32"/>
          <w:szCs w:val="32"/>
          <w:lang w:eastAsia="zh-CN"/>
        </w:rPr>
        <w:t>峨眉山市九里镇第一小学校</w:t>
      </w:r>
    </w:p>
    <w:p>
      <w:pPr>
        <w:spacing w:line="580" w:lineRule="exact"/>
        <w:ind w:firstLine="4160" w:firstLineChars="13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2021.10.21</w:t>
      </w: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pStyle w:val="31"/>
        <w:spacing w:line="600" w:lineRule="exact"/>
        <w:jc w:val="center"/>
        <w:rPr>
          <w:rFonts w:ascii="黑体" w:hAnsi="黑体" w:eastAsia="黑体"/>
          <w:b/>
          <w:sz w:val="32"/>
          <w:szCs w:val="32"/>
        </w:rPr>
      </w:pPr>
      <w:r>
        <w:rPr>
          <w:rFonts w:hint="eastAsia" w:ascii="黑体" w:hAnsi="黑体" w:eastAsia="黑体"/>
          <w:b/>
          <w:sz w:val="32"/>
          <w:szCs w:val="32"/>
        </w:rPr>
        <w:t>峨眉山市九里镇第一小学校</w:t>
      </w:r>
    </w:p>
    <w:p>
      <w:pPr>
        <w:pStyle w:val="31"/>
        <w:spacing w:line="600" w:lineRule="exact"/>
        <w:jc w:val="center"/>
        <w:rPr>
          <w:rFonts w:ascii="黑体" w:hAnsi="黑体" w:eastAsia="黑体"/>
          <w:b/>
          <w:sz w:val="32"/>
          <w:szCs w:val="32"/>
        </w:rPr>
      </w:pPr>
      <w:r>
        <w:rPr>
          <w:rFonts w:hint="eastAsia" w:ascii="黑体" w:hAnsi="黑体" w:eastAsia="黑体"/>
          <w:b/>
          <w:sz w:val="32"/>
          <w:szCs w:val="32"/>
        </w:rPr>
        <w:t>20</w:t>
      </w:r>
      <w:r>
        <w:rPr>
          <w:rFonts w:hint="eastAsia" w:ascii="黑体" w:hAnsi="黑体" w:eastAsia="黑体"/>
          <w:b/>
          <w:sz w:val="32"/>
          <w:szCs w:val="32"/>
          <w:lang w:val="en-US" w:eastAsia="zh-CN"/>
        </w:rPr>
        <w:t>20</w:t>
      </w:r>
      <w:r>
        <w:rPr>
          <w:rFonts w:hint="eastAsia" w:ascii="黑体" w:hAnsi="黑体" w:eastAsia="黑体"/>
          <w:b/>
          <w:sz w:val="32"/>
          <w:szCs w:val="32"/>
        </w:rPr>
        <w:t>年学校安保经费补助项目支出绩效</w:t>
      </w:r>
    </w:p>
    <w:p>
      <w:pPr>
        <w:pStyle w:val="31"/>
        <w:spacing w:line="600" w:lineRule="exact"/>
        <w:jc w:val="center"/>
        <w:rPr>
          <w:rFonts w:ascii="黑体" w:hAnsi="黑体" w:eastAsia="黑体"/>
          <w:b/>
          <w:sz w:val="32"/>
          <w:szCs w:val="32"/>
        </w:rPr>
      </w:pPr>
      <w:r>
        <w:rPr>
          <w:rFonts w:hint="eastAsia" w:ascii="黑体" w:hAnsi="黑体" w:eastAsia="黑体"/>
          <w:b/>
          <w:sz w:val="32"/>
          <w:szCs w:val="32"/>
        </w:rPr>
        <w:t>自评报告</w:t>
      </w:r>
    </w:p>
    <w:p>
      <w:pPr>
        <w:adjustRightInd w:val="0"/>
        <w:snapToGrid w:val="0"/>
        <w:spacing w:line="600" w:lineRule="exact"/>
        <w:ind w:firstLine="480" w:firstLineChars="150"/>
        <w:rPr>
          <w:rFonts w:ascii="仿宋_GB2312" w:eastAsia="仿宋_GB2312" w:hAnsiTheme="minorEastAsia"/>
          <w:sz w:val="32"/>
          <w:szCs w:val="32"/>
        </w:rPr>
      </w:pPr>
      <w:r>
        <w:rPr>
          <w:rFonts w:hint="eastAsia" w:ascii="仿宋_GB2312" w:eastAsia="仿宋_GB2312" w:hAnsiTheme="minorEastAsia"/>
          <w:sz w:val="32"/>
          <w:szCs w:val="32"/>
        </w:rPr>
        <w:t>根据市财政局《关于开展2020年财政支出绩效评价工作的通知》（峨财通〔2020〕36号）文件要求，我校开展了20</w:t>
      </w:r>
      <w:r>
        <w:rPr>
          <w:rFonts w:hint="eastAsia" w:ascii="仿宋_GB2312" w:eastAsia="仿宋_GB2312" w:hAnsiTheme="minorEastAsia"/>
          <w:sz w:val="32"/>
          <w:szCs w:val="32"/>
          <w:lang w:val="en-US" w:eastAsia="zh-CN"/>
        </w:rPr>
        <w:t>20</w:t>
      </w:r>
      <w:r>
        <w:rPr>
          <w:rFonts w:hint="eastAsia" w:ascii="仿宋_GB2312" w:eastAsia="仿宋_GB2312" w:hAnsiTheme="minorEastAsia"/>
          <w:sz w:val="32"/>
          <w:szCs w:val="32"/>
        </w:rPr>
        <w:t>年学校安保经费补助项目支出绩效自评工作，现将评价结果报告如下：</w:t>
      </w: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spacing w:line="600" w:lineRule="exact"/>
        <w:ind w:firstLine="640" w:firstLineChars="200"/>
        <w:rPr>
          <w:rFonts w:asciiTheme="minorEastAsia" w:hAnsiTheme="minorEastAsia" w:eastAsiaTheme="minorEastAsia"/>
          <w:sz w:val="32"/>
          <w:szCs w:val="32"/>
        </w:rPr>
      </w:pPr>
      <w:r>
        <w:rPr>
          <w:rFonts w:hint="eastAsia" w:ascii="仿宋" w:hAnsi="仿宋" w:eastAsia="仿宋"/>
          <w:sz w:val="32"/>
          <w:szCs w:val="32"/>
          <w:lang w:val="zh-CN"/>
        </w:rPr>
        <w:t>（一）项目资金申报及批复情况。</w:t>
      </w:r>
      <w:r>
        <w:rPr>
          <w:rFonts w:hint="eastAsia" w:ascii="仿宋_GB2312" w:eastAsia="仿宋_GB2312" w:hAnsiTheme="minorEastAsia"/>
          <w:sz w:val="32"/>
          <w:szCs w:val="32"/>
        </w:rPr>
        <w:t>为进一步加强我校学校安全工作，切实保障广大师生人身安全，维护教育系统长期安全稳定，根据《中共峨眉山市委办公室 峨眉山市人民政府办公室关于进一步加强学校安全工作的通知》（峨委办〔2010〕27号）和《峨眉山市人民政府关于加强教师队伍建设的实施意见》（峨府发〔2014〕4号）文件精神，全市各类学校按统一要求加强人防、物防和技防工作，其中全市义务教育阶段学校安保由市财政本级预算“学校安保经费补助”项目予以保障。2019年，市人大批复教育系统年初预算“学校安保经费补助”每人每年预算标准为3.5万元，预算人数为2.5人（2019年9月与峨眉山市九里镇第二小学校合并，划入1人），依据为《峨眉山市政府常务会议关于教育系统编外人员清理规范工作方案有关事项的决定》（峨府定〔2017〕121号）、《峨眉山市人力资源和社会保障局关于调整教育局下属学校2017-2018学年度编外人员用工控制数的批复》（峨人社发〔2017〕77号）文件。</w:t>
      </w:r>
    </w:p>
    <w:p>
      <w:pPr>
        <w:adjustRightInd w:val="0"/>
        <w:snapToGrid w:val="0"/>
        <w:spacing w:line="600" w:lineRule="exact"/>
        <w:ind w:firstLine="720"/>
        <w:rPr>
          <w:rFonts w:ascii="仿宋_GB2312" w:eastAsia="仿宋_GB2312" w:hAnsiTheme="minorEastAsia"/>
          <w:sz w:val="32"/>
          <w:szCs w:val="32"/>
        </w:rPr>
      </w:pPr>
      <w:r>
        <w:rPr>
          <w:rFonts w:hint="eastAsia" w:ascii="楷体_GB2312" w:hAnsi="宋体" w:eastAsia="楷体_GB2312"/>
          <w:sz w:val="32"/>
          <w:szCs w:val="32"/>
          <w:lang w:val="zh-CN"/>
        </w:rPr>
        <w:t>（二）项目绩效目标。</w:t>
      </w:r>
      <w:r>
        <w:rPr>
          <w:rFonts w:hint="eastAsia" w:ascii="仿宋_GB2312" w:eastAsia="仿宋_GB2312" w:hAnsiTheme="minorEastAsia"/>
          <w:sz w:val="32"/>
          <w:szCs w:val="32"/>
        </w:rPr>
        <w:t>保障义教段公办学校按要求配齐、配足保安人员，避免学校因经费不足导致安保人员配备不达标、或拖欠安保人员工资等情况发生，切实维护教育系统的安全稳定。项目资金根据学校工作实际，春秋学期各拨付1次（因每学期人数可能有调整），资金拨付时间绩效目标为当年6月前拨付春季学期资金，11月前拨付秋季学期资金，学校按要求在当年12月31日前使用完下拨资金，资金全额用于安保人员工资发放。</w:t>
      </w:r>
    </w:p>
    <w:p>
      <w:pPr>
        <w:spacing w:line="600" w:lineRule="exact"/>
        <w:ind w:firstLine="640" w:firstLineChars="200"/>
        <w:rPr>
          <w:rFonts w:ascii="仿宋_GB2312" w:hAnsi="宋体" w:eastAsia="仿宋_GB2312"/>
          <w:sz w:val="32"/>
          <w:szCs w:val="32"/>
          <w:lang w:val="zh-CN"/>
        </w:rPr>
      </w:pPr>
      <w:r>
        <w:rPr>
          <w:rFonts w:hint="eastAsia" w:ascii="楷体_GB2312" w:hAnsi="宋体" w:eastAsia="楷体_GB2312"/>
          <w:sz w:val="32"/>
          <w:szCs w:val="32"/>
          <w:lang w:val="zh-CN"/>
        </w:rPr>
        <w:t>（三）项目资金申报相符性。</w:t>
      </w:r>
      <w:r>
        <w:rPr>
          <w:rFonts w:hint="eastAsia" w:ascii="仿宋_GB2312" w:hAnsi="宋体" w:eastAsia="仿宋_GB2312"/>
          <w:sz w:val="32"/>
          <w:szCs w:val="32"/>
          <w:lang w:val="zh-CN"/>
        </w:rPr>
        <w:t>该项目属于民生保障类项目，申报的内容和具体实施的内容相符，申报目标合理可行，</w:t>
      </w:r>
      <w:r>
        <w:rPr>
          <w:rFonts w:hint="eastAsia" w:ascii="仿宋_GB2312" w:eastAsia="仿宋_GB2312" w:hAnsiTheme="minorEastAsia"/>
          <w:sz w:val="32"/>
          <w:szCs w:val="32"/>
        </w:rPr>
        <w:t>对加强我校安全工作，保障学校</w:t>
      </w:r>
      <w:r>
        <w:rPr>
          <w:rFonts w:hint="eastAsia" w:ascii="仿宋_GB2312" w:hAnsi="宋体" w:eastAsia="仿宋_GB2312"/>
          <w:sz w:val="32"/>
          <w:szCs w:val="32"/>
          <w:lang w:val="zh-CN"/>
        </w:rPr>
        <w:t>师生人身安全，维护教育系统安全稳定发挥了积极作用，具有较强的社会意义。</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二、项目实施及管理情况</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（一）资金计划、到位及使用情况。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1．资金计划及到位。20</w:t>
      </w:r>
      <w:r>
        <w:rPr>
          <w:rFonts w:hint="eastAsia" w:ascii="仿宋_GB2312" w:hAnsi="宋体" w:eastAsia="仿宋_GB2312"/>
          <w:sz w:val="32"/>
          <w:szCs w:val="32"/>
          <w:lang w:val="en-US" w:eastAsia="zh-CN"/>
        </w:rPr>
        <w:t>20</w:t>
      </w:r>
      <w:r>
        <w:rPr>
          <w:rFonts w:hint="eastAsia" w:ascii="仿宋_GB2312" w:hAnsi="宋体" w:eastAsia="仿宋_GB2312"/>
          <w:sz w:val="32"/>
          <w:szCs w:val="32"/>
          <w:lang w:val="zh-CN"/>
        </w:rPr>
        <w:t>年分春秋两季拨付资金，春季学期在6月前，秋季拨付在11月前。拨付时间绩效目标完成率100%，拨付资金额度完成率100%。</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2．资金使用。20</w:t>
      </w:r>
      <w:r>
        <w:rPr>
          <w:rFonts w:hint="eastAsia" w:ascii="仿宋_GB2312" w:hAnsi="宋体" w:eastAsia="仿宋_GB2312"/>
          <w:sz w:val="32"/>
          <w:szCs w:val="32"/>
          <w:lang w:val="en-US" w:eastAsia="zh-CN"/>
        </w:rPr>
        <w:t>20</w:t>
      </w:r>
      <w:r>
        <w:rPr>
          <w:rFonts w:hint="eastAsia" w:ascii="仿宋_GB2312" w:hAnsi="宋体" w:eastAsia="仿宋_GB2312"/>
          <w:sz w:val="32"/>
          <w:szCs w:val="32"/>
          <w:lang w:val="zh-CN"/>
        </w:rPr>
        <w:t>年，该项目实际使用资金9.86万元，全额用于发放学校聘请的保安工资。项目预算标准为每人每年3.5万元，项目开支范围、标准及支付进度、支付依据均合规合法，资金支付与预算相符。</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（二）项目财务管理情况。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资金纳入学校财务账务体系统一管理和使用，收入支出严格按照《会计法》、《中小学会计制度》、《学校财务管理制度》、《学校财务内部控制制度》等财务管理制度执行。通过金算盘软件进行账务处理，支出票据统一由市教育局支付中心审核，通过转账支付给学校保安。项目资金的管理使用严格执行财务管理制度，财务处理及时，会计核算规范。</w:t>
      </w:r>
    </w:p>
    <w:p>
      <w:pPr>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（三）项目组织实施情况。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该项目由市教育局统一编制预算，由市教育局安全股收集核实学校保安基本数据，编制管理使用方案，由市教育局计财股报送市财政局审核后，由市财政局向各学校下达预算指标和拨付资金。每个学校均为独立法人的预算单位，根据市人社局下达的人员控制数，自主聘用人员，签订劳动合同，根据项目资金管理制度和学校财务管理制度自主使用项目资金。</w:t>
      </w:r>
    </w:p>
    <w:p>
      <w:pPr>
        <w:spacing w:line="600" w:lineRule="exact"/>
        <w:ind w:firstLine="640" w:firstLineChars="200"/>
        <w:rPr>
          <w:rFonts w:ascii="黑体" w:eastAsia="黑体"/>
          <w:sz w:val="32"/>
          <w:szCs w:val="32"/>
        </w:rPr>
      </w:pPr>
      <w:r>
        <w:rPr>
          <w:rFonts w:hint="eastAsia" w:ascii="黑体" w:eastAsia="黑体"/>
          <w:sz w:val="32"/>
          <w:szCs w:val="32"/>
        </w:rPr>
        <w:t>三、项目绩效情况</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（一）项目完成情况。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该项目对照预算，截止20</w:t>
      </w:r>
      <w:r>
        <w:rPr>
          <w:rFonts w:hint="eastAsia" w:ascii="仿宋_GB2312" w:eastAsia="仿宋_GB2312"/>
          <w:sz w:val="32"/>
          <w:szCs w:val="32"/>
          <w:lang w:val="en-US" w:eastAsia="zh-CN"/>
        </w:rPr>
        <w:t>20</w:t>
      </w:r>
      <w:r>
        <w:rPr>
          <w:rFonts w:hint="eastAsia" w:ascii="仿宋_GB2312" w:eastAsia="仿宋_GB2312"/>
          <w:sz w:val="32"/>
          <w:szCs w:val="32"/>
        </w:rPr>
        <w:t>年12月31日，下达预算指标9.86万元，</w:t>
      </w:r>
      <w:r>
        <w:rPr>
          <w:rFonts w:hint="eastAsia" w:ascii="仿宋_GB2312" w:hAnsi="宋体" w:eastAsia="仿宋_GB2312"/>
          <w:sz w:val="32"/>
          <w:szCs w:val="32"/>
          <w:lang w:val="zh-CN"/>
        </w:rPr>
        <w:t>预算指标和资金拨付分春秋两季下达，全年使用资金9.86万元。资金拨付进度、拨付总额达到预期安排，项目完成情况较好，完成率100%。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（二）项目效益情况。</w:t>
      </w:r>
    </w:p>
    <w:p>
      <w:pPr>
        <w:adjustRightInd w:val="0"/>
        <w:snapToGrid w:val="0"/>
        <w:spacing w:line="600" w:lineRule="exact"/>
        <w:ind w:firstLine="720"/>
        <w:rPr>
          <w:rFonts w:ascii="仿宋_GB2312" w:eastAsia="仿宋_GB2312"/>
          <w:sz w:val="32"/>
          <w:szCs w:val="32"/>
        </w:rPr>
      </w:pPr>
      <w:r>
        <w:rPr>
          <w:rFonts w:hint="eastAsia" w:ascii="仿宋_GB2312" w:eastAsia="仿宋_GB2312" w:hAnsiTheme="minorEastAsia"/>
          <w:sz w:val="32"/>
          <w:szCs w:val="32"/>
        </w:rPr>
        <w:t>项目实施切实保障义教段公办学校按要求配齐、配足保安人员，避免学校因经费不足导致安保人员配备不达标、或拖欠安保人员工资等情况发生。对加强我校安全工作，切实保障广大师生人身安全，维护教育系统长期安全稳定发挥了积极作用，</w:t>
      </w:r>
      <w:r>
        <w:rPr>
          <w:rFonts w:hint="eastAsia" w:ascii="仿宋_GB2312" w:hAnsi="宋体" w:eastAsia="仿宋_GB2312"/>
          <w:sz w:val="32"/>
          <w:szCs w:val="32"/>
          <w:lang w:val="zh-CN"/>
        </w:rPr>
        <w:t>具有较强的社会意义</w:t>
      </w:r>
      <w:r>
        <w:rPr>
          <w:rFonts w:hint="eastAsia" w:ascii="仿宋_GB2312" w:eastAsia="仿宋_GB2312" w:hAnsiTheme="minorEastAsia"/>
          <w:sz w:val="32"/>
          <w:szCs w:val="32"/>
        </w:rPr>
        <w:t>。学校安全无小事，责任重于泰山，安全维稳工作永远在路上，该项目实施的社会效益、经济效益明显，应持续开展并不断加强。</w:t>
      </w:r>
    </w:p>
    <w:p>
      <w:pPr>
        <w:spacing w:line="600" w:lineRule="exact"/>
        <w:ind w:firstLine="640" w:firstLineChars="200"/>
        <w:rPr>
          <w:rFonts w:ascii="黑体" w:eastAsia="黑体"/>
          <w:sz w:val="32"/>
          <w:szCs w:val="32"/>
        </w:rPr>
      </w:pPr>
      <w:r>
        <w:rPr>
          <w:rFonts w:hint="eastAsia" w:ascii="黑体" w:eastAsia="黑体"/>
          <w:sz w:val="32"/>
          <w:szCs w:val="32"/>
        </w:rPr>
        <w:t xml:space="preserve">四、问题及建议 </w:t>
      </w:r>
    </w:p>
    <w:p>
      <w:pPr>
        <w:spacing w:line="600" w:lineRule="exact"/>
        <w:ind w:firstLine="640" w:firstLineChars="200"/>
        <w:rPr>
          <w:rFonts w:ascii="仿宋_GB2312" w:eastAsia="仿宋_GB2312" w:hAnsiTheme="minorEastAsia"/>
          <w:sz w:val="32"/>
          <w:szCs w:val="32"/>
        </w:rPr>
      </w:pPr>
      <w:r>
        <w:rPr>
          <w:rFonts w:hint="eastAsia" w:ascii="楷体_GB2312" w:eastAsia="楷体_GB2312" w:hAnsiTheme="minorEastAsia"/>
          <w:sz w:val="32"/>
          <w:szCs w:val="32"/>
        </w:rPr>
        <w:t>（一）存在问题。</w:t>
      </w:r>
      <w:r>
        <w:rPr>
          <w:rFonts w:hint="eastAsia" w:ascii="仿宋_GB2312" w:eastAsia="仿宋_GB2312" w:hAnsiTheme="minorEastAsia"/>
          <w:sz w:val="32"/>
          <w:szCs w:val="32"/>
        </w:rPr>
        <w:t>近年来，随着城市的不断发展和旅游业的繁荣，我市外来人口越来越多，学校周边环境较复杂等原因导致对安保工作要求越来越高，公办学校安全保卫工作矛盾突出。由于项目预算标准较低，学校经费不足，所聘人员待遇不高，缺乏培训经费。导致学校聘请的保安和宿管人员缺乏专业安保管理能力，保安人员年龄老化严重，缺少专业培训，人员素养不够。</w:t>
      </w:r>
    </w:p>
    <w:p>
      <w:pPr>
        <w:spacing w:line="600" w:lineRule="exact"/>
        <w:ind w:firstLine="480" w:firstLineChars="150"/>
        <w:rPr>
          <w:rFonts w:ascii="楷体_GB2312" w:eastAsia="楷体_GB2312"/>
          <w:sz w:val="32"/>
          <w:szCs w:val="32"/>
        </w:rPr>
      </w:pPr>
      <w:r>
        <w:rPr>
          <w:rFonts w:hint="eastAsia" w:ascii="楷体_GB2312" w:eastAsia="楷体_GB2312"/>
          <w:sz w:val="32"/>
          <w:szCs w:val="32"/>
        </w:rPr>
        <w:t>（二）相关建议。</w:t>
      </w:r>
    </w:p>
    <w:p>
      <w:pPr>
        <w:spacing w:line="600" w:lineRule="exact"/>
        <w:ind w:firstLine="600"/>
        <w:rPr>
          <w:rFonts w:ascii="仿宋_GB2312" w:eastAsia="仿宋_GB2312" w:hAnsiTheme="minorEastAsia"/>
          <w:sz w:val="32"/>
          <w:szCs w:val="32"/>
        </w:rPr>
      </w:pPr>
      <w:r>
        <w:rPr>
          <w:rFonts w:hint="eastAsia" w:ascii="仿宋_GB2312" w:eastAsia="仿宋_GB2312" w:hAnsiTheme="minorEastAsia"/>
          <w:sz w:val="32"/>
          <w:szCs w:val="32"/>
        </w:rPr>
        <w:t>根据《乐山市人民政府办公室关于加强中小学幼儿园安全风险防控体系建设的实施意见》（乐府办发〔2018〕18号），建议提高项目预算标准，参照市级其他部门做法，将城学校保安工作整体打包，由教育局公开招标，外包给专业保安公司管理，学校以购买服务的方式使用保安。</w:t>
      </w:r>
    </w:p>
    <w:p>
      <w:pPr>
        <w:spacing w:line="600" w:lineRule="exact"/>
        <w:ind w:firstLine="4160" w:firstLineChars="1300"/>
        <w:rPr>
          <w:rFonts w:ascii="仿宋_GB2312" w:eastAsia="仿宋_GB2312" w:hAnsiTheme="minorEastAsia"/>
          <w:sz w:val="32"/>
          <w:szCs w:val="32"/>
        </w:rPr>
      </w:pPr>
    </w:p>
    <w:p>
      <w:pPr>
        <w:spacing w:line="600" w:lineRule="exact"/>
        <w:ind w:firstLine="4160" w:firstLineChars="1300"/>
        <w:rPr>
          <w:rFonts w:ascii="仿宋_GB2312" w:eastAsia="仿宋_GB2312" w:hAnsiTheme="minorEastAsia"/>
          <w:sz w:val="32"/>
          <w:szCs w:val="32"/>
        </w:rPr>
      </w:pPr>
      <w:r>
        <w:rPr>
          <w:rFonts w:hint="eastAsia" w:ascii="仿宋_GB2312" w:eastAsia="仿宋_GB2312" w:hAnsiTheme="minorEastAsia"/>
          <w:sz w:val="32"/>
          <w:szCs w:val="32"/>
        </w:rPr>
        <w:t>峨眉山市九里镇第一小学校</w:t>
      </w:r>
    </w:p>
    <w:p>
      <w:pPr>
        <w:spacing w:line="600" w:lineRule="exact"/>
        <w:ind w:right="640" w:firstLine="4752" w:firstLineChars="1485"/>
        <w:rPr>
          <w:sz w:val="32"/>
          <w:szCs w:val="32"/>
        </w:rPr>
      </w:pPr>
      <w:r>
        <w:rPr>
          <w:rFonts w:hint="eastAsia" w:ascii="仿宋_GB2312" w:eastAsia="仿宋_GB2312" w:hAnsiTheme="minorEastAsia"/>
          <w:sz w:val="32"/>
          <w:szCs w:val="32"/>
        </w:rPr>
        <w:t>202</w:t>
      </w:r>
      <w:r>
        <w:rPr>
          <w:rFonts w:hint="eastAsia" w:ascii="仿宋_GB2312" w:eastAsia="仿宋_GB2312" w:hAnsiTheme="minorEastAsia"/>
          <w:sz w:val="32"/>
          <w:szCs w:val="32"/>
          <w:lang w:val="en-US" w:eastAsia="zh-CN"/>
        </w:rPr>
        <w:t>1</w:t>
      </w:r>
      <w:r>
        <w:rPr>
          <w:rFonts w:hint="eastAsia" w:ascii="仿宋_GB2312" w:eastAsia="仿宋_GB2312" w:hAnsiTheme="minorEastAsia"/>
          <w:sz w:val="32"/>
          <w:szCs w:val="32"/>
        </w:rPr>
        <w:t>年10月2</w:t>
      </w:r>
      <w:r>
        <w:rPr>
          <w:rFonts w:hint="eastAsia" w:ascii="仿宋_GB2312" w:eastAsia="仿宋_GB2312" w:hAnsiTheme="minorEastAsia"/>
          <w:sz w:val="32"/>
          <w:szCs w:val="32"/>
          <w:lang w:val="en-US" w:eastAsia="zh-CN"/>
        </w:rPr>
        <w:t>2</w:t>
      </w:r>
      <w:r>
        <w:rPr>
          <w:rFonts w:hint="eastAsia" w:ascii="仿宋_GB2312" w:eastAsia="仿宋_GB2312" w:hAnsiTheme="minorEastAsia"/>
          <w:sz w:val="32"/>
          <w:szCs w:val="32"/>
        </w:rPr>
        <w:t>日</w:t>
      </w:r>
    </w:p>
    <w:p>
      <w:pPr>
        <w:spacing w:line="600" w:lineRule="exact"/>
        <w:ind w:firstLine="2420" w:firstLineChars="550"/>
        <w:outlineLvl w:val="0"/>
        <w:rPr>
          <w:rFonts w:hint="eastAsia" w:ascii="黑体" w:hAnsi="黑体" w:eastAsia="黑体"/>
          <w:color w:val="000000"/>
          <w:sz w:val="44"/>
          <w:szCs w:val="44"/>
        </w:rPr>
      </w:pPr>
      <w:bookmarkStart w:id="59" w:name="_Toc15396618"/>
    </w:p>
    <w:p>
      <w:pPr>
        <w:spacing w:line="600" w:lineRule="exact"/>
        <w:ind w:firstLine="2420" w:firstLineChars="550"/>
        <w:outlineLvl w:val="0"/>
        <w:rPr>
          <w:rFonts w:hint="eastAsia" w:ascii="黑体" w:hAnsi="黑体" w:eastAsia="黑体"/>
          <w:color w:val="000000"/>
          <w:sz w:val="44"/>
          <w:szCs w:val="44"/>
        </w:rPr>
      </w:pPr>
    </w:p>
    <w:p>
      <w:pPr>
        <w:spacing w:line="600" w:lineRule="exact"/>
        <w:ind w:firstLine="2420" w:firstLineChars="550"/>
        <w:outlineLvl w:val="0"/>
        <w:rPr>
          <w:rFonts w:hint="eastAsia" w:ascii="黑体" w:hAnsi="黑体" w:eastAsia="黑体"/>
          <w:color w:val="000000"/>
          <w:sz w:val="44"/>
          <w:szCs w:val="44"/>
        </w:rPr>
      </w:pPr>
    </w:p>
    <w:p>
      <w:pPr>
        <w:spacing w:line="600" w:lineRule="exact"/>
        <w:ind w:firstLine="2420" w:firstLineChars="550"/>
        <w:outlineLvl w:val="0"/>
        <w:rPr>
          <w:rFonts w:hint="eastAsia" w:ascii="黑体" w:hAnsi="黑体" w:eastAsia="黑体"/>
          <w:color w:val="000000"/>
          <w:sz w:val="44"/>
          <w:szCs w:val="44"/>
        </w:rPr>
      </w:pPr>
    </w:p>
    <w:p>
      <w:pPr>
        <w:spacing w:line="600" w:lineRule="exact"/>
        <w:ind w:firstLine="2420" w:firstLineChars="550"/>
        <w:outlineLvl w:val="0"/>
        <w:rPr>
          <w:rFonts w:hint="eastAsia" w:ascii="黑体" w:hAnsi="黑体" w:eastAsia="黑体"/>
          <w:color w:val="000000"/>
          <w:sz w:val="44"/>
          <w:szCs w:val="44"/>
        </w:rPr>
      </w:pPr>
    </w:p>
    <w:p>
      <w:pPr>
        <w:spacing w:line="600" w:lineRule="exact"/>
        <w:ind w:firstLine="2420" w:firstLineChars="550"/>
        <w:outlineLvl w:val="0"/>
        <w:rPr>
          <w:rFonts w:hint="eastAsia" w:ascii="黑体" w:hAnsi="黑体" w:eastAsia="黑体"/>
          <w:color w:val="000000"/>
          <w:sz w:val="44"/>
          <w:szCs w:val="44"/>
        </w:rPr>
      </w:pPr>
    </w:p>
    <w:p>
      <w:pPr>
        <w:spacing w:line="600" w:lineRule="exact"/>
        <w:ind w:firstLine="2420" w:firstLineChars="550"/>
        <w:outlineLvl w:val="0"/>
        <w:rPr>
          <w:rFonts w:hint="eastAsia" w:ascii="黑体" w:hAnsi="黑体" w:eastAsia="黑体"/>
          <w:color w:val="000000"/>
          <w:sz w:val="44"/>
          <w:szCs w:val="44"/>
        </w:rPr>
      </w:pPr>
    </w:p>
    <w:p>
      <w:pPr>
        <w:spacing w:line="600" w:lineRule="exact"/>
        <w:ind w:firstLine="2420" w:firstLineChars="550"/>
        <w:outlineLvl w:val="0"/>
        <w:rPr>
          <w:rFonts w:hint="eastAsia" w:ascii="黑体" w:hAnsi="黑体" w:eastAsia="黑体"/>
          <w:color w:val="000000"/>
          <w:sz w:val="44"/>
          <w:szCs w:val="44"/>
        </w:rPr>
      </w:pPr>
    </w:p>
    <w:p>
      <w:pPr>
        <w:spacing w:line="600" w:lineRule="exact"/>
        <w:ind w:firstLine="2420" w:firstLineChars="550"/>
        <w:outlineLvl w:val="0"/>
        <w:rPr>
          <w:rFonts w:hint="eastAsia" w:ascii="黑体" w:hAnsi="黑体" w:eastAsia="黑体"/>
          <w:color w:val="000000"/>
          <w:sz w:val="44"/>
          <w:szCs w:val="44"/>
        </w:rPr>
      </w:pPr>
    </w:p>
    <w:p>
      <w:pPr>
        <w:spacing w:line="600" w:lineRule="exact"/>
        <w:ind w:firstLine="2420" w:firstLineChars="550"/>
        <w:outlineLvl w:val="0"/>
        <w:rPr>
          <w:rFonts w:hint="eastAsia" w:ascii="黑体" w:hAnsi="黑体" w:eastAsia="黑体"/>
          <w:color w:val="000000"/>
          <w:sz w:val="44"/>
          <w:szCs w:val="44"/>
        </w:rPr>
      </w:pPr>
    </w:p>
    <w:p>
      <w:pPr>
        <w:spacing w:line="600" w:lineRule="exact"/>
        <w:ind w:firstLine="2420" w:firstLineChars="550"/>
        <w:outlineLvl w:val="0"/>
        <w:rPr>
          <w:rFonts w:hint="eastAsia" w:ascii="黑体" w:hAnsi="黑体" w:eastAsia="黑体"/>
          <w:color w:val="000000"/>
          <w:sz w:val="44"/>
          <w:szCs w:val="44"/>
        </w:rPr>
      </w:pPr>
    </w:p>
    <w:p>
      <w:pPr>
        <w:spacing w:line="600" w:lineRule="exact"/>
        <w:ind w:firstLine="2420" w:firstLineChars="550"/>
        <w:outlineLvl w:val="0"/>
        <w:rPr>
          <w:rFonts w:hint="eastAsia" w:ascii="黑体" w:hAnsi="黑体" w:eastAsia="黑体"/>
          <w:color w:val="000000"/>
          <w:sz w:val="44"/>
          <w:szCs w:val="44"/>
        </w:rPr>
      </w:pPr>
    </w:p>
    <w:p>
      <w:pPr>
        <w:spacing w:line="600" w:lineRule="exact"/>
        <w:ind w:firstLine="2420" w:firstLineChars="550"/>
        <w:outlineLvl w:val="0"/>
        <w:rPr>
          <w:rFonts w:hint="eastAsia" w:ascii="黑体" w:hAnsi="黑体" w:eastAsia="黑体"/>
          <w:color w:val="000000"/>
          <w:sz w:val="44"/>
          <w:szCs w:val="44"/>
        </w:rPr>
      </w:pPr>
    </w:p>
    <w:p>
      <w:pPr>
        <w:spacing w:line="600" w:lineRule="exact"/>
        <w:ind w:firstLine="2420" w:firstLineChars="550"/>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五部分 附表</w:t>
      </w:r>
      <w:bookmarkEnd w:id="57"/>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3"/>
    </w:p>
    <w:p>
      <w:pPr>
        <w:pStyle w:val="3"/>
        <w:rPr>
          <w:rStyle w:val="25"/>
          <w:rFonts w:ascii="仿宋" w:hAnsi="仿宋" w:eastAsia="仿宋"/>
          <w:b w:val="0"/>
          <w:bCs w:val="0"/>
        </w:rPr>
      </w:pPr>
      <w:bookmarkStart w:id="64"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1"/>
    </w:p>
    <w:p>
      <w:pPr>
        <w:pStyle w:val="3"/>
        <w:rPr>
          <w:rFonts w:ascii="仿宋" w:hAnsi="仿宋" w:eastAsia="仿宋"/>
          <w:color w:val="000000" w:themeColor="text1"/>
        </w:rPr>
      </w:pPr>
      <w:bookmarkStart w:id="72"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
    <w:altName w:val="宋体"/>
    <w:panose1 w:val="00000000000000000000"/>
    <w:charset w:val="00"/>
    <w:family w:val="roman"/>
    <w:pitch w:val="default"/>
    <w:sig w:usb0="00000000" w:usb1="00000000" w:usb2="00000000"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32</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AEF2AD"/>
    <w:multiLevelType w:val="singleLevel"/>
    <w:tmpl w:val="9FAEF2AD"/>
    <w:lvl w:ilvl="0" w:tentative="0">
      <w:start w:val="2"/>
      <w:numFmt w:val="chineseCounting"/>
      <w:suff w:val="space"/>
      <w:lvlText w:val="第%1部分"/>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222C6"/>
    <w:rsid w:val="000228B7"/>
    <w:rsid w:val="0002549F"/>
    <w:rsid w:val="00045F86"/>
    <w:rsid w:val="000468DB"/>
    <w:rsid w:val="00056634"/>
    <w:rsid w:val="0006487A"/>
    <w:rsid w:val="00064E55"/>
    <w:rsid w:val="00065F8F"/>
    <w:rsid w:val="00070A43"/>
    <w:rsid w:val="000768F2"/>
    <w:rsid w:val="00080810"/>
    <w:rsid w:val="00081D60"/>
    <w:rsid w:val="0009184B"/>
    <w:rsid w:val="000921CF"/>
    <w:rsid w:val="00094236"/>
    <w:rsid w:val="00094BD1"/>
    <w:rsid w:val="0009593C"/>
    <w:rsid w:val="00097322"/>
    <w:rsid w:val="000A6A92"/>
    <w:rsid w:val="000B047F"/>
    <w:rsid w:val="000B5923"/>
    <w:rsid w:val="000B5A48"/>
    <w:rsid w:val="000B6FF3"/>
    <w:rsid w:val="000C3467"/>
    <w:rsid w:val="000C3CA6"/>
    <w:rsid w:val="000D1267"/>
    <w:rsid w:val="000D1D50"/>
    <w:rsid w:val="000D5782"/>
    <w:rsid w:val="000D645F"/>
    <w:rsid w:val="000E306F"/>
    <w:rsid w:val="000E6613"/>
    <w:rsid w:val="000E7119"/>
    <w:rsid w:val="00114E9B"/>
    <w:rsid w:val="00116CEB"/>
    <w:rsid w:val="001243B8"/>
    <w:rsid w:val="00142216"/>
    <w:rsid w:val="00144D6A"/>
    <w:rsid w:val="0014729F"/>
    <w:rsid w:val="00157BAB"/>
    <w:rsid w:val="001654D1"/>
    <w:rsid w:val="00174518"/>
    <w:rsid w:val="0018106D"/>
    <w:rsid w:val="001877A7"/>
    <w:rsid w:val="001900AD"/>
    <w:rsid w:val="00191536"/>
    <w:rsid w:val="00196687"/>
    <w:rsid w:val="001B3504"/>
    <w:rsid w:val="001C0962"/>
    <w:rsid w:val="001D7531"/>
    <w:rsid w:val="001E737D"/>
    <w:rsid w:val="001F0592"/>
    <w:rsid w:val="001F18CF"/>
    <w:rsid w:val="001F7506"/>
    <w:rsid w:val="002006CD"/>
    <w:rsid w:val="00202B36"/>
    <w:rsid w:val="002042E2"/>
    <w:rsid w:val="00204B7A"/>
    <w:rsid w:val="00204CDE"/>
    <w:rsid w:val="0021101A"/>
    <w:rsid w:val="00220536"/>
    <w:rsid w:val="00235629"/>
    <w:rsid w:val="00255CCC"/>
    <w:rsid w:val="00260C38"/>
    <w:rsid w:val="002616C0"/>
    <w:rsid w:val="00265372"/>
    <w:rsid w:val="002662AA"/>
    <w:rsid w:val="0027710F"/>
    <w:rsid w:val="00280496"/>
    <w:rsid w:val="00294DC9"/>
    <w:rsid w:val="00295495"/>
    <w:rsid w:val="002A31DE"/>
    <w:rsid w:val="002B2613"/>
    <w:rsid w:val="002D19B0"/>
    <w:rsid w:val="002D6D05"/>
    <w:rsid w:val="002E1700"/>
    <w:rsid w:val="002E1A4B"/>
    <w:rsid w:val="002F1818"/>
    <w:rsid w:val="002F293E"/>
    <w:rsid w:val="002F567B"/>
    <w:rsid w:val="003216A9"/>
    <w:rsid w:val="00335A74"/>
    <w:rsid w:val="00342685"/>
    <w:rsid w:val="00343A1A"/>
    <w:rsid w:val="0036561B"/>
    <w:rsid w:val="00365FB3"/>
    <w:rsid w:val="0037013F"/>
    <w:rsid w:val="00377C56"/>
    <w:rsid w:val="00380C92"/>
    <w:rsid w:val="003A484F"/>
    <w:rsid w:val="003A4883"/>
    <w:rsid w:val="003B0BE0"/>
    <w:rsid w:val="003B0C1B"/>
    <w:rsid w:val="003B5FE4"/>
    <w:rsid w:val="003B688C"/>
    <w:rsid w:val="003C0291"/>
    <w:rsid w:val="003C39AE"/>
    <w:rsid w:val="003C5604"/>
    <w:rsid w:val="003C7B60"/>
    <w:rsid w:val="003D0C0F"/>
    <w:rsid w:val="003D1FB2"/>
    <w:rsid w:val="003D66DA"/>
    <w:rsid w:val="003E1310"/>
    <w:rsid w:val="003E6F55"/>
    <w:rsid w:val="00402C3C"/>
    <w:rsid w:val="00406254"/>
    <w:rsid w:val="00416CD4"/>
    <w:rsid w:val="004223DE"/>
    <w:rsid w:val="00434489"/>
    <w:rsid w:val="00437085"/>
    <w:rsid w:val="004379BD"/>
    <w:rsid w:val="00440B0A"/>
    <w:rsid w:val="00443880"/>
    <w:rsid w:val="004464F4"/>
    <w:rsid w:val="00456A4F"/>
    <w:rsid w:val="00471401"/>
    <w:rsid w:val="00473F31"/>
    <w:rsid w:val="00475F7F"/>
    <w:rsid w:val="0048263A"/>
    <w:rsid w:val="00487E5D"/>
    <w:rsid w:val="004A711F"/>
    <w:rsid w:val="004B199D"/>
    <w:rsid w:val="004B4690"/>
    <w:rsid w:val="004D6657"/>
    <w:rsid w:val="004E0A2D"/>
    <w:rsid w:val="004E144D"/>
    <w:rsid w:val="004E206B"/>
    <w:rsid w:val="004E622B"/>
    <w:rsid w:val="004E6DF7"/>
    <w:rsid w:val="004F0FBD"/>
    <w:rsid w:val="004F403E"/>
    <w:rsid w:val="00505646"/>
    <w:rsid w:val="00505A47"/>
    <w:rsid w:val="005106F8"/>
    <w:rsid w:val="00512FDA"/>
    <w:rsid w:val="00520DA0"/>
    <w:rsid w:val="005357F1"/>
    <w:rsid w:val="005664BB"/>
    <w:rsid w:val="00566FFA"/>
    <w:rsid w:val="0057481D"/>
    <w:rsid w:val="00575F0B"/>
    <w:rsid w:val="00576AC6"/>
    <w:rsid w:val="0058486E"/>
    <w:rsid w:val="00585B33"/>
    <w:rsid w:val="0059014D"/>
    <w:rsid w:val="0059121E"/>
    <w:rsid w:val="005B5C64"/>
    <w:rsid w:val="005C29ED"/>
    <w:rsid w:val="005C36FA"/>
    <w:rsid w:val="005C6BD0"/>
    <w:rsid w:val="005C6C4C"/>
    <w:rsid w:val="005D1C8B"/>
    <w:rsid w:val="005D468D"/>
    <w:rsid w:val="005D5CED"/>
    <w:rsid w:val="005F1A4C"/>
    <w:rsid w:val="00605688"/>
    <w:rsid w:val="006070AF"/>
    <w:rsid w:val="00607E6C"/>
    <w:rsid w:val="006101B1"/>
    <w:rsid w:val="00610274"/>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85D63"/>
    <w:rsid w:val="006A3141"/>
    <w:rsid w:val="006A5E34"/>
    <w:rsid w:val="006A7788"/>
    <w:rsid w:val="006B034A"/>
    <w:rsid w:val="006B100B"/>
    <w:rsid w:val="006B2422"/>
    <w:rsid w:val="006B2B9A"/>
    <w:rsid w:val="006C1937"/>
    <w:rsid w:val="006C299D"/>
    <w:rsid w:val="006F020C"/>
    <w:rsid w:val="007127B7"/>
    <w:rsid w:val="0071798E"/>
    <w:rsid w:val="00727533"/>
    <w:rsid w:val="00736236"/>
    <w:rsid w:val="007416B6"/>
    <w:rsid w:val="00746F48"/>
    <w:rsid w:val="0075404D"/>
    <w:rsid w:val="00755D63"/>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03262"/>
    <w:rsid w:val="00804891"/>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A0B6C"/>
    <w:rsid w:val="008A3112"/>
    <w:rsid w:val="008B768C"/>
    <w:rsid w:val="008C1823"/>
    <w:rsid w:val="008C4DB1"/>
    <w:rsid w:val="008C4EAF"/>
    <w:rsid w:val="008C5176"/>
    <w:rsid w:val="008C7FD0"/>
    <w:rsid w:val="008E1DE7"/>
    <w:rsid w:val="008E707C"/>
    <w:rsid w:val="008F5101"/>
    <w:rsid w:val="008F7084"/>
    <w:rsid w:val="00900B08"/>
    <w:rsid w:val="00902155"/>
    <w:rsid w:val="00902FA3"/>
    <w:rsid w:val="0091710C"/>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97241"/>
    <w:rsid w:val="009B2C43"/>
    <w:rsid w:val="009B4EAE"/>
    <w:rsid w:val="009B6B37"/>
    <w:rsid w:val="009B7573"/>
    <w:rsid w:val="009C22F4"/>
    <w:rsid w:val="009C2E98"/>
    <w:rsid w:val="009C37FB"/>
    <w:rsid w:val="009D3447"/>
    <w:rsid w:val="009D4711"/>
    <w:rsid w:val="009E57A4"/>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0A0C"/>
    <w:rsid w:val="00A67AB5"/>
    <w:rsid w:val="00A72B60"/>
    <w:rsid w:val="00A733B2"/>
    <w:rsid w:val="00A7361B"/>
    <w:rsid w:val="00A741C2"/>
    <w:rsid w:val="00A91760"/>
    <w:rsid w:val="00A93952"/>
    <w:rsid w:val="00A93B00"/>
    <w:rsid w:val="00A93C21"/>
    <w:rsid w:val="00AB64C9"/>
    <w:rsid w:val="00AC3C6A"/>
    <w:rsid w:val="00AD0F83"/>
    <w:rsid w:val="00AD5620"/>
    <w:rsid w:val="00AD656B"/>
    <w:rsid w:val="00AD7C1B"/>
    <w:rsid w:val="00AE16BA"/>
    <w:rsid w:val="00AE1EBE"/>
    <w:rsid w:val="00B03C9D"/>
    <w:rsid w:val="00B060AE"/>
    <w:rsid w:val="00B0685E"/>
    <w:rsid w:val="00B10517"/>
    <w:rsid w:val="00B14E76"/>
    <w:rsid w:val="00B161B8"/>
    <w:rsid w:val="00B2048C"/>
    <w:rsid w:val="00B310B9"/>
    <w:rsid w:val="00B35F3F"/>
    <w:rsid w:val="00B36CBB"/>
    <w:rsid w:val="00B425E0"/>
    <w:rsid w:val="00B440AA"/>
    <w:rsid w:val="00B44B70"/>
    <w:rsid w:val="00B53C56"/>
    <w:rsid w:val="00B57DAF"/>
    <w:rsid w:val="00B75CDE"/>
    <w:rsid w:val="00B77EA6"/>
    <w:rsid w:val="00B81598"/>
    <w:rsid w:val="00B841F1"/>
    <w:rsid w:val="00B922E0"/>
    <w:rsid w:val="00B93E7A"/>
    <w:rsid w:val="00B944D6"/>
    <w:rsid w:val="00BA06B9"/>
    <w:rsid w:val="00BB4DF0"/>
    <w:rsid w:val="00BC289F"/>
    <w:rsid w:val="00BC2D50"/>
    <w:rsid w:val="00BC5361"/>
    <w:rsid w:val="00BC5460"/>
    <w:rsid w:val="00BC5D22"/>
    <w:rsid w:val="00BC6B50"/>
    <w:rsid w:val="00BD0E25"/>
    <w:rsid w:val="00BD4216"/>
    <w:rsid w:val="00BF5BD6"/>
    <w:rsid w:val="00C03E31"/>
    <w:rsid w:val="00C30E69"/>
    <w:rsid w:val="00C33E72"/>
    <w:rsid w:val="00C354B2"/>
    <w:rsid w:val="00C35554"/>
    <w:rsid w:val="00C37B4F"/>
    <w:rsid w:val="00C42709"/>
    <w:rsid w:val="00C533CC"/>
    <w:rsid w:val="00C5751C"/>
    <w:rsid w:val="00C61BFC"/>
    <w:rsid w:val="00C62B85"/>
    <w:rsid w:val="00C65438"/>
    <w:rsid w:val="00C91B0D"/>
    <w:rsid w:val="00C91CBB"/>
    <w:rsid w:val="00CB4E70"/>
    <w:rsid w:val="00CB6752"/>
    <w:rsid w:val="00CC09B6"/>
    <w:rsid w:val="00CC666F"/>
    <w:rsid w:val="00CC743C"/>
    <w:rsid w:val="00CD1E3F"/>
    <w:rsid w:val="00CE1A43"/>
    <w:rsid w:val="00CE44F6"/>
    <w:rsid w:val="00CE4908"/>
    <w:rsid w:val="00CE49DA"/>
    <w:rsid w:val="00CE7B61"/>
    <w:rsid w:val="00CF06D1"/>
    <w:rsid w:val="00D00095"/>
    <w:rsid w:val="00D114F0"/>
    <w:rsid w:val="00D20620"/>
    <w:rsid w:val="00D254F7"/>
    <w:rsid w:val="00D26091"/>
    <w:rsid w:val="00D2685C"/>
    <w:rsid w:val="00D34E7C"/>
    <w:rsid w:val="00D35489"/>
    <w:rsid w:val="00D36AFE"/>
    <w:rsid w:val="00D51276"/>
    <w:rsid w:val="00D51282"/>
    <w:rsid w:val="00D60C1A"/>
    <w:rsid w:val="00D7035F"/>
    <w:rsid w:val="00DA634F"/>
    <w:rsid w:val="00DA65AC"/>
    <w:rsid w:val="00DB1913"/>
    <w:rsid w:val="00DC410D"/>
    <w:rsid w:val="00DC5A81"/>
    <w:rsid w:val="00DC68CA"/>
    <w:rsid w:val="00DC7CBA"/>
    <w:rsid w:val="00DD73B7"/>
    <w:rsid w:val="00DF28BC"/>
    <w:rsid w:val="00DF3116"/>
    <w:rsid w:val="00DF34B9"/>
    <w:rsid w:val="00E01053"/>
    <w:rsid w:val="00E07ACF"/>
    <w:rsid w:val="00E331A1"/>
    <w:rsid w:val="00E33202"/>
    <w:rsid w:val="00E336A9"/>
    <w:rsid w:val="00E472B1"/>
    <w:rsid w:val="00E50624"/>
    <w:rsid w:val="00E5293E"/>
    <w:rsid w:val="00E568DF"/>
    <w:rsid w:val="00E64269"/>
    <w:rsid w:val="00E66797"/>
    <w:rsid w:val="00E80961"/>
    <w:rsid w:val="00E82267"/>
    <w:rsid w:val="00E853CE"/>
    <w:rsid w:val="00E867B6"/>
    <w:rsid w:val="00E87F08"/>
    <w:rsid w:val="00E9276C"/>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7647"/>
    <w:rsid w:val="00FB1227"/>
    <w:rsid w:val="00FD3CC1"/>
    <w:rsid w:val="00FF1E02"/>
    <w:rsid w:val="00FF30B4"/>
    <w:rsid w:val="05583C4D"/>
    <w:rsid w:val="10C055FF"/>
    <w:rsid w:val="16BB723D"/>
    <w:rsid w:val="1CD70828"/>
    <w:rsid w:val="240371BF"/>
    <w:rsid w:val="286620A0"/>
    <w:rsid w:val="29FD04D3"/>
    <w:rsid w:val="319F7F4E"/>
    <w:rsid w:val="33495E92"/>
    <w:rsid w:val="34962F3A"/>
    <w:rsid w:val="3B325E53"/>
    <w:rsid w:val="3C40147E"/>
    <w:rsid w:val="3CAC16E3"/>
    <w:rsid w:val="3E536FF8"/>
    <w:rsid w:val="421709BD"/>
    <w:rsid w:val="465B0A82"/>
    <w:rsid w:val="4A6A153F"/>
    <w:rsid w:val="4ECE2238"/>
    <w:rsid w:val="4F4D205C"/>
    <w:rsid w:val="503A4A23"/>
    <w:rsid w:val="5EF8313E"/>
    <w:rsid w:val="678C596B"/>
    <w:rsid w:val="69DE3351"/>
    <w:rsid w:val="6AAB1A1A"/>
    <w:rsid w:val="6D891EB3"/>
    <w:rsid w:val="72734D90"/>
    <w:rsid w:val="76917F10"/>
    <w:rsid w:val="77455414"/>
    <w:rsid w:val="7A7A1D34"/>
    <w:rsid w:val="7BE201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font61"/>
    <w:basedOn w:val="13"/>
    <w:qFormat/>
    <w:uiPriority w:val="0"/>
    <w:rPr>
      <w:rFonts w:hint="eastAsia" w:ascii="Times New Roman" w:eastAsia="楷体_GB2312" w:cs="楷体_GB2312"/>
      <w:sz w:val="32"/>
      <w:szCs w:val="24"/>
    </w:rPr>
  </w:style>
  <w:style w:type="paragraph" w:customStyle="1" w:styleId="31">
    <w:name w:val="四号正文"/>
    <w:basedOn w:val="1"/>
    <w:qFormat/>
    <w:uiPriority w:val="0"/>
    <w:pPr>
      <w:spacing w:line="360" w:lineRule="auto"/>
    </w:pPr>
    <w:rPr>
      <w:rFonts w:ascii="??" w:hAnsi="??" w:cs="宋体"/>
      <w:color w:val="000000"/>
      <w:sz w:val="28"/>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2019&#20915;&#31639;\2019&#24180;&#25945;&#32946;&#31995;&#32479;&#20915;&#31639;&#20844;&#24320;&#36164;&#26009;\&#26032;&#24314;%20Microsoft%20Excel%20&#24037;&#20316;&#34920;(&#20915;&#31639;&#20844;&#24320;&#29992;&#22270;&#6528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Sheet1!$A$106:$A$108</c:f>
              <c:strCache>
                <c:ptCount val="3"/>
                <c:pt idx="0">
                  <c:v>因公出国（境）费支出决算</c:v>
                </c:pt>
                <c:pt idx="1">
                  <c:v>公务用车购置及运行维护费支出决算</c:v>
                </c:pt>
                <c:pt idx="2">
                  <c:v>公务接待费支出决算</c:v>
                </c:pt>
              </c:strCache>
            </c:strRef>
          </c:cat>
          <c:val>
            <c:numRef>
              <c:f>Sheet1!$B$106:$B$108</c:f>
              <c:numCache>
                <c:formatCode>General</c:formatCode>
                <c:ptCount val="3"/>
                <c:pt idx="0">
                  <c:v>0</c:v>
                </c:pt>
                <c:pt idx="1">
                  <c:v>0</c:v>
                </c:pt>
                <c:pt idx="2">
                  <c:v>0</c:v>
                </c:pt>
              </c:numCache>
            </c:numRef>
          </c:val>
        </c:ser>
        <c:dLbls>
          <c:showLegendKey val="0"/>
          <c:showVal val="1"/>
          <c:showCatName val="0"/>
          <c:showSerName val="0"/>
          <c:showPercent val="0"/>
          <c:showBubbleSize val="0"/>
          <c:showLeaderLines val="1"/>
        </c:dLbls>
        <c:firstSliceAng val="0"/>
      </c:pieChart>
      <c:spPr>
        <a:noFill/>
        <a:ln w="25400">
          <a:noFill/>
        </a:ln>
      </c:spPr>
    </c:plotArea>
    <c:legend>
      <c:legendPos val="r"/>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543066-AA82-4CFB-8B78-4DDA04696046}">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33</Pages>
  <Words>2019</Words>
  <Characters>11510</Characters>
  <Lines>95</Lines>
  <Paragraphs>27</Paragraphs>
  <TotalTime>3</TotalTime>
  <ScaleCrop>false</ScaleCrop>
  <LinksUpToDate>false</LinksUpToDate>
  <CharactersWithSpaces>13502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2020-10-16T10:41:00Z</dcterms:created>
  <dc:creator>曹颖</dc:creator>
  <cp:lastModifiedBy>Administrator</cp:lastModifiedBy>
  <cp:lastPrinted>2020-07-23T02:58:00Z</cp:lastPrinted>
  <dcterms:modified xsi:type="dcterms:W3CDTF">2021-10-19T05:43:04Z</dcterms:modified>
  <dc:title>四川省***</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