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E13DF">
      <w:pPr>
        <w:spacing w:line="600" w:lineRule="exact"/>
        <w:outlineLvl w:val="0"/>
        <w:rPr>
          <w:rFonts w:ascii="黑体" w:eastAsia="黑体"/>
          <w:sz w:val="32"/>
          <w:szCs w:val="32"/>
        </w:rPr>
      </w:pPr>
      <w:r>
        <w:rPr>
          <w:rFonts w:hint="eastAsia" w:ascii="黑体" w:eastAsia="黑体"/>
          <w:sz w:val="32"/>
          <w:szCs w:val="32"/>
        </w:rPr>
        <w:t>附件1</w:t>
      </w:r>
    </w:p>
    <w:p w14:paraId="06CE208E">
      <w:pPr>
        <w:spacing w:line="600" w:lineRule="exact"/>
        <w:jc w:val="center"/>
        <w:outlineLvl w:val="0"/>
        <w:rPr>
          <w:rFonts w:ascii="黑体" w:hAnsi="黑体" w:eastAsia="黑体"/>
          <w:sz w:val="44"/>
          <w:szCs w:val="44"/>
        </w:rPr>
      </w:pPr>
      <w:r>
        <w:rPr>
          <w:rFonts w:hint="eastAsia" w:ascii="黑体" w:hAnsi="黑体" w:eastAsia="黑体"/>
          <w:sz w:val="44"/>
          <w:szCs w:val="44"/>
        </w:rPr>
        <w:t>关于峨眉山市不动产登记中心20</w:t>
      </w:r>
      <w:r>
        <w:rPr>
          <w:rFonts w:ascii="黑体" w:hAnsi="黑体" w:eastAsia="黑体"/>
          <w:sz w:val="44"/>
          <w:szCs w:val="44"/>
        </w:rPr>
        <w:t>2</w:t>
      </w:r>
      <w:r>
        <w:rPr>
          <w:rFonts w:hint="eastAsia" w:ascii="黑体" w:hAnsi="黑体" w:eastAsia="黑体"/>
          <w:sz w:val="44"/>
          <w:szCs w:val="44"/>
        </w:rPr>
        <w:t>1年</w:t>
      </w:r>
    </w:p>
    <w:p w14:paraId="3E2CA032">
      <w:pPr>
        <w:spacing w:line="600" w:lineRule="exact"/>
        <w:jc w:val="center"/>
        <w:outlineLvl w:val="0"/>
        <w:rPr>
          <w:rFonts w:ascii="黑体" w:hAnsi="黑体" w:eastAsia="黑体"/>
          <w:sz w:val="44"/>
          <w:szCs w:val="44"/>
        </w:rPr>
      </w:pPr>
      <w:r>
        <w:rPr>
          <w:rFonts w:hint="eastAsia" w:ascii="黑体" w:hAnsi="黑体" w:eastAsia="黑体"/>
          <w:sz w:val="44"/>
          <w:szCs w:val="44"/>
        </w:rPr>
        <w:t>预算编制的说明</w:t>
      </w:r>
    </w:p>
    <w:p w14:paraId="1650F6EF">
      <w:pPr>
        <w:spacing w:line="600" w:lineRule="exact"/>
        <w:ind w:firstLine="640" w:firstLineChars="200"/>
        <w:rPr>
          <w:rFonts w:ascii="黑体" w:hAnsi="黑体" w:eastAsia="黑体"/>
          <w:sz w:val="32"/>
          <w:szCs w:val="32"/>
        </w:rPr>
      </w:pPr>
    </w:p>
    <w:p w14:paraId="00813AFC">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14:paraId="13A930EA">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2C03A43A">
      <w:pPr>
        <w:spacing w:line="600" w:lineRule="exact"/>
        <w:ind w:firstLine="640" w:firstLineChars="200"/>
        <w:rPr>
          <w:rFonts w:ascii="仿宋" w:hAnsi="仿宋" w:eastAsia="仿宋"/>
          <w:sz w:val="32"/>
          <w:szCs w:val="32"/>
        </w:rPr>
      </w:pPr>
      <w:r>
        <w:rPr>
          <w:rFonts w:hint="eastAsia" w:ascii="仿宋_GB2312" w:eastAsia="仿宋_GB2312"/>
          <w:sz w:val="32"/>
          <w:szCs w:val="32"/>
        </w:rPr>
        <w:t>（一）主要职能</w:t>
      </w:r>
    </w:p>
    <w:p w14:paraId="7E3CF028">
      <w:pPr>
        <w:spacing w:line="600" w:lineRule="exact"/>
        <w:ind w:firstLine="640" w:firstLineChars="200"/>
        <w:rPr>
          <w:rFonts w:ascii="仿宋_GB2312" w:eastAsia="仿宋_GB2312"/>
          <w:sz w:val="32"/>
          <w:szCs w:val="32"/>
        </w:rPr>
      </w:pPr>
      <w:r>
        <w:rPr>
          <w:rFonts w:hint="eastAsia" w:ascii="仿宋_GB2312" w:eastAsia="仿宋_GB2312"/>
          <w:sz w:val="32"/>
          <w:szCs w:val="32"/>
        </w:rPr>
        <w:t>负责全市范围内的不动产登记工作；负责不动产登记网络平台建设和管理；负责不动产登记的咨询、受理、审核、登簿、缮证、收费、发证等工作；负责相关不动产权籍调查、测绘成果的审核工作；负责不动产登记档案资料管理及登记信息查询。</w:t>
      </w:r>
    </w:p>
    <w:p w14:paraId="0277664A">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14:paraId="0E14265F">
      <w:pPr>
        <w:spacing w:line="600" w:lineRule="exact"/>
        <w:ind w:firstLine="640" w:firstLineChars="200"/>
        <w:rPr>
          <w:rFonts w:ascii="仿宋_GB2312" w:eastAsia="仿宋_GB2312"/>
          <w:sz w:val="32"/>
          <w:szCs w:val="32"/>
        </w:rPr>
      </w:pPr>
      <w:r>
        <w:rPr>
          <w:rFonts w:hint="eastAsia" w:ascii="仿宋_GB2312" w:eastAsia="仿宋_GB2312"/>
          <w:sz w:val="32"/>
          <w:szCs w:val="32"/>
        </w:rPr>
        <w:t>1、完成窗口日常受理业务，压缩登记时限，进一步提供便民服务。</w:t>
      </w:r>
    </w:p>
    <w:p w14:paraId="0F6C7C8F">
      <w:pPr>
        <w:spacing w:line="600" w:lineRule="exact"/>
        <w:ind w:firstLine="640" w:firstLineChars="200"/>
        <w:rPr>
          <w:rFonts w:ascii="仿宋_GB2312" w:eastAsia="仿宋_GB2312"/>
          <w:sz w:val="32"/>
          <w:szCs w:val="32"/>
        </w:rPr>
      </w:pPr>
      <w:r>
        <w:rPr>
          <w:rFonts w:hint="eastAsia" w:ascii="仿宋_GB2312" w:eastAsia="仿宋_GB2312"/>
          <w:sz w:val="32"/>
          <w:szCs w:val="32"/>
        </w:rPr>
        <w:t>2、启动林权调查登记工作，根据川自然资发</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50</w:t>
      </w:r>
      <w:r>
        <w:rPr>
          <w:rFonts w:hint="eastAsia" w:ascii="仿宋_GB2312" w:eastAsia="仿宋_GB2312"/>
          <w:sz w:val="32"/>
          <w:szCs w:val="32"/>
        </w:rPr>
        <w:t>号要求，</w:t>
      </w:r>
      <w:r>
        <w:rPr>
          <w:rFonts w:ascii="仿宋_GB2312" w:eastAsia="仿宋_GB2312"/>
          <w:sz w:val="32"/>
          <w:szCs w:val="32"/>
        </w:rPr>
        <w:t>2021</w:t>
      </w:r>
      <w:r>
        <w:rPr>
          <w:rFonts w:hint="eastAsia" w:ascii="仿宋_GB2312" w:eastAsia="仿宋_GB2312"/>
          <w:sz w:val="32"/>
          <w:szCs w:val="32"/>
        </w:rPr>
        <w:t>年底前要完成林权数据整合建库并汇交国家。</w:t>
      </w:r>
    </w:p>
    <w:p w14:paraId="154DF53E">
      <w:pPr>
        <w:spacing w:line="600" w:lineRule="exact"/>
        <w:ind w:firstLine="640" w:firstLineChars="200"/>
        <w:rPr>
          <w:rFonts w:ascii="仿宋_GB2312" w:eastAsia="仿宋_GB2312"/>
          <w:sz w:val="32"/>
          <w:szCs w:val="32"/>
        </w:rPr>
      </w:pPr>
      <w:r>
        <w:rPr>
          <w:rFonts w:hint="eastAsia" w:ascii="仿宋_GB2312" w:eastAsia="仿宋_GB2312"/>
          <w:sz w:val="32"/>
          <w:szCs w:val="32"/>
        </w:rPr>
        <w:t>3、积极推进自然资源统一确权登记工作。按照相关文件要求，结合我市实际，每年按计划选择一定数量的自然保护地、江河湖泊、矿产资源等全民所有自然资源，开展自然资源统一确权登记工作，最终实现全市自然资源统一确权登记全覆盖的目标。</w:t>
      </w:r>
    </w:p>
    <w:p w14:paraId="01DD1B23">
      <w:pPr>
        <w:spacing w:line="600" w:lineRule="exact"/>
        <w:ind w:firstLine="640" w:firstLineChars="200"/>
        <w:rPr>
          <w:rFonts w:ascii="仿宋_GB2312" w:eastAsia="仿宋_GB2312"/>
          <w:sz w:val="32"/>
          <w:szCs w:val="32"/>
        </w:rPr>
      </w:pPr>
      <w:r>
        <w:rPr>
          <w:rFonts w:hint="eastAsia" w:ascii="仿宋_GB2312" w:eastAsia="仿宋_GB2312"/>
          <w:sz w:val="32"/>
          <w:szCs w:val="32"/>
        </w:rPr>
        <w:t>4、完成农村“房地一体”和易地扶贫搬迁安置住房不动产登记工作。抓紧开展房地一体确权登记工作，做好农村不动产数据成果入库，确保</w:t>
      </w:r>
      <w:r>
        <w:rPr>
          <w:rFonts w:ascii="仿宋_GB2312" w:eastAsia="仿宋_GB2312"/>
          <w:sz w:val="32"/>
          <w:szCs w:val="32"/>
        </w:rPr>
        <w:t>2021</w:t>
      </w:r>
      <w:r>
        <w:rPr>
          <w:rFonts w:hint="eastAsia" w:ascii="仿宋_GB2312" w:eastAsia="仿宋_GB2312"/>
          <w:sz w:val="32"/>
          <w:szCs w:val="32"/>
        </w:rPr>
        <w:t>年全面完成农村宅基地和集体建设用地权籍调查和不动产登记数据成</w:t>
      </w:r>
      <w:r>
        <w:rPr>
          <w:rFonts w:ascii="仿宋_GB2312" w:eastAsia="仿宋_GB2312"/>
          <w:sz w:val="32"/>
          <w:szCs w:val="32"/>
        </w:rPr>
        <w:t xml:space="preserve"> </w:t>
      </w:r>
      <w:r>
        <w:rPr>
          <w:rFonts w:hint="eastAsia" w:ascii="仿宋_GB2312" w:eastAsia="仿宋_GB2312"/>
          <w:sz w:val="32"/>
          <w:szCs w:val="32"/>
        </w:rPr>
        <w:t>果入库与整合汇交等工作任务。</w:t>
      </w:r>
    </w:p>
    <w:p w14:paraId="0730B055">
      <w:pPr>
        <w:spacing w:line="600" w:lineRule="exact"/>
        <w:ind w:firstLine="640" w:firstLineChars="200"/>
        <w:rPr>
          <w:rFonts w:ascii="仿宋_GB2312" w:eastAsia="仿宋_GB2312"/>
          <w:sz w:val="32"/>
          <w:szCs w:val="32"/>
        </w:rPr>
      </w:pPr>
      <w:r>
        <w:rPr>
          <w:rFonts w:hint="eastAsia" w:ascii="仿宋_GB2312" w:eastAsia="仿宋_GB2312"/>
          <w:sz w:val="32"/>
          <w:szCs w:val="32"/>
        </w:rPr>
        <w:t>5、抓紧建成不动产登记信息化系统.按上级要求2021年9月底前要实现不动产登记信息化支撑的“一窗受理，全市通办”，登记成果数据要实现与</w:t>
      </w:r>
      <w:r>
        <w:rPr>
          <w:rFonts w:ascii="仿宋_GB2312" w:eastAsia="仿宋_GB2312"/>
          <w:sz w:val="32"/>
          <w:szCs w:val="32"/>
        </w:rPr>
        <w:t>11</w:t>
      </w:r>
      <w:r>
        <w:rPr>
          <w:rFonts w:hint="eastAsia" w:ascii="仿宋_GB2312" w:eastAsia="仿宋_GB2312"/>
          <w:sz w:val="32"/>
          <w:szCs w:val="32"/>
        </w:rPr>
        <w:t>个部门的信息共享，为全省通办和网上受理打下坚实基础。</w:t>
      </w:r>
    </w:p>
    <w:p w14:paraId="4F8480FE">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14:paraId="1CCF1AB2">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峨眉山市不动产登记中心所有收入和支出均纳入预算管理。20</w:t>
      </w:r>
      <w:r>
        <w:rPr>
          <w:rFonts w:ascii="仿宋_GB2312" w:eastAsia="仿宋_GB2312"/>
          <w:sz w:val="32"/>
          <w:szCs w:val="32"/>
        </w:rPr>
        <w:t>2</w:t>
      </w:r>
      <w:r>
        <w:rPr>
          <w:rFonts w:hint="eastAsia" w:ascii="仿宋_GB2312" w:eastAsia="仿宋_GB2312"/>
          <w:sz w:val="32"/>
          <w:szCs w:val="32"/>
        </w:rPr>
        <w:t>1年峨眉山市不动产登记中心收入预算总额为194.1167万元，较上年预算数增加11.2996万元。其中：当年财政拨款收入194.1167万元，事业收入0万元，其他收入0万元。相应安排支出预算194.1167万元，其中：人员支出70.7167万元，日常公用支出8.4万元，对个人和家庭的补助支出0万元，专项支出115万元。</w:t>
      </w:r>
    </w:p>
    <w:p w14:paraId="26824FC7">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14:paraId="55C2FD03">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峨眉山市不动产登记中心2021年财政拨款收支总预算194.1167万元，主要用于保障峨眉山市不动产登记中心机构正常运转、完成日常工作任务以及承担不动产登记事业发展相关工作。其中：</w:t>
      </w:r>
    </w:p>
    <w:p w14:paraId="1777989D">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基本支出79.1167万元，是用于保障峨眉山市不动产登记中心正常运转的日常支出，包括基本工资、津贴补贴等人员经费以及办公费、印刷费、水电费、办公设备购置等日常公用经费。</w:t>
      </w:r>
    </w:p>
    <w:p w14:paraId="3C42C0D6">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项目支出115万元，是用于保障峨眉山市不动产登记中心为完成特定的事业发展目标，用于专项业务工作的经费支出。</w:t>
      </w:r>
    </w:p>
    <w:p w14:paraId="6749FF5E">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14:paraId="3C1303DA">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14:paraId="41145D95">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峨眉山市不动产登记中心2021年一般公共预算当年拨款194.1167万元，较上年预算数增加11.2996万元。主要原因是新增事业人员1人以及职工社保缴费、公积金等年度调整。</w:t>
      </w:r>
    </w:p>
    <w:p w14:paraId="0D28F3BB">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14:paraId="35BFE9F6">
      <w:p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一般公共服务支出0万元，占0%；社会保障和就业支出11.1507万元，占5.74%；卫生健康支出2.8374万元，占1.46%,；自然资源海洋气象等支出171.1346万元，占88.16%；住房保障支出8.994万元，占4.64%。</w:t>
      </w:r>
    </w:p>
    <w:p w14:paraId="7534CE92">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14:paraId="136FBEF1">
      <w:pPr>
        <w:spacing w:line="600" w:lineRule="exact"/>
        <w:ind w:firstLine="640" w:firstLineChars="200"/>
        <w:rPr>
          <w:rFonts w:ascii="仿宋_GB2312" w:eastAsia="仿宋_GB2312"/>
          <w:sz w:val="32"/>
          <w:szCs w:val="32"/>
        </w:rPr>
      </w:pPr>
      <w:r>
        <w:rPr>
          <w:rFonts w:hint="eastAsia" w:ascii="仿宋_GB2312" w:eastAsia="仿宋_GB2312"/>
          <w:sz w:val="32"/>
          <w:szCs w:val="32"/>
        </w:rPr>
        <w:t>1.社会保障和就业（类）行政事业单位离退休（款）机关事业单位基本养老保险缴费支出（项），2021年预算数为7.194万元，主要用于：按规定比例为职工缴纳的基本养老保险支出。</w:t>
      </w:r>
    </w:p>
    <w:p w14:paraId="38918616">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2.社会保障和就业（类）行政事业单位离退休（款）机关事业单位职业年金缴费支出（项），2021年预算数为3.597万元，主要用于：按规定比例为职工缴纳的职业年金支出。</w:t>
      </w:r>
    </w:p>
    <w:p w14:paraId="429411E5">
      <w:pPr>
        <w:spacing w:line="600" w:lineRule="exact"/>
        <w:ind w:firstLine="640" w:firstLineChars="200"/>
        <w:rPr>
          <w:rFonts w:ascii="仿宋_GB2312" w:eastAsia="仿宋_GB2312"/>
          <w:sz w:val="32"/>
          <w:szCs w:val="32"/>
        </w:rPr>
      </w:pPr>
      <w:r>
        <w:rPr>
          <w:rFonts w:hint="eastAsia" w:ascii="仿宋_GB2312" w:eastAsia="仿宋_GB2312"/>
          <w:sz w:val="32"/>
          <w:szCs w:val="32"/>
        </w:rPr>
        <w:t>3.社会保障和就业（类）行政事业单位离退休（款）其他社会保障和就业支出（项），2021年预算数为0.3597万元，主要用于：按规定比例为职工缴纳的工伤保险支出。</w:t>
      </w:r>
    </w:p>
    <w:p w14:paraId="16EAAEE3">
      <w:pPr>
        <w:spacing w:line="600" w:lineRule="exact"/>
        <w:ind w:firstLine="640" w:firstLineChars="200"/>
        <w:rPr>
          <w:rFonts w:ascii="仿宋_GB2312" w:eastAsia="仿宋_GB2312"/>
          <w:sz w:val="32"/>
          <w:szCs w:val="32"/>
        </w:rPr>
      </w:pPr>
      <w:r>
        <w:rPr>
          <w:rFonts w:hint="eastAsia" w:ascii="仿宋_GB2312" w:eastAsia="仿宋_GB2312"/>
          <w:sz w:val="32"/>
          <w:szCs w:val="32"/>
        </w:rPr>
        <w:t>4.医疗卫生（</w:t>
      </w:r>
      <w:r>
        <w:rPr>
          <w:rFonts w:hint="eastAsia" w:eastAsia="仿宋_GB2312" w:asciiTheme="minorHAnsi" w:hAnsiTheme="minorHAnsi"/>
          <w:sz w:val="32"/>
          <w:szCs w:val="32"/>
        </w:rPr>
        <w:t>类</w:t>
      </w:r>
      <w:r>
        <w:rPr>
          <w:rFonts w:hint="eastAsia" w:ascii="仿宋_GB2312" w:eastAsia="仿宋_GB2312"/>
          <w:sz w:val="32"/>
          <w:szCs w:val="32"/>
        </w:rPr>
        <w:t>）行政事业单位医疗（款）事业单位医疗（项），2021年预算数为2.8374万元，主要用于：按规定比例为职工缴纳的医疗保险支出。</w:t>
      </w:r>
    </w:p>
    <w:p w14:paraId="48B2433E">
      <w:pPr>
        <w:spacing w:line="600" w:lineRule="exact"/>
        <w:ind w:firstLine="640" w:firstLineChars="200"/>
        <w:rPr>
          <w:rFonts w:ascii="仿宋_GB2312" w:eastAsia="仿宋_GB2312"/>
          <w:sz w:val="32"/>
          <w:szCs w:val="32"/>
        </w:rPr>
      </w:pPr>
      <w:r>
        <w:rPr>
          <w:rFonts w:hint="eastAsia" w:ascii="仿宋_GB2312" w:eastAsia="仿宋_GB2312"/>
          <w:sz w:val="32"/>
          <w:szCs w:val="32"/>
        </w:rPr>
        <w:t>5.住房保障（类）住房改革支出（款）住房公积金（项），2021年预算数为8.994万元，主要用于：按人力资源和社会保障部、财政部规定的基本工资和津贴补贴以及规定比例为职工缴纳的住房公积金支出。</w:t>
      </w:r>
    </w:p>
    <w:p w14:paraId="51D792C9">
      <w:pPr>
        <w:spacing w:line="600" w:lineRule="exact"/>
        <w:ind w:firstLine="640" w:firstLineChars="200"/>
        <w:rPr>
          <w:rFonts w:ascii="仿宋_GB2312" w:eastAsia="仿宋_GB2312"/>
          <w:sz w:val="32"/>
          <w:szCs w:val="32"/>
        </w:rPr>
      </w:pPr>
      <w:r>
        <w:rPr>
          <w:rFonts w:hint="eastAsia" w:ascii="仿宋_GB2312" w:eastAsia="仿宋_GB2312"/>
          <w:sz w:val="32"/>
          <w:szCs w:val="32"/>
        </w:rPr>
        <w:t>6.自然资源海洋气象等（类）自然资源事务（款）事业运行（项），2021年预算数为56.1346万元，主要用于：正常运转的基本支出，包括基本工资、津贴补贴（或绩效工资）等人员经费以及办公费、印刷费、水电费等日常公用经费。</w:t>
      </w:r>
    </w:p>
    <w:p w14:paraId="5041CEF8">
      <w:pPr>
        <w:spacing w:line="600" w:lineRule="exact"/>
        <w:ind w:firstLine="640" w:firstLineChars="200"/>
        <w:rPr>
          <w:rFonts w:ascii="仿宋_GB2312" w:eastAsia="仿宋_GB2312"/>
          <w:sz w:val="32"/>
          <w:szCs w:val="32"/>
        </w:rPr>
      </w:pPr>
      <w:r>
        <w:rPr>
          <w:rFonts w:hint="eastAsia" w:ascii="仿宋_GB2312" w:eastAsia="仿宋_GB2312"/>
          <w:sz w:val="32"/>
          <w:szCs w:val="32"/>
        </w:rPr>
        <w:t>7.自然资源海洋气象等（类）自然资源事务（款）其他自然资源事务（项），2021年预算数为115万元，主要用于：档案整理、中心登记系统、打证机、机房运行维护，购买不动产登记证书、权籍调查等业务及办公运行费用支出。</w:t>
      </w:r>
    </w:p>
    <w:p w14:paraId="5520A86A">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14:paraId="538F26E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峨眉山市不动产登记中心2021年一般公共预算基本支出79.1167万元，其中：</w:t>
      </w:r>
    </w:p>
    <w:p w14:paraId="457C52D4">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人员经费70.7167万元，主要包括：基本工资、津贴补贴、绩效工资、奖金、社会保险缴费、住房公积金等。</w:t>
      </w:r>
    </w:p>
    <w:p w14:paraId="38DE3DEE">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公用经费8.4万元，主要包括：办公费、印刷费、手续费、水费、电费、工会经费、差旅费等。</w:t>
      </w:r>
    </w:p>
    <w:p w14:paraId="7FFC1683">
      <w:pPr>
        <w:spacing w:line="600" w:lineRule="exact"/>
        <w:ind w:firstLine="640" w:firstLineChars="200"/>
        <w:outlineLvl w:val="1"/>
        <w:rPr>
          <w:rFonts w:ascii="黑体" w:eastAsia="黑体"/>
          <w:sz w:val="32"/>
          <w:szCs w:val="32"/>
        </w:rPr>
      </w:pPr>
      <w:r>
        <w:rPr>
          <w:rFonts w:hint="eastAsia" w:ascii="黑体" w:eastAsia="黑体"/>
          <w:sz w:val="32"/>
          <w:szCs w:val="32"/>
        </w:rPr>
        <w:t>六、政府性基金预算支出规模及变化情况说明</w:t>
      </w:r>
    </w:p>
    <w:p w14:paraId="5C89621C">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峨眉山市不动产登记中心2021年无政府性基金预算。</w:t>
      </w:r>
    </w:p>
    <w:p w14:paraId="5D4AB6F8">
      <w:pPr>
        <w:spacing w:line="600" w:lineRule="exact"/>
        <w:ind w:firstLine="640" w:firstLineChars="200"/>
        <w:outlineLvl w:val="1"/>
        <w:rPr>
          <w:rFonts w:ascii="黑体" w:eastAsia="黑体"/>
          <w:sz w:val="32"/>
          <w:szCs w:val="32"/>
        </w:rPr>
      </w:pPr>
      <w:r>
        <w:rPr>
          <w:rFonts w:hint="eastAsia" w:ascii="黑体" w:eastAsia="黑体"/>
          <w:sz w:val="32"/>
          <w:szCs w:val="32"/>
        </w:rPr>
        <w:t>七、“三公”经费预算安排情况说明</w:t>
      </w:r>
    </w:p>
    <w:p w14:paraId="101B7B07">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不动产登记中心2021年“三公”经费预算数0万元，较上年“三公”经费预算数减少（增加）0万元。其中财政拨款安排“三公”经费0万元。因公出国（境）经费0万元，公务接待费0万元，公务用车购置及运行维护费0万元。</w:t>
      </w:r>
    </w:p>
    <w:p w14:paraId="35814792">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（一）无因公出国（境）预算。2021年因公临时出国（境）未安排人次。</w:t>
      </w:r>
    </w:p>
    <w:p w14:paraId="6AB6C506">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（二）无公务接待预算。公务接待费较上年预算减少（增加）0万元，下降（增长）0%。</w:t>
      </w:r>
    </w:p>
    <w:p w14:paraId="4EA3AA09">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公务用车购置及运行维护费较上年预算减少（增加）0万元，下降（增加）0%。单位现有公务用车0辆。</w:t>
      </w:r>
    </w:p>
    <w:p w14:paraId="061D099A">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2021年安排公务用车购置费0万元。</w:t>
      </w:r>
    </w:p>
    <w:p w14:paraId="311EEFC6">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2021年安排公务用车运行维护费0万元，用于车辆保险、维修、燃油、洗车等支出。</w:t>
      </w:r>
    </w:p>
    <w:p w14:paraId="633A644F">
      <w:pPr>
        <w:spacing w:line="600" w:lineRule="exact"/>
        <w:ind w:firstLine="640" w:firstLineChars="200"/>
        <w:outlineLvl w:val="1"/>
        <w:rPr>
          <w:rFonts w:ascii="黑体" w:eastAsia="黑体"/>
          <w:sz w:val="32"/>
          <w:szCs w:val="32"/>
        </w:rPr>
      </w:pPr>
      <w:r>
        <w:rPr>
          <w:rFonts w:hint="eastAsia" w:ascii="黑体" w:eastAsia="黑体"/>
          <w:sz w:val="32"/>
          <w:szCs w:val="32"/>
        </w:rPr>
        <w:t>八、其他重要事项的情况说明</w:t>
      </w:r>
    </w:p>
    <w:p w14:paraId="12688E72">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（一）中心运行经费。</w:t>
      </w:r>
    </w:p>
    <w:p w14:paraId="0CCB5812">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不动产登记中心为保障运行，安排的包括中心登记系统、打证机、机房运行维护，购买不动产登记证书、权籍调查等业务及办公费印刷费、邮电费、差旅费、日常维修费、一般设备购置费以及其他费用等中心运行经费预算为65万元，较上年预算减少（增加）0万元，下降（增长）0%。</w:t>
      </w:r>
    </w:p>
    <w:p w14:paraId="2173F077">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14:paraId="257B0A18">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2021年，峨眉山市不动产登记中心安排政府采购预算50万元，主要用于档案整理费用。</w:t>
      </w:r>
    </w:p>
    <w:p w14:paraId="5217C1AF">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14:paraId="6F8C6B6B">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截至去年底，峨眉山市不动产登记中心实际共有车辆0辆。单位价值200万元以上大型设备0台（套）。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2021年，预算安排购置车辆*0辆及单位价值200万元以上大型设备0台（套）。</w:t>
      </w:r>
    </w:p>
    <w:p w14:paraId="60989544">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14:paraId="72292A70">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不动产登记中心按要求实行绩效目标管理，部门（单位）整体绩效目标涉及预算安排194.1167万元，其中基本支出79.1167万元，项目支出115万元。其中编制了项目绩效目标的预算115万元，主要为中心运行费、档案整理费2个项目。</w:t>
      </w:r>
    </w:p>
    <w:p w14:paraId="5AEB52A7">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bookmarkStart w:id="0" w:name="_GoBack"/>
      <w:bookmarkEnd w:id="0"/>
      <w:r>
        <w:rPr>
          <w:rFonts w:hint="eastAsia" w:ascii="黑体" w:eastAsia="黑体"/>
          <w:sz w:val="32"/>
          <w:szCs w:val="32"/>
        </w:rPr>
        <w:t>、名词解释</w:t>
      </w:r>
    </w:p>
    <w:p w14:paraId="40055A32">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14:paraId="08F09F71">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251C76FC">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14:paraId="2D80F104">
      <w:pPr>
        <w:ind w:firstLine="640" w:firstLineChars="200"/>
        <w:rPr>
          <w:rFonts w:ascii="仿宋_GB2312" w:eastAsia="仿宋_GB2312"/>
          <w:color w:val="000000"/>
          <w:sz w:val="32"/>
          <w:szCs w:val="32"/>
        </w:rPr>
      </w:pPr>
      <w:r>
        <w:rPr>
          <w:rFonts w:hint="eastAsia" w:ascii="仿宋_GB2312" w:eastAsia="仿宋_GB2312"/>
          <w:color w:val="000000"/>
          <w:sz w:val="32"/>
          <w:szCs w:val="32"/>
        </w:rPr>
        <w:t>4.一般公共服务（类）…（款）…（项）：指……。</w:t>
      </w:r>
    </w:p>
    <w:p w14:paraId="10445B0B">
      <w:pPr>
        <w:ind w:firstLine="640" w:firstLineChars="200"/>
        <w:rPr>
          <w:rFonts w:ascii="仿宋_GB2312" w:eastAsia="仿宋_GB2312"/>
          <w:color w:val="000000"/>
          <w:sz w:val="32"/>
          <w:szCs w:val="32"/>
        </w:rPr>
      </w:pPr>
      <w:r>
        <w:rPr>
          <w:rFonts w:hint="eastAsia" w:ascii="仿宋_GB2312" w:eastAsia="仿宋_GB2312"/>
          <w:color w:val="000000"/>
          <w:sz w:val="32"/>
          <w:szCs w:val="32"/>
        </w:rPr>
        <w:t>5.教育（类）…（款）…（项）：指……。</w:t>
      </w:r>
    </w:p>
    <w:p w14:paraId="5FE26C39">
      <w:pPr>
        <w:ind w:firstLine="640" w:firstLineChars="200"/>
        <w:rPr>
          <w:rFonts w:ascii="仿宋_GB2312" w:eastAsia="仿宋_GB2312"/>
          <w:color w:val="000000"/>
          <w:sz w:val="32"/>
          <w:szCs w:val="32"/>
        </w:rPr>
      </w:pPr>
      <w:r>
        <w:rPr>
          <w:rFonts w:hint="eastAsia" w:ascii="仿宋_GB2312" w:eastAsia="仿宋_GB2312"/>
          <w:color w:val="000000"/>
          <w:sz w:val="32"/>
          <w:szCs w:val="32"/>
        </w:rPr>
        <w:t>6.科学技术（类）…（款）…（项）：指……。</w:t>
      </w:r>
    </w:p>
    <w:p w14:paraId="4ECB1B56">
      <w:pPr>
        <w:ind w:firstLine="640" w:firstLineChars="200"/>
        <w:rPr>
          <w:rFonts w:ascii="仿宋_GB2312" w:eastAsia="仿宋_GB2312"/>
          <w:color w:val="000000"/>
          <w:sz w:val="32"/>
          <w:szCs w:val="32"/>
        </w:rPr>
      </w:pPr>
      <w:r>
        <w:rPr>
          <w:rFonts w:hint="eastAsia" w:ascii="仿宋_GB2312" w:eastAsia="仿宋_GB2312"/>
          <w:color w:val="000000"/>
          <w:sz w:val="32"/>
          <w:szCs w:val="32"/>
        </w:rPr>
        <w:t>7.文化体育与传媒（类）…（款）…（项）：指……。</w:t>
      </w:r>
    </w:p>
    <w:p w14:paraId="477C8119">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8.社会保障和就业（类）…（款）…（项）：指……。</w:t>
      </w:r>
    </w:p>
    <w:p w14:paraId="0AB409FB">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0C85A34">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4145399A">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7241DF10">
      <w:pPr>
        <w:spacing w:line="600" w:lineRule="exact"/>
        <w:ind w:firstLine="640"/>
        <w:rPr>
          <w:rFonts w:ascii="仿宋_GB2312" w:eastAsia="仿宋_GB2312"/>
          <w:b/>
          <w:color w:val="FF0000"/>
          <w:sz w:val="32"/>
          <w:szCs w:val="32"/>
        </w:rPr>
      </w:pPr>
      <w:r>
        <w:rPr>
          <w:rFonts w:hint="eastAsia" w:ascii="仿宋_GB2312" w:eastAsia="仿宋_GB2312"/>
          <w:b/>
          <w:color w:val="FF0000"/>
          <w:sz w:val="32"/>
          <w:szCs w:val="32"/>
        </w:rPr>
        <w:t>（解释本部门（单位）预算中全部功能分类科目，到项级）</w:t>
      </w:r>
    </w:p>
    <w:p w14:paraId="0F801699">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14:paraId="36A46375">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14:paraId="32716E44">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AE6BD00">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3DB9">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BE87">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170C9"/>
    <w:rsid w:val="00050092"/>
    <w:rsid w:val="00091317"/>
    <w:rsid w:val="000F0A83"/>
    <w:rsid w:val="000F755E"/>
    <w:rsid w:val="00124EDE"/>
    <w:rsid w:val="001313EC"/>
    <w:rsid w:val="00175EA9"/>
    <w:rsid w:val="00190E49"/>
    <w:rsid w:val="001955F2"/>
    <w:rsid w:val="001A0437"/>
    <w:rsid w:val="001A2108"/>
    <w:rsid w:val="001B2A9E"/>
    <w:rsid w:val="001B6150"/>
    <w:rsid w:val="00202A1D"/>
    <w:rsid w:val="00206B78"/>
    <w:rsid w:val="002119E7"/>
    <w:rsid w:val="00217E54"/>
    <w:rsid w:val="00236F4E"/>
    <w:rsid w:val="00264427"/>
    <w:rsid w:val="002730CD"/>
    <w:rsid w:val="00273790"/>
    <w:rsid w:val="003541A4"/>
    <w:rsid w:val="003612DC"/>
    <w:rsid w:val="003628DB"/>
    <w:rsid w:val="00367EB8"/>
    <w:rsid w:val="00374973"/>
    <w:rsid w:val="00393382"/>
    <w:rsid w:val="003A561B"/>
    <w:rsid w:val="003A7E05"/>
    <w:rsid w:val="003F7D63"/>
    <w:rsid w:val="00425810"/>
    <w:rsid w:val="00443087"/>
    <w:rsid w:val="00466952"/>
    <w:rsid w:val="00470C54"/>
    <w:rsid w:val="004851A5"/>
    <w:rsid w:val="004A1A00"/>
    <w:rsid w:val="004A6C12"/>
    <w:rsid w:val="004E7796"/>
    <w:rsid w:val="005179A1"/>
    <w:rsid w:val="00525783"/>
    <w:rsid w:val="005363E4"/>
    <w:rsid w:val="0053746F"/>
    <w:rsid w:val="00545E18"/>
    <w:rsid w:val="00564603"/>
    <w:rsid w:val="005666A2"/>
    <w:rsid w:val="005E6363"/>
    <w:rsid w:val="005E688F"/>
    <w:rsid w:val="005F4DB4"/>
    <w:rsid w:val="00607B4B"/>
    <w:rsid w:val="00624982"/>
    <w:rsid w:val="00644A93"/>
    <w:rsid w:val="006933E9"/>
    <w:rsid w:val="006A2177"/>
    <w:rsid w:val="006C4ECB"/>
    <w:rsid w:val="006F7481"/>
    <w:rsid w:val="00704E91"/>
    <w:rsid w:val="0077785E"/>
    <w:rsid w:val="00777E08"/>
    <w:rsid w:val="007934F3"/>
    <w:rsid w:val="007E1942"/>
    <w:rsid w:val="00816DDE"/>
    <w:rsid w:val="00830D9C"/>
    <w:rsid w:val="008576EC"/>
    <w:rsid w:val="00861D72"/>
    <w:rsid w:val="008C72F8"/>
    <w:rsid w:val="008F0426"/>
    <w:rsid w:val="00924596"/>
    <w:rsid w:val="00925B40"/>
    <w:rsid w:val="009340F3"/>
    <w:rsid w:val="0094637C"/>
    <w:rsid w:val="009575A6"/>
    <w:rsid w:val="00966E55"/>
    <w:rsid w:val="00967E69"/>
    <w:rsid w:val="009C3A2E"/>
    <w:rsid w:val="009E7815"/>
    <w:rsid w:val="00A2727B"/>
    <w:rsid w:val="00A527E0"/>
    <w:rsid w:val="00A70484"/>
    <w:rsid w:val="00A84493"/>
    <w:rsid w:val="00A975A9"/>
    <w:rsid w:val="00AA25C6"/>
    <w:rsid w:val="00AA2F78"/>
    <w:rsid w:val="00AA6EAC"/>
    <w:rsid w:val="00AD3D9E"/>
    <w:rsid w:val="00AE4401"/>
    <w:rsid w:val="00B02EDC"/>
    <w:rsid w:val="00B3548B"/>
    <w:rsid w:val="00B4266D"/>
    <w:rsid w:val="00B45E3C"/>
    <w:rsid w:val="00BA3991"/>
    <w:rsid w:val="00BB666B"/>
    <w:rsid w:val="00BC0FDF"/>
    <w:rsid w:val="00C044B7"/>
    <w:rsid w:val="00C061CC"/>
    <w:rsid w:val="00C26463"/>
    <w:rsid w:val="00C440E4"/>
    <w:rsid w:val="00C5075D"/>
    <w:rsid w:val="00C5515C"/>
    <w:rsid w:val="00C60BF0"/>
    <w:rsid w:val="00C859FF"/>
    <w:rsid w:val="00C97E6D"/>
    <w:rsid w:val="00CB6CD1"/>
    <w:rsid w:val="00CC5FF3"/>
    <w:rsid w:val="00CD4618"/>
    <w:rsid w:val="00CD550B"/>
    <w:rsid w:val="00CE1F08"/>
    <w:rsid w:val="00CF57A6"/>
    <w:rsid w:val="00D147B1"/>
    <w:rsid w:val="00D15A70"/>
    <w:rsid w:val="00D36FE8"/>
    <w:rsid w:val="00D9790F"/>
    <w:rsid w:val="00DC579D"/>
    <w:rsid w:val="00DC64A8"/>
    <w:rsid w:val="00DE1A43"/>
    <w:rsid w:val="00DF77CF"/>
    <w:rsid w:val="00E1117B"/>
    <w:rsid w:val="00E45F36"/>
    <w:rsid w:val="00E54E23"/>
    <w:rsid w:val="00EA6295"/>
    <w:rsid w:val="00EA65BB"/>
    <w:rsid w:val="00ED00E0"/>
    <w:rsid w:val="00EE7477"/>
    <w:rsid w:val="00F018E1"/>
    <w:rsid w:val="00F12AA9"/>
    <w:rsid w:val="00F30492"/>
    <w:rsid w:val="00F429C0"/>
    <w:rsid w:val="00F5416D"/>
    <w:rsid w:val="00F80F5F"/>
    <w:rsid w:val="00F9028B"/>
    <w:rsid w:val="00FA6F45"/>
    <w:rsid w:val="00FB45E1"/>
    <w:rsid w:val="00FF3D8C"/>
    <w:rsid w:val="066D6077"/>
    <w:rsid w:val="15D35DF5"/>
    <w:rsid w:val="1A7E3539"/>
    <w:rsid w:val="2ED21556"/>
    <w:rsid w:val="36DD628E"/>
    <w:rsid w:val="3D202856"/>
    <w:rsid w:val="3EE741B8"/>
    <w:rsid w:val="493C20A5"/>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beforeLines="30"/>
    </w:pPr>
    <w:rPr>
      <w:rFonts w:ascii="仿宋_GB2312" w:hAnsi="Times New Roman" w:eastAsia="仿宋_GB2312"/>
      <w:kern w:val="0"/>
      <w:sz w:val="30"/>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正文2"/>
    <w:basedOn w:val="1"/>
    <w:next w:val="1"/>
    <w:qFormat/>
    <w:uiPriority w:val="0"/>
  </w:style>
  <w:style w:type="character" w:customStyle="1" w:styleId="10">
    <w:name w:val="Body text|1_"/>
    <w:basedOn w:val="6"/>
    <w:link w:val="11"/>
    <w:qFormat/>
    <w:locked/>
    <w:uiPriority w:val="0"/>
    <w:rPr>
      <w:rFonts w:ascii="宋体" w:hAnsi="宋体"/>
      <w:lang w:val="zh-CN"/>
    </w:rPr>
  </w:style>
  <w:style w:type="paragraph" w:customStyle="1" w:styleId="11">
    <w:name w:val="Body text|1"/>
    <w:basedOn w:val="1"/>
    <w:link w:val="10"/>
    <w:qFormat/>
    <w:uiPriority w:val="0"/>
    <w:pPr>
      <w:spacing w:line="391" w:lineRule="auto"/>
      <w:ind w:firstLine="400"/>
      <w:jc w:val="left"/>
    </w:pPr>
    <w:rPr>
      <w:rFonts w:ascii="宋体" w:hAnsi="宋体"/>
      <w:kern w:val="0"/>
      <w:sz w:val="20"/>
      <w:szCs w:val="20"/>
      <w:lang w:val="zh-CN"/>
    </w:rPr>
  </w:style>
  <w:style w:type="character" w:customStyle="1" w:styleId="12">
    <w:name w:val="正文文本 Char"/>
    <w:basedOn w:val="6"/>
    <w:link w:val="2"/>
    <w:qFormat/>
    <w:uiPriority w:val="99"/>
    <w:rPr>
      <w:rFonts w:ascii="仿宋_GB2312" w:eastAsia="仿宋_GB2312"/>
      <w:sz w:val="3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508991-D3DA-42FB-ADB7-13EB681BAD3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3203</Words>
  <Characters>3480</Characters>
  <Lines>2</Lines>
  <Paragraphs>7</Paragraphs>
  <TotalTime>525</TotalTime>
  <ScaleCrop>false</ScaleCrop>
  <LinksUpToDate>false</LinksUpToDate>
  <CharactersWithSpaces>3489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2025-03-16T05:31:11Z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eyJoZGlkIjoiMDMxNDVkYjQ5ODgzNTI4NjIwNGQ3NzAzOGI0MTM2Y2UifQ==</vt:lpwstr>
  </property>
  <property fmtid="{D5CDD505-2E9C-101B-9397-08002B2CF9AE}" pid="4" name="ICV">
    <vt:lpwstr>C5DB269BA67D4A31BAD619D44ECEABAC_12</vt:lpwstr>
  </property>
</Properties>
</file>