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exact" w:line="600"/>
        <w:jc w:val="center"/>
        <w:outlineLvl w:val="0"/>
        <w:rPr>
          <w:rFonts w:ascii="黑体" w:eastAsia="黑体"/>
          <w:sz w:val="32"/>
          <w:szCs w:val="32"/>
        </w:rPr>
      </w:pPr>
    </w:p>
    <w:p>
      <w:pPr>
        <w:pStyle w:val="style0"/>
        <w:spacing w:lineRule="exact" w:line="600"/>
        <w:jc w:val="center"/>
        <w:outlineLvl w:val="0"/>
        <w:rPr>
          <w:rFonts w:ascii="方正小标宋简体" w:eastAsia="方正小标宋简体"/>
          <w:sz w:val="44"/>
          <w:szCs w:val="44"/>
        </w:rPr>
      </w:pPr>
      <w:r>
        <w:rPr>
          <w:rFonts w:ascii="方正小标宋简体" w:eastAsia="方正小标宋简体" w:hint="eastAsia"/>
          <w:sz w:val="44"/>
          <w:szCs w:val="44"/>
        </w:rPr>
        <w:t>关于峨眉山市九里镇欣隆小学校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pPr>
        <w:pStyle w:val="style0"/>
        <w:spacing w:lineRule="exact" w:line="600"/>
        <w:ind w:firstLine="640" w:firstLineChars="200"/>
        <w:rPr>
          <w:rFonts w:ascii="仿宋_GB2312" w:eastAsia="仿宋_GB2312"/>
          <w:sz w:val="32"/>
          <w:szCs w:val="32"/>
        </w:rPr>
      </w:pP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一、基本职能及主要工作</w:t>
      </w:r>
      <w:bookmarkStart w:id="0" w:name="_GoBack"/>
      <w:bookmarkEnd w:id="0"/>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（一）主要职能</w:t>
      </w:r>
    </w:p>
    <w:p>
      <w:pPr>
        <w:pStyle w:val="style66"/>
        <w:adjustRightInd w:val="false"/>
        <w:snapToGrid w:val="false"/>
        <w:spacing w:before="93" w:lineRule="exact" w:line="600"/>
        <w:ind w:firstLine="672" w:firstLineChars="210"/>
        <w:outlineLvl w:val="2"/>
        <w:rPr>
          <w:sz w:val="32"/>
          <w:szCs w:val="32"/>
        </w:rPr>
      </w:pPr>
      <w:r>
        <w:rPr>
          <w:rFonts w:ascii="仿宋" w:eastAsia="仿宋" w:hAnsi="仿宋" w:hint="eastAsia"/>
          <w:bCs/>
          <w:color w:val="000000"/>
          <w:sz w:val="32"/>
          <w:szCs w:val="32"/>
        </w:rPr>
        <w:t>实施小</w:t>
      </w:r>
      <w:r>
        <w:rPr>
          <w:rFonts w:ascii="仿宋" w:eastAsia="仿宋" w:hAnsi="仿宋" w:hint="eastAsia"/>
          <w:bCs/>
          <w:color w:val="000000"/>
          <w:sz w:val="32"/>
          <w:szCs w:val="32"/>
        </w:rPr>
        <w:t>学</w:t>
      </w:r>
      <w:r>
        <w:rPr>
          <w:rFonts w:ascii="仿宋" w:eastAsia="仿宋" w:hAnsi="仿宋" w:hint="eastAsia"/>
          <w:bCs/>
          <w:color w:val="000000"/>
          <w:sz w:val="32"/>
          <w:szCs w:val="32"/>
        </w:rPr>
        <w:t>教育，促进基础教育发展。小学学历教育。</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pPr>
        <w:pStyle w:val="style66"/>
        <w:adjustRightInd w:val="false"/>
        <w:snapToGrid w:val="false"/>
        <w:spacing w:lineRule="atLeast" w:line="600"/>
        <w:ind w:firstLine="672" w:firstLineChars="210"/>
        <w:outlineLvl w:val="2"/>
        <w:rPr>
          <w:rFonts w:hAnsi="Calibri" w:hint="eastAsia"/>
          <w:kern w:val="2"/>
          <w:sz w:val="32"/>
          <w:szCs w:val="32"/>
        </w:rPr>
      </w:pPr>
      <w:r>
        <w:rPr>
          <w:rFonts w:hAnsi="Calibri" w:hint="eastAsia"/>
          <w:kern w:val="2"/>
          <w:sz w:val="32"/>
          <w:szCs w:val="32"/>
        </w:rPr>
        <w:t>1、</w:t>
      </w:r>
      <w:r>
        <w:rPr>
          <w:rFonts w:hAnsi="Calibri" w:hint="eastAsia"/>
          <w:kern w:val="2"/>
          <w:sz w:val="32"/>
          <w:szCs w:val="32"/>
        </w:rPr>
        <w:t>实施小学教育，促进基础教育发展。小学学历教育。</w:t>
      </w:r>
    </w:p>
    <w:p>
      <w:pPr>
        <w:pStyle w:val="style66"/>
        <w:adjustRightInd w:val="false"/>
        <w:snapToGrid w:val="false"/>
        <w:spacing w:lineRule="atLeast" w:line="600"/>
        <w:ind w:firstLine="672" w:firstLineChars="210"/>
        <w:outlineLvl w:val="2"/>
        <w:rPr>
          <w:rFonts w:hAnsi="Calibri" w:hint="eastAsia"/>
          <w:kern w:val="2"/>
          <w:sz w:val="32"/>
          <w:szCs w:val="32"/>
        </w:rPr>
      </w:pPr>
      <w:r>
        <w:rPr>
          <w:rFonts w:hAnsi="Calibri" w:hint="eastAsia"/>
          <w:kern w:val="2"/>
          <w:sz w:val="32"/>
          <w:szCs w:val="32"/>
        </w:rPr>
        <w:t>2、加强</w:t>
      </w:r>
      <w:r>
        <w:rPr>
          <w:rFonts w:hAnsi="Calibri"/>
          <w:kern w:val="2"/>
          <w:sz w:val="32"/>
          <w:szCs w:val="32"/>
        </w:rPr>
        <w:t>党支部建设。结合党风廉政建设活动</w:t>
      </w:r>
      <w:r>
        <w:rPr>
          <w:rFonts w:hAnsi="Calibri" w:hint="eastAsia"/>
          <w:kern w:val="2"/>
          <w:sz w:val="32"/>
          <w:szCs w:val="32"/>
        </w:rPr>
        <w:t>、三会一课、主题党日</w:t>
      </w:r>
      <w:r>
        <w:rPr>
          <w:rFonts w:hAnsi="Calibri"/>
          <w:kern w:val="2"/>
          <w:sz w:val="32"/>
          <w:szCs w:val="32"/>
        </w:rPr>
        <w:t>活动，充分发挥党员的先锋模范作用。</w:t>
      </w:r>
    </w:p>
    <w:p>
      <w:pPr>
        <w:pStyle w:val="style66"/>
        <w:adjustRightInd w:val="false"/>
        <w:snapToGrid w:val="false"/>
        <w:spacing w:lineRule="atLeast" w:line="600"/>
        <w:ind w:firstLine="672" w:firstLineChars="210"/>
        <w:outlineLvl w:val="2"/>
        <w:rPr>
          <w:rFonts w:hAnsi="Calibri" w:hint="eastAsia"/>
          <w:kern w:val="2"/>
          <w:sz w:val="32"/>
          <w:szCs w:val="32"/>
        </w:rPr>
      </w:pPr>
      <w:r>
        <w:rPr>
          <w:rFonts w:hAnsi="Calibri" w:hint="eastAsia"/>
          <w:kern w:val="2"/>
          <w:sz w:val="32"/>
          <w:szCs w:val="32"/>
        </w:rPr>
        <w:t>3</w:t>
      </w:r>
      <w:r>
        <w:rPr>
          <w:rFonts w:hAnsi="Calibri"/>
          <w:kern w:val="2"/>
          <w:sz w:val="32"/>
          <w:szCs w:val="32"/>
        </w:rPr>
        <w:t>、加强师德师风教育</w:t>
      </w:r>
      <w:r>
        <w:rPr>
          <w:rFonts w:hAnsi="Calibri" w:hint="eastAsia"/>
          <w:kern w:val="2"/>
          <w:sz w:val="32"/>
          <w:szCs w:val="32"/>
        </w:rPr>
        <w:t>,</w:t>
      </w:r>
      <w:r>
        <w:rPr>
          <w:rFonts w:hAnsi="Calibri"/>
          <w:kern w:val="2"/>
          <w:sz w:val="32"/>
          <w:szCs w:val="32"/>
        </w:rPr>
        <w:t xml:space="preserve"> 进一步完善《</w:t>
      </w:r>
      <w:r>
        <w:rPr>
          <w:rFonts w:hAnsi="Calibri" w:hint="eastAsia"/>
          <w:kern w:val="2"/>
          <w:sz w:val="32"/>
          <w:szCs w:val="32"/>
        </w:rPr>
        <w:t>欣隆小学</w:t>
      </w:r>
      <w:r>
        <w:rPr>
          <w:rFonts w:hAnsi="Calibri"/>
          <w:kern w:val="2"/>
          <w:sz w:val="32"/>
          <w:szCs w:val="32"/>
        </w:rPr>
        <w:t>绩效工资实施方案》</w:t>
      </w:r>
      <w:r>
        <w:rPr>
          <w:rFonts w:hAnsi="Calibri" w:hint="eastAsia"/>
          <w:kern w:val="2"/>
          <w:sz w:val="32"/>
          <w:szCs w:val="32"/>
        </w:rPr>
        <w:t>,</w:t>
      </w:r>
      <w:r>
        <w:rPr>
          <w:rFonts w:hAnsi="Calibri"/>
          <w:kern w:val="2"/>
          <w:sz w:val="32"/>
          <w:szCs w:val="32"/>
        </w:rPr>
        <w:t xml:space="preserve"> 充分调动教职工的工作积极性，从而提升学校教学质量。</w:t>
      </w:r>
    </w:p>
    <w:p>
      <w:pPr>
        <w:pStyle w:val="style0"/>
        <w:spacing w:lineRule="atLeast" w:line="600"/>
        <w:ind w:firstLine="640" w:firstLineChars="200"/>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创造性地开展德育工作。加强班级管理</w:t>
      </w:r>
      <w:r>
        <w:rPr>
          <w:rFonts w:ascii="仿宋_GB2312" w:eastAsia="仿宋_GB2312" w:hint="eastAsia"/>
          <w:sz w:val="32"/>
          <w:szCs w:val="32"/>
        </w:rPr>
        <w:t>，培养合格的小学生。</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精细管理促进教学规范，立足课堂教学管理，提升课堂教学实效。坚持质量为本，有效落实质量管理</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sz w:val="32"/>
          <w:szCs w:val="32"/>
        </w:rPr>
        <w:t>重视文体卫生工作，规范音体美教学工作，</w:t>
      </w:r>
      <w:r>
        <w:rPr>
          <w:rFonts w:ascii="仿宋_GB2312" w:eastAsia="仿宋_GB2312" w:hint="eastAsia"/>
          <w:sz w:val="32"/>
          <w:szCs w:val="32"/>
        </w:rPr>
        <w:t>音体美抽考</w:t>
      </w:r>
      <w:r>
        <w:rPr>
          <w:rFonts w:ascii="仿宋_GB2312" w:eastAsia="仿宋_GB2312" w:hint="eastAsia"/>
          <w:sz w:val="32"/>
          <w:szCs w:val="32"/>
        </w:rPr>
        <w:t>合格。开设艺术特色课“葫芦丝”，效果突出。</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、参加市级运动会，力争获取好成绩。</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、参加文艺汇演、朗读比赛等，效果良好。</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sz w:val="32"/>
          <w:szCs w:val="32"/>
        </w:rPr>
        <w:t>加强教研组建设，扎实教研活动。扎实开展校本研训工作</w:t>
      </w:r>
      <w:r>
        <w:rPr>
          <w:rFonts w:ascii="仿宋_GB2312" w:eastAsia="仿宋_GB2312" w:hint="eastAsia"/>
          <w:sz w:val="32"/>
          <w:szCs w:val="32"/>
        </w:rPr>
        <w:t>。</w:t>
      </w:r>
      <w:r>
        <w:rPr>
          <w:rFonts w:ascii="仿宋_GB2312" w:eastAsia="仿宋_GB2312" w:hint="eastAsia"/>
          <w:sz w:val="32"/>
          <w:szCs w:val="32"/>
        </w:rPr>
        <w:t>注重教师能力提升，学校教师外出听课达到人均2次。积极开展校本教研活动。教师人均2次教研课。</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、协助“文体旅”做好学校足球场新建工作，修建成功。</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、开展“乡村少年宫”活动，丰富学生课余生活，获得全校师生、家长一致好评。</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、做好学校人才队伍建设工作，加强学校骨干教师培养，促进全校教师业务能力提升，提高全校教育教学质量。</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3</w:t>
      </w:r>
      <w:r>
        <w:rPr>
          <w:rFonts w:ascii="仿宋_GB2312" w:eastAsia="仿宋_GB2312" w:hint="eastAsia"/>
          <w:sz w:val="32"/>
          <w:szCs w:val="32"/>
        </w:rPr>
        <w:t>、加强学校安全保卫工作，聘任两名保安，确保学校教育教学秩序正常。</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4</w:t>
      </w:r>
      <w:r>
        <w:rPr>
          <w:rFonts w:ascii="仿宋_GB2312" w:eastAsia="仿宋_GB2312" w:hint="eastAsia"/>
          <w:sz w:val="32"/>
          <w:szCs w:val="32"/>
        </w:rPr>
        <w:t>、注重退休教师慰问工作，参加退协活动，春节慰问高龄退休教师，及时慰问生病退休教师及死亡退休教师家属。</w:t>
      </w:r>
    </w:p>
    <w:p>
      <w:pPr>
        <w:pStyle w:val="style0"/>
        <w:spacing w:lineRule="atLeast" w:line="600"/>
        <w:ind w:firstLine="640" w:firstLineChars="20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5</w:t>
      </w:r>
      <w:r>
        <w:rPr>
          <w:rFonts w:ascii="仿宋_GB2312" w:eastAsia="仿宋_GB2312" w:hint="eastAsia"/>
          <w:sz w:val="32"/>
          <w:szCs w:val="32"/>
        </w:rPr>
        <w:t>、做好幼儿园复园工作。</w:t>
      </w:r>
    </w:p>
    <w:p>
      <w:pPr>
        <w:pStyle w:val="style0"/>
        <w:spacing w:lineRule="atLeast" w:line="600"/>
        <w:ind w:firstLine="640" w:firstLineChars="200"/>
        <w:rPr>
          <w:rFonts w:ascii="仿宋_GB2312" w:eastAsia="仿宋_GB2312" w:hint="eastAsia"/>
          <w:sz w:val="32"/>
          <w:szCs w:val="32"/>
        </w:rPr>
      </w:pPr>
      <w:r>
        <w:rPr>
          <w:rFonts w:ascii="仿宋_GB2312" w:eastAsia="仿宋_GB2312" w:hint="eastAsia"/>
          <w:sz w:val="32"/>
          <w:szCs w:val="32"/>
        </w:rPr>
        <w:t>16、</w:t>
      </w:r>
      <w:r>
        <w:rPr>
          <w:rFonts w:ascii="仿宋_GB2312" w:eastAsia="仿宋_GB2312" w:hint="eastAsia"/>
          <w:sz w:val="32"/>
          <w:szCs w:val="32"/>
        </w:rPr>
        <w:t>做好疫情防控工作，严格按疫情防控要求拟订好预案，严格执行疫情防控指南，确保师生安全。</w:t>
      </w:r>
      <w:r>
        <w:rPr>
          <w:rFonts w:ascii="仿宋_GB2312" w:eastAsia="仿宋_GB2312"/>
          <w:sz w:val="32"/>
          <w:szCs w:val="32"/>
        </w:rPr>
        <w:t>加强留守儿童管理工作，</w:t>
      </w:r>
    </w:p>
    <w:p>
      <w:pPr>
        <w:pStyle w:val="style0"/>
        <w:spacing w:lineRule="atLeast" w:line="600"/>
        <w:ind w:firstLine="640" w:firstLineChars="20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加强财务管理，提升学校财务管理水平。规范收费行为，做到坚持标准，严格纪律，规范收费，坚持收费公示制</w:t>
      </w:r>
      <w:r>
        <w:rPr>
          <w:rFonts w:ascii="仿宋_GB2312" w:eastAsia="仿宋_GB2312" w:hint="eastAsia"/>
          <w:sz w:val="32"/>
          <w:szCs w:val="32"/>
        </w:rPr>
        <w:t>。</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二、收支预算总体情况</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按照综合预算的原则，峨眉山市九里镇欣隆小学校所有收入和支出均纳入预算管理。20</w:t>
      </w:r>
      <w:r>
        <w:rPr>
          <w:rFonts w:ascii="仿宋_GB2312" w:eastAsia="仿宋_GB2312"/>
          <w:sz w:val="32"/>
          <w:szCs w:val="32"/>
        </w:rPr>
        <w:t>2</w:t>
      </w:r>
      <w:r>
        <w:rPr>
          <w:rFonts w:ascii="仿宋_GB2312" w:eastAsia="仿宋_GB2312" w:hint="eastAsia"/>
          <w:sz w:val="32"/>
          <w:szCs w:val="32"/>
        </w:rPr>
        <w:t>1年峨眉山市九里镇欣隆小学校收入预算总额为339.34万元，较上年预算数增加2.82万元。其中：当年财政拨款收入339.34万元。相应安排支出预算339.34万元，其中：人员支出338.43万元，日常公用支出0万元，对个人和家庭的补助支出0.916万元。</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三、财政拨款支出预算安排情况</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峨眉山市九里镇欣隆小学校2021年财政拨款收支总预算339.34万元，主要用于保障峨眉山市九里镇欣隆小学校机构正常运转、完成日常工作任务以及承担教育事业发展相关工作。其中：</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基本支出339.34万元，是用于保障峨眉山市九里镇欣隆小学校正常运转的日常支出，包括基本工资、津贴补贴等人员经费。</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无项目支出预算。</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四、一般公共预算当年拨款情况说明</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（一）一般公共预算当年拨款规模及变化情况</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峨眉山市九里镇欣隆小学校2021年一般公共预算当年拨款339.34万元，较上年预算数增加2.82万元。主要原因一是人员经费增加，岗位变动涉及基本工资、绩效工资、薪级工资调整。</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（二）一般公共预算当年拨款结构情况。</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2050201学前教育预算支出8.72万元，占2.56%；</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2050202小学教育预算支出217.95万元，占64.23%；</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2080505机关事业单位基本养老保险缴费支出37.21万元，占10.97%；</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2080506机关事业单位职业年金缴费支出18.61万元，占5.48%;</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2080899其他社会保障和就业支出0.89万元，占0.26%；</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2089999其他社会保障和就业支出2.16万元，占0.64%；</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2101102事业单位医疗支出14.69元，占4.33%；</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2210201住房公积金支出39.11万元，占11.53%。</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（三）一般公共预算当年拨款具体使用情况。</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1.教育类支出205类02款01项，2021年预算数为8.72万元，主要用于：按人力资源和社会保障部、财政部规定的基本工资和津贴补贴、基础性绩效工资及社会保险费用。</w:t>
      </w:r>
      <w:r>
        <w:rPr>
          <w:rFonts w:ascii="仿宋_GB2312" w:eastAsia="仿宋_GB2312"/>
          <w:sz w:val="32"/>
          <w:szCs w:val="32"/>
        </w:rPr>
        <w:t xml:space="preserve"> </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2.教育类支出205类02款02项，2021年预算数为217.95万元，主要用于：按人力资源和社会保障部、财政部规定的基本工资和津贴补贴、基础性绩效工资。</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3. 社会保障和就业208类05款05项，2021年预算支出37.21万元，主要用于事业单位实施养老保险制度由单位缴纳的基本养老保险费支出。</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4、社会保障和就业208类05款06项，2021年预算支出18.61</w:t>
      </w:r>
      <w:r>
        <w:rPr>
          <w:rFonts w:ascii="仿宋_GB2312" w:eastAsia="仿宋_GB2312" w:hint="eastAsia"/>
          <w:sz w:val="32"/>
          <w:szCs w:val="32"/>
        </w:rPr>
        <w:t>万元，主要用于事业单位实施养老保险制度由单位实际缴纳的职业年金支出。</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5. 社会保障和就业208类08款99项，2021年预算数为0.89万元，主要用于优抚方面的支出（遗属生活补助）。</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6. 社会保障和就业208类99款99项，2021年预算数为2.16万元，主要用于社会保障和就业支出（工伤保险）。</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7. 医疗卫生210类11款02项，2021年预算数为14.69万元，主要用于政府部门安排的事业单位基本医疗保险缴费经费。</w:t>
      </w:r>
    </w:p>
    <w:p>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9. 住房保障221类02款01项，2021年预算数为39.11万元，主要用于按人力资源和社会保障部、财政部规定的基本工资和津贴补贴以及规定比例为职工缴纳的住房公积金支出。</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五、一般公共预算基本支出情况说明</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峨眉山市九里镇欣隆小学校2021年一般公共预算基本支出339.34万元，其中：人员经费339.3.4万元，主要包括：基本工资、津贴补贴、绩效工资、伙食补助费、机关事业单位基本养老保险缴费、职业年金缴费、职工基本医疗保险缴费、其他社会保障缴费（工伤保险）、住房公积金、离休费、生活补助、奖励金。</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六、政府性基金预算支出规模及变化情况说明</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峨眉山市九里镇欣隆小学校2021年无政府性基金预算。</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八、“三公”经费预算安排情况说明</w:t>
      </w:r>
    </w:p>
    <w:p>
      <w:pPr>
        <w:pStyle w:val="style0"/>
        <w:spacing w:lineRule="exact" w:line="600"/>
        <w:ind w:firstLine="640" w:firstLineChars="200"/>
        <w:outlineLvl w:val="1"/>
        <w:rPr>
          <w:rFonts w:ascii="楷体_GB2312" w:eastAsia="楷体_GB2312"/>
          <w:sz w:val="32"/>
          <w:szCs w:val="32"/>
        </w:rPr>
      </w:pPr>
      <w:r>
        <w:rPr>
          <w:rFonts w:ascii="仿宋_GB2312" w:eastAsia="仿宋_GB2312" w:hint="eastAsia"/>
          <w:sz w:val="32"/>
          <w:szCs w:val="32"/>
        </w:rPr>
        <w:t>峨眉山市九里镇欣隆小学校2021年“三公”经费预算数0万元。其中财政拨款安排“三公”经费0万元。因公出国（境）经费0万元，公务接待费0万元，公务用车购置及运行维护费0万元。</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（一）无因公出国（境）预算。</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2021年因公临时出国（境）未安排人次。</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（二）公务接待费较上年预算减少（增加）0万元。</w:t>
      </w:r>
    </w:p>
    <w:p>
      <w:pPr>
        <w:pStyle w:val="style0"/>
        <w:spacing w:lineRule="exact" w:line="600"/>
        <w:ind w:firstLine="640" w:firstLineChars="200"/>
        <w:outlineLvl w:val="1"/>
        <w:rPr>
          <w:rFonts w:ascii="仿宋_GB2312" w:eastAsia="仿宋_GB2312"/>
          <w:sz w:val="32"/>
          <w:szCs w:val="32"/>
        </w:rPr>
      </w:pPr>
      <w:r>
        <w:rPr>
          <w:rFonts w:ascii="楷体_GB2312" w:eastAsia="楷体_GB2312" w:hint="eastAsia"/>
          <w:sz w:val="32"/>
          <w:szCs w:val="32"/>
        </w:rPr>
        <w:t>（三）无</w:t>
      </w:r>
      <w:r>
        <w:rPr>
          <w:rFonts w:ascii="仿宋_GB2312" w:eastAsia="仿宋_GB2312" w:hint="eastAsia"/>
          <w:sz w:val="32"/>
          <w:szCs w:val="32"/>
        </w:rPr>
        <w:t>公务用车购置及运行维护费预算。</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九、其他重要事项的情况说明</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（一）机关运行经费。</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2021年，峨眉山市九里镇欣隆小学校无机关运行预算。</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（二）政府采购情况。</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2021年，峨眉山市九里镇欣隆小学校安排政府采购预算0万元。</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（三）国有资产占有使用情况。</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截至去年底，峨眉山市九里镇欣隆小学校实际共无公车。单位价值200万元以上大型设备0台（套）。</w:t>
      </w:r>
      <w:r>
        <w:rPr>
          <w:rFonts w:ascii="仿宋_GB2312" w:eastAsia="仿宋_GB2312" w:hint="eastAsia"/>
          <w:sz w:val="32"/>
          <w:szCs w:val="32"/>
        </w:rPr>
        <w:br/>
      </w:r>
      <w:r>
        <w:rPr>
          <w:rFonts w:ascii="仿宋_GB2312" w:eastAsia="仿宋_GB2312" w:hint="eastAsia"/>
          <w:sz w:val="32"/>
          <w:szCs w:val="32"/>
        </w:rPr>
        <w:t>　　2021年，预算安排购置车辆及单位价值200万元以上大型设备0台（套）。</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（四）绩效目标设置情况。</w:t>
      </w:r>
    </w:p>
    <w:p>
      <w:pPr>
        <w:pStyle w:val="style0"/>
        <w:spacing w:lineRule="exact" w:line="600"/>
        <w:ind w:firstLine="640" w:firstLineChars="200"/>
        <w:outlineLvl w:val="1"/>
        <w:rPr>
          <w:rFonts w:ascii="仿宋_GB2312" w:eastAsia="仿宋_GB2312"/>
          <w:sz w:val="32"/>
          <w:szCs w:val="32"/>
        </w:rPr>
      </w:pPr>
      <w:r>
        <w:rPr>
          <w:rFonts w:ascii="仿宋_GB2312" w:eastAsia="仿宋_GB2312" w:hint="eastAsia"/>
          <w:sz w:val="32"/>
          <w:szCs w:val="32"/>
        </w:rPr>
        <w:t>2021年，峨眉山市九里镇欣隆小学校按要求实行绩效目标</w:t>
      </w:r>
      <w:r>
        <w:rPr>
          <w:rFonts w:ascii="仿宋_GB2312" w:eastAsia="仿宋_GB2312" w:hint="eastAsia"/>
          <w:sz w:val="32"/>
          <w:szCs w:val="32"/>
        </w:rPr>
        <w:t>管理，整体绩效目标涉及预算安排339.34万元，其中基本支出339.34万元。</w:t>
      </w:r>
    </w:p>
    <w:p>
      <w:pPr>
        <w:pStyle w:val="style0"/>
        <w:spacing w:lineRule="exact" w:line="600"/>
        <w:ind w:firstLine="640" w:firstLineChars="200"/>
        <w:outlineLvl w:val="1"/>
        <w:rPr>
          <w:rFonts w:ascii="黑体" w:eastAsia="黑体"/>
          <w:sz w:val="32"/>
          <w:szCs w:val="32"/>
        </w:rPr>
      </w:pPr>
      <w:r>
        <w:rPr>
          <w:rFonts w:ascii="黑体" w:eastAsia="黑体" w:hint="eastAsia"/>
          <w:sz w:val="32"/>
          <w:szCs w:val="32"/>
        </w:rPr>
        <w:t>十、名词解释</w:t>
      </w:r>
    </w:p>
    <w:p>
      <w:pPr>
        <w:pStyle w:val="style4097"/>
        <w:spacing w:lineRule="exact" w:line="560"/>
        <w:ind w:firstLine="640" w:firstLineChars="20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pPr>
        <w:pStyle w:val="style4097"/>
        <w:spacing w:lineRule="exact" w:line="560"/>
        <w:ind w:firstLine="640" w:firstLineChars="200"/>
        <w:rPr>
          <w:rFonts w:ascii="仿宋_GB2312" w:eastAsia="仿宋_GB2312"/>
          <w:sz w:val="32"/>
          <w:szCs w:val="32"/>
        </w:rPr>
      </w:pPr>
      <w:r>
        <w:rPr>
          <w:rFonts w:ascii="仿宋_GB2312" w:eastAsia="仿宋_GB2312" w:hint="eastAsia"/>
          <w:sz w:val="32"/>
          <w:szCs w:val="32"/>
        </w:rPr>
        <w:t>2.一般公共预算拨款收入：指本级财政当年拨付的资金。</w:t>
      </w:r>
    </w:p>
    <w:p>
      <w:pPr>
        <w:pStyle w:val="style4097"/>
        <w:spacing w:lineRule="exact" w:line="560"/>
        <w:ind w:firstLine="640" w:firstLineChars="20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 xml:space="preserve">等。。 </w:t>
      </w:r>
    </w:p>
    <w:p>
      <w:pPr>
        <w:pStyle w:val="style4097"/>
        <w:spacing w:lineRule="exact" w:line="600"/>
        <w:ind w:firstLine="640" w:firstLineChars="200"/>
        <w:rPr>
          <w:rFonts w:ascii="仿宋_GB2312" w:eastAsia="仿宋_GB2312"/>
          <w:sz w:val="32"/>
          <w:szCs w:val="32"/>
        </w:rPr>
      </w:pPr>
      <w:r>
        <w:rPr>
          <w:rFonts w:ascii="仿宋_GB2312" w:eastAsia="仿宋_GB2312" w:hint="eastAsia"/>
          <w:sz w:val="32"/>
          <w:szCs w:val="32"/>
        </w:rPr>
        <w:t>4. 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pPr>
        <w:pStyle w:val="style4097"/>
        <w:spacing w:lineRule="exact" w:line="600"/>
        <w:ind w:firstLine="640" w:firstLineChars="200"/>
        <w:rPr>
          <w:rFonts w:ascii="仿宋_GB2312" w:eastAsia="仿宋_GB2312"/>
          <w:sz w:val="32"/>
          <w:szCs w:val="32"/>
        </w:rPr>
      </w:pPr>
      <w:r>
        <w:rPr>
          <w:rFonts w:ascii="仿宋_GB2312" w:eastAsia="仿宋_GB2312" w:hint="eastAsia"/>
          <w:sz w:val="32"/>
          <w:szCs w:val="32"/>
        </w:rPr>
        <w:t>5. 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pPr>
        <w:pStyle w:val="style0"/>
        <w:ind w:firstLine="640" w:firstLineChars="20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sz w:val="32"/>
          <w:szCs w:val="32"/>
        </w:rPr>
        <w:t xml:space="preserve"> 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pPr>
        <w:pStyle w:val="style0"/>
        <w:ind w:firstLine="640" w:firstLineChars="20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sz w:val="32"/>
          <w:szCs w:val="32"/>
        </w:rPr>
        <w:t xml:space="preserve"> 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pPr>
        <w:pStyle w:val="style0"/>
        <w:ind w:firstLine="640" w:firstLineChars="20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sz w:val="32"/>
          <w:szCs w:val="32"/>
        </w:rPr>
        <w:t xml:space="preserve"> 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pPr>
        <w:pStyle w:val="style4097"/>
        <w:spacing w:lineRule="exact" w:line="600"/>
        <w:ind w:firstLine="640" w:firstLineChars="200"/>
        <w:rPr>
          <w:rFonts w:ascii="仿宋_GB2312" w:eastAsia="仿宋_GB2312"/>
          <w:sz w:val="32"/>
          <w:szCs w:val="32"/>
        </w:rPr>
      </w:pPr>
      <w:r>
        <w:rPr>
          <w:rFonts w:ascii="仿宋_GB2312" w:eastAsia="仿宋_GB2312" w:hint="eastAsia"/>
          <w:sz w:val="32"/>
          <w:szCs w:val="32"/>
        </w:rPr>
        <w:t>9. 社会保障和就业支出（类）其他社会保障和就业支出（款）</w:t>
      </w:r>
      <w:r>
        <w:rPr>
          <w:rFonts w:ascii="仿宋_GB2312" w:eastAsia="仿宋_GB2312" w:hint="eastAsia"/>
          <w:sz w:val="32"/>
          <w:szCs w:val="32"/>
        </w:rPr>
        <w:t>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pPr>
        <w:pStyle w:val="style0"/>
        <w:ind w:firstLine="640" w:firstLineChars="20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sz w:val="32"/>
          <w:szCs w:val="32"/>
        </w:rPr>
        <w:t xml:space="preserve"> 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pPr>
        <w:pStyle w:val="style0"/>
        <w:ind w:firstLine="640" w:firstLineChars="200"/>
        <w:rPr>
          <w:rFonts w:ascii="仿宋_GB2312" w:eastAsia="仿宋_GB2312"/>
          <w:sz w:val="32"/>
          <w:szCs w:val="32"/>
        </w:rPr>
      </w:pPr>
      <w:r>
        <w:rPr>
          <w:rFonts w:ascii="仿宋_GB2312" w:eastAsia="仿宋_GB2312" w:hint="eastAsia"/>
          <w:color w:val="000000"/>
          <w:sz w:val="32"/>
          <w:szCs w:val="32"/>
        </w:rPr>
        <w:t>11.</w:t>
      </w:r>
      <w:r>
        <w:rPr>
          <w:rFonts w:ascii="仿宋_GB2312" w:eastAsia="仿宋_GB2312" w:hint="eastAsia"/>
          <w:sz w:val="32"/>
          <w:szCs w:val="32"/>
        </w:rPr>
        <w:t xml:space="preserve"> 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pPr>
        <w:pStyle w:val="style0"/>
        <w:ind w:firstLine="640" w:firstLineChars="200"/>
        <w:rPr>
          <w:rFonts w:ascii="仿宋_GB2312" w:eastAsia="仿宋_GB2312"/>
          <w:sz w:val="32"/>
          <w:szCs w:val="32"/>
        </w:rPr>
      </w:pPr>
      <w:r>
        <w:rPr>
          <w:rFonts w:ascii="仿宋_GB2312" w:eastAsia="仿宋_GB2312" w:hint="eastAsia"/>
          <w:sz w:val="32"/>
          <w:szCs w:val="32"/>
        </w:rPr>
        <w:t xml:space="preserve">12. </w:t>
      </w:r>
      <w:r>
        <w:rPr>
          <w:rFonts w:ascii="仿宋_GB2312" w:eastAsia="仿宋_GB2312" w:hint="eastAsia"/>
          <w:color w:val="000000"/>
          <w:sz w:val="32"/>
          <w:szCs w:val="32"/>
        </w:rPr>
        <w:t>基本支出：指为保障机构正常运转、完成日常工作任务而发生的人员支出和公用支出。</w:t>
      </w:r>
    </w:p>
    <w:p>
      <w:pPr>
        <w:pStyle w:val="style4097"/>
        <w:spacing w:lineRule="exact" w:line="600"/>
        <w:ind w:firstLine="640" w:firstLineChars="200"/>
        <w:rPr>
          <w:rFonts w:ascii="仿宋_GB2312" w:eastAsia="仿宋_GB2312"/>
          <w:sz w:val="32"/>
          <w:szCs w:val="32"/>
        </w:rPr>
      </w:pPr>
      <w:r>
        <w:rPr>
          <w:rFonts w:ascii="仿宋_GB2312" w:eastAsia="仿宋_GB2312" w:hint="eastAsia"/>
          <w:sz w:val="32"/>
          <w:szCs w:val="32"/>
        </w:rPr>
        <w:t>13. 项目支出：指在基本支出之外为完成特定行政任务和事业发展目标所发生的支出。</w:t>
      </w:r>
    </w:p>
    <w:p>
      <w:pPr>
        <w:pStyle w:val="style0"/>
        <w:ind w:firstLine="640" w:firstLineChars="20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hint="eastAsia"/>
          <w:sz w:val="32"/>
          <w:szCs w:val="32"/>
        </w:rPr>
        <w:t xml:space="preserve">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w:t>
      </w:r>
      <w:r>
        <w:rPr>
          <w:rFonts w:ascii="仿宋_GB2312" w:eastAsia="仿宋_GB2312" w:hint="eastAsia"/>
          <w:sz w:val="32"/>
          <w:szCs w:val="32"/>
        </w:rPr>
        <w:t>的各类公务接待（含外宾接待）支出。</w:t>
      </w:r>
    </w:p>
    <w:p>
      <w:pPr>
        <w:pStyle w:val="style0"/>
        <w:spacing w:lineRule="exact" w:line="600"/>
        <w:outlineLvl w:val="1"/>
        <w:rPr/>
      </w:pPr>
    </w:p>
    <w:p>
      <w:pPr>
        <w:pStyle w:val="style0"/>
        <w:spacing w:lineRule="exact" w:line="600"/>
        <w:outlineLvl w:val="1"/>
        <w:rPr/>
      </w:pPr>
    </w:p>
    <w:p>
      <w:pPr>
        <w:pStyle w:val="style0"/>
        <w:spacing w:lineRule="exact" w:line="600"/>
        <w:outlineLvl w:val="1"/>
        <w:rPr>
          <w:rFonts w:ascii="仿宋_GB2312" w:cs="仿宋" w:eastAsia="仿宋_GB2312"/>
          <w:color w:val="000000"/>
          <w:kern w:val="0"/>
          <w:sz w:val="32"/>
          <w:szCs w:val="32"/>
        </w:rPr>
      </w:pPr>
      <w:r>
        <w:rPr>
          <w:rFonts w:hint="eastAsia"/>
        </w:rPr>
        <w:t xml:space="preserve">                                         </w:t>
      </w:r>
      <w:r>
        <w:rPr>
          <w:rFonts w:ascii="仿宋_GB2312" w:cs="仿宋" w:eastAsia="仿宋_GB2312" w:hint="eastAsia"/>
          <w:color w:val="000000"/>
          <w:kern w:val="0"/>
          <w:sz w:val="32"/>
          <w:szCs w:val="32"/>
        </w:rPr>
        <w:t xml:space="preserve">  峨眉山市九里镇欣隆小学校</w:t>
      </w:r>
    </w:p>
    <w:p>
      <w:pPr>
        <w:pStyle w:val="style0"/>
        <w:spacing w:lineRule="exact" w:line="600"/>
        <w:outlineLvl w:val="1"/>
        <w:rPr>
          <w:rFonts w:ascii="仿宋_GB2312" w:cs="仿宋" w:eastAsia="仿宋_GB2312"/>
          <w:color w:val="000000"/>
          <w:kern w:val="0"/>
          <w:sz w:val="32"/>
          <w:szCs w:val="32"/>
        </w:rPr>
      </w:pPr>
      <w:r>
        <w:rPr>
          <w:rFonts w:ascii="仿宋_GB2312" w:cs="仿宋" w:eastAsia="仿宋_GB2312" w:hint="eastAsia"/>
          <w:color w:val="000000"/>
          <w:kern w:val="0"/>
          <w:sz w:val="32"/>
          <w:szCs w:val="32"/>
        </w:rPr>
        <w:t xml:space="preserve">                             二〇二一年一月二十五日</w:t>
      </w:r>
    </w:p>
    <w:sectPr>
      <w:footerReference w:type="even" r:id="rId2"/>
      <w:footerReference w:type="default" r:id="rId3"/>
      <w:pgSz w:w="11906" w:h="16838" w:orient="portrait"/>
      <w:pgMar w:top="2098" w:right="1474" w:bottom="1928" w:left="1588" w:header="851" w:footer="147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仿宋">
    <w:altName w:val="仿宋"/>
    <w:panose1 w:val="020106090600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方正小标宋简体">
    <w:altName w:val="SimSun-ExtB"/>
    <w:panose1 w:val="00000000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firstLine="280" w:firstLineChars="10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wordWrap w:val="false"/>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mirrorMargin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hAnsi="Calibri"/>
      <w:kern w:val="2"/>
      <w:sz w:val="21"/>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qFormat/>
    <w:pPr>
      <w:tabs>
        <w:tab w:val="center" w:leader="none" w:pos="4153"/>
        <w:tab w:val="right" w:leader="none" w:pos="8306"/>
      </w:tabs>
      <w:snapToGrid w:val="false"/>
      <w:jc w:val="left"/>
    </w:pPr>
    <w:rPr>
      <w:sz w:val="18"/>
      <w:szCs w:val="18"/>
    </w:rPr>
  </w:style>
  <w:style w:type="paragraph" w:styleId="style31">
    <w:name w:val="header"/>
    <w:basedOn w:val="style0"/>
    <w:next w:val="style31"/>
    <w:qFormat/>
    <w:pPr>
      <w:pBdr>
        <w:bottom w:val="single" w:sz="6" w:space="1" w:color="auto"/>
      </w:pBdr>
      <w:tabs>
        <w:tab w:val="center" w:leader="none" w:pos="4153"/>
        <w:tab w:val="right" w:leader="none" w:pos="8306"/>
      </w:tabs>
      <w:snapToGrid w:val="false"/>
      <w:jc w:val="center"/>
    </w:pPr>
    <w:rPr>
      <w:sz w:val="18"/>
      <w:szCs w:val="18"/>
    </w:rPr>
  </w:style>
  <w:style w:type="paragraph" w:customStyle="1" w:styleId="style4097">
    <w:name w:val="Default"/>
    <w:next w:val="style4097"/>
    <w:qFormat/>
    <w:pPr>
      <w:widowControl w:val="false"/>
      <w:autoSpaceDE w:val="false"/>
      <w:autoSpaceDN w:val="false"/>
      <w:adjustRightInd w:val="false"/>
    </w:pPr>
    <w:rPr>
      <w:rFonts w:ascii="仿宋" w:cs="仿宋" w:eastAsia="仿宋" w:hAnsi="Calibri"/>
      <w:color w:val="000000"/>
      <w:sz w:val="24"/>
      <w:szCs w:val="24"/>
    </w:rPr>
  </w:style>
  <w:style w:type="paragraph" w:styleId="style66">
    <w:name w:val="Body Text"/>
    <w:basedOn w:val="style0"/>
    <w:next w:val="style66"/>
    <w:link w:val="style4098"/>
    <w:uiPriority w:val="99"/>
    <w:pPr>
      <w:spacing w:beforeLines="30"/>
    </w:pPr>
    <w:rPr>
      <w:rFonts w:ascii="仿宋_GB2312" w:eastAsia="仿宋_GB2312" w:hAnsi="Times New Roman"/>
      <w:kern w:val="0"/>
      <w:sz w:val="30"/>
      <w:szCs w:val="24"/>
    </w:rPr>
  </w:style>
  <w:style w:type="character" w:customStyle="1" w:styleId="style4098">
    <w:name w:val="正文文本 Char"/>
    <w:basedOn w:val="style65"/>
    <w:next w:val="style4098"/>
    <w:link w:val="style66"/>
    <w:qFormat/>
    <w:uiPriority w:val="99"/>
    <w:rPr>
      <w:rFonts w:ascii="仿宋_GB2312" w:eastAsia="仿宋_GB2312"/>
      <w:sz w:val="30"/>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Words>3423</Words>
  <Pages>9</Pages>
  <Characters>3770</Characters>
  <Application>WPS Office</Application>
  <DocSecurity>0</DocSecurity>
  <Paragraphs>94</Paragraphs>
  <ScaleCrop>false</ScaleCrop>
  <Company>微软中国</Company>
  <LinksUpToDate>false</LinksUpToDate>
  <CharactersWithSpaces>3876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2021-01-27T01:20:00Z</dcterms:created>
  <dc:creator>微软用户</dc:creator>
  <lastModifiedBy>V1831A</lastModifiedBy>
  <dcterms:modified xsi:type="dcterms:W3CDTF">2021-01-31T04:31:03Z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