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475"/>
      <w:bookmarkStart w:id="2" w:name="_Toc15378441"/>
      <w:bookmarkStart w:id="3" w:name="_Toc15377193"/>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194"/>
      <w:bookmarkStart w:id="7" w:name="_Toc15396476"/>
      <w:bookmarkStart w:id="8" w:name="_Toc15396598"/>
      <w:bookmarkStart w:id="9" w:name="_Toc15377426"/>
      <w:bookmarkStart w:id="10" w:name="_Toc15378442"/>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大为镇卫生院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rPr>
          <w:rFonts w:hint="eastAsia"/>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sdt>
      <w:sdtPr>
        <w:rPr>
          <w:rFonts w:ascii="宋体" w:hAnsi="宋体" w:eastAsia="宋体" w:cs="Times New Roman"/>
          <w:kern w:val="2"/>
          <w:sz w:val="21"/>
          <w:szCs w:val="24"/>
          <w:lang w:val="en-US" w:eastAsia="zh-CN" w:bidi="ar-SA"/>
        </w:rPr>
        <w:id w:val="147477705"/>
        <w:docPartObj>
          <w:docPartGallery w:val="Table of Contents"/>
          <w:docPartUnique/>
        </w:docPartObj>
      </w:sdtPr>
      <w:sdtEndPr>
        <w:rPr>
          <w:rFonts w:ascii="Calibri" w:hAnsi="Calibri"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26119_WPSOffice_Type2"/>
          <w:r>
            <w:rPr>
              <w:rFonts w:ascii="宋体" w:hAnsi="宋体" w:eastAsia="宋体"/>
              <w:sz w:val="21"/>
            </w:rPr>
            <w:t>目录</w:t>
          </w:r>
        </w:p>
        <w:p>
          <w:pPr>
            <w:pStyle w:val="31"/>
            <w:tabs>
              <w:tab w:val="right" w:leader="dot" w:pos="8306"/>
            </w:tabs>
          </w:pPr>
          <w:r>
            <w:rPr>
              <w:b/>
              <w:bCs/>
            </w:rPr>
            <w:fldChar w:fldCharType="begin"/>
          </w:r>
          <w:r>
            <w:instrText xml:space="preserve"> HYPERLINK \l _Toc21121_WPSOffice_Level1 </w:instrText>
          </w:r>
          <w:r>
            <w:rPr>
              <w:b/>
              <w:bCs/>
            </w:rPr>
            <w:fldChar w:fldCharType="separate"/>
          </w:r>
          <w:sdt>
            <w:sdtPr>
              <w:rPr>
                <w:rFonts w:ascii="仿宋" w:hAnsi="仿宋" w:eastAsia="仿宋" w:cs="Times New Roman"/>
                <w:b/>
                <w:bCs/>
                <w:kern w:val="2"/>
                <w:sz w:val="28"/>
                <w:szCs w:val="28"/>
                <w:lang w:val="en-US" w:eastAsia="zh-CN" w:bidi="ar-SA"/>
              </w:rPr>
              <w:id w:val="147477705"/>
              <w:placeholder>
                <w:docPart w:val="{a8e4ffab-b04f-486e-8166-2b84dfdbb108}"/>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21121_WPSOffice_Level1Page"/>
          <w:r>
            <w:rPr>
              <w:b/>
              <w:bCs/>
            </w:rPr>
            <w:t>1</w:t>
          </w:r>
          <w:bookmarkEnd w:id="13"/>
          <w:r>
            <w:rPr>
              <w:b/>
              <w:bCs/>
            </w:rPr>
            <w:fldChar w:fldCharType="end"/>
          </w:r>
        </w:p>
        <w:p>
          <w:pPr>
            <w:pStyle w:val="32"/>
            <w:tabs>
              <w:tab w:val="right" w:leader="dot" w:pos="8306"/>
            </w:tabs>
          </w:pPr>
          <w:r>
            <w:fldChar w:fldCharType="begin"/>
          </w:r>
          <w:r>
            <w:instrText xml:space="preserve"> HYPERLINK \l _Toc26119_WPSOffice_Level2 </w:instrText>
          </w:r>
          <w:r>
            <w:fldChar w:fldCharType="separate"/>
          </w:r>
          <w:sdt>
            <w:sdtPr>
              <w:rPr>
                <w:rFonts w:ascii="仿宋" w:hAnsi="仿宋" w:eastAsia="仿宋" w:cs="Times New Roman"/>
                <w:kern w:val="2"/>
                <w:sz w:val="28"/>
                <w:szCs w:val="28"/>
                <w:lang w:val="en-US" w:eastAsia="zh-CN" w:bidi="ar-SA"/>
              </w:rPr>
              <w:id w:val="147477705"/>
              <w:placeholder>
                <w:docPart w:val="{c2539a31-eb7b-42c7-a8e5-ee387ec839a6}"/>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26119_WPSOffice_Level2Page"/>
          <w:r>
            <w:t>1</w:t>
          </w:r>
          <w:bookmarkEnd w:id="14"/>
          <w:r>
            <w:fldChar w:fldCharType="end"/>
          </w:r>
        </w:p>
        <w:p>
          <w:pPr>
            <w:pStyle w:val="32"/>
            <w:tabs>
              <w:tab w:val="right" w:leader="dot" w:pos="8306"/>
            </w:tabs>
          </w:pPr>
          <w:r>
            <w:fldChar w:fldCharType="begin"/>
          </w:r>
          <w:r>
            <w:instrText xml:space="preserve"> HYPERLINK \l _Toc18507_WPSOffice_Level2 </w:instrText>
          </w:r>
          <w:r>
            <w:fldChar w:fldCharType="separate"/>
          </w:r>
          <w:sdt>
            <w:sdtPr>
              <w:rPr>
                <w:rFonts w:ascii="仿宋" w:hAnsi="仿宋" w:eastAsia="仿宋" w:cs="Times New Roman"/>
                <w:kern w:val="2"/>
                <w:sz w:val="28"/>
                <w:szCs w:val="28"/>
                <w:lang w:val="en-US" w:eastAsia="zh-CN" w:bidi="ar-SA"/>
              </w:rPr>
              <w:id w:val="147477705"/>
              <w:placeholder>
                <w:docPart w:val="{6099761a-2454-4354-baaf-7e7a679557b6}"/>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18507_WPSOffice_Level2Page"/>
          <w:r>
            <w:t>1</w:t>
          </w:r>
          <w:bookmarkEnd w:id="15"/>
          <w:r>
            <w:fldChar w:fldCharType="end"/>
          </w:r>
        </w:p>
        <w:p>
          <w:pPr>
            <w:pStyle w:val="31"/>
            <w:tabs>
              <w:tab w:val="right" w:leader="dot" w:pos="8306"/>
            </w:tabs>
          </w:pPr>
          <w:r>
            <w:rPr>
              <w:b/>
              <w:bCs/>
            </w:rPr>
            <w:fldChar w:fldCharType="begin"/>
          </w:r>
          <w:r>
            <w:instrText xml:space="preserve"> HYPERLINK \l _Toc26119_WPSOffice_Level1 </w:instrText>
          </w:r>
          <w:r>
            <w:rPr>
              <w:b/>
              <w:bCs/>
            </w:rPr>
            <w:fldChar w:fldCharType="separate"/>
          </w:r>
          <w:sdt>
            <w:sdtPr>
              <w:rPr>
                <w:rFonts w:ascii="仿宋" w:hAnsi="仿宋" w:eastAsia="仿宋" w:cs="Times New Roman"/>
                <w:b/>
                <w:bCs/>
                <w:kern w:val="2"/>
                <w:sz w:val="28"/>
                <w:szCs w:val="28"/>
                <w:lang w:val="en-US" w:eastAsia="zh-CN" w:bidi="ar-SA"/>
              </w:rPr>
              <w:id w:val="147477705"/>
              <w:placeholder>
                <w:docPart w:val="{b037b6bc-0f3f-48ca-bdcb-e1ff6c71f935}"/>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26119_WPSOffice_Level1Page"/>
          <w:r>
            <w:rPr>
              <w:b/>
              <w:bCs/>
            </w:rPr>
            <w:t>2</w:t>
          </w:r>
          <w:bookmarkEnd w:id="16"/>
          <w:r>
            <w:rPr>
              <w:b/>
              <w:bCs/>
            </w:rPr>
            <w:fldChar w:fldCharType="end"/>
          </w:r>
        </w:p>
        <w:p>
          <w:pPr>
            <w:pStyle w:val="32"/>
            <w:tabs>
              <w:tab w:val="right" w:leader="dot" w:pos="8306"/>
            </w:tabs>
          </w:pPr>
          <w:r>
            <w:fldChar w:fldCharType="begin"/>
          </w:r>
          <w:r>
            <w:instrText xml:space="preserve"> HYPERLINK \l _Toc26183_WPSOffice_Level2 </w:instrText>
          </w:r>
          <w:r>
            <w:fldChar w:fldCharType="separate"/>
          </w:r>
          <w:sdt>
            <w:sdtPr>
              <w:rPr>
                <w:rFonts w:ascii="仿宋" w:hAnsi="仿宋" w:eastAsia="仿宋" w:cs="Times New Roman"/>
                <w:kern w:val="2"/>
                <w:sz w:val="28"/>
                <w:szCs w:val="28"/>
                <w:lang w:val="en-US" w:eastAsia="zh-CN" w:bidi="ar-SA"/>
              </w:rPr>
              <w:id w:val="147477705"/>
              <w:placeholder>
                <w:docPart w:val="{2615a22c-bead-46d0-8aea-5c1d3ba1fc83}"/>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26183_WPSOffice_Level2Page"/>
          <w:r>
            <w:t>2</w:t>
          </w:r>
          <w:bookmarkEnd w:id="17"/>
          <w:r>
            <w:fldChar w:fldCharType="end"/>
          </w:r>
        </w:p>
        <w:p>
          <w:pPr>
            <w:pStyle w:val="32"/>
            <w:tabs>
              <w:tab w:val="right" w:leader="dot" w:pos="8306"/>
            </w:tabs>
          </w:pPr>
          <w:r>
            <w:fldChar w:fldCharType="begin"/>
          </w:r>
          <w:r>
            <w:instrText xml:space="preserve"> HYPERLINK \l _Toc27432_WPSOffice_Level2 </w:instrText>
          </w:r>
          <w:r>
            <w:fldChar w:fldCharType="separate"/>
          </w:r>
          <w:sdt>
            <w:sdtPr>
              <w:rPr>
                <w:rFonts w:ascii="仿宋" w:hAnsi="仿宋" w:eastAsia="仿宋" w:cs="Times New Roman"/>
                <w:kern w:val="2"/>
                <w:sz w:val="28"/>
                <w:szCs w:val="28"/>
                <w:lang w:val="en-US" w:eastAsia="zh-CN" w:bidi="ar-SA"/>
              </w:rPr>
              <w:id w:val="147477705"/>
              <w:placeholder>
                <w:docPart w:val="{b7a1bdf4-9476-4d0e-b5bd-3692c959b31f}"/>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8" w:name="_Toc27432_WPSOffice_Level2Page"/>
          <w:r>
            <w:t>3</w:t>
          </w:r>
          <w:bookmarkEnd w:id="18"/>
          <w:r>
            <w:fldChar w:fldCharType="end"/>
          </w:r>
        </w:p>
        <w:p>
          <w:pPr>
            <w:pStyle w:val="32"/>
            <w:tabs>
              <w:tab w:val="right" w:leader="dot" w:pos="8306"/>
            </w:tabs>
          </w:pPr>
          <w:r>
            <w:fldChar w:fldCharType="begin"/>
          </w:r>
          <w:r>
            <w:instrText xml:space="preserve"> HYPERLINK \l _Toc30843_WPSOffice_Level2 </w:instrText>
          </w:r>
          <w:r>
            <w:fldChar w:fldCharType="separate"/>
          </w:r>
          <w:sdt>
            <w:sdtPr>
              <w:rPr>
                <w:rFonts w:ascii="仿宋" w:hAnsi="仿宋" w:eastAsia="仿宋" w:cs="Times New Roman"/>
                <w:kern w:val="2"/>
                <w:sz w:val="28"/>
                <w:szCs w:val="28"/>
                <w:lang w:val="en-US" w:eastAsia="zh-CN" w:bidi="ar-SA"/>
              </w:rPr>
              <w:id w:val="147477705"/>
              <w:placeholder>
                <w:docPart w:val="{91177682-8fc5-4551-bd0c-1a5e3c535b50}"/>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19" w:name="_Toc30843_WPSOffice_Level2Page"/>
          <w:r>
            <w:t>4</w:t>
          </w:r>
          <w:bookmarkEnd w:id="19"/>
          <w:r>
            <w:fldChar w:fldCharType="end"/>
          </w:r>
        </w:p>
        <w:p>
          <w:pPr>
            <w:pStyle w:val="32"/>
            <w:tabs>
              <w:tab w:val="right" w:leader="dot" w:pos="8306"/>
            </w:tabs>
          </w:pPr>
          <w:r>
            <w:fldChar w:fldCharType="begin"/>
          </w:r>
          <w:r>
            <w:instrText xml:space="preserve"> HYPERLINK \l _Toc4943_WPSOffice_Level2 </w:instrText>
          </w:r>
          <w:r>
            <w:fldChar w:fldCharType="separate"/>
          </w:r>
          <w:sdt>
            <w:sdtPr>
              <w:rPr>
                <w:rFonts w:ascii="仿宋" w:hAnsi="仿宋" w:eastAsia="仿宋" w:cs="Times New Roman"/>
                <w:kern w:val="2"/>
                <w:sz w:val="28"/>
                <w:szCs w:val="28"/>
                <w:lang w:val="en-US" w:eastAsia="zh-CN" w:bidi="ar-SA"/>
              </w:rPr>
              <w:id w:val="147477705"/>
              <w:placeholder>
                <w:docPart w:val="{df4303b1-97ad-44b2-a2b9-0fee1a6e3b35}"/>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0" w:name="_Toc4943_WPSOffice_Level2Page"/>
          <w:r>
            <w:t>5</w:t>
          </w:r>
          <w:bookmarkEnd w:id="20"/>
          <w:r>
            <w:fldChar w:fldCharType="end"/>
          </w:r>
        </w:p>
        <w:p>
          <w:pPr>
            <w:pStyle w:val="32"/>
            <w:tabs>
              <w:tab w:val="right" w:leader="dot" w:pos="8306"/>
            </w:tabs>
          </w:pPr>
          <w:r>
            <w:fldChar w:fldCharType="begin"/>
          </w:r>
          <w:r>
            <w:instrText xml:space="preserve"> HYPERLINK \l _Toc30297_WPSOffice_Level2 </w:instrText>
          </w:r>
          <w:r>
            <w:fldChar w:fldCharType="separate"/>
          </w:r>
          <w:sdt>
            <w:sdtPr>
              <w:rPr>
                <w:rFonts w:ascii="仿宋" w:hAnsi="仿宋" w:eastAsia="仿宋" w:cs="Times New Roman"/>
                <w:kern w:val="2"/>
                <w:sz w:val="28"/>
                <w:szCs w:val="28"/>
                <w:lang w:val="en-US" w:eastAsia="zh-CN" w:bidi="ar-SA"/>
              </w:rPr>
              <w:id w:val="147477705"/>
              <w:placeholder>
                <w:docPart w:val="{6602850a-8cf5-405f-a965-36ff74cd46f0}"/>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1" w:name="_Toc30297_WPSOffice_Level2Page"/>
          <w:r>
            <w:t>7</w:t>
          </w:r>
          <w:bookmarkEnd w:id="21"/>
          <w:r>
            <w:fldChar w:fldCharType="end"/>
          </w:r>
        </w:p>
        <w:p>
          <w:pPr>
            <w:pStyle w:val="32"/>
            <w:tabs>
              <w:tab w:val="right" w:leader="dot" w:pos="8306"/>
            </w:tabs>
          </w:pPr>
          <w:r>
            <w:fldChar w:fldCharType="begin"/>
          </w:r>
          <w:r>
            <w:instrText xml:space="preserve"> HYPERLINK \l _Toc32474_WPSOffice_Level2 </w:instrText>
          </w:r>
          <w:r>
            <w:fldChar w:fldCharType="separate"/>
          </w:r>
          <w:sdt>
            <w:sdtPr>
              <w:rPr>
                <w:rFonts w:ascii="仿宋" w:hAnsi="仿宋" w:eastAsia="仿宋" w:cs="Times New Roman"/>
                <w:kern w:val="2"/>
                <w:sz w:val="28"/>
                <w:szCs w:val="28"/>
                <w:lang w:val="en-US" w:eastAsia="zh-CN" w:bidi="ar-SA"/>
              </w:rPr>
              <w:id w:val="147477705"/>
              <w:placeholder>
                <w:docPart w:val="{f5639873-730d-42d8-a1a3-99356043b34a}"/>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2" w:name="_Toc32474_WPSOffice_Level2Page"/>
          <w:r>
            <w:t>8</w:t>
          </w:r>
          <w:bookmarkEnd w:id="22"/>
          <w:r>
            <w:fldChar w:fldCharType="end"/>
          </w:r>
        </w:p>
        <w:p>
          <w:pPr>
            <w:pStyle w:val="32"/>
            <w:tabs>
              <w:tab w:val="right" w:leader="dot" w:pos="8306"/>
            </w:tabs>
          </w:pPr>
          <w:r>
            <w:fldChar w:fldCharType="begin"/>
          </w:r>
          <w:r>
            <w:instrText xml:space="preserve"> HYPERLINK \l _Toc11239_WPSOffice_Level2 </w:instrText>
          </w:r>
          <w:r>
            <w:fldChar w:fldCharType="separate"/>
          </w:r>
          <w:sdt>
            <w:sdtPr>
              <w:rPr>
                <w:rFonts w:ascii="仿宋" w:hAnsi="仿宋" w:eastAsia="仿宋" w:cs="Times New Roman"/>
                <w:kern w:val="2"/>
                <w:sz w:val="28"/>
                <w:szCs w:val="28"/>
                <w:lang w:val="en-US" w:eastAsia="zh-CN" w:bidi="ar-SA"/>
              </w:rPr>
              <w:id w:val="147477705"/>
              <w:placeholder>
                <w:docPart w:val="{696083dc-2bb0-41b0-ad77-19748454488d}"/>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3" w:name="_Toc11239_WPSOffice_Level2Page"/>
          <w:r>
            <w:t>10</w:t>
          </w:r>
          <w:bookmarkEnd w:id="23"/>
          <w:r>
            <w:fldChar w:fldCharType="end"/>
          </w:r>
        </w:p>
        <w:p>
          <w:pPr>
            <w:pStyle w:val="32"/>
            <w:tabs>
              <w:tab w:val="right" w:leader="dot" w:pos="8306"/>
            </w:tabs>
          </w:pPr>
          <w:r>
            <w:fldChar w:fldCharType="begin"/>
          </w:r>
          <w:r>
            <w:instrText xml:space="preserve"> HYPERLINK \l _Toc32451_WPSOffice_Level2 </w:instrText>
          </w:r>
          <w:r>
            <w:fldChar w:fldCharType="separate"/>
          </w:r>
          <w:sdt>
            <w:sdtPr>
              <w:rPr>
                <w:rFonts w:ascii="仿宋" w:hAnsi="仿宋" w:eastAsia="仿宋" w:cs="Times New Roman"/>
                <w:kern w:val="2"/>
                <w:sz w:val="28"/>
                <w:szCs w:val="28"/>
                <w:lang w:val="en-US" w:eastAsia="zh-CN" w:bidi="ar-SA"/>
              </w:rPr>
              <w:id w:val="147477705"/>
              <w:placeholder>
                <w:docPart w:val="{fc9822de-72e2-43b2-b09e-1c0184980808}"/>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4" w:name="_Toc32451_WPSOffice_Level2Page"/>
          <w:r>
            <w:t>10</w:t>
          </w:r>
          <w:bookmarkEnd w:id="24"/>
          <w:r>
            <w:fldChar w:fldCharType="end"/>
          </w:r>
        </w:p>
        <w:p>
          <w:pPr>
            <w:pStyle w:val="32"/>
            <w:tabs>
              <w:tab w:val="right" w:leader="dot" w:pos="8306"/>
            </w:tabs>
          </w:pPr>
          <w:r>
            <w:fldChar w:fldCharType="begin"/>
          </w:r>
          <w:r>
            <w:instrText xml:space="preserve"> HYPERLINK \l _Toc12059_WPSOffice_Level2 </w:instrText>
          </w:r>
          <w:r>
            <w:fldChar w:fldCharType="separate"/>
          </w:r>
          <w:sdt>
            <w:sdtPr>
              <w:rPr>
                <w:rFonts w:ascii="仿宋" w:hAnsi="仿宋" w:eastAsia="仿宋" w:cs="Times New Roman"/>
                <w:kern w:val="2"/>
                <w:sz w:val="28"/>
                <w:szCs w:val="28"/>
                <w:lang w:val="en-US" w:eastAsia="zh-CN" w:bidi="ar-SA"/>
              </w:rPr>
              <w:id w:val="147477705"/>
              <w:placeholder>
                <w:docPart w:val="{328d6f4c-73d1-4b71-b8b7-eb66e5d87001}"/>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5" w:name="_Toc12059_WPSOffice_Level2Page"/>
          <w:r>
            <w:t>10</w:t>
          </w:r>
          <w:bookmarkEnd w:id="25"/>
          <w:r>
            <w:fldChar w:fldCharType="end"/>
          </w:r>
        </w:p>
        <w:p>
          <w:pPr>
            <w:pStyle w:val="31"/>
            <w:tabs>
              <w:tab w:val="right" w:leader="dot" w:pos="8306"/>
            </w:tabs>
          </w:pPr>
          <w:r>
            <w:rPr>
              <w:b/>
              <w:bCs/>
            </w:rPr>
            <w:fldChar w:fldCharType="begin"/>
          </w:r>
          <w:r>
            <w:instrText xml:space="preserve"> HYPERLINK \l _Toc18507_WPSOffice_Level1 </w:instrText>
          </w:r>
          <w:r>
            <w:rPr>
              <w:b/>
              <w:bCs/>
            </w:rPr>
            <w:fldChar w:fldCharType="separate"/>
          </w:r>
          <w:sdt>
            <w:sdtPr>
              <w:rPr>
                <w:rFonts w:ascii="仿宋" w:hAnsi="仿宋" w:eastAsia="仿宋" w:cs="Times New Roman"/>
                <w:b/>
                <w:bCs/>
                <w:kern w:val="2"/>
                <w:sz w:val="28"/>
                <w:szCs w:val="28"/>
                <w:lang w:val="en-US" w:eastAsia="zh-CN" w:bidi="ar-SA"/>
              </w:rPr>
              <w:id w:val="147477705"/>
              <w:placeholder>
                <w:docPart w:val="{50d1c969-330b-41aa-8d11-59a76c0cda63}"/>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6" w:name="_Toc18507_WPSOffice_Level1Page"/>
          <w:r>
            <w:rPr>
              <w:b/>
              <w:bCs/>
            </w:rPr>
            <w:t>12</w:t>
          </w:r>
          <w:bookmarkEnd w:id="26"/>
          <w:r>
            <w:rPr>
              <w:b/>
              <w:bCs/>
            </w:rPr>
            <w:fldChar w:fldCharType="end"/>
          </w:r>
        </w:p>
        <w:p>
          <w:pPr>
            <w:pStyle w:val="31"/>
            <w:tabs>
              <w:tab w:val="right" w:leader="dot" w:pos="8306"/>
            </w:tabs>
          </w:pPr>
          <w:r>
            <w:rPr>
              <w:b/>
              <w:bCs/>
            </w:rPr>
            <w:fldChar w:fldCharType="begin"/>
          </w:r>
          <w:r>
            <w:instrText xml:space="preserve"> HYPERLINK \l _Toc26183_WPSOffice_Level1 </w:instrText>
          </w:r>
          <w:r>
            <w:rPr>
              <w:b/>
              <w:bCs/>
            </w:rPr>
            <w:fldChar w:fldCharType="separate"/>
          </w:r>
          <w:sdt>
            <w:sdtPr>
              <w:rPr>
                <w:rFonts w:ascii="仿宋" w:hAnsi="仿宋" w:eastAsia="仿宋" w:cs="Times New Roman"/>
                <w:b/>
                <w:bCs/>
                <w:kern w:val="2"/>
                <w:sz w:val="28"/>
                <w:szCs w:val="28"/>
                <w:lang w:val="en-US" w:eastAsia="zh-CN" w:bidi="ar-SA"/>
              </w:rPr>
              <w:id w:val="147477705"/>
              <w:placeholder>
                <w:docPart w:val="{21e98274-d5b8-46ce-99f9-6e22d5537679}"/>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7" w:name="_Toc26183_WPSOffice_Level1Page"/>
          <w:r>
            <w:rPr>
              <w:b/>
              <w:bCs/>
            </w:rPr>
            <w:t>16</w:t>
          </w:r>
          <w:bookmarkEnd w:id="27"/>
          <w:r>
            <w:rPr>
              <w:b/>
              <w:bCs/>
            </w:rPr>
            <w:fldChar w:fldCharType="end"/>
          </w:r>
        </w:p>
        <w:p>
          <w:pPr>
            <w:pStyle w:val="32"/>
            <w:tabs>
              <w:tab w:val="right" w:leader="dot" w:pos="8306"/>
            </w:tabs>
          </w:pPr>
          <w:r>
            <w:fldChar w:fldCharType="begin"/>
          </w:r>
          <w:r>
            <w:instrText xml:space="preserve"> HYPERLINK \l _Toc15996_WPSOffice_Level2 </w:instrText>
          </w:r>
          <w:r>
            <w:fldChar w:fldCharType="separate"/>
          </w:r>
          <w:sdt>
            <w:sdtPr>
              <w:rPr>
                <w:rFonts w:ascii="仿宋" w:hAnsi="仿宋" w:eastAsia="仿宋" w:cs="Times New Roman"/>
                <w:kern w:val="2"/>
                <w:sz w:val="28"/>
                <w:szCs w:val="28"/>
                <w:lang w:val="en-US" w:eastAsia="zh-CN" w:bidi="ar-SA"/>
              </w:rPr>
              <w:id w:val="147477705"/>
              <w:placeholder>
                <w:docPart w:val="{a6123a61-212e-47dc-9ff1-03a1e5c82a24}"/>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峨眉山市大为镇卫生院</w:t>
              </w:r>
            </w:sdtContent>
          </w:sdt>
          <w:r>
            <w:tab/>
          </w:r>
          <w:bookmarkStart w:id="28" w:name="_Toc15996_WPSOffice_Level2Page"/>
          <w:r>
            <w:t>16</w:t>
          </w:r>
          <w:bookmarkEnd w:id="28"/>
          <w:r>
            <w:fldChar w:fldCharType="end"/>
          </w:r>
        </w:p>
        <w:p>
          <w:pPr>
            <w:pStyle w:val="32"/>
            <w:tabs>
              <w:tab w:val="right" w:leader="dot" w:pos="8306"/>
            </w:tabs>
          </w:pPr>
          <w:r>
            <w:fldChar w:fldCharType="begin"/>
          </w:r>
          <w:r>
            <w:instrText xml:space="preserve"> HYPERLINK \l _Toc7566_WPSOffice_Level2 </w:instrText>
          </w:r>
          <w:r>
            <w:fldChar w:fldCharType="separate"/>
          </w:r>
          <w:sdt>
            <w:sdtPr>
              <w:rPr>
                <w:rFonts w:ascii="仿宋" w:hAnsi="仿宋" w:eastAsia="仿宋" w:cs="Times New Roman"/>
                <w:kern w:val="2"/>
                <w:sz w:val="28"/>
                <w:szCs w:val="28"/>
                <w:lang w:val="en-US" w:eastAsia="zh-CN" w:bidi="ar-SA"/>
              </w:rPr>
              <w:id w:val="147477705"/>
              <w:placeholder>
                <w:docPart w:val="{54419f4c-5d58-4a9d-9b03-a78370919edf}"/>
              </w:placeholder>
            </w:sdtPr>
            <w:sdtEndPr>
              <w:rPr>
                <w:rFonts w:ascii="仿宋" w:hAnsi="仿宋" w:eastAsia="仿宋" w:cs="Times New Roman"/>
                <w:kern w:val="2"/>
                <w:sz w:val="28"/>
                <w:szCs w:val="28"/>
                <w:lang w:val="en-US" w:eastAsia="zh-CN" w:bidi="ar-SA"/>
              </w:rPr>
            </w:sdtEndPr>
            <w:sdtContent>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29" w:name="_Toc7566_WPSOffice_Level2Page"/>
          <w:r>
            <w:t>16</w:t>
          </w:r>
          <w:bookmarkEnd w:id="29"/>
          <w:r>
            <w:fldChar w:fldCharType="end"/>
          </w:r>
        </w:p>
        <w:p>
          <w:pPr>
            <w:pStyle w:val="32"/>
            <w:tabs>
              <w:tab w:val="right" w:leader="dot" w:pos="8306"/>
            </w:tabs>
          </w:pPr>
          <w:r>
            <w:fldChar w:fldCharType="begin"/>
          </w:r>
          <w:r>
            <w:instrText xml:space="preserve"> HYPERLINK \l _Toc19815_WPSOffice_Level2 </w:instrText>
          </w:r>
          <w:r>
            <w:fldChar w:fldCharType="separate"/>
          </w:r>
          <w:sdt>
            <w:sdtPr>
              <w:rPr>
                <w:rFonts w:ascii="仿宋" w:hAnsi="仿宋" w:eastAsia="仿宋" w:cs="Times New Roman"/>
                <w:kern w:val="2"/>
                <w:sz w:val="28"/>
                <w:szCs w:val="28"/>
                <w:lang w:val="en-US" w:eastAsia="zh-CN" w:bidi="ar-SA"/>
              </w:rPr>
              <w:id w:val="147477705"/>
              <w:placeholder>
                <w:docPart w:val="{7b439dd6-0ef5-49c4-a0d3-371341a60ea2}"/>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0" w:name="_Toc19815_WPSOffice_Level2Page"/>
          <w:r>
            <w:t>16</w:t>
          </w:r>
          <w:bookmarkEnd w:id="30"/>
          <w:r>
            <w:fldChar w:fldCharType="end"/>
          </w:r>
        </w:p>
        <w:p>
          <w:pPr>
            <w:pStyle w:val="32"/>
            <w:tabs>
              <w:tab w:val="right" w:leader="dot" w:pos="8306"/>
            </w:tabs>
          </w:pPr>
          <w:r>
            <w:fldChar w:fldCharType="begin"/>
          </w:r>
          <w:r>
            <w:instrText xml:space="preserve"> HYPERLINK \l _Toc14492_WPSOffice_Level2 </w:instrText>
          </w:r>
          <w:r>
            <w:fldChar w:fldCharType="separate"/>
          </w:r>
          <w:sdt>
            <w:sdtPr>
              <w:rPr>
                <w:rFonts w:ascii="仿宋" w:hAnsi="仿宋" w:eastAsia="仿宋" w:cs="Times New Roman"/>
                <w:kern w:val="2"/>
                <w:sz w:val="28"/>
                <w:szCs w:val="28"/>
                <w:lang w:val="en-US" w:eastAsia="zh-CN" w:bidi="ar-SA"/>
              </w:rPr>
              <w:id w:val="147477705"/>
              <w:placeholder>
                <w:docPart w:val="{20aa6027-8b40-49c3-8d5f-60442fc75deb}"/>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1" w:name="_Toc14492_WPSOffice_Level2Page"/>
          <w:r>
            <w:t>16</w:t>
          </w:r>
          <w:bookmarkEnd w:id="31"/>
          <w:r>
            <w:fldChar w:fldCharType="end"/>
          </w:r>
        </w:p>
        <w:p>
          <w:pPr>
            <w:pStyle w:val="32"/>
            <w:tabs>
              <w:tab w:val="right" w:leader="dot" w:pos="8306"/>
            </w:tabs>
          </w:pPr>
          <w:r>
            <w:fldChar w:fldCharType="begin"/>
          </w:r>
          <w:r>
            <w:instrText xml:space="preserve"> HYPERLINK \l _Toc8427_WPSOffice_Level2 </w:instrText>
          </w:r>
          <w:r>
            <w:fldChar w:fldCharType="separate"/>
          </w:r>
          <w:sdt>
            <w:sdtPr>
              <w:rPr>
                <w:rFonts w:ascii="仿宋" w:hAnsi="仿宋" w:eastAsia="仿宋" w:cs="Times New Roman"/>
                <w:kern w:val="2"/>
                <w:sz w:val="28"/>
                <w:szCs w:val="28"/>
                <w:lang w:val="en-US" w:eastAsia="zh-CN" w:bidi="ar-SA"/>
              </w:rPr>
              <w:id w:val="147477705"/>
              <w:placeholder>
                <w:docPart w:val="{939378ad-dc41-4353-abe2-c0641596185c}"/>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2" w:name="_Toc8427_WPSOffice_Level2Page"/>
          <w:r>
            <w:t>17</w:t>
          </w:r>
          <w:bookmarkEnd w:id="32"/>
          <w:r>
            <w:fldChar w:fldCharType="end"/>
          </w:r>
        </w:p>
        <w:p>
          <w:pPr>
            <w:pStyle w:val="32"/>
            <w:tabs>
              <w:tab w:val="right" w:leader="dot" w:pos="8306"/>
            </w:tabs>
          </w:pPr>
          <w:r>
            <w:fldChar w:fldCharType="begin"/>
          </w:r>
          <w:r>
            <w:instrText xml:space="preserve"> HYPERLINK \l _Toc23462_WPSOffice_Level2 </w:instrText>
          </w:r>
          <w:r>
            <w:fldChar w:fldCharType="separate"/>
          </w:r>
          <w:sdt>
            <w:sdtPr>
              <w:rPr>
                <w:rFonts w:ascii="仿宋" w:hAnsi="仿宋" w:eastAsia="仿宋" w:cs="Times New Roman"/>
                <w:kern w:val="2"/>
                <w:sz w:val="28"/>
                <w:szCs w:val="28"/>
                <w:lang w:val="en-US" w:eastAsia="zh-CN" w:bidi="ar-SA"/>
              </w:rPr>
              <w:id w:val="147477705"/>
              <w:placeholder>
                <w:docPart w:val="{e47a00cb-5636-4737-91b2-e72d2f87ba9f}"/>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3" w:name="_Toc23462_WPSOffice_Level2Page"/>
          <w:r>
            <w:t>18</w:t>
          </w:r>
          <w:bookmarkEnd w:id="33"/>
          <w:r>
            <w:fldChar w:fldCharType="end"/>
          </w:r>
        </w:p>
        <w:p>
          <w:pPr>
            <w:pStyle w:val="31"/>
            <w:tabs>
              <w:tab w:val="right" w:leader="dot" w:pos="8306"/>
            </w:tabs>
          </w:pPr>
          <w:r>
            <w:rPr>
              <w:b/>
              <w:bCs/>
            </w:rPr>
            <w:fldChar w:fldCharType="begin"/>
          </w:r>
          <w:r>
            <w:instrText xml:space="preserve"> HYPERLINK \l _Toc27432_WPSOffice_Level1 </w:instrText>
          </w:r>
          <w:r>
            <w:rPr>
              <w:b/>
              <w:bCs/>
            </w:rPr>
            <w:fldChar w:fldCharType="separate"/>
          </w:r>
          <w:sdt>
            <w:sdtPr>
              <w:rPr>
                <w:rFonts w:ascii="仿宋" w:hAnsi="仿宋" w:eastAsia="仿宋" w:cs="Times New Roman"/>
                <w:b/>
                <w:bCs/>
                <w:kern w:val="2"/>
                <w:sz w:val="28"/>
                <w:szCs w:val="28"/>
                <w:lang w:val="en-US" w:eastAsia="zh-CN" w:bidi="ar-SA"/>
              </w:rPr>
              <w:id w:val="147477705"/>
              <w:placeholder>
                <w:docPart w:val="{ca1d06e5-3307-4508-8969-368c11da649b}"/>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4" w:name="_Toc27432_WPSOffice_Level1Page"/>
          <w:r>
            <w:rPr>
              <w:b/>
              <w:bCs/>
            </w:rPr>
            <w:t>19</w:t>
          </w:r>
          <w:bookmarkEnd w:id="34"/>
          <w:r>
            <w:rPr>
              <w:b/>
              <w:bCs/>
            </w:rPr>
            <w:fldChar w:fldCharType="end"/>
          </w:r>
        </w:p>
        <w:p>
          <w:pPr>
            <w:pStyle w:val="32"/>
            <w:tabs>
              <w:tab w:val="right" w:leader="dot" w:pos="8306"/>
            </w:tabs>
          </w:pPr>
          <w:r>
            <w:fldChar w:fldCharType="begin"/>
          </w:r>
          <w:r>
            <w:instrText xml:space="preserve"> HYPERLINK \l _Toc15406_WPSOffice_Level2 </w:instrText>
          </w:r>
          <w:r>
            <w:fldChar w:fldCharType="separate"/>
          </w:r>
          <w:sdt>
            <w:sdtPr>
              <w:rPr>
                <w:rFonts w:ascii="仿宋" w:hAnsi="仿宋" w:eastAsia="仿宋" w:cs="Times New Roman"/>
                <w:kern w:val="2"/>
                <w:sz w:val="28"/>
                <w:szCs w:val="28"/>
                <w:lang w:val="en-US" w:eastAsia="zh-CN" w:bidi="ar-SA"/>
              </w:rPr>
              <w:id w:val="147477705"/>
              <w:placeholder>
                <w:docPart w:val="{6e5eb661-3464-472c-90b1-a9151e843b9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5" w:name="_Toc15406_WPSOffice_Level2Page"/>
          <w:r>
            <w:t>20</w:t>
          </w:r>
          <w:bookmarkEnd w:id="35"/>
          <w:r>
            <w:fldChar w:fldCharType="end"/>
          </w:r>
        </w:p>
        <w:p>
          <w:pPr>
            <w:pStyle w:val="32"/>
            <w:tabs>
              <w:tab w:val="right" w:leader="dot" w:pos="8306"/>
            </w:tabs>
          </w:pPr>
          <w:r>
            <w:fldChar w:fldCharType="begin"/>
          </w:r>
          <w:r>
            <w:instrText xml:space="preserve"> HYPERLINK \l _Toc25944_WPSOffice_Level2 </w:instrText>
          </w:r>
          <w:r>
            <w:fldChar w:fldCharType="separate"/>
          </w:r>
          <w:sdt>
            <w:sdtPr>
              <w:rPr>
                <w:rFonts w:ascii="仿宋" w:hAnsi="仿宋" w:eastAsia="仿宋" w:cs="Times New Roman"/>
                <w:kern w:val="2"/>
                <w:sz w:val="28"/>
                <w:szCs w:val="28"/>
                <w:lang w:val="en-US" w:eastAsia="zh-CN" w:bidi="ar-SA"/>
              </w:rPr>
              <w:id w:val="147477705"/>
              <w:placeholder>
                <w:docPart w:val="{d7ad601b-a854-47d4-b819-8ce103c572a6}"/>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6" w:name="_Toc25944_WPSOffice_Level2Page"/>
          <w:r>
            <w:t>20</w:t>
          </w:r>
          <w:bookmarkEnd w:id="36"/>
          <w:r>
            <w:fldChar w:fldCharType="end"/>
          </w:r>
        </w:p>
        <w:p>
          <w:pPr>
            <w:pStyle w:val="32"/>
            <w:tabs>
              <w:tab w:val="right" w:leader="dot" w:pos="8306"/>
            </w:tabs>
          </w:pPr>
          <w:r>
            <w:fldChar w:fldCharType="begin"/>
          </w:r>
          <w:r>
            <w:instrText xml:space="preserve"> HYPERLINK \l _Toc21194_WPSOffice_Level2 </w:instrText>
          </w:r>
          <w:r>
            <w:fldChar w:fldCharType="separate"/>
          </w:r>
          <w:sdt>
            <w:sdtPr>
              <w:rPr>
                <w:rFonts w:ascii="仿宋" w:hAnsi="仿宋" w:eastAsia="仿宋" w:cs="Times New Roman"/>
                <w:kern w:val="2"/>
                <w:sz w:val="28"/>
                <w:szCs w:val="28"/>
                <w:lang w:val="en-US" w:eastAsia="zh-CN" w:bidi="ar-SA"/>
              </w:rPr>
              <w:id w:val="147477705"/>
              <w:placeholder>
                <w:docPart w:val="{e9ca1b59-8738-42b8-bc5d-b3ac532f8e84}"/>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7" w:name="_Toc21194_WPSOffice_Level2Page"/>
          <w:r>
            <w:t>20</w:t>
          </w:r>
          <w:bookmarkEnd w:id="37"/>
          <w:r>
            <w:fldChar w:fldCharType="end"/>
          </w:r>
        </w:p>
        <w:p>
          <w:pPr>
            <w:pStyle w:val="32"/>
            <w:tabs>
              <w:tab w:val="right" w:leader="dot" w:pos="8306"/>
            </w:tabs>
          </w:pPr>
          <w:r>
            <w:fldChar w:fldCharType="begin"/>
          </w:r>
          <w:r>
            <w:instrText xml:space="preserve"> HYPERLINK \l _Toc13336_WPSOffice_Level2 </w:instrText>
          </w:r>
          <w:r>
            <w:fldChar w:fldCharType="separate"/>
          </w:r>
          <w:sdt>
            <w:sdtPr>
              <w:rPr>
                <w:rFonts w:ascii="仿宋" w:hAnsi="仿宋" w:eastAsia="仿宋" w:cs="Times New Roman"/>
                <w:kern w:val="2"/>
                <w:sz w:val="28"/>
                <w:szCs w:val="28"/>
                <w:lang w:val="en-US" w:eastAsia="zh-CN" w:bidi="ar-SA"/>
              </w:rPr>
              <w:id w:val="147477705"/>
              <w:placeholder>
                <w:docPart w:val="{8f0e5aee-c7ca-4fd9-ae13-ac60bff1f983}"/>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8" w:name="_Toc13336_WPSOffice_Level2Page"/>
          <w:r>
            <w:t>20</w:t>
          </w:r>
          <w:bookmarkEnd w:id="38"/>
          <w:r>
            <w:fldChar w:fldCharType="end"/>
          </w:r>
        </w:p>
        <w:p>
          <w:pPr>
            <w:pStyle w:val="32"/>
            <w:tabs>
              <w:tab w:val="right" w:leader="dot" w:pos="8306"/>
            </w:tabs>
          </w:pPr>
          <w:r>
            <w:fldChar w:fldCharType="begin"/>
          </w:r>
          <w:r>
            <w:instrText xml:space="preserve"> HYPERLINK \l _Toc9712_WPSOffice_Level2 </w:instrText>
          </w:r>
          <w:r>
            <w:fldChar w:fldCharType="separate"/>
          </w:r>
          <w:sdt>
            <w:sdtPr>
              <w:rPr>
                <w:rFonts w:ascii="仿宋" w:hAnsi="仿宋" w:eastAsia="仿宋" w:cs="Times New Roman"/>
                <w:kern w:val="2"/>
                <w:sz w:val="28"/>
                <w:szCs w:val="28"/>
                <w:lang w:val="en-US" w:eastAsia="zh-CN" w:bidi="ar-SA"/>
              </w:rPr>
              <w:id w:val="147477705"/>
              <w:placeholder>
                <w:docPart w:val="{ba77e65e-ecd6-450d-9b92-86144320cfb6}"/>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39" w:name="_Toc9712_WPSOffice_Level2Page"/>
          <w:r>
            <w:t>20</w:t>
          </w:r>
          <w:bookmarkEnd w:id="39"/>
          <w:r>
            <w:fldChar w:fldCharType="end"/>
          </w:r>
        </w:p>
        <w:p>
          <w:pPr>
            <w:pStyle w:val="32"/>
            <w:tabs>
              <w:tab w:val="right" w:leader="dot" w:pos="8306"/>
            </w:tabs>
          </w:pPr>
          <w:r>
            <w:fldChar w:fldCharType="begin"/>
          </w:r>
          <w:r>
            <w:instrText xml:space="preserve"> HYPERLINK \l _Toc5907_WPSOffice_Level2 </w:instrText>
          </w:r>
          <w:r>
            <w:fldChar w:fldCharType="separate"/>
          </w:r>
          <w:sdt>
            <w:sdtPr>
              <w:rPr>
                <w:rFonts w:ascii="仿宋" w:hAnsi="仿宋" w:eastAsia="仿宋" w:cs="Times New Roman"/>
                <w:kern w:val="2"/>
                <w:sz w:val="28"/>
                <w:szCs w:val="28"/>
                <w:lang w:val="en-US" w:eastAsia="zh-CN" w:bidi="ar-SA"/>
              </w:rPr>
              <w:id w:val="147477705"/>
              <w:placeholder>
                <w:docPart w:val="{442e6c1e-da10-4889-b1d4-528e706f53b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0" w:name="_Toc5907_WPSOffice_Level2Page"/>
          <w:r>
            <w:t>20</w:t>
          </w:r>
          <w:bookmarkEnd w:id="40"/>
          <w:r>
            <w:fldChar w:fldCharType="end"/>
          </w:r>
        </w:p>
        <w:p>
          <w:pPr>
            <w:pStyle w:val="32"/>
            <w:tabs>
              <w:tab w:val="right" w:leader="dot" w:pos="8306"/>
            </w:tabs>
          </w:pPr>
          <w:r>
            <w:fldChar w:fldCharType="begin"/>
          </w:r>
          <w:r>
            <w:instrText xml:space="preserve"> HYPERLINK \l _Toc6100_WPSOffice_Level2 </w:instrText>
          </w:r>
          <w:r>
            <w:fldChar w:fldCharType="separate"/>
          </w:r>
          <w:sdt>
            <w:sdtPr>
              <w:rPr>
                <w:rFonts w:ascii="仿宋" w:hAnsi="仿宋" w:eastAsia="仿宋" w:cs="Times New Roman"/>
                <w:kern w:val="2"/>
                <w:sz w:val="28"/>
                <w:szCs w:val="28"/>
                <w:lang w:val="en-US" w:eastAsia="zh-CN" w:bidi="ar-SA"/>
              </w:rPr>
              <w:id w:val="147477705"/>
              <w:placeholder>
                <w:docPart w:val="{9933411d-923e-43e1-b323-feef9d72801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1" w:name="_Toc6100_WPSOffice_Level2Page"/>
          <w:r>
            <w:t>20</w:t>
          </w:r>
          <w:bookmarkEnd w:id="41"/>
          <w:r>
            <w:fldChar w:fldCharType="end"/>
          </w:r>
        </w:p>
        <w:p>
          <w:pPr>
            <w:pStyle w:val="32"/>
            <w:tabs>
              <w:tab w:val="right" w:leader="dot" w:pos="8306"/>
            </w:tabs>
          </w:pPr>
          <w:r>
            <w:fldChar w:fldCharType="begin"/>
          </w:r>
          <w:r>
            <w:instrText xml:space="preserve"> HYPERLINK \l _Toc24705_WPSOffice_Level2 </w:instrText>
          </w:r>
          <w:r>
            <w:fldChar w:fldCharType="separate"/>
          </w:r>
          <w:sdt>
            <w:sdtPr>
              <w:rPr>
                <w:rFonts w:ascii="仿宋" w:hAnsi="仿宋" w:eastAsia="仿宋" w:cs="Times New Roman"/>
                <w:kern w:val="2"/>
                <w:sz w:val="28"/>
                <w:szCs w:val="28"/>
                <w:lang w:val="en-US" w:eastAsia="zh-CN" w:bidi="ar-SA"/>
              </w:rPr>
              <w:id w:val="147477705"/>
              <w:placeholder>
                <w:docPart w:val="{b1b672fe-187d-4ee2-b409-1e163ec4b86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2" w:name="_Toc24705_WPSOffice_Level2Page"/>
          <w:r>
            <w:t>20</w:t>
          </w:r>
          <w:bookmarkEnd w:id="42"/>
          <w:r>
            <w:fldChar w:fldCharType="end"/>
          </w:r>
        </w:p>
        <w:p>
          <w:pPr>
            <w:pStyle w:val="32"/>
            <w:tabs>
              <w:tab w:val="right" w:leader="dot" w:pos="8306"/>
            </w:tabs>
          </w:pPr>
          <w:r>
            <w:fldChar w:fldCharType="begin"/>
          </w:r>
          <w:r>
            <w:instrText xml:space="preserve"> HYPERLINK \l _Toc3935_WPSOffice_Level2 </w:instrText>
          </w:r>
          <w:r>
            <w:fldChar w:fldCharType="separate"/>
          </w:r>
          <w:sdt>
            <w:sdtPr>
              <w:rPr>
                <w:rFonts w:ascii="仿宋" w:hAnsi="仿宋" w:eastAsia="仿宋" w:cs="Times New Roman"/>
                <w:kern w:val="2"/>
                <w:sz w:val="28"/>
                <w:szCs w:val="28"/>
                <w:lang w:val="en-US" w:eastAsia="zh-CN" w:bidi="ar-SA"/>
              </w:rPr>
              <w:id w:val="147477705"/>
              <w:placeholder>
                <w:docPart w:val="{87e80557-6764-4d59-9060-67553031193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3" w:name="_Toc3935_WPSOffice_Level2Page"/>
          <w:r>
            <w:t>20</w:t>
          </w:r>
          <w:bookmarkEnd w:id="43"/>
          <w:r>
            <w:fldChar w:fldCharType="end"/>
          </w:r>
        </w:p>
        <w:p>
          <w:pPr>
            <w:pStyle w:val="32"/>
            <w:tabs>
              <w:tab w:val="right" w:leader="dot" w:pos="8306"/>
            </w:tabs>
          </w:pPr>
          <w:r>
            <w:fldChar w:fldCharType="begin"/>
          </w:r>
          <w:r>
            <w:instrText xml:space="preserve"> HYPERLINK \l _Toc27400_WPSOffice_Level2 </w:instrText>
          </w:r>
          <w:r>
            <w:fldChar w:fldCharType="separate"/>
          </w:r>
          <w:sdt>
            <w:sdtPr>
              <w:rPr>
                <w:rFonts w:ascii="仿宋" w:hAnsi="仿宋" w:eastAsia="仿宋" w:cs="Times New Roman"/>
                <w:kern w:val="2"/>
                <w:sz w:val="28"/>
                <w:szCs w:val="28"/>
                <w:lang w:val="en-US" w:eastAsia="zh-CN" w:bidi="ar-SA"/>
              </w:rPr>
              <w:id w:val="147477705"/>
              <w:placeholder>
                <w:docPart w:val="{88a14194-4ea3-4808-bbc7-67e56191e43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4" w:name="_Toc27400_WPSOffice_Level2Page"/>
          <w:r>
            <w:t>20</w:t>
          </w:r>
          <w:bookmarkEnd w:id="44"/>
          <w:r>
            <w:fldChar w:fldCharType="end"/>
          </w:r>
        </w:p>
        <w:p>
          <w:pPr>
            <w:pStyle w:val="32"/>
            <w:tabs>
              <w:tab w:val="right" w:leader="dot" w:pos="8306"/>
            </w:tabs>
          </w:pPr>
          <w:r>
            <w:fldChar w:fldCharType="begin"/>
          </w:r>
          <w:r>
            <w:instrText xml:space="preserve"> HYPERLINK \l _Toc22128_WPSOffice_Level2 </w:instrText>
          </w:r>
          <w:r>
            <w:fldChar w:fldCharType="separate"/>
          </w:r>
          <w:sdt>
            <w:sdtPr>
              <w:rPr>
                <w:rFonts w:ascii="仿宋" w:hAnsi="仿宋" w:eastAsia="仿宋" w:cs="Times New Roman"/>
                <w:kern w:val="2"/>
                <w:sz w:val="28"/>
                <w:szCs w:val="28"/>
                <w:lang w:val="en-US" w:eastAsia="zh-CN" w:bidi="ar-SA"/>
              </w:rPr>
              <w:id w:val="147477705"/>
              <w:placeholder>
                <w:docPart w:val="{c069e1a0-627c-494a-9125-672cfa6f86f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5" w:name="_Toc22128_WPSOffice_Level2Page"/>
          <w:r>
            <w:t>20</w:t>
          </w:r>
          <w:bookmarkEnd w:id="45"/>
          <w:r>
            <w:fldChar w:fldCharType="end"/>
          </w:r>
        </w:p>
        <w:p>
          <w:pPr>
            <w:pStyle w:val="32"/>
            <w:tabs>
              <w:tab w:val="right" w:leader="dot" w:pos="8306"/>
            </w:tabs>
          </w:pPr>
          <w:r>
            <w:fldChar w:fldCharType="begin"/>
          </w:r>
          <w:r>
            <w:instrText xml:space="preserve"> HYPERLINK \l _Toc13180_WPSOffice_Level2 </w:instrText>
          </w:r>
          <w:r>
            <w:fldChar w:fldCharType="separate"/>
          </w:r>
          <w:sdt>
            <w:sdtPr>
              <w:rPr>
                <w:rFonts w:ascii="仿宋" w:hAnsi="仿宋" w:eastAsia="仿宋" w:cs="Times New Roman"/>
                <w:kern w:val="2"/>
                <w:sz w:val="28"/>
                <w:szCs w:val="28"/>
                <w:lang w:val="en-US" w:eastAsia="zh-CN" w:bidi="ar-SA"/>
              </w:rPr>
              <w:id w:val="147477705"/>
              <w:placeholder>
                <w:docPart w:val="{3772b27c-6e77-42e0-87ff-ebcb1f74b20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6" w:name="_Toc13180_WPSOffice_Level2Page"/>
          <w:r>
            <w:t>20</w:t>
          </w:r>
          <w:bookmarkEnd w:id="46"/>
          <w:r>
            <w:fldChar w:fldCharType="end"/>
          </w:r>
        </w:p>
        <w:p>
          <w:pPr>
            <w:pStyle w:val="32"/>
            <w:tabs>
              <w:tab w:val="right" w:leader="dot" w:pos="8306"/>
            </w:tabs>
          </w:pPr>
          <w:r>
            <w:fldChar w:fldCharType="begin"/>
          </w:r>
          <w:r>
            <w:instrText xml:space="preserve"> HYPERLINK \l _Toc12092_WPSOffice_Level2 </w:instrText>
          </w:r>
          <w:r>
            <w:fldChar w:fldCharType="separate"/>
          </w:r>
          <w:sdt>
            <w:sdtPr>
              <w:rPr>
                <w:rFonts w:ascii="仿宋" w:hAnsi="仿宋" w:eastAsia="仿宋" w:cs="Times New Roman"/>
                <w:kern w:val="2"/>
                <w:sz w:val="28"/>
                <w:szCs w:val="28"/>
                <w:lang w:val="en-US" w:eastAsia="zh-CN" w:bidi="ar-SA"/>
              </w:rPr>
              <w:id w:val="147477705"/>
              <w:placeholder>
                <w:docPart w:val="{a2485795-7ae6-4c19-93ca-2f3b430d94a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7" w:name="_Toc12092_WPSOffice_Level2Page"/>
          <w:r>
            <w:t>20</w:t>
          </w:r>
          <w:bookmarkEnd w:id="47"/>
          <w:r>
            <w:fldChar w:fldCharType="end"/>
          </w:r>
          <w:bookmarkEnd w:id="12"/>
        </w:p>
      </w:sdtContent>
    </w:sdt>
    <w:p>
      <w:pPr>
        <w:pStyle w:val="10"/>
        <w:adjustRightInd w:val="0"/>
        <w:snapToGrid w:val="0"/>
        <w:spacing w:before="0" w:line="440" w:lineRule="exact"/>
        <w:jc w:val="left"/>
        <w:rPr>
          <w:rFonts w:hint="eastAsia"/>
          <w:sz w:val="24"/>
        </w:rPr>
        <w:sectPr>
          <w:pgSz w:w="11906" w:h="16838"/>
          <w:pgMar w:top="1440" w:right="1800" w:bottom="1440" w:left="1800" w:header="851" w:footer="992" w:gutter="0"/>
          <w:pgNumType w:start="1"/>
          <w:cols w:space="425" w:num="1"/>
          <w:titlePg/>
          <w:docGrid w:type="lines" w:linePitch="312" w:charSpace="0"/>
        </w:sectPr>
      </w:pPr>
    </w:p>
    <w:p>
      <w:pPr>
        <w:rPr>
          <w:rFonts w:hint="eastAsia"/>
          <w:sz w:val="24"/>
        </w:rPr>
      </w:pPr>
    </w:p>
    <w:p>
      <w:pPr>
        <w:rPr>
          <w:rFonts w:hint="eastAsia"/>
          <w:sz w:val="24"/>
        </w:rPr>
      </w:pPr>
    </w:p>
    <w:p>
      <w:pPr>
        <w:rPr>
          <w:rFonts w:hint="eastAsia"/>
          <w:sz w:val="24"/>
        </w:rPr>
      </w:pPr>
    </w:p>
    <w:p>
      <w:pPr>
        <w:pStyle w:val="11"/>
        <w:numPr>
          <w:ilvl w:val="0"/>
          <w:numId w:val="1"/>
        </w:numPr>
        <w:adjustRightInd w:val="0"/>
        <w:snapToGrid w:val="0"/>
        <w:spacing w:line="440" w:lineRule="exact"/>
        <w:ind w:left="0" w:leftChars="0" w:firstLine="0" w:firstLineChars="0"/>
        <w:jc w:val="center"/>
        <w:rPr>
          <w:rStyle w:val="25"/>
          <w:rFonts w:hint="eastAsia" w:ascii="黑体" w:hAnsi="黑体" w:eastAsia="黑体"/>
          <w:b w:val="0"/>
          <w:bCs w:val="0"/>
        </w:rPr>
      </w:pPr>
      <w:bookmarkStart w:id="48" w:name="_Toc21121_WPSOffice_Level1"/>
      <w:r>
        <w:rPr>
          <w:rStyle w:val="25"/>
          <w:rFonts w:hint="eastAsia" w:ascii="黑体" w:hAnsi="黑体" w:eastAsia="黑体"/>
          <w:b w:val="0"/>
          <w:bCs w:val="0"/>
        </w:rPr>
        <w:t>部门概况</w:t>
      </w:r>
      <w:bookmarkEnd w:id="48"/>
    </w:p>
    <w:p>
      <w:pPr>
        <w:numPr>
          <w:ilvl w:val="0"/>
          <w:numId w:val="0"/>
        </w:numPr>
      </w:pPr>
    </w:p>
    <w:p>
      <w:pPr>
        <w:pStyle w:val="3"/>
        <w:ind w:firstLine="640" w:firstLineChars="200"/>
        <w:rPr>
          <w:rStyle w:val="26"/>
          <w:rFonts w:ascii="仿宋" w:hAnsi="仿宋" w:eastAsia="仿宋"/>
          <w:b w:val="0"/>
          <w:bCs w:val="0"/>
        </w:rPr>
      </w:pPr>
      <w:bookmarkStart w:id="168" w:name="_GoBack"/>
      <w:bookmarkEnd w:id="168"/>
      <w:bookmarkStart w:id="49" w:name="_Toc26119_WPSOffice_Level2"/>
      <w:bookmarkStart w:id="50" w:name="_Toc15396600"/>
      <w:bookmarkStart w:id="51"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49"/>
      <w:bookmarkEnd w:id="50"/>
      <w:bookmarkEnd w:id="51"/>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52" w:name="_Toc15378445"/>
      <w:bookmarkStart w:id="53" w:name="_Toc15377198"/>
      <w:r>
        <w:rPr>
          <w:rFonts w:hint="eastAsia" w:ascii="仿宋" w:hAnsi="仿宋" w:eastAsia="仿宋"/>
          <w:bCs/>
          <w:color w:val="000000"/>
          <w:sz w:val="32"/>
          <w:szCs w:val="32"/>
        </w:rPr>
        <w:t>（一）主要职能</w:t>
      </w:r>
      <w:bookmarkEnd w:id="52"/>
      <w:bookmarkEnd w:id="53"/>
    </w:p>
    <w:p>
      <w:pPr>
        <w:snapToGrid w:val="0"/>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4" w:name="_Toc15377199"/>
      <w:bookmarkStart w:id="55"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Start w:id="56" w:name="_Toc19895_WPSOffice_Level2"/>
      <w:r>
        <w:rPr>
          <w:rFonts w:hint="eastAsia" w:ascii="仿宋" w:hAnsi="仿宋" w:eastAsia="仿宋"/>
          <w:bCs/>
          <w:color w:val="000000"/>
          <w:sz w:val="32"/>
          <w:szCs w:val="32"/>
        </w:rPr>
        <w:t>。</w:t>
      </w:r>
      <w:bookmarkEnd w:id="54"/>
      <w:bookmarkEnd w:id="55"/>
    </w:p>
    <w:p>
      <w:pPr>
        <w:snapToGrid w:val="0"/>
        <w:spacing w:line="520" w:lineRule="exact"/>
        <w:ind w:firstLine="640" w:firstLineChars="200"/>
        <w:rPr>
          <w:rFonts w:hint="eastAsia" w:ascii="仿宋" w:hAnsi="仿宋" w:eastAsia="仿宋" w:cs="仿宋"/>
          <w:b w:val="0"/>
          <w:bCs/>
          <w:color w:val="000000"/>
          <w:sz w:val="32"/>
          <w:szCs w:val="32"/>
        </w:rPr>
      </w:pPr>
      <w:r>
        <w:rPr>
          <w:rFonts w:hint="eastAsia" w:ascii="仿宋" w:hAnsi="仿宋" w:eastAsia="仿宋" w:cs="仿宋"/>
          <w:b w:val="0"/>
          <w:bCs/>
          <w:sz w:val="32"/>
          <w:szCs w:val="32"/>
        </w:rPr>
        <w:t>2019年医疗收入</w:t>
      </w:r>
      <w:r>
        <w:rPr>
          <w:rFonts w:hint="eastAsia" w:ascii="仿宋" w:hAnsi="仿宋" w:eastAsia="仿宋" w:cs="仿宋"/>
          <w:b w:val="0"/>
          <w:bCs/>
          <w:sz w:val="32"/>
          <w:szCs w:val="32"/>
          <w:lang w:val="en-US" w:eastAsia="zh-CN"/>
        </w:rPr>
        <w:t>24.68万</w:t>
      </w:r>
      <w:r>
        <w:rPr>
          <w:rFonts w:hint="eastAsia" w:ascii="仿宋" w:hAnsi="仿宋" w:eastAsia="仿宋" w:cs="仿宋"/>
          <w:b w:val="0"/>
          <w:bCs/>
          <w:sz w:val="32"/>
          <w:szCs w:val="32"/>
        </w:rPr>
        <w:t>元，门</w:t>
      </w:r>
      <w:bookmarkEnd w:id="56"/>
      <w:r>
        <w:rPr>
          <w:rFonts w:hint="eastAsia" w:ascii="仿宋" w:hAnsi="仿宋" w:eastAsia="仿宋" w:cs="仿宋"/>
          <w:b w:val="0"/>
          <w:bCs/>
          <w:sz w:val="32"/>
          <w:szCs w:val="32"/>
        </w:rPr>
        <w:t>诊人次</w:t>
      </w:r>
      <w:r>
        <w:rPr>
          <w:rFonts w:hint="eastAsia" w:ascii="仿宋" w:hAnsi="仿宋" w:eastAsia="仿宋" w:cs="仿宋"/>
          <w:b w:val="0"/>
          <w:bCs/>
          <w:sz w:val="32"/>
          <w:szCs w:val="32"/>
          <w:lang w:val="en-US" w:eastAsia="zh-CN"/>
        </w:rPr>
        <w:t>4758</w:t>
      </w:r>
      <w:r>
        <w:rPr>
          <w:rFonts w:hint="eastAsia" w:ascii="仿宋" w:hAnsi="仿宋" w:eastAsia="仿宋" w:cs="仿宋"/>
          <w:b w:val="0"/>
          <w:bCs/>
          <w:sz w:val="32"/>
          <w:szCs w:val="32"/>
        </w:rPr>
        <w:t>人，出院人次</w:t>
      </w:r>
      <w:r>
        <w:rPr>
          <w:rFonts w:hint="eastAsia" w:ascii="仿宋" w:hAnsi="仿宋" w:eastAsia="仿宋" w:cs="仿宋"/>
          <w:b w:val="0"/>
          <w:bCs/>
          <w:sz w:val="32"/>
          <w:szCs w:val="32"/>
          <w:lang w:val="en-US" w:eastAsia="zh-CN"/>
        </w:rPr>
        <w:t>77</w:t>
      </w:r>
      <w:r>
        <w:rPr>
          <w:rFonts w:hint="eastAsia" w:ascii="仿宋" w:hAnsi="仿宋" w:eastAsia="仿宋" w:cs="仿宋"/>
          <w:b w:val="0"/>
          <w:bCs/>
          <w:sz w:val="32"/>
          <w:szCs w:val="32"/>
        </w:rPr>
        <w:t>人。今年继续开展健康体检及建档工作，基本公共卫生服务截止2019年12月共累计建档人数13009人，共查出慢性疾病1395人，其中高血压939人，糖尿病393人，精神障碍61人，全镇规范建档率达100%；2019年免费为861个老年人进行了体检。</w:t>
      </w:r>
    </w:p>
    <w:p>
      <w:pPr>
        <w:pStyle w:val="3"/>
        <w:ind w:firstLine="640" w:firstLineChars="200"/>
        <w:rPr>
          <w:rStyle w:val="26"/>
          <w:rFonts w:hint="eastAsia" w:ascii="黑体" w:hAnsi="黑体" w:eastAsia="黑体"/>
          <w:b w:val="0"/>
          <w:bCs w:val="0"/>
        </w:rPr>
      </w:pPr>
      <w:bookmarkStart w:id="57" w:name="_Toc15396601"/>
      <w:bookmarkStart w:id="58" w:name="_Toc18507_WPSOffice_Level2"/>
      <w:bookmarkStart w:id="59"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57"/>
      <w:bookmarkEnd w:id="58"/>
      <w:bookmarkEnd w:id="59"/>
    </w:p>
    <w:p>
      <w:pPr>
        <w:ind w:firstLine="640" w:firstLineChars="200"/>
        <w:rPr>
          <w:rFonts w:ascii="仿宋" w:hAnsi="仿宋" w:eastAsia="仿宋"/>
          <w:sz w:val="32"/>
          <w:szCs w:val="32"/>
        </w:rPr>
      </w:pPr>
      <w:r>
        <w:rPr>
          <w:rFonts w:hint="eastAsia" w:ascii="仿宋" w:hAnsi="仿宋" w:eastAsia="仿宋"/>
          <w:sz w:val="32"/>
          <w:szCs w:val="32"/>
          <w:lang w:eastAsia="zh-CN"/>
        </w:rPr>
        <w:t>大为镇</w:t>
      </w:r>
      <w:r>
        <w:rPr>
          <w:rFonts w:hint="eastAsia" w:ascii="仿宋" w:hAnsi="仿宋" w:eastAsia="仿宋"/>
          <w:sz w:val="32"/>
          <w:szCs w:val="32"/>
        </w:rPr>
        <w:t>卫生院为峨眉山市卫生健康局下属二级预算单位，单位性质为财政差额拨款事业单位，无下设机构。</w:t>
      </w:r>
    </w:p>
    <w:p>
      <w:pPr>
        <w:pStyle w:val="2"/>
        <w:ind w:right="440"/>
        <w:jc w:val="right"/>
        <w:rPr>
          <w:rFonts w:ascii="黑体" w:hAnsi="黑体" w:eastAsia="黑体"/>
          <w:b w:val="0"/>
          <w:bCs w:val="0"/>
        </w:rPr>
      </w:pPr>
      <w:bookmarkStart w:id="60" w:name="_Toc26119_WPSOffice_Level1"/>
      <w:bookmarkStart w:id="61" w:name="_Toc15396602"/>
      <w:bookmarkStart w:id="6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60"/>
      <w:bookmarkEnd w:id="61"/>
      <w:bookmarkEnd w:id="62"/>
    </w:p>
    <w:p>
      <w:pPr>
        <w:pStyle w:val="24"/>
        <w:numPr>
          <w:ilvl w:val="0"/>
          <w:numId w:val="2"/>
        </w:numPr>
        <w:spacing w:line="600" w:lineRule="exact"/>
        <w:ind w:firstLineChars="0"/>
        <w:outlineLvl w:val="1"/>
        <w:rPr>
          <w:rStyle w:val="26"/>
          <w:rFonts w:ascii="黑体" w:hAnsi="黑体" w:eastAsia="黑体"/>
          <w:b w:val="0"/>
        </w:rPr>
      </w:pPr>
      <w:bookmarkStart w:id="63" w:name="_Toc15396603"/>
      <w:bookmarkStart w:id="64" w:name="_Toc15377205"/>
      <w:bookmarkStart w:id="65" w:name="_Toc26183_WPSOffice_Level2"/>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63"/>
      <w:bookmarkEnd w:id="64"/>
      <w:bookmarkEnd w:id="65"/>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162.24</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154.19</w:t>
      </w:r>
      <w:r>
        <w:rPr>
          <w:rFonts w:hint="eastAsia" w:ascii="仿宋" w:hAnsi="仿宋" w:eastAsia="仿宋"/>
          <w:color w:val="000000"/>
          <w:sz w:val="32"/>
          <w:szCs w:val="32"/>
        </w:rPr>
        <w:t>万元。与2018年相比，收入增加</w:t>
      </w:r>
      <w:r>
        <w:rPr>
          <w:rFonts w:hint="eastAsia" w:ascii="仿宋" w:hAnsi="仿宋" w:eastAsia="仿宋"/>
          <w:color w:val="000000"/>
          <w:sz w:val="32"/>
          <w:szCs w:val="32"/>
          <w:lang w:val="en-US" w:eastAsia="zh-CN"/>
        </w:rPr>
        <w:t>8.25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5.36</w:t>
      </w:r>
      <w:r>
        <w:rPr>
          <w:rFonts w:hint="eastAsia" w:ascii="仿宋" w:hAnsi="仿宋" w:eastAsia="仿宋"/>
          <w:color w:val="000000"/>
          <w:sz w:val="32"/>
          <w:szCs w:val="32"/>
        </w:rPr>
        <w:t>%；支出总计增加</w:t>
      </w:r>
      <w:r>
        <w:rPr>
          <w:rFonts w:hint="eastAsia" w:ascii="仿宋" w:hAnsi="仿宋" w:eastAsia="仿宋"/>
          <w:color w:val="000000"/>
          <w:sz w:val="32"/>
          <w:szCs w:val="32"/>
          <w:lang w:val="en-US" w:eastAsia="zh-CN"/>
        </w:rPr>
        <w:t>18.21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13.39</w:t>
      </w:r>
      <w:r>
        <w:rPr>
          <w:rFonts w:ascii="仿宋" w:hAnsi="仿宋" w:eastAsia="仿宋"/>
          <w:color w:val="000000"/>
          <w:sz w:val="32"/>
          <w:szCs w:val="32"/>
        </w:rPr>
        <w:t>%</w:t>
      </w:r>
      <w:r>
        <w:rPr>
          <w:rFonts w:hint="eastAsia" w:ascii="仿宋" w:hAnsi="仿宋" w:eastAsia="仿宋"/>
          <w:color w:val="000000"/>
          <w:sz w:val="32"/>
          <w:szCs w:val="32"/>
        </w:rPr>
        <w:t>。主要变动原因是2019年会计核算制度改变，收入核算方式改变，收到的医保统筹款等进入业务收入中核算，因此业务收入增加</w:t>
      </w:r>
      <w:r>
        <w:rPr>
          <w:rFonts w:hint="eastAsia" w:ascii="仿宋" w:hAnsi="仿宋" w:eastAsia="仿宋"/>
          <w:color w:val="000000"/>
          <w:sz w:val="32"/>
          <w:szCs w:val="32"/>
          <w:lang w:eastAsia="zh-CN"/>
        </w:rPr>
        <w:t>；</w:t>
      </w:r>
      <w:r>
        <w:rPr>
          <w:rFonts w:hint="eastAsia" w:ascii="仿宋" w:hAnsi="仿宋" w:eastAsia="仿宋"/>
          <w:color w:val="000000"/>
          <w:sz w:val="32"/>
          <w:szCs w:val="32"/>
        </w:rPr>
        <w:t>同理，本年支出增加其主要原因仍为会计制度改变，核算方式改变，当年支付的药品款等进入支出核算，</w:t>
      </w:r>
      <w:r>
        <w:rPr>
          <w:rFonts w:hint="eastAsia" w:ascii="仿宋" w:hAnsi="仿宋" w:eastAsia="仿宋"/>
          <w:color w:val="000000"/>
          <w:sz w:val="32"/>
          <w:szCs w:val="32"/>
          <w:lang w:val="en-US" w:eastAsia="zh-CN"/>
        </w:rPr>
        <w:t>2019年支出中包含2018年结转资金18.01万元，</w:t>
      </w:r>
      <w:r>
        <w:rPr>
          <w:rFonts w:hint="eastAsia" w:ascii="仿宋" w:hAnsi="仿宋" w:eastAsia="仿宋"/>
          <w:color w:val="000000"/>
          <w:sz w:val="32"/>
          <w:szCs w:val="32"/>
        </w:rPr>
        <w:t>因此支出增加。</w:t>
      </w:r>
    </w:p>
    <w:p>
      <w:pPr>
        <w:spacing w:line="600" w:lineRule="exact"/>
        <w:ind w:firstLine="640" w:firstLineChars="200"/>
        <w:rPr>
          <w:rFonts w:hint="eastAsia" w:ascii="仿宋" w:hAnsi="仿宋" w:eastAsia="仿宋"/>
          <w:color w:val="000000"/>
          <w:sz w:val="32"/>
          <w:szCs w:val="32"/>
        </w:rPr>
      </w:pPr>
    </w:p>
    <w:p>
      <w:pPr>
        <w:widowControl/>
        <w:jc w:val="center"/>
        <w:rPr>
          <w:rFonts w:hint="eastAsia" w:ascii="仿宋" w:hAnsi="仿宋" w:eastAsia="仿宋"/>
          <w:color w:val="000000" w:themeColor="text1"/>
          <w:sz w:val="32"/>
          <w:szCs w:val="32"/>
          <w:lang w:val="en-US" w:eastAsia="zh-CN"/>
        </w:rPr>
      </w:pPr>
      <w:r>
        <w:drawing>
          <wp:inline distT="0" distB="0" distL="114300" distR="114300">
            <wp:extent cx="4572000" cy="27432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hint="eastAsia" w:ascii="仿宋" w:hAnsi="仿宋" w:eastAsia="仿宋"/>
          <w:color w:val="000000" w:themeColor="text1"/>
          <w:sz w:val="32"/>
          <w:szCs w:val="32"/>
          <w:lang w:val="en-US" w:eastAsia="zh-CN"/>
        </w:rPr>
      </w:pPr>
    </w:p>
    <w:p>
      <w:pPr>
        <w:spacing w:line="600" w:lineRule="exact"/>
        <w:ind w:firstLine="640" w:firstLineChars="200"/>
        <w:outlineLvl w:val="1"/>
        <w:rPr>
          <w:rStyle w:val="26"/>
          <w:rFonts w:ascii="黑体" w:hAnsi="黑体" w:eastAsia="黑体"/>
          <w:b w:val="0"/>
        </w:rPr>
      </w:pPr>
      <w:bookmarkStart w:id="66" w:name="_Toc15377206"/>
      <w:bookmarkStart w:id="6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66"/>
      <w:bookmarkEnd w:id="6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162.24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115.12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3.90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24.68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18.54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0"/>
        </w:numPr>
        <w:spacing w:line="600" w:lineRule="exact"/>
        <w:ind w:left="640" w:leftChars="0"/>
        <w:outlineLvl w:val="1"/>
        <w:rPr>
          <w:rStyle w:val="26"/>
          <w:rFonts w:ascii="黑体" w:hAnsi="黑体" w:eastAsia="黑体"/>
          <w:b w:val="0"/>
        </w:rPr>
      </w:pPr>
      <w:bookmarkStart w:id="68" w:name="_Toc27432_WPSOffice_Level2"/>
      <w:bookmarkStart w:id="69" w:name="_Toc15396605"/>
      <w:bookmarkStart w:id="70"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68"/>
      <w:bookmarkEnd w:id="69"/>
      <w:bookmarkEnd w:id="70"/>
    </w:p>
    <w:p>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154.19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75.71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78.48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w:t>
      </w:r>
      <w:bookmarkStart w:id="71" w:name="_Toc30594_WPSOffice_Level2"/>
      <w:r>
        <w:rPr>
          <w:rFonts w:hint="eastAsia" w:ascii="仿宋" w:hAnsi="仿宋" w:eastAsia="仿宋"/>
          <w:color w:val="000000"/>
          <w:sz w:val="32"/>
          <w:szCs w:val="32"/>
        </w:rPr>
        <w:t>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71"/>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72" w:name="_Toc15396606"/>
      <w:bookmarkStart w:id="73" w:name="_Toc30843_WPSOffice_Level2"/>
      <w:bookmarkStart w:id="74"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72"/>
      <w:bookmarkEnd w:id="73"/>
      <w:bookmarkEnd w:id="74"/>
    </w:p>
    <w:p>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119.</w:t>
      </w:r>
      <w:bookmarkStart w:id="75" w:name="_Toc490_WPSOffice_Level2"/>
      <w:r>
        <w:rPr>
          <w:rFonts w:hint="eastAsia" w:ascii="仿宋" w:hAnsi="仿宋" w:eastAsia="仿宋"/>
          <w:color w:val="000000"/>
          <w:sz w:val="32"/>
          <w:szCs w:val="32"/>
          <w:lang w:val="en-US" w:eastAsia="zh-CN"/>
        </w:rPr>
        <w:t>02万元，财政拨款支出 90.1</w:t>
      </w:r>
      <w:bookmarkEnd w:id="75"/>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0.13</w:t>
      </w:r>
      <w:bookmarkStart w:id="76" w:name="_Toc2060_WPSOffice_Level2"/>
      <w:r>
        <w:rPr>
          <w:rFonts w:hint="eastAsia" w:ascii="仿宋" w:hAnsi="仿宋" w:eastAsia="仿宋"/>
          <w:color w:val="000000"/>
          <w:sz w:val="32"/>
          <w:szCs w:val="32"/>
          <w:lang w:val="en-US" w:eastAsia="zh-CN"/>
        </w:rPr>
        <w:t>万元，财政拨款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10</w:t>
      </w:r>
      <w:bookmarkEnd w:id="76"/>
      <w:r>
        <w:rPr>
          <w:rFonts w:hint="eastAsia" w:ascii="仿宋" w:hAnsi="仿宋" w:eastAsia="仿宋"/>
          <w:color w:val="000000"/>
          <w:sz w:val="32"/>
          <w:szCs w:val="32"/>
          <w:lang w:val="en-US" w:eastAsia="zh-CN"/>
        </w:rPr>
        <w:t>.74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10.65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财政拨款收入增加</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一般公共预算财政拨款增加</w:t>
      </w:r>
      <w:r>
        <w:rPr>
          <w:rFonts w:hint="eastAsia" w:ascii="仿宋" w:hAnsi="仿宋" w:eastAsia="仿宋"/>
          <w:color w:val="000000"/>
          <w:sz w:val="32"/>
          <w:szCs w:val="32"/>
          <w:lang w:val="en-US" w:eastAsia="zh-CN"/>
        </w:rPr>
        <w:t>13.04万元，其中增加中医馆建设经费10万元。</w:t>
      </w:r>
      <w:r>
        <w:rPr>
          <w:rFonts w:hint="eastAsia" w:ascii="仿宋" w:hAnsi="仿宋" w:eastAsia="仿宋"/>
          <w:color w:val="000000"/>
          <w:sz w:val="32"/>
          <w:szCs w:val="32"/>
          <w:lang w:eastAsia="zh-CN"/>
        </w:rPr>
        <w:t>财政拨款支出减少其原因为</w:t>
      </w:r>
      <w:r>
        <w:rPr>
          <w:rFonts w:hint="eastAsia" w:ascii="仿宋" w:hAnsi="仿宋" w:eastAsia="仿宋"/>
          <w:color w:val="000000"/>
          <w:sz w:val="32"/>
          <w:szCs w:val="32"/>
          <w:lang w:val="en-US" w:eastAsia="zh-CN"/>
        </w:rPr>
        <w:t>2019年结转资金46.89万元，较上年增加28.88万元，结转资金跨年实施。</w:t>
      </w:r>
    </w:p>
    <w:p>
      <w:pPr>
        <w:spacing w:line="240" w:lineRule="auto"/>
        <w:ind w:firstLine="640"/>
        <w:rPr>
          <w:rFonts w:hint="eastAsia" w:ascii="仿宋" w:hAnsi="仿宋" w:eastAsia="仿宋"/>
          <w:b/>
          <w:color w:val="00B050"/>
          <w:sz w:val="32"/>
          <w:szCs w:val="32"/>
          <w:lang w:eastAsia="zh-CN"/>
        </w:rPr>
      </w:pPr>
      <w:r>
        <w:drawing>
          <wp:inline distT="0" distB="0" distL="114300" distR="114300">
            <wp:extent cx="4572000" cy="2355215"/>
            <wp:effectExtent l="4445" t="4445" r="10795" b="177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77" w:name="_Toc15396607"/>
      <w:bookmarkStart w:id="78" w:name="_Toc4943_WPSOffice_Level2"/>
      <w:bookmarkStart w:id="7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77"/>
      <w:bookmarkEnd w:id="78"/>
      <w:bookmarkEnd w:id="79"/>
    </w:p>
    <w:p>
      <w:pPr>
        <w:spacing w:line="600" w:lineRule="exact"/>
        <w:ind w:firstLine="643" w:firstLineChars="200"/>
        <w:outlineLvl w:val="2"/>
        <w:rPr>
          <w:rFonts w:ascii="仿宋" w:hAnsi="仿宋" w:eastAsia="仿宋"/>
          <w:b/>
          <w:color w:val="000000"/>
          <w:sz w:val="32"/>
          <w:szCs w:val="32"/>
        </w:rPr>
      </w:pPr>
      <w:bookmarkStart w:id="80" w:name="_Toc15377210"/>
      <w:r>
        <w:rPr>
          <w:rFonts w:hint="eastAsia" w:ascii="仿宋" w:hAnsi="仿宋" w:eastAsia="仿宋"/>
          <w:b/>
          <w:color w:val="000000"/>
          <w:sz w:val="32"/>
          <w:szCs w:val="32"/>
        </w:rPr>
        <w:t>（一）一般公共预算财政拨款支出决算总体情况</w:t>
      </w:r>
      <w:bookmarkEnd w:id="80"/>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86.24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55.93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2.17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2.58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2019年支出中包含2018年财政结转经费18.01万元。</w:t>
      </w:r>
    </w:p>
    <w:p>
      <w:pPr>
        <w:spacing w:line="240" w:lineRule="auto"/>
        <w:jc w:val="center"/>
      </w:pPr>
    </w:p>
    <w:p>
      <w:pPr>
        <w:spacing w:line="240" w:lineRule="auto"/>
        <w:jc w:val="center"/>
      </w:pPr>
      <w:r>
        <w:drawing>
          <wp:inline distT="0" distB="0" distL="114300" distR="114300">
            <wp:extent cx="4572000" cy="2632075"/>
            <wp:effectExtent l="4445" t="4445" r="1079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40" w:lineRule="auto"/>
        <w:ind w:firstLine="420" w:firstLineChars="200"/>
      </w:pPr>
    </w:p>
    <w:p>
      <w:pPr>
        <w:spacing w:line="240" w:lineRule="auto"/>
        <w:ind w:firstLine="420" w:firstLineChars="200"/>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81" w:name="_Toc15377211"/>
      <w:r>
        <w:rPr>
          <w:rFonts w:hint="eastAsia" w:ascii="仿宋" w:hAnsi="仿宋" w:eastAsia="仿宋"/>
          <w:b/>
          <w:color w:val="000000"/>
          <w:sz w:val="32"/>
          <w:szCs w:val="32"/>
        </w:rPr>
        <w:t>（二）一般公共预算财政拨款支出决算结构情况</w:t>
      </w:r>
      <w:bookmarkEnd w:id="81"/>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86.24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4.75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79.65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1.84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sz w:val="32"/>
          <w:szCs w:val="32"/>
        </w:rPr>
      </w:pPr>
    </w:p>
    <w:p>
      <w:pPr>
        <w:spacing w:line="240" w:lineRule="auto"/>
        <w:ind w:firstLine="640"/>
        <w:rPr>
          <w:rFonts w:hint="eastAsia" w:ascii="仿宋" w:hAnsi="仿宋" w:eastAsia="仿宋"/>
          <w:color w:val="000000"/>
          <w:sz w:val="32"/>
          <w:szCs w:val="32"/>
          <w:lang w:eastAsia="zh-CN"/>
        </w:rPr>
      </w:pPr>
      <w:r>
        <w:drawing>
          <wp:inline distT="0" distB="0" distL="114300" distR="114300">
            <wp:extent cx="4572000" cy="2743200"/>
            <wp:effectExtent l="4445" t="4445" r="10795" b="1079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82" w:name="_Toc15377212"/>
      <w:r>
        <w:rPr>
          <w:rFonts w:hint="eastAsia" w:ascii="仿宋" w:hAnsi="仿宋" w:eastAsia="仿宋"/>
          <w:b/>
          <w:color w:val="000000"/>
          <w:sz w:val="32"/>
          <w:szCs w:val="32"/>
        </w:rPr>
        <w:t>（三）一般公共预算财政拨款支出决算具体情况</w:t>
      </w:r>
      <w:bookmarkEnd w:id="82"/>
    </w:p>
    <w:p>
      <w:pPr>
        <w:spacing w:line="600" w:lineRule="exact"/>
        <w:ind w:firstLine="643" w:firstLineChars="200"/>
        <w:outlineLvl w:val="2"/>
        <w:rPr>
          <w:rFonts w:ascii="仿宋" w:hAnsi="仿宋" w:eastAsia="仿宋"/>
          <w:color w:val="FF0000"/>
          <w:sz w:val="32"/>
          <w:szCs w:val="32"/>
        </w:rPr>
      </w:pPr>
      <w:bookmarkStart w:id="83" w:name="_Toc15377444"/>
      <w:bookmarkStart w:id="84" w:name="_Toc15378460"/>
      <w:bookmarkStart w:id="85"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86.24</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65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83"/>
      <w:bookmarkEnd w:id="84"/>
      <w:bookmarkEnd w:id="85"/>
    </w:p>
    <w:p>
      <w:pPr>
        <w:numPr>
          <w:ilvl w:val="0"/>
          <w:numId w:val="3"/>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numPr>
          <w:ilvl w:val="0"/>
          <w:numId w:val="3"/>
        </w:num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numPr>
          <w:ilvl w:val="0"/>
          <w:numId w:val="3"/>
        </w:numPr>
        <w:spacing w:line="600" w:lineRule="exact"/>
        <w:ind w:left="0" w:leftChars="0"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p>
    <w:p>
      <w:pPr>
        <w:numPr>
          <w:ilvl w:val="0"/>
          <w:numId w:val="3"/>
        </w:numPr>
        <w:spacing w:line="600" w:lineRule="exact"/>
        <w:ind w:left="0" w:leftChars="0"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numPr>
          <w:ilvl w:val="0"/>
          <w:numId w:val="3"/>
        </w:numPr>
        <w:spacing w:line="600" w:lineRule="exact"/>
        <w:ind w:left="0" w:leftChars="0"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rPr>
        <w:t>社会保障和就业</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val="en-US" w:eastAsia="zh-CN"/>
        </w:rPr>
        <w:t>2080801死亡抚恤</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 xml:space="preserve"> 4.75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numPr>
          <w:ilvl w:val="0"/>
          <w:numId w:val="3"/>
        </w:numPr>
        <w:spacing w:line="600" w:lineRule="exact"/>
        <w:ind w:left="0" w:leftChars="0"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rPr>
        <w:t>卫生健康</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79.65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63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当年有结转资金跨年实施</w:t>
      </w:r>
      <w:r>
        <w:rPr>
          <w:rStyle w:val="15"/>
          <w:rFonts w:hint="eastAsia" w:ascii="仿宋" w:hAnsi="仿宋" w:eastAsia="仿宋"/>
          <w:b w:val="0"/>
          <w:bCs/>
          <w:color w:val="000000"/>
          <w:sz w:val="32"/>
          <w:szCs w:val="32"/>
        </w:rPr>
        <w:t>。</w:t>
      </w:r>
    </w:p>
    <w:p>
      <w:pPr>
        <w:numPr>
          <w:ilvl w:val="0"/>
          <w:numId w:val="0"/>
        </w:numPr>
        <w:spacing w:line="600" w:lineRule="exact"/>
        <w:ind w:leftChars="0"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2100302乡镇卫生院支出决算为21.8万元，完成预算100%。</w:t>
      </w:r>
    </w:p>
    <w:p>
      <w:pPr>
        <w:numPr>
          <w:ilvl w:val="0"/>
          <w:numId w:val="0"/>
        </w:numPr>
        <w:spacing w:line="600" w:lineRule="exact"/>
        <w:ind w:leftChars="0"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2100399 其他基层医疗卫生机构支出决算为11.16万元，完成预算93%，结转资金0.89万元跨年实施。</w:t>
      </w:r>
    </w:p>
    <w:p>
      <w:pPr>
        <w:numPr>
          <w:ilvl w:val="0"/>
          <w:numId w:val="0"/>
        </w:numPr>
        <w:spacing w:line="600" w:lineRule="exact"/>
        <w:ind w:leftChars="0"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2100408 基本公共卫生服务决算支出为45.68万元，完成预算56%，结转资金36万元跨年实施。</w:t>
      </w:r>
    </w:p>
    <w:p>
      <w:pPr>
        <w:numPr>
          <w:ilvl w:val="0"/>
          <w:numId w:val="0"/>
        </w:numPr>
        <w:spacing w:line="600" w:lineRule="exact"/>
        <w:ind w:leftChars="0"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2101102事业单位医疗决算支出为1.01万元，完成预算100%。</w:t>
      </w:r>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7、</w:t>
      </w:r>
      <w:r>
        <w:rPr>
          <w:rFonts w:hint="eastAsia" w:ascii="仿宋" w:hAnsi="仿宋" w:eastAsia="仿宋"/>
          <w:b/>
          <w:bCs/>
          <w:color w:val="000000"/>
          <w:sz w:val="32"/>
          <w:szCs w:val="32"/>
          <w:lang w:val="en-US" w:eastAsia="zh-CN"/>
        </w:rPr>
        <w:t>住房保障支出</w:t>
      </w:r>
      <w:r>
        <w:rPr>
          <w:rFonts w:hint="eastAsia" w:ascii="仿宋" w:hAnsi="仿宋" w:eastAsia="仿宋"/>
          <w:color w:val="000000"/>
          <w:sz w:val="32"/>
          <w:szCs w:val="32"/>
          <w:lang w:val="en-US" w:eastAsia="zh-CN"/>
        </w:rPr>
        <w:t>决算支出为1.84万元，完成预算100%。</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86" w:name="_Toc30297_WPSOffice_Level2"/>
      <w:bookmarkStart w:id="87" w:name="_Toc15377214"/>
      <w:bookmarkStart w:id="8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86"/>
      <w:bookmarkEnd w:id="87"/>
      <w:bookmarkEnd w:id="88"/>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29.4</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29.4</w:t>
      </w:r>
      <w:r>
        <w:rPr>
          <w:rFonts w:hint="eastAsia" w:ascii="仿宋" w:hAnsi="仿宋" w:eastAsia="仿宋"/>
          <w:color w:val="000000"/>
          <w:sz w:val="32"/>
          <w:szCs w:val="32"/>
        </w:rPr>
        <w:t>万元，主要包括：基本工资、津贴补贴、其他社会保障缴费、医疗费补助、</w:t>
      </w:r>
      <w:bookmarkStart w:id="89" w:name="_Toc26572_WPSOffice_Level1"/>
      <w:r>
        <w:rPr>
          <w:rFonts w:hint="eastAsia" w:ascii="仿宋" w:hAnsi="仿宋" w:eastAsia="仿宋"/>
          <w:color w:val="000000"/>
          <w:sz w:val="32"/>
          <w:szCs w:val="32"/>
        </w:rPr>
        <w:t>住房公积</w:t>
      </w:r>
      <w:bookmarkEnd w:id="89"/>
      <w:r>
        <w:rPr>
          <w:rFonts w:hint="eastAsia" w:ascii="仿宋" w:hAnsi="仿宋" w:eastAsia="仿宋"/>
          <w:color w:val="000000"/>
          <w:sz w:val="32"/>
          <w:szCs w:val="32"/>
        </w:rPr>
        <w:t>金支出等。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90" w:name="_Toc15396609"/>
      <w:bookmarkStart w:id="91" w:name="_Toc32474_WPSOffice_Level2"/>
      <w:bookmarkStart w:id="92"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90"/>
      <w:bookmarkEnd w:id="91"/>
      <w:bookmarkEnd w:id="92"/>
    </w:p>
    <w:p>
      <w:pPr>
        <w:spacing w:line="600" w:lineRule="exact"/>
        <w:ind w:firstLine="640"/>
        <w:outlineLvl w:val="2"/>
        <w:rPr>
          <w:rFonts w:ascii="仿宋" w:hAnsi="仿宋" w:eastAsia="仿宋"/>
          <w:b/>
          <w:color w:val="000000"/>
          <w:sz w:val="32"/>
          <w:szCs w:val="32"/>
        </w:rPr>
      </w:pPr>
      <w:bookmarkStart w:id="93" w:name="_Toc15377216"/>
      <w:r>
        <w:rPr>
          <w:rFonts w:hint="eastAsia" w:ascii="仿宋" w:hAnsi="仿宋" w:eastAsia="仿宋"/>
          <w:b/>
          <w:color w:val="000000"/>
          <w:sz w:val="32"/>
          <w:szCs w:val="32"/>
        </w:rPr>
        <w:t>（一）“三公”经费财政拨款支出决算总体情况说明</w:t>
      </w:r>
      <w:bookmarkEnd w:id="9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1.28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w:t>
      </w:r>
      <w:r>
        <w:rPr>
          <w:rFonts w:hint="eastAsia" w:ascii="仿宋" w:hAnsi="仿宋" w:eastAsia="仿宋"/>
          <w:color w:val="000000"/>
          <w:sz w:val="32"/>
          <w:szCs w:val="32"/>
          <w:lang w:eastAsia="zh-CN"/>
        </w:rPr>
        <w:t>是本年严格控制公务用车支出当年支出减少，小于预算金额</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94" w:name="_Toc15377217"/>
      <w:r>
        <w:rPr>
          <w:rFonts w:hint="eastAsia" w:ascii="仿宋" w:hAnsi="仿宋" w:eastAsia="仿宋"/>
          <w:b/>
          <w:color w:val="000000"/>
          <w:sz w:val="32"/>
          <w:szCs w:val="32"/>
        </w:rPr>
        <w:t>（二）“三公”经费财政拨款支出决算具体情况说明</w:t>
      </w:r>
      <w:bookmarkEnd w:id="94"/>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p>
    <w:p>
      <w:pPr>
        <w:spacing w:line="240" w:lineRule="auto"/>
        <w:ind w:firstLine="640"/>
        <w:rPr>
          <w:rFonts w:hint="eastAsia" w:ascii="仿宋" w:hAnsi="仿宋" w:eastAsia="仿宋"/>
          <w:color w:val="000000"/>
          <w:sz w:val="32"/>
          <w:szCs w:val="32"/>
          <w:lang w:eastAsia="zh-CN"/>
        </w:rPr>
      </w:pPr>
      <w:r>
        <w:drawing>
          <wp:inline distT="0" distB="0" distL="114300" distR="114300">
            <wp:extent cx="4572000" cy="2743200"/>
            <wp:effectExtent l="4445" t="4445" r="10795" b="1079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2018年无三公经费。</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万元。主要</w:t>
      </w:r>
      <w:r>
        <w:rPr>
          <w:rFonts w:hint="eastAsia" w:ascii="仿宋_GB2312" w:eastAsia="仿宋_GB2312"/>
          <w:color w:val="000000"/>
          <w:sz w:val="32"/>
          <w:szCs w:val="32"/>
          <w:lang w:eastAsia="zh-CN"/>
        </w:rPr>
        <w:t>用于单位开展公共卫生下乡及开展医疗卫生活动</w:t>
      </w:r>
      <w:r>
        <w:rPr>
          <w:rFonts w:hint="eastAsia" w:ascii="仿宋_GB2312" w:eastAsia="仿宋_GB2312"/>
          <w:color w:val="000000"/>
          <w:sz w:val="32"/>
          <w:szCs w:val="32"/>
        </w:rPr>
        <w:t>等所需的车</w:t>
      </w:r>
      <w:r>
        <w:rPr>
          <w:rFonts w:hint="eastAsia" w:ascii="仿宋_GB2312" w:eastAsia="仿宋_GB2312"/>
          <w:color w:val="000000"/>
          <w:sz w:val="32"/>
          <w:szCs w:val="32"/>
          <w:lang w:eastAsia="zh-CN"/>
        </w:rPr>
        <w:t>辆</w:t>
      </w:r>
      <w:r>
        <w:rPr>
          <w:rFonts w:hint="eastAsia" w:ascii="仿宋_GB2312" w:eastAsia="仿宋_GB2312"/>
          <w:color w:val="000000"/>
          <w:sz w:val="32"/>
          <w:szCs w:val="32"/>
        </w:rPr>
        <w:t>燃料费、维修费、过路过桥费、保险费等支出。</w:t>
      </w:r>
    </w:p>
    <w:p>
      <w:pPr>
        <w:numPr>
          <w:ilvl w:val="0"/>
          <w:numId w:val="4"/>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4"/>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w:t>
      </w:r>
      <w:r>
        <w:rPr>
          <w:rFonts w:hint="eastAsia" w:ascii="仿宋_GB2312" w:eastAsia="仿宋_GB2312"/>
          <w:color w:val="000000" w:themeColor="text1"/>
          <w:sz w:val="32"/>
          <w:szCs w:val="32"/>
          <w:lang w:eastAsia="zh-CN"/>
        </w:rPr>
        <w:t>元。</w:t>
      </w:r>
    </w:p>
    <w:p>
      <w:pPr>
        <w:spacing w:line="600" w:lineRule="exact"/>
        <w:ind w:firstLine="640"/>
        <w:outlineLvl w:val="1"/>
        <w:rPr>
          <w:rFonts w:ascii="黑体" w:eastAsia="黑体"/>
          <w:color w:val="000000"/>
          <w:sz w:val="32"/>
          <w:szCs w:val="32"/>
        </w:rPr>
      </w:pPr>
      <w:bookmarkStart w:id="95" w:name="_Toc15377218"/>
      <w:bookmarkStart w:id="96" w:name="_Toc15396610"/>
    </w:p>
    <w:p>
      <w:pPr>
        <w:spacing w:line="600" w:lineRule="exact"/>
        <w:ind w:firstLine="640"/>
        <w:outlineLvl w:val="1"/>
        <w:rPr>
          <w:rStyle w:val="26"/>
          <w:rFonts w:ascii="黑体" w:hAnsi="黑体" w:eastAsia="黑体"/>
        </w:rPr>
      </w:pPr>
      <w:bookmarkStart w:id="97" w:name="_Toc11239_WPSOffice_Level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95"/>
      <w:bookmarkEnd w:id="96"/>
      <w:bookmarkEnd w:id="97"/>
    </w:p>
    <w:p>
      <w:pPr>
        <w:spacing w:line="600" w:lineRule="exact"/>
        <w:ind w:firstLine="640"/>
        <w:rPr>
          <w:rFonts w:hint="default"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100%，主要用于单位医疗废物暂存点建设。</w:t>
      </w:r>
    </w:p>
    <w:p>
      <w:pPr>
        <w:spacing w:line="600" w:lineRule="exact"/>
        <w:ind w:firstLine="640"/>
        <w:rPr>
          <w:rFonts w:hint="eastAsia" w:ascii="仿宋_GB2312" w:eastAsia="仿宋_GB2312"/>
          <w:color w:val="000000"/>
          <w:sz w:val="32"/>
          <w:szCs w:val="32"/>
        </w:rPr>
      </w:pPr>
    </w:p>
    <w:p>
      <w:pPr>
        <w:numPr>
          <w:ilvl w:val="0"/>
          <w:numId w:val="5"/>
        </w:numPr>
        <w:spacing w:line="600" w:lineRule="exact"/>
        <w:ind w:firstLine="640"/>
        <w:outlineLvl w:val="1"/>
        <w:rPr>
          <w:rStyle w:val="26"/>
          <w:rFonts w:ascii="黑体" w:hAnsi="黑体" w:eastAsia="黑体"/>
          <w:b w:val="0"/>
        </w:rPr>
      </w:pPr>
      <w:bookmarkStart w:id="98" w:name="_Toc32451_WPSOffice_Level2"/>
      <w:bookmarkStart w:id="99" w:name="_Toc15396611"/>
      <w:bookmarkStart w:id="100" w:name="_Toc15377219"/>
      <w:r>
        <w:rPr>
          <w:rStyle w:val="26"/>
          <w:rFonts w:hint="eastAsia" w:ascii="黑体" w:hAnsi="黑体" w:eastAsia="黑体"/>
          <w:b w:val="0"/>
        </w:rPr>
        <w:t>国有资本经营预算支出决算情况说明</w:t>
      </w:r>
      <w:bookmarkEnd w:id="98"/>
      <w:bookmarkEnd w:id="99"/>
      <w:bookmarkEnd w:id="10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101" w:name="_Toc15377221"/>
      <w:bookmarkStart w:id="102" w:name="_Toc12059_WPSOffice_Level2"/>
      <w:bookmarkStart w:id="103"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101"/>
      <w:bookmarkEnd w:id="102"/>
      <w:bookmarkEnd w:id="103"/>
    </w:p>
    <w:p>
      <w:pPr>
        <w:spacing w:line="600" w:lineRule="exact"/>
        <w:ind w:firstLine="643" w:firstLineChars="200"/>
        <w:outlineLvl w:val="2"/>
        <w:rPr>
          <w:rFonts w:hint="eastAsia" w:ascii="仿宋" w:hAnsi="仿宋" w:eastAsia="仿宋"/>
          <w:b/>
          <w:color w:val="000000"/>
          <w:sz w:val="32"/>
          <w:szCs w:val="32"/>
        </w:rPr>
      </w:pPr>
      <w:bookmarkStart w:id="104" w:name="_Toc15377222"/>
      <w:r>
        <w:rPr>
          <w:rFonts w:hint="eastAsia" w:ascii="仿宋" w:hAnsi="仿宋" w:eastAsia="仿宋"/>
          <w:b/>
          <w:color w:val="000000"/>
          <w:sz w:val="32"/>
          <w:szCs w:val="32"/>
        </w:rPr>
        <w:t>（一）机关运行经费支出情况</w:t>
      </w:r>
      <w:bookmarkEnd w:id="104"/>
    </w:p>
    <w:p>
      <w:pPr>
        <w:spacing w:line="600" w:lineRule="exact"/>
        <w:ind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lang w:eastAsia="zh-CN"/>
        </w:rPr>
        <w:t>大为镇卫生院属峨眉山市卫生健康局下属二级预算单位，事业编制，不属于机关单位，无机关运行经费支出。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15377223"/>
      <w:r>
        <w:rPr>
          <w:rFonts w:hint="eastAsia" w:ascii="仿宋" w:hAnsi="仿宋" w:eastAsia="仿宋"/>
          <w:b/>
          <w:color w:val="000000"/>
          <w:sz w:val="32"/>
          <w:szCs w:val="32"/>
        </w:rPr>
        <w:t>（二）政府采购支出情况</w:t>
      </w:r>
      <w:bookmarkEnd w:id="105"/>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5.79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4.35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1.43</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单位车辆维修、标识标牌购置及公卫一体机购置</w:t>
      </w:r>
      <w:r>
        <w:rPr>
          <w:rFonts w:hint="eastAsia" w:ascii="仿宋_GB2312" w:eastAsia="仿宋_GB2312"/>
          <w:color w:val="000000"/>
          <w:sz w:val="32"/>
          <w:szCs w:val="32"/>
        </w:rPr>
        <w:t>（具体</w:t>
      </w:r>
      <w:bookmarkStart w:id="106" w:name="_Toc3299_WPSOffice_Level1"/>
      <w:r>
        <w:rPr>
          <w:rFonts w:hint="eastAsia" w:ascii="仿宋_GB2312" w:eastAsia="仿宋_GB2312"/>
          <w:color w:val="000000"/>
          <w:sz w:val="32"/>
          <w:szCs w:val="32"/>
        </w:rPr>
        <w:t>工作）。授予中</w:t>
      </w:r>
      <w:bookmarkEnd w:id="106"/>
      <w:r>
        <w:rPr>
          <w:rFonts w:hint="eastAsia" w:ascii="仿宋_GB2312" w:eastAsia="仿宋_GB2312"/>
          <w:color w:val="000000"/>
          <w:sz w:val="32"/>
          <w:szCs w:val="32"/>
        </w:rPr>
        <w:t>小企业合同金</w:t>
      </w:r>
      <w:bookmarkStart w:id="107" w:name="_Toc3975_WPSOffice_Level2"/>
      <w:r>
        <w:rPr>
          <w:rFonts w:hint="eastAsia" w:ascii="仿宋_GB2312" w:eastAsia="仿宋_GB2312"/>
          <w:color w:val="000000"/>
          <w:sz w:val="32"/>
          <w:szCs w:val="32"/>
        </w:rPr>
        <w:t>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w:t>
      </w:r>
      <w:bookmarkEnd w:id="107"/>
      <w:r>
        <w:rPr>
          <w:rFonts w:hint="eastAsia" w:ascii="仿宋_GB2312" w:eastAsia="仿宋_GB2312"/>
          <w:color w:val="000000"/>
          <w:sz w:val="32"/>
          <w:szCs w:val="32"/>
        </w:rPr>
        <w:t>支</w:t>
      </w:r>
      <w:bookmarkStart w:id="108" w:name="_Toc19870_WPSOffice_Level2"/>
      <w:r>
        <w:rPr>
          <w:rFonts w:hint="eastAsia" w:ascii="仿宋_GB2312" w:eastAsia="仿宋_GB2312"/>
          <w:color w:val="000000"/>
          <w:sz w:val="32"/>
          <w:szCs w:val="32"/>
        </w:rPr>
        <w:t>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w:t>
      </w:r>
      <w:bookmarkEnd w:id="108"/>
      <w:r>
        <w:rPr>
          <w:rFonts w:hint="eastAsia" w:ascii="仿宋_GB2312" w:eastAsia="仿宋_GB2312"/>
          <w:color w:val="000000"/>
          <w:sz w:val="32"/>
          <w:szCs w:val="32"/>
        </w:rPr>
        <w:t>同金</w:t>
      </w:r>
      <w:bookmarkStart w:id="109" w:name="_Toc28466_WPSOffice_Level2"/>
      <w:r>
        <w:rPr>
          <w:rFonts w:hint="eastAsia" w:ascii="仿宋_GB2312" w:eastAsia="仿宋_GB2312"/>
          <w:color w:val="000000"/>
          <w:sz w:val="32"/>
          <w:szCs w:val="32"/>
        </w:rPr>
        <w:t>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w:t>
      </w:r>
      <w:bookmarkEnd w:id="109"/>
      <w:r>
        <w:rPr>
          <w:rFonts w:hint="eastAsia" w:ascii="仿宋_GB2312" w:eastAsia="仿宋_GB2312"/>
          <w:color w:val="000000"/>
          <w:sz w:val="32"/>
          <w:szCs w:val="32"/>
        </w:rPr>
        <w:t>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0" w:name="_Toc15377224"/>
      <w:r>
        <w:rPr>
          <w:rFonts w:hint="eastAsia" w:ascii="仿宋" w:hAnsi="仿宋" w:eastAsia="仿宋"/>
          <w:b/>
          <w:color w:val="000000"/>
          <w:sz w:val="32"/>
          <w:szCs w:val="32"/>
        </w:rPr>
        <w:t>（三）国有资产占有使用情况</w:t>
      </w:r>
      <w:bookmarkEnd w:id="110"/>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开展本单位基本公共卫生服务下乡以及单位医疗活动用车。</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根据预算绩效管理要求，本单位无专项预算项，专项预算项目由主管局统一预算编制。2019年，本单位收到调整预算安排</w:t>
      </w:r>
      <w:r>
        <w:rPr>
          <w:rFonts w:hint="eastAsia" w:ascii="仿宋" w:hAnsi="仿宋" w:eastAsia="仿宋" w:cs="仿宋"/>
          <w:sz w:val="32"/>
          <w:szCs w:val="32"/>
          <w:lang w:val="en-US" w:eastAsia="zh-CN"/>
        </w:rPr>
        <w:t>107.62</w:t>
      </w:r>
      <w:r>
        <w:rPr>
          <w:rFonts w:hint="eastAsia" w:ascii="仿宋" w:hAnsi="仿宋" w:eastAsia="仿宋" w:cs="仿宋"/>
          <w:sz w:val="32"/>
          <w:szCs w:val="32"/>
        </w:rPr>
        <w:t>万元，其中基本支出0万元，项目支出</w:t>
      </w:r>
      <w:r>
        <w:rPr>
          <w:rFonts w:hint="eastAsia" w:ascii="仿宋" w:hAnsi="仿宋" w:eastAsia="仿宋" w:cs="仿宋"/>
          <w:sz w:val="32"/>
          <w:szCs w:val="32"/>
          <w:lang w:val="en-US" w:eastAsia="zh-CN"/>
        </w:rPr>
        <w:t>60.74</w:t>
      </w:r>
      <w:r>
        <w:rPr>
          <w:rFonts w:hint="eastAsia" w:ascii="仿宋" w:hAnsi="仿宋" w:eastAsia="仿宋" w:cs="仿宋"/>
          <w:sz w:val="32"/>
          <w:szCs w:val="32"/>
        </w:rPr>
        <w:t>万元。主要为基</w:t>
      </w:r>
      <w:bookmarkStart w:id="111" w:name="_Toc10906_WPSOffice_Level2"/>
      <w:r>
        <w:rPr>
          <w:rFonts w:hint="eastAsia" w:ascii="仿宋" w:hAnsi="仿宋" w:eastAsia="仿宋" w:cs="仿宋"/>
          <w:sz w:val="32"/>
          <w:szCs w:val="32"/>
        </w:rPr>
        <w:t>层医疗卫生机构实施基本药</w:t>
      </w:r>
      <w:bookmarkEnd w:id="111"/>
      <w:r>
        <w:rPr>
          <w:rFonts w:hint="eastAsia" w:ascii="仿宋" w:hAnsi="仿宋" w:eastAsia="仿宋" w:cs="仿宋"/>
          <w:sz w:val="32"/>
          <w:szCs w:val="32"/>
        </w:rPr>
        <w:t>物制度、村卫生室实施基本药物制度、基本公共卫生服务资金、医疗废物暂存点建设等项目。</w:t>
      </w:r>
    </w:p>
    <w:p>
      <w:pPr>
        <w:numPr>
          <w:ilvl w:val="0"/>
          <w:numId w:val="0"/>
        </w:numPr>
        <w:spacing w:line="580" w:lineRule="exact"/>
        <w:ind w:firstLine="640" w:firstLineChars="200"/>
        <w:rPr>
          <w:rFonts w:hint="eastAsia" w:ascii="仿宋" w:hAnsi="仿宋" w:eastAsia="仿宋" w:cs="仿宋"/>
          <w:sz w:val="32"/>
          <w:szCs w:val="32"/>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基本公共卫生服务项目绩效目标完成情况综述。项目全年预算数</w:t>
      </w:r>
      <w:r>
        <w:rPr>
          <w:rFonts w:hint="eastAsia" w:ascii="仿宋_GB2312" w:hAnsi="仿宋_GB2312" w:eastAsia="仿宋_GB2312" w:cs="仿宋_GB2312"/>
          <w:sz w:val="32"/>
          <w:szCs w:val="32"/>
          <w:lang w:val="en-US" w:eastAsia="zh-CN"/>
        </w:rPr>
        <w:t>65.2万元，上年结转16.48万元，执行数为45.68万元，完成预算数的56%。结转资金36万元跨年实施。通过十四项公卫服务项目实施，对城乡居民健康问题实施干预，减少健康危险因素</w:t>
      </w:r>
      <w:bookmarkStart w:id="112" w:name="_Toc15590_WPSOffice_Level2"/>
      <w:r>
        <w:rPr>
          <w:rFonts w:hint="eastAsia" w:ascii="仿宋_GB2312" w:hAnsi="仿宋_GB2312" w:eastAsia="仿宋_GB2312" w:cs="仿宋_GB2312"/>
          <w:sz w:val="32"/>
          <w:szCs w:val="32"/>
          <w:lang w:val="en-US" w:eastAsia="zh-CN"/>
        </w:rPr>
        <w:t>，有效预防和控制慢病和传染病</w:t>
      </w:r>
      <w:bookmarkEnd w:id="112"/>
      <w:r>
        <w:rPr>
          <w:rFonts w:hint="eastAsia" w:ascii="仿宋_GB2312" w:hAnsi="仿宋_GB2312" w:eastAsia="仿宋_GB2312" w:cs="仿宋_GB2312"/>
          <w:sz w:val="32"/>
          <w:szCs w:val="32"/>
          <w:lang w:val="en-US" w:eastAsia="zh-CN"/>
        </w:rPr>
        <w:t>的发生，提高公共卫生服务和突发公共卫生事件的处置能力，使城乡居民逐步享有均等化公共卫生服务。</w:t>
      </w:r>
    </w:p>
    <w:p>
      <w:pPr>
        <w:numPr>
          <w:ilvl w:val="0"/>
          <w:numId w:val="0"/>
        </w:numPr>
        <w:spacing w:line="580" w:lineRule="exact"/>
        <w:ind w:left="630" w:leftChars="0"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基层医疗卫生机构项目绩效目标完成情况综述。项目全年预算10.52万元，上年结转1.53万元，执行数为11.16万元，完成预算数93%。结转资金0.89万元跨年实施。我院严格实施国家基本药物制度，实行国家基本药物零差价制度，保障基本药物合理使用，满足百姓用药需求，减轻群众用药负担。保障群众用药安全和身体健康，维护群众的基本医疗卫生权益。</w:t>
      </w:r>
      <w:r>
        <w:rPr>
          <w:rFonts w:hint="eastAsia" w:ascii="仿宋_GB2312" w:hAnsi="仿宋_GB2312" w:eastAsia="仿宋_GB2312" w:cs="仿宋_GB2312"/>
          <w:b w:val="0"/>
          <w:bCs/>
          <w:sz w:val="32"/>
          <w:szCs w:val="32"/>
        </w:rPr>
        <w:t>村卫生室基药资金按3000元/村卫生室，剩余部分按各村卫生室基药采购量进行分配。若督导或绩效考核发现配备非基药、加价、使用过期药品、加价、村卫生室自行采购等情况，一次扣除资金2000元，以此内推。</w:t>
      </w:r>
    </w:p>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疗废物暂存点建设绩效目标完成情况综述。项目全年预算3.9万元，执行数为3.9万元，完成预算数100%。医疗废物暂存点的建立，有效的优化处理处置医疗废物，作到消毒效果好、环境污染小，保障医院在医疗活动中直接或间接产生的医疗废物及时处理处置，减少医疗废物污染风险。</w:t>
      </w:r>
    </w:p>
    <w:p>
      <w:pPr>
        <w:numPr>
          <w:ilvl w:val="0"/>
          <w:numId w:val="0"/>
        </w:numPr>
        <w:spacing w:line="580" w:lineRule="exact"/>
        <w:ind w:left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numPr>
          <w:ilvl w:val="0"/>
          <w:numId w:val="6"/>
        </w:numPr>
        <w:spacing w:line="600" w:lineRule="exact"/>
        <w:ind w:firstLine="660" w:firstLineChars="150"/>
        <w:jc w:val="center"/>
        <w:outlineLvl w:val="0"/>
        <w:rPr>
          <w:rStyle w:val="25"/>
          <w:rFonts w:ascii="黑体" w:hAnsi="黑体" w:eastAsia="黑体"/>
          <w:b w:val="0"/>
        </w:rPr>
      </w:pPr>
      <w:bookmarkStart w:id="113" w:name="_Toc15396613"/>
      <w:bookmarkStart w:id="114" w:name="_Toc18507_WPSOffice_Level1"/>
      <w:bookmarkStart w:id="115"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113"/>
      <w:bookmarkEnd w:id="114"/>
      <w:bookmarkEnd w:id="115"/>
    </w:p>
    <w:p>
      <w:pPr>
        <w:numPr>
          <w:ilvl w:val="0"/>
          <w:numId w:val="0"/>
        </w:numPr>
        <w:spacing w:line="600" w:lineRule="exact"/>
        <w:jc w:val="both"/>
        <w:outlineLvl w:val="0"/>
        <w:rPr>
          <w:rStyle w:val="25"/>
          <w:rFonts w:ascii="黑体" w:hAnsi="黑体" w:eastAsia="黑体"/>
          <w:b w:val="0"/>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各类检查收入、药品收入、床位收入、护理收入、手术费</w:t>
      </w:r>
      <w:r>
        <w:rPr>
          <w:rFonts w:hint="eastAsia" w:ascii="仿宋_GB2312" w:eastAsia="仿宋_GB2312"/>
          <w:sz w:val="32"/>
          <w:szCs w:val="32"/>
        </w:rPr>
        <w:t>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hAnsi="仿宋_GB2312" w:eastAsia="仿宋_GB2312" w:cs="仿宋_GB2312"/>
          <w:sz w:val="32"/>
          <w:szCs w:val="32"/>
        </w:rPr>
        <w:t>主要是指利息收入、培训收入、食堂收入、捐赠收入</w:t>
      </w:r>
      <w:r>
        <w:rPr>
          <w:rFonts w:hint="eastAsia" w:ascii="仿宋_GB2312" w:eastAsia="仿宋_GB2312"/>
          <w:sz w:val="32"/>
          <w:szCs w:val="32"/>
        </w:rPr>
        <w:t>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w:t>
      </w:r>
      <w:bookmarkStart w:id="116" w:name="_Toc2473_WPSOffice_Level2"/>
      <w:r>
        <w:rPr>
          <w:rFonts w:hint="eastAsia" w:ascii="仿宋_GB2312" w:eastAsia="仿宋_GB2312"/>
          <w:sz w:val="32"/>
          <w:szCs w:val="32"/>
        </w:rPr>
        <w:t>前年度积累的事业基</w:t>
      </w:r>
      <w:bookmarkEnd w:id="116"/>
      <w:r>
        <w:rPr>
          <w:rFonts w:hint="eastAsia" w:ascii="仿宋_GB2312" w:eastAsia="仿宋_GB2312"/>
          <w:sz w:val="32"/>
          <w:szCs w:val="32"/>
        </w:rPr>
        <w:t>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w:t>
      </w:r>
      <w:bookmarkStart w:id="117" w:name="_Toc24212_WPSOffice_Level1"/>
      <w:r>
        <w:rPr>
          <w:rFonts w:hint="eastAsia" w:ascii="仿宋_GB2312" w:eastAsia="仿宋_GB2312"/>
          <w:sz w:val="32"/>
          <w:szCs w:val="32"/>
        </w:rPr>
        <w:t>的事业基金和职</w:t>
      </w:r>
      <w:bookmarkEnd w:id="117"/>
      <w:r>
        <w:rPr>
          <w:rFonts w:hint="eastAsia" w:ascii="仿宋_GB2312" w:eastAsia="仿宋_GB2312"/>
          <w:sz w:val="32"/>
          <w:szCs w:val="32"/>
        </w:rPr>
        <w:t>工福</w:t>
      </w:r>
      <w:bookmarkStart w:id="118" w:name="_Toc25817_WPSOffice_Level2"/>
      <w:r>
        <w:rPr>
          <w:rFonts w:hint="eastAsia" w:ascii="仿宋_GB2312" w:eastAsia="仿宋_GB2312"/>
          <w:sz w:val="32"/>
          <w:szCs w:val="32"/>
        </w:rPr>
        <w:t>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w:t>
      </w:r>
      <w:bookmarkEnd w:id="118"/>
      <w:r>
        <w:rPr>
          <w:rFonts w:hint="eastAsia" w:ascii="仿宋_GB2312" w:eastAsia="仿宋_GB2312"/>
          <w:sz w:val="32"/>
          <w:szCs w:val="32"/>
        </w:rPr>
        <w:t>结</w:t>
      </w:r>
      <w:bookmarkStart w:id="119" w:name="_Toc27027_WPSOffice_Level2"/>
      <w:r>
        <w:rPr>
          <w:rFonts w:hint="eastAsia" w:ascii="仿宋_GB2312" w:eastAsia="仿宋_GB2312"/>
          <w:sz w:val="32"/>
          <w:szCs w:val="32"/>
        </w:rPr>
        <w:t>转和结余：指单</w:t>
      </w:r>
      <w:bookmarkEnd w:id="119"/>
      <w:r>
        <w:rPr>
          <w:rFonts w:hint="eastAsia" w:ascii="仿宋_GB2312" w:eastAsia="仿宋_GB2312"/>
          <w:sz w:val="32"/>
          <w:szCs w:val="32"/>
        </w:rPr>
        <w:t>位</w:t>
      </w:r>
      <w:bookmarkStart w:id="120" w:name="_Toc18546_WPSOffice_Level2"/>
      <w:r>
        <w:rPr>
          <w:rFonts w:hint="eastAsia" w:ascii="仿宋_GB2312" w:eastAsia="仿宋_GB2312"/>
          <w:sz w:val="32"/>
          <w:szCs w:val="32"/>
        </w:rPr>
        <w:t>按有关规定结转</w:t>
      </w:r>
      <w:bookmarkEnd w:id="120"/>
      <w:r>
        <w:rPr>
          <w:rFonts w:hint="eastAsia" w:ascii="仿宋_GB2312" w:eastAsia="仿宋_GB2312"/>
          <w:sz w:val="32"/>
          <w:szCs w:val="32"/>
        </w:rPr>
        <w:t>到</w:t>
      </w:r>
      <w:bookmarkStart w:id="121" w:name="_Toc5339_WPSOffice_Level2"/>
      <w:r>
        <w:rPr>
          <w:rFonts w:hint="eastAsia" w:ascii="仿宋_GB2312" w:eastAsia="仿宋_GB2312"/>
          <w:sz w:val="32"/>
          <w:szCs w:val="32"/>
        </w:rPr>
        <w:t>下年或以后年度继续使用的资金</w:t>
      </w:r>
      <w:bookmarkEnd w:id="121"/>
      <w:r>
        <w:rPr>
          <w:rFonts w:hint="eastAsia" w:ascii="仿宋_GB2312" w:eastAsia="仿宋_GB2312"/>
          <w:sz w:val="32"/>
          <w:szCs w:val="32"/>
        </w:rPr>
        <w:t>。</w:t>
      </w:r>
      <w:bookmarkStart w:id="122" w:name="_Toc9218_WPSOffice_Level2"/>
    </w:p>
    <w:p>
      <w:pPr>
        <w:ind w:firstLine="640" w:firstLineChars="200"/>
        <w:rPr>
          <w:rStyle w:val="15"/>
          <w:rFonts w:hint="eastAsia" w:ascii="仿宋_GB2312" w:hAnsi="仿宋_GB2312" w:eastAsia="仿宋_GB2312" w:cs="仿宋_GB2312"/>
          <w:b w:val="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sz w:val="32"/>
          <w:szCs w:val="32"/>
        </w:rPr>
        <w:t>机关事业单位基本养老</w:t>
      </w:r>
      <w:bookmarkEnd w:id="122"/>
      <w:r>
        <w:rPr>
          <w:rFonts w:hint="eastAsia" w:ascii="仿宋_GB2312" w:hAnsi="仿宋_GB2312" w:eastAsia="仿宋_GB2312" w:cs="仿宋_GB2312"/>
          <w:sz w:val="32"/>
          <w:szCs w:val="32"/>
        </w:rPr>
        <w:t>保</w:t>
      </w:r>
      <w:bookmarkStart w:id="123" w:name="_Toc19226_WPSOffice_Level2"/>
      <w:r>
        <w:rPr>
          <w:rFonts w:hint="eastAsia" w:ascii="仿宋_GB2312" w:hAnsi="仿宋_GB2312" w:eastAsia="仿宋_GB2312" w:cs="仿宋_GB2312"/>
          <w:sz w:val="32"/>
          <w:szCs w:val="32"/>
        </w:rPr>
        <w:t>险缴费支出：</w:t>
      </w:r>
      <w:r>
        <w:rPr>
          <w:rStyle w:val="15"/>
          <w:rFonts w:hint="eastAsia" w:ascii="仿宋_GB2312" w:hAnsi="仿宋_GB2312" w:eastAsia="仿宋_GB2312" w:cs="仿宋_GB2312"/>
          <w:b w:val="0"/>
          <w:sz w:val="32"/>
          <w:szCs w:val="32"/>
        </w:rPr>
        <w:t>反映机关事业单位实施养</w:t>
      </w:r>
      <w:bookmarkEnd w:id="123"/>
      <w:r>
        <w:rPr>
          <w:rStyle w:val="15"/>
          <w:rFonts w:hint="eastAsia" w:ascii="仿宋_GB2312" w:hAnsi="仿宋_GB2312" w:eastAsia="仿宋_GB2312" w:cs="仿宋_GB2312"/>
          <w:b w:val="0"/>
          <w:sz w:val="32"/>
          <w:szCs w:val="32"/>
        </w:rPr>
        <w:t>老</w:t>
      </w:r>
      <w:bookmarkStart w:id="124" w:name="_Toc793_WPSOffice_Level2"/>
      <w:r>
        <w:rPr>
          <w:rStyle w:val="15"/>
          <w:rFonts w:hint="eastAsia" w:ascii="仿宋_GB2312" w:hAnsi="仿宋_GB2312" w:eastAsia="仿宋_GB2312" w:cs="仿宋_GB2312"/>
          <w:b w:val="0"/>
          <w:sz w:val="32"/>
          <w:szCs w:val="32"/>
        </w:rPr>
        <w:t>保险制度由单位缴纳的基本养老保险费支出</w:t>
      </w:r>
      <w:bookmarkEnd w:id="124"/>
      <w:r>
        <w:rPr>
          <w:rStyle w:val="15"/>
          <w:rFonts w:hint="eastAsia" w:ascii="仿宋_GB2312" w:hAnsi="仿宋_GB2312" w:eastAsia="仿宋_GB2312" w:cs="仿宋_GB2312"/>
          <w:b w:val="0"/>
          <w:sz w:val="32"/>
          <w:szCs w:val="32"/>
        </w:rPr>
        <w:t>。</w:t>
      </w:r>
      <w:bookmarkStart w:id="125" w:name="_Toc4729_WPSOffice_Level2"/>
    </w:p>
    <w:p>
      <w:pPr>
        <w:ind w:firstLine="640" w:firstLineChars="200"/>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sz w:val="32"/>
          <w:szCs w:val="32"/>
        </w:rPr>
        <w:t>机关事业单位职业年金缴费支出：</w:t>
      </w:r>
      <w:bookmarkEnd w:id="125"/>
      <w:r>
        <w:rPr>
          <w:rStyle w:val="15"/>
          <w:rFonts w:hint="eastAsia" w:ascii="仿宋_GB2312" w:hAnsi="仿宋_GB2312" w:eastAsia="仿宋_GB2312" w:cs="仿宋_GB2312"/>
          <w:b w:val="0"/>
          <w:sz w:val="32"/>
          <w:szCs w:val="32"/>
        </w:rPr>
        <w:t>反</w:t>
      </w:r>
      <w:bookmarkStart w:id="126" w:name="_Toc16559_WPSOffice_Level2"/>
      <w:r>
        <w:rPr>
          <w:rStyle w:val="15"/>
          <w:rFonts w:hint="eastAsia" w:ascii="仿宋_GB2312" w:hAnsi="仿宋_GB2312" w:eastAsia="仿宋_GB2312" w:cs="仿宋_GB2312"/>
          <w:b w:val="0"/>
          <w:sz w:val="32"/>
          <w:szCs w:val="32"/>
        </w:rPr>
        <w:t>映机关事业单位实施养老保险制度由单位缴</w:t>
      </w:r>
      <w:bookmarkEnd w:id="126"/>
      <w:r>
        <w:rPr>
          <w:rStyle w:val="15"/>
          <w:rFonts w:hint="eastAsia" w:ascii="仿宋_GB2312" w:hAnsi="仿宋_GB2312" w:eastAsia="仿宋_GB2312" w:cs="仿宋_GB2312"/>
          <w:b w:val="0"/>
          <w:sz w:val="32"/>
          <w:szCs w:val="32"/>
        </w:rPr>
        <w:t>纳</w:t>
      </w:r>
      <w:bookmarkStart w:id="127" w:name="_Toc22972_WPSOffice_Level2"/>
      <w:r>
        <w:rPr>
          <w:rStyle w:val="15"/>
          <w:rFonts w:hint="eastAsia" w:ascii="仿宋_GB2312" w:hAnsi="仿宋_GB2312" w:eastAsia="仿宋_GB2312" w:cs="仿宋_GB2312"/>
          <w:b w:val="0"/>
          <w:sz w:val="32"/>
          <w:szCs w:val="32"/>
        </w:rPr>
        <w:t>的</w:t>
      </w:r>
      <w:r>
        <w:rPr>
          <w:rFonts w:hint="eastAsia" w:ascii="仿宋_GB2312" w:hAnsi="仿宋_GB2312" w:eastAsia="仿宋_GB2312" w:cs="仿宋_GB2312"/>
          <w:sz w:val="32"/>
          <w:szCs w:val="32"/>
        </w:rPr>
        <w:t>职业年金</w:t>
      </w:r>
      <w:r>
        <w:rPr>
          <w:rStyle w:val="15"/>
          <w:rFonts w:hint="eastAsia" w:ascii="仿宋_GB2312" w:hAnsi="仿宋_GB2312" w:eastAsia="仿宋_GB2312" w:cs="仿宋_GB2312"/>
          <w:b w:val="0"/>
          <w:sz w:val="32"/>
          <w:szCs w:val="32"/>
        </w:rPr>
        <w:t>支出。</w:t>
      </w:r>
    </w:p>
    <w:p>
      <w:pPr>
        <w:ind w:firstLine="640" w:firstLineChars="200"/>
        <w:rPr>
          <w:rStyle w:val="15"/>
          <w:rFonts w:hint="eastAsia"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sz w:val="32"/>
          <w:szCs w:val="32"/>
        </w:rPr>
        <w:t>死亡抚恤：</w:t>
      </w:r>
      <w:r>
        <w:rPr>
          <w:rStyle w:val="15"/>
          <w:rFonts w:hint="eastAsia" w:ascii="仿宋_GB2312" w:hAnsi="仿宋_GB2312" w:eastAsia="仿宋_GB2312" w:cs="仿宋_GB2312"/>
          <w:b w:val="0"/>
          <w:sz w:val="32"/>
          <w:szCs w:val="32"/>
        </w:rPr>
        <w:t>指反映按规定</w:t>
      </w:r>
      <w:bookmarkEnd w:id="127"/>
      <w:r>
        <w:rPr>
          <w:rStyle w:val="15"/>
          <w:rFonts w:hint="eastAsia" w:ascii="仿宋_GB2312" w:hAnsi="仿宋_GB2312" w:eastAsia="仿宋_GB2312" w:cs="仿宋_GB2312"/>
          <w:b w:val="0"/>
          <w:sz w:val="32"/>
          <w:szCs w:val="32"/>
        </w:rPr>
        <w:t>用</w:t>
      </w:r>
      <w:bookmarkStart w:id="128" w:name="_Toc14718_WPSOffice_Level2"/>
      <w:r>
        <w:rPr>
          <w:rStyle w:val="15"/>
          <w:rFonts w:hint="eastAsia" w:ascii="仿宋_GB2312" w:hAnsi="仿宋_GB2312" w:eastAsia="仿宋_GB2312" w:cs="仿宋_GB2312"/>
          <w:b w:val="0"/>
          <w:sz w:val="32"/>
          <w:szCs w:val="32"/>
        </w:rPr>
        <w:t>于烈士和牺牲、病故人员家属的一次性和定期抚</w:t>
      </w:r>
      <w:bookmarkEnd w:id="128"/>
      <w:r>
        <w:rPr>
          <w:rStyle w:val="15"/>
          <w:rFonts w:hint="eastAsia" w:ascii="仿宋_GB2312" w:hAnsi="仿宋_GB2312" w:eastAsia="仿宋_GB2312" w:cs="仿宋_GB2312"/>
          <w:b w:val="0"/>
          <w:sz w:val="32"/>
          <w:szCs w:val="32"/>
        </w:rPr>
        <w:t>恤</w:t>
      </w:r>
      <w:bookmarkStart w:id="129" w:name="_Toc6058_WPSOffice_Level2"/>
      <w:r>
        <w:rPr>
          <w:rStyle w:val="15"/>
          <w:rFonts w:hint="eastAsia" w:ascii="仿宋_GB2312" w:hAnsi="仿宋_GB2312" w:eastAsia="仿宋_GB2312" w:cs="仿宋_GB2312"/>
          <w:b w:val="0"/>
          <w:sz w:val="32"/>
          <w:szCs w:val="32"/>
        </w:rPr>
        <w:t>金以及丧葬补助费。</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12、</w:t>
      </w:r>
      <w:r>
        <w:rPr>
          <w:rFonts w:hint="eastAsia" w:ascii="仿宋_GB2312" w:hAnsi="仿宋_GB2312" w:eastAsia="仿宋_GB2312" w:cs="仿宋_GB2312"/>
          <w:sz w:val="32"/>
          <w:szCs w:val="32"/>
        </w:rPr>
        <w:t>乡镇卫生院：反映用于乡镇</w:t>
      </w:r>
      <w:bookmarkEnd w:id="129"/>
      <w:r>
        <w:rPr>
          <w:rFonts w:hint="eastAsia" w:ascii="仿宋_GB2312" w:hAnsi="仿宋_GB2312" w:eastAsia="仿宋_GB2312" w:cs="仿宋_GB2312"/>
          <w:sz w:val="32"/>
          <w:szCs w:val="32"/>
        </w:rPr>
        <w:t>卫</w:t>
      </w:r>
      <w:bookmarkStart w:id="130" w:name="_Toc19006_WPSOffice_Level2"/>
      <w:r>
        <w:rPr>
          <w:rFonts w:hint="eastAsia" w:ascii="仿宋_GB2312" w:hAnsi="仿宋_GB2312" w:eastAsia="仿宋_GB2312" w:cs="仿宋_GB2312"/>
          <w:sz w:val="32"/>
          <w:szCs w:val="32"/>
        </w:rPr>
        <w:t>生院的支出。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sz w:val="32"/>
          <w:szCs w:val="32"/>
        </w:rPr>
        <w:t>其他基层医疗</w:t>
      </w:r>
      <w:bookmarkEnd w:id="130"/>
      <w:r>
        <w:rPr>
          <w:rFonts w:hint="eastAsia" w:ascii="仿宋_GB2312" w:hAnsi="仿宋_GB2312" w:eastAsia="仿宋_GB2312" w:cs="仿宋_GB2312"/>
          <w:sz w:val="32"/>
          <w:szCs w:val="32"/>
        </w:rPr>
        <w:t>卫生机构支出：反映其他用于基层医疗卫生机构的支出。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14、</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16、</w:t>
      </w:r>
      <w:r>
        <w:rPr>
          <w:rFonts w:hint="eastAsia" w:ascii="仿宋_GB2312" w:hAnsi="仿宋_GB2312" w:eastAsia="仿宋_GB2312" w:cs="仿宋_GB2312"/>
          <w:sz w:val="32"/>
          <w:szCs w:val="32"/>
        </w:rPr>
        <w:t>中医（民族医）药专项：反映中医（民族医）药方面的专项支出。</w:t>
      </w:r>
    </w:p>
    <w:p>
      <w:pPr>
        <w:ind w:firstLine="640" w:firstLineChars="200"/>
        <w:rPr>
          <w:rStyle w:val="15"/>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事业单位医疗：</w:t>
      </w:r>
      <w:r>
        <w:rPr>
          <w:rStyle w:val="15"/>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hAnsi="仿宋"/>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numPr>
          <w:ilvl w:val="0"/>
          <w:numId w:val="0"/>
        </w:numPr>
        <w:spacing w:line="600" w:lineRule="exact"/>
        <w:jc w:val="both"/>
        <w:outlineLvl w:val="0"/>
        <w:rPr>
          <w:rStyle w:val="25"/>
          <w:rFonts w:ascii="黑体" w:hAnsi="黑体" w:eastAsia="黑体"/>
          <w:b w:val="0"/>
        </w:rPr>
      </w:pPr>
    </w:p>
    <w:p>
      <w:pPr>
        <w:spacing w:line="600" w:lineRule="exact"/>
        <w:jc w:val="left"/>
        <w:rPr>
          <w:rFonts w:ascii="宋体"/>
          <w:b/>
          <w:color w:val="000000"/>
          <w:sz w:val="44"/>
          <w:szCs w:val="44"/>
        </w:rPr>
      </w:pPr>
    </w:p>
    <w:p>
      <w:pPr>
        <w:spacing w:line="600" w:lineRule="exact"/>
        <w:jc w:val="center"/>
        <w:outlineLvl w:val="0"/>
        <w:rPr>
          <w:rFonts w:hint="eastAsia" w:ascii="黑体" w:hAnsi="黑体" w:eastAsia="黑体"/>
          <w:color w:val="000000"/>
          <w:sz w:val="44"/>
          <w:szCs w:val="44"/>
        </w:rPr>
      </w:pPr>
      <w:bookmarkStart w:id="131" w:name="_Toc15396614"/>
      <w:bookmarkStart w:id="132"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bookmarkStart w:id="133" w:name="_Toc26183_WPSOffice_Level1"/>
      <w:r>
        <w:rPr>
          <w:rFonts w:hint="eastAsia" w:ascii="黑体" w:hAnsi="黑体" w:eastAsia="黑体"/>
          <w:color w:val="000000"/>
          <w:sz w:val="44"/>
          <w:szCs w:val="44"/>
        </w:rPr>
        <w:t>第</w:t>
      </w:r>
      <w:r>
        <w:rPr>
          <w:rStyle w:val="25"/>
          <w:rFonts w:hint="eastAsia" w:ascii="黑体" w:hAnsi="黑体" w:eastAsia="黑体"/>
          <w:b w:val="0"/>
        </w:rPr>
        <w:t>四部分 附件</w:t>
      </w:r>
      <w:bookmarkEnd w:id="131"/>
      <w:bookmarkEnd w:id="133"/>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bookmarkStart w:id="134" w:name="_Toc15996_WPSOffice_Level2"/>
      <w:r>
        <w:rPr>
          <w:rFonts w:hint="eastAsia" w:ascii="方正小标宋简体" w:hAnsi="宋体" w:eastAsia="方正小标宋简体"/>
          <w:color w:val="000000"/>
          <w:kern w:val="0"/>
          <w:sz w:val="40"/>
          <w:szCs w:val="44"/>
          <w:lang w:eastAsia="zh-CN"/>
        </w:rPr>
        <w:t>峨眉山市大为镇卫生院</w:t>
      </w:r>
      <w:bookmarkEnd w:id="134"/>
    </w:p>
    <w:p>
      <w:pPr>
        <w:spacing w:line="600" w:lineRule="exact"/>
        <w:jc w:val="center"/>
        <w:rPr>
          <w:rFonts w:hint="eastAsia" w:ascii="方正小标宋简体" w:hAnsi="宋体" w:eastAsia="方正小标宋简体"/>
          <w:color w:val="000000"/>
          <w:kern w:val="0"/>
          <w:sz w:val="40"/>
          <w:szCs w:val="44"/>
          <w:lang w:val="zh-CN"/>
        </w:rPr>
      </w:pPr>
      <w:bookmarkStart w:id="135" w:name="_Toc7566_WPSOffice_Level2"/>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35"/>
    </w:p>
    <w:p>
      <w:pPr>
        <w:spacing w:line="600" w:lineRule="exact"/>
        <w:jc w:val="center"/>
        <w:rPr>
          <w:rFonts w:hint="eastAsia" w:ascii="方正小标宋简体" w:hAnsi="宋体" w:eastAsia="方正小标宋简体"/>
          <w:color w:val="000000"/>
          <w:kern w:val="0"/>
          <w:sz w:val="40"/>
          <w:szCs w:val="44"/>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36" w:name="_Toc19815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36"/>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（一）机构组成：峨眉山市大为镇卫生院为峨眉山市卫生健康局下属基层医疗单位，为独立核算机构。</w:t>
      </w:r>
    </w:p>
    <w:p>
      <w:pPr>
        <w:snapToGrid w:val="0"/>
        <w:spacing w:line="588" w:lineRule="exact"/>
        <w:ind w:firstLine="640" w:firstLineChars="200"/>
        <w:rPr>
          <w:rFonts w:hint="default" w:ascii="仿宋" w:hAnsi="仿宋" w:eastAsia="仿宋"/>
          <w:sz w:val="32"/>
          <w:szCs w:val="32"/>
          <w:lang w:val="en-US" w:eastAsia="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（三）人员概况：峨眉山市大为镇卫生院</w:t>
      </w:r>
      <w:r>
        <w:rPr>
          <w:rFonts w:hint="eastAsia" w:ascii="仿宋_GB2312" w:hAnsi="宋体" w:eastAsia="仿宋_GB2312" w:cs="宋体"/>
          <w:color w:val="000000"/>
          <w:kern w:val="0"/>
          <w:sz w:val="32"/>
          <w:szCs w:val="32"/>
          <w:shd w:val="clear" w:color="auto" w:fill="FFFFFF"/>
          <w:lang w:val="en-US" w:eastAsia="zh-CN"/>
        </w:rPr>
        <w:t>2019年年末实有人数11人。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37" w:name="_Toc14492_WPSOffice_Level2"/>
      <w:r>
        <w:rPr>
          <w:rFonts w:hint="eastAsia" w:ascii="黑体" w:hAnsi="宋体" w:eastAsia="黑体" w:cs="宋体"/>
          <w:color w:val="000000"/>
          <w:kern w:val="0"/>
          <w:sz w:val="32"/>
          <w:szCs w:val="32"/>
          <w:shd w:val="clear" w:color="auto" w:fill="FFFFFF"/>
        </w:rPr>
        <w:t>二、部门财政资金收支情况</w:t>
      </w:r>
      <w:bookmarkEnd w:id="137"/>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（一）部门财政资金收入情况：本单位</w:t>
      </w:r>
      <w:r>
        <w:rPr>
          <w:rFonts w:hint="eastAsia" w:ascii="仿宋_GB2312" w:hAnsi="宋体" w:eastAsia="仿宋_GB2312" w:cs="宋体"/>
          <w:color w:val="000000"/>
          <w:kern w:val="0"/>
          <w:sz w:val="32"/>
          <w:szCs w:val="32"/>
          <w:shd w:val="clear" w:color="auto" w:fill="FFFFFF"/>
          <w:lang w:val="en-US" w:eastAsia="zh-CN"/>
        </w:rPr>
        <w:t>2019年财政资金收入为119.02万元，</w:t>
      </w:r>
      <w:r>
        <w:rPr>
          <w:rFonts w:hint="eastAsia" w:ascii="仿宋_GB2312" w:hAnsi="宋体" w:eastAsia="仿宋_GB2312" w:cs="宋体"/>
          <w:color w:val="auto"/>
          <w:kern w:val="0"/>
          <w:sz w:val="32"/>
          <w:szCs w:val="32"/>
          <w:shd w:val="clear" w:color="auto" w:fill="FFFFFF"/>
          <w:lang w:val="en-US" w:eastAsia="zh-CN"/>
        </w:rPr>
        <w:t>其中一般公共预算财政</w:t>
      </w:r>
      <w:r>
        <w:rPr>
          <w:rFonts w:hint="eastAsia" w:ascii="仿宋_GB2312" w:hAnsi="宋体" w:eastAsia="仿宋_GB2312" w:cs="宋体"/>
          <w:color w:val="000000"/>
          <w:kern w:val="0"/>
          <w:sz w:val="32"/>
          <w:szCs w:val="32"/>
          <w:shd w:val="clear" w:color="auto" w:fill="FFFFFF"/>
          <w:lang w:val="en-US" w:eastAsia="zh-CN"/>
        </w:rPr>
        <w:t>拨款115.12万元，政府性基金预算财政拨款3.90万元。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（二）部门财政资金支出情况：本单位</w:t>
      </w:r>
      <w:r>
        <w:rPr>
          <w:rFonts w:hint="eastAsia" w:ascii="仿宋_GB2312" w:hAnsi="宋体" w:eastAsia="仿宋_GB2312" w:cs="宋体"/>
          <w:color w:val="000000"/>
          <w:kern w:val="0"/>
          <w:sz w:val="32"/>
          <w:szCs w:val="32"/>
          <w:shd w:val="clear" w:color="auto" w:fill="FFFFFF"/>
          <w:lang w:val="en-US" w:eastAsia="zh-CN"/>
        </w:rPr>
        <w:t>2019年财政资金支出为90.14万元。其中一般公共预算财政拨款支出为86.24万元，政府性基金预算财政拨款支出为3.90万元。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38" w:name="_Toc8427_WPSOffice_Level2"/>
      <w:r>
        <w:rPr>
          <w:rFonts w:hint="eastAsia" w:ascii="黑体" w:hAnsi="宋体" w:eastAsia="黑体" w:cs="宋体"/>
          <w:color w:val="000000"/>
          <w:kern w:val="0"/>
          <w:sz w:val="32"/>
          <w:szCs w:val="32"/>
          <w:shd w:val="clear" w:color="auto" w:fill="FFFFFF"/>
        </w:rPr>
        <w:t>三、部门整体预算绩效管理情况</w:t>
      </w:r>
      <w:bookmarkEnd w:id="138"/>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2019年我院预算经人大批准，收到财政资金119.02万元，其中基本资金29.4万元，项目资金89.62万元。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 w:hAnsi="仿宋" w:eastAsia="仿宋" w:cs="仿宋"/>
          <w:i w:val="0"/>
          <w:caps w:val="0"/>
          <w:color w:val="333333"/>
          <w:spacing w:val="0"/>
          <w:sz w:val="32"/>
          <w:szCs w:val="32"/>
          <w:lang w:eastAsia="zh-CN"/>
        </w:rPr>
        <w:t>（二）</w:t>
      </w:r>
      <w:r>
        <w:rPr>
          <w:rFonts w:hint="eastAsia" w:ascii="仿宋" w:hAnsi="仿宋" w:eastAsia="仿宋" w:cs="仿宋"/>
          <w:i w:val="0"/>
          <w:caps w:val="0"/>
          <w:color w:val="333333"/>
          <w:spacing w:val="0"/>
          <w:sz w:val="32"/>
          <w:szCs w:val="32"/>
        </w:rPr>
        <w:t>预算编制原则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为了使单位预算编制科学化、规范化、法制化，我院特制定预算管理办法。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rPr>
        <w:t>（1）必须以党和国家的方针政策以及各项法律法规为依据。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rPr>
        <w:t>）必须以收支平衡、略有结余为准则。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3</w:t>
      </w:r>
      <w:r>
        <w:rPr>
          <w:rFonts w:hint="eastAsia" w:ascii="仿宋" w:hAnsi="仿宋" w:eastAsia="仿宋" w:cs="仿宋"/>
          <w:i w:val="0"/>
          <w:caps w:val="0"/>
          <w:color w:val="333333"/>
          <w:spacing w:val="0"/>
          <w:sz w:val="32"/>
          <w:szCs w:val="32"/>
        </w:rPr>
        <w:t>）必须遵循完整性原则。单位的预算必须包括单位的全部财务收支，不得遗漏。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rPr>
        <w:t>）必须遵循真实性原则。单位的预算收支项目的数字必须依据充分确定的资料，按批准部门认可的计算依据和计算方法计算得来，不允许估算。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5</w:t>
      </w:r>
      <w:r>
        <w:rPr>
          <w:rFonts w:hint="eastAsia" w:ascii="仿宋" w:hAnsi="仿宋" w:eastAsia="仿宋" w:cs="仿宋"/>
          <w:i w:val="0"/>
          <w:caps w:val="0"/>
          <w:color w:val="333333"/>
          <w:spacing w:val="0"/>
          <w:sz w:val="32"/>
          <w:szCs w:val="32"/>
        </w:rPr>
        <w:t>）统一性原则。预算编制必须按照统一的预算科目和规定的收支标准、程序进行计算编制。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rPr>
        <w:t>）年度性原则。要求各事业单位的预算必须按财政年度进行编制。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eastAsia="zh-CN"/>
        </w:rPr>
        <w:t>（三）</w:t>
      </w:r>
      <w:r>
        <w:rPr>
          <w:rFonts w:hint="eastAsia" w:ascii="仿宋" w:hAnsi="仿宋" w:eastAsia="仿宋" w:cs="仿宋"/>
          <w:i w:val="0"/>
          <w:caps w:val="0"/>
          <w:color w:val="333333"/>
          <w:spacing w:val="0"/>
          <w:sz w:val="32"/>
          <w:szCs w:val="32"/>
        </w:rPr>
        <w:t>部门预算的执行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制定实施预算的各项管理制度和管理办法。为了保证预算的完全执行，预算编审班子制定</w:t>
      </w:r>
      <w:r>
        <w:rPr>
          <w:rFonts w:hint="eastAsia" w:ascii="仿宋" w:hAnsi="仿宋" w:eastAsia="仿宋" w:cs="仿宋"/>
          <w:i w:val="0"/>
          <w:caps w:val="0"/>
          <w:color w:val="333333"/>
          <w:spacing w:val="0"/>
          <w:sz w:val="32"/>
          <w:szCs w:val="32"/>
          <w:lang w:eastAsia="zh-CN"/>
        </w:rPr>
        <w:t>了</w:t>
      </w:r>
      <w:r>
        <w:rPr>
          <w:rFonts w:hint="eastAsia" w:ascii="仿宋" w:hAnsi="仿宋" w:eastAsia="仿宋" w:cs="仿宋"/>
          <w:i w:val="0"/>
          <w:caps w:val="0"/>
          <w:color w:val="333333"/>
          <w:spacing w:val="0"/>
          <w:sz w:val="32"/>
          <w:szCs w:val="32"/>
        </w:rPr>
        <w:t>一系列的管理制度和管理办法。及时、真实、准确反映预算执行情况。各部门按照财政部门的要求，认真编制预算执行情况表及相关报表，认真编写预算执行情况说明。</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（四）结果应用情况。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我院当年预算报经财政部门审核，再由财政报经人大审批通过后，经财政部门数据反馈最终进行本单位预算批复通报，实施当年预算结果。</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39" w:name="_Toc23462_WPSOffice_Level2"/>
      <w:r>
        <w:rPr>
          <w:rFonts w:hint="eastAsia" w:ascii="黑体" w:hAnsi="宋体" w:eastAsia="黑体" w:cs="宋体"/>
          <w:color w:val="000000"/>
          <w:kern w:val="0"/>
          <w:sz w:val="32"/>
          <w:szCs w:val="32"/>
          <w:shd w:val="clear" w:color="auto" w:fill="FFFFFF"/>
        </w:rPr>
        <w:t>四、评价结论及建议</w:t>
      </w:r>
      <w:bookmarkEnd w:id="139"/>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（二）存在问题：个别经费拨付不及时，且个别项目先做事后拨款，考核不及时而造成当年结转资金大。</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（三）改进建议：建议各部门按项目预算要求和原则，按时对项目进行考核，及时拨付项目资金。</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600" w:lineRule="exact"/>
        <w:jc w:val="center"/>
        <w:outlineLvl w:val="0"/>
        <w:rPr>
          <w:rFonts w:hint="eastAsia" w:ascii="黑体" w:hAnsi="黑体" w:eastAsia="黑体"/>
          <w:color w:val="000000"/>
          <w:sz w:val="44"/>
          <w:szCs w:val="44"/>
        </w:rPr>
      </w:pPr>
      <w:bookmarkStart w:id="140" w:name="_Toc15396618"/>
      <w:bookmarkStart w:id="141" w:name="_Toc27432_WPSOffice_Level1"/>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132"/>
      <w:bookmarkEnd w:id="140"/>
      <w:bookmarkEnd w:id="14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42" w:name="_Toc15396619"/>
      <w:bookmarkStart w:id="143" w:name="_Toc15406_WPSOffice_Level2"/>
      <w:r>
        <w:rPr>
          <w:rFonts w:hint="eastAsia" w:ascii="仿宋" w:hAnsi="仿宋" w:eastAsia="仿宋"/>
          <w:b w:val="0"/>
          <w:color w:val="000000"/>
        </w:rPr>
        <w:t>一、收</w:t>
      </w:r>
      <w:r>
        <w:rPr>
          <w:rStyle w:val="26"/>
          <w:rFonts w:hint="eastAsia" w:ascii="仿宋" w:hAnsi="仿宋" w:eastAsia="仿宋"/>
          <w:b w:val="0"/>
          <w:bCs w:val="0"/>
        </w:rPr>
        <w:t>入支出决算总表</w:t>
      </w:r>
      <w:bookmarkEnd w:id="142"/>
      <w:bookmarkEnd w:id="143"/>
    </w:p>
    <w:p>
      <w:pPr>
        <w:pStyle w:val="3"/>
        <w:rPr>
          <w:rFonts w:ascii="仿宋" w:hAnsi="仿宋" w:eastAsia="仿宋"/>
          <w:color w:val="000000"/>
        </w:rPr>
      </w:pPr>
      <w:bookmarkStart w:id="144" w:name="_Toc15396620"/>
      <w:bookmarkStart w:id="145" w:name="_Toc25944_WPSOffice_Level2"/>
      <w:r>
        <w:rPr>
          <w:rFonts w:hint="eastAsia" w:ascii="仿宋" w:hAnsi="仿宋" w:eastAsia="仿宋"/>
          <w:b w:val="0"/>
          <w:color w:val="000000"/>
        </w:rPr>
        <w:t>二、收</w:t>
      </w:r>
      <w:r>
        <w:rPr>
          <w:rStyle w:val="26"/>
          <w:rFonts w:hint="eastAsia" w:ascii="仿宋" w:hAnsi="仿宋" w:eastAsia="仿宋"/>
          <w:b w:val="0"/>
          <w:bCs w:val="0"/>
        </w:rPr>
        <w:t>入决算表</w:t>
      </w:r>
      <w:bookmarkEnd w:id="144"/>
      <w:bookmarkEnd w:id="145"/>
    </w:p>
    <w:p>
      <w:pPr>
        <w:pStyle w:val="3"/>
        <w:rPr>
          <w:rFonts w:ascii="仿宋" w:hAnsi="仿宋" w:eastAsia="仿宋"/>
          <w:color w:val="000000"/>
        </w:rPr>
      </w:pPr>
      <w:bookmarkStart w:id="146" w:name="_Toc21194_WPSOffice_Level2"/>
      <w:bookmarkStart w:id="147"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46"/>
      <w:bookmarkEnd w:id="147"/>
    </w:p>
    <w:p>
      <w:pPr>
        <w:pStyle w:val="3"/>
        <w:rPr>
          <w:rFonts w:ascii="仿宋" w:hAnsi="仿宋" w:eastAsia="仿宋"/>
          <w:b w:val="0"/>
          <w:color w:val="000000"/>
        </w:rPr>
      </w:pPr>
      <w:bookmarkStart w:id="148" w:name="_Toc13336_WPSOffice_Level2"/>
      <w:bookmarkStart w:id="149"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48"/>
      <w:bookmarkEnd w:id="149"/>
    </w:p>
    <w:p>
      <w:pPr>
        <w:pStyle w:val="3"/>
        <w:rPr>
          <w:rStyle w:val="26"/>
          <w:rFonts w:ascii="仿宋" w:hAnsi="仿宋" w:eastAsia="仿宋"/>
          <w:b w:val="0"/>
          <w:bCs w:val="0"/>
        </w:rPr>
      </w:pPr>
      <w:bookmarkStart w:id="150" w:name="_Toc15396623"/>
      <w:bookmarkStart w:id="151" w:name="_Toc9712_WPSOffice_Level2"/>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50"/>
      <w:bookmarkEnd w:id="151"/>
      <w:bookmarkStart w:id="152" w:name="_Toc15396624"/>
    </w:p>
    <w:p>
      <w:pPr>
        <w:pStyle w:val="3"/>
        <w:rPr>
          <w:rFonts w:ascii="仿宋" w:hAnsi="仿宋" w:eastAsia="仿宋"/>
          <w:color w:val="000000"/>
        </w:rPr>
      </w:pPr>
      <w:bookmarkStart w:id="153" w:name="_Toc5907_WPSOffice_Level2"/>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52"/>
      <w:bookmarkEnd w:id="153"/>
    </w:p>
    <w:p>
      <w:pPr>
        <w:pStyle w:val="3"/>
        <w:rPr>
          <w:rFonts w:ascii="仿宋" w:hAnsi="仿宋" w:eastAsia="仿宋"/>
          <w:color w:val="000000"/>
        </w:rPr>
      </w:pPr>
      <w:bookmarkStart w:id="154" w:name="_Toc6100_WPSOffice_Level2"/>
      <w:bookmarkStart w:id="15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54"/>
      <w:bookmarkEnd w:id="155"/>
    </w:p>
    <w:p>
      <w:pPr>
        <w:pStyle w:val="3"/>
        <w:rPr>
          <w:rFonts w:ascii="仿宋" w:hAnsi="仿宋" w:eastAsia="仿宋"/>
          <w:color w:val="000000"/>
        </w:rPr>
      </w:pPr>
      <w:bookmarkStart w:id="156" w:name="_Toc15396626"/>
      <w:bookmarkStart w:id="157" w:name="_Toc24705_WPSOffice_Level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56"/>
      <w:bookmarkEnd w:id="157"/>
    </w:p>
    <w:p>
      <w:pPr>
        <w:pStyle w:val="3"/>
        <w:rPr>
          <w:rFonts w:ascii="仿宋" w:hAnsi="仿宋" w:eastAsia="仿宋"/>
          <w:color w:val="000000"/>
        </w:rPr>
      </w:pPr>
      <w:bookmarkStart w:id="158" w:name="_Toc15396627"/>
      <w:bookmarkStart w:id="159" w:name="_Toc3935_WPSOffice_Level2"/>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58"/>
      <w:bookmarkEnd w:id="159"/>
    </w:p>
    <w:p>
      <w:pPr>
        <w:pStyle w:val="3"/>
        <w:rPr>
          <w:rFonts w:ascii="仿宋" w:hAnsi="仿宋" w:eastAsia="仿宋"/>
          <w:color w:val="000000"/>
        </w:rPr>
      </w:pPr>
      <w:bookmarkStart w:id="160" w:name="_Toc15396628"/>
      <w:bookmarkStart w:id="161" w:name="_Toc27400_WPSOffice_Level2"/>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60"/>
      <w:bookmarkEnd w:id="161"/>
    </w:p>
    <w:p>
      <w:pPr>
        <w:pStyle w:val="3"/>
        <w:rPr>
          <w:rFonts w:ascii="仿宋" w:hAnsi="仿宋" w:eastAsia="仿宋"/>
          <w:color w:val="000000"/>
        </w:rPr>
      </w:pPr>
      <w:bookmarkStart w:id="162" w:name="_Toc22128_WPSOffice_Level2"/>
      <w:bookmarkStart w:id="163"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62"/>
      <w:bookmarkEnd w:id="163"/>
    </w:p>
    <w:p>
      <w:pPr>
        <w:pStyle w:val="3"/>
        <w:rPr>
          <w:rFonts w:ascii="仿宋" w:hAnsi="仿宋" w:eastAsia="仿宋"/>
          <w:color w:val="000000"/>
        </w:rPr>
      </w:pPr>
      <w:bookmarkStart w:id="164" w:name="_Toc15396630"/>
      <w:bookmarkStart w:id="165" w:name="_Toc13180_WPSOffice_Level2"/>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64"/>
      <w:bookmarkEnd w:id="165"/>
    </w:p>
    <w:p>
      <w:pPr>
        <w:pStyle w:val="3"/>
        <w:rPr>
          <w:rFonts w:ascii="仿宋" w:hAnsi="仿宋" w:eastAsia="仿宋"/>
          <w:color w:val="000000" w:themeColor="text1"/>
        </w:rPr>
      </w:pPr>
      <w:bookmarkStart w:id="166" w:name="_Toc12092_WPSOffice_Level2"/>
      <w:bookmarkStart w:id="167"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66"/>
      <w:bookmarkEnd w:id="167"/>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F8475"/>
    <w:multiLevelType w:val="singleLevel"/>
    <w:tmpl w:val="AE5F8475"/>
    <w:lvl w:ilvl="0" w:tentative="0">
      <w:start w:val="3"/>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31B73F8"/>
    <w:multiLevelType w:val="singleLevel"/>
    <w:tmpl w:val="631B73F8"/>
    <w:lvl w:ilvl="0" w:tentative="0">
      <w:start w:val="1"/>
      <w:numFmt w:val="chineseCounting"/>
      <w:suff w:val="space"/>
      <w:lvlText w:val="第%1部分"/>
      <w:lvlJc w:val="left"/>
      <w:rPr>
        <w:rFonts w:hint="eastAsia"/>
      </w:rPr>
    </w:lvl>
  </w:abstractNum>
  <w:abstractNum w:abstractNumId="5">
    <w:nsid w:val="78092965"/>
    <w:multiLevelType w:val="singleLevel"/>
    <w:tmpl w:val="78092965"/>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3E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3D9C"/>
    <w:rsid w:val="0057481D"/>
    <w:rsid w:val="00575F0B"/>
    <w:rsid w:val="0058486E"/>
    <w:rsid w:val="00585B33"/>
    <w:rsid w:val="0059014D"/>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5F5F"/>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22BD"/>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B57"/>
    <w:rsid w:val="00DF28BC"/>
    <w:rsid w:val="00DF34B9"/>
    <w:rsid w:val="00E002E5"/>
    <w:rsid w:val="00E01053"/>
    <w:rsid w:val="00E065DB"/>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02C"/>
    <w:rsid w:val="00FD3CC1"/>
    <w:rsid w:val="00FF1E02"/>
    <w:rsid w:val="00FF30B4"/>
    <w:rsid w:val="02E14E26"/>
    <w:rsid w:val="04036DBC"/>
    <w:rsid w:val="04465C2A"/>
    <w:rsid w:val="054A5ECC"/>
    <w:rsid w:val="0659596F"/>
    <w:rsid w:val="09746F3C"/>
    <w:rsid w:val="0B835C54"/>
    <w:rsid w:val="0B930CAE"/>
    <w:rsid w:val="0C8876D7"/>
    <w:rsid w:val="0D2918C4"/>
    <w:rsid w:val="0F132D37"/>
    <w:rsid w:val="10C055FF"/>
    <w:rsid w:val="10D70F44"/>
    <w:rsid w:val="10FE6D75"/>
    <w:rsid w:val="11046755"/>
    <w:rsid w:val="11843485"/>
    <w:rsid w:val="133B39B7"/>
    <w:rsid w:val="145053B6"/>
    <w:rsid w:val="16BB723D"/>
    <w:rsid w:val="176405BA"/>
    <w:rsid w:val="186E75AD"/>
    <w:rsid w:val="1A82264F"/>
    <w:rsid w:val="1FEB3A9A"/>
    <w:rsid w:val="218609E0"/>
    <w:rsid w:val="24004130"/>
    <w:rsid w:val="240371BF"/>
    <w:rsid w:val="24367780"/>
    <w:rsid w:val="28EE5410"/>
    <w:rsid w:val="29F24787"/>
    <w:rsid w:val="29FD04D3"/>
    <w:rsid w:val="2A9336F7"/>
    <w:rsid w:val="2D3544CC"/>
    <w:rsid w:val="2FD47009"/>
    <w:rsid w:val="319F7F4E"/>
    <w:rsid w:val="328B3D22"/>
    <w:rsid w:val="34FE2CA0"/>
    <w:rsid w:val="3674354B"/>
    <w:rsid w:val="38954CD2"/>
    <w:rsid w:val="3F6A3A5D"/>
    <w:rsid w:val="4063773A"/>
    <w:rsid w:val="42865433"/>
    <w:rsid w:val="432072FE"/>
    <w:rsid w:val="4A760F68"/>
    <w:rsid w:val="4C483BA1"/>
    <w:rsid w:val="4D996EB8"/>
    <w:rsid w:val="4E600EC2"/>
    <w:rsid w:val="4ECE2238"/>
    <w:rsid w:val="5052024E"/>
    <w:rsid w:val="56AF62CE"/>
    <w:rsid w:val="56FB5D3B"/>
    <w:rsid w:val="58CF184A"/>
    <w:rsid w:val="5CB65AD5"/>
    <w:rsid w:val="5F8778E7"/>
    <w:rsid w:val="628D749C"/>
    <w:rsid w:val="629155A6"/>
    <w:rsid w:val="648039C3"/>
    <w:rsid w:val="65C01181"/>
    <w:rsid w:val="68850D36"/>
    <w:rsid w:val="6BA607E4"/>
    <w:rsid w:val="6CAE6FB3"/>
    <w:rsid w:val="6CDF776A"/>
    <w:rsid w:val="6D9A3260"/>
    <w:rsid w:val="7078223E"/>
    <w:rsid w:val="715D2323"/>
    <w:rsid w:val="72734D90"/>
    <w:rsid w:val="75557219"/>
    <w:rsid w:val="76C178D4"/>
    <w:rsid w:val="7A1C24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pPr>
      <w:ind w:leftChars="0"/>
    </w:pPr>
    <w:rPr>
      <w:rFonts w:ascii="Calibri" w:hAnsi="Calibri" w:eastAsia="宋体" w:cs="Times New Roman"/>
      <w:sz w:val="20"/>
      <w:szCs w:val="20"/>
    </w:rPr>
  </w:style>
  <w:style w:type="paragraph" w:customStyle="1" w:styleId="3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3"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3"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p>
        </c:rich>
      </c:tx>
      <c:layout>
        <c:manualLayout>
          <c:xMode val="edge"/>
          <c:yMode val="edge"/>
          <c:x val="0.258472222222223"/>
          <c:y val="0.0104166666666667"/>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[工作簿1]Sheet1!$B$1:$C$1</c:f>
              <c:numCache>
                <c:formatCode>General</c:formatCode>
                <c:ptCount val="2"/>
                <c:pt idx="0">
                  <c:v>2018</c:v>
                </c:pt>
                <c:pt idx="1">
                  <c:v>2019</c:v>
                </c:pt>
              </c:numCache>
            </c:numRef>
          </c:cat>
          <c:val>
            <c:numRef>
              <c:f>[工作簿1]Sheet1!$B$2:$C$2</c:f>
              <c:numCache>
                <c:formatCode>General</c:formatCode>
                <c:ptCount val="2"/>
                <c:pt idx="0">
                  <c:v>153.99</c:v>
                </c:pt>
                <c:pt idx="1">
                  <c:v>162.24</c:v>
                </c:pt>
              </c:numCache>
            </c:numRef>
          </c:val>
        </c:ser>
        <c:ser>
          <c:idx val="1"/>
          <c:order val="1"/>
          <c:tx>
            <c:strRef>
              <c:f>[工作簿1]Sheet1!$A$3</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[工作簿1]Sheet1!$B$1:$C$1</c:f>
              <c:numCache>
                <c:formatCode>General</c:formatCode>
                <c:ptCount val="2"/>
                <c:pt idx="0">
                  <c:v>2018</c:v>
                </c:pt>
                <c:pt idx="1">
                  <c:v>2019</c:v>
                </c:pt>
              </c:numCache>
            </c:numRef>
          </c:cat>
          <c:val>
            <c:numRef>
              <c:f>[工作簿1]Sheet1!$B$3:$C$3</c:f>
              <c:numCache>
                <c:formatCode>General</c:formatCode>
                <c:ptCount val="2"/>
                <c:pt idx="0">
                  <c:v>135.98</c:v>
                </c:pt>
                <c:pt idx="1">
                  <c:v>154.19</c:v>
                </c:pt>
              </c:numCache>
            </c:numRef>
          </c:val>
        </c:ser>
        <c:dLbls>
          <c:showLegendKey val="0"/>
          <c:showVal val="1"/>
          <c:showCatName val="0"/>
          <c:showSerName val="0"/>
          <c:showPercent val="0"/>
          <c:showBubbleSize val="0"/>
        </c:dLbls>
        <c:gapWidth val="219"/>
        <c:overlap val="-27"/>
        <c:axId val="796444955"/>
        <c:axId val="541883611"/>
      </c:barChart>
      <c:catAx>
        <c:axId val="7964449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883611"/>
        <c:crosses val="autoZero"/>
        <c:auto val="1"/>
        <c:lblAlgn val="ctr"/>
        <c:lblOffset val="100"/>
        <c:noMultiLvlLbl val="0"/>
      </c:catAx>
      <c:valAx>
        <c:axId val="5418836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64449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manualLayout>
          <c:xMode val="edge"/>
          <c:yMode val="edge"/>
          <c:x val="0.329444444444444"/>
          <c:y val="0.02013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[工作簿1]Sheet1!$A$24:$A$27</c:f>
              <c:strCache>
                <c:ptCount val="4"/>
                <c:pt idx="0">
                  <c:v>一般公共预算财政拨款</c:v>
                </c:pt>
                <c:pt idx="1">
                  <c:v>政府性基金预算财政拨款</c:v>
                </c:pt>
                <c:pt idx="2">
                  <c:v>事业收入</c:v>
                </c:pt>
                <c:pt idx="3">
                  <c:v>其它收入</c:v>
                </c:pt>
              </c:strCache>
            </c:strRef>
          </c:cat>
          <c:val>
            <c:numRef>
              <c:f>[工作簿1]Sheet1!$B$24:$B$27</c:f>
              <c:numCache>
                <c:formatCode>General</c:formatCode>
                <c:ptCount val="4"/>
                <c:pt idx="0">
                  <c:v>115.12</c:v>
                </c:pt>
                <c:pt idx="1">
                  <c:v>3.9</c:v>
                </c:pt>
                <c:pt idx="2">
                  <c:v>24.68</c:v>
                </c:pt>
                <c:pt idx="3">
                  <c:v>18.54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manualLayout>
          <c:xMode val="edge"/>
          <c:yMode val="edge"/>
          <c:x val="0.332916666666667"/>
          <c:y val="0.03263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[工作簿1]Sheet1!$A$47:$A$48</c:f>
              <c:strCache>
                <c:ptCount val="2"/>
                <c:pt idx="0">
                  <c:v>基本支出 </c:v>
                </c:pt>
                <c:pt idx="1">
                  <c:v>项目支出 </c:v>
                </c:pt>
              </c:strCache>
            </c:strRef>
          </c:cat>
          <c:val>
            <c:numRef>
              <c:f>[工作簿1]Sheet1!$B$47:$B$48</c:f>
              <c:numCache>
                <c:formatCode>General</c:formatCode>
                <c:ptCount val="2"/>
                <c:pt idx="0">
                  <c:v>75.71</c:v>
                </c:pt>
                <c:pt idx="1">
                  <c:v>78.48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a:t>
            </a: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[工作簿1]Sheet1!$A$70</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[工作簿1]Sheet1!$B$69:$C$69</c:f>
              <c:numCache>
                <c:formatCode>General</c:formatCode>
                <c:ptCount val="2"/>
                <c:pt idx="0">
                  <c:v>2018</c:v>
                </c:pt>
                <c:pt idx="1">
                  <c:v>2019</c:v>
                </c:pt>
              </c:numCache>
            </c:numRef>
          </c:cat>
          <c:val>
            <c:numRef>
              <c:f>[工作簿1]Sheet1!$B$70:$C$70</c:f>
              <c:numCache>
                <c:formatCode>General</c:formatCode>
                <c:ptCount val="2"/>
                <c:pt idx="0">
                  <c:v>118.89</c:v>
                </c:pt>
                <c:pt idx="1">
                  <c:v>119.02</c:v>
                </c:pt>
              </c:numCache>
            </c:numRef>
          </c:val>
        </c:ser>
        <c:ser>
          <c:idx val="1"/>
          <c:order val="1"/>
          <c:tx>
            <c:strRef>
              <c:f>[工作簿1]Sheet1!$A$71</c:f>
              <c:strCache>
                <c:ptCount val="1"/>
                <c:pt idx="0">
                  <c:v>财政拨款收入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[工作簿1]Sheet1!$B$69:$C$69</c:f>
              <c:numCache>
                <c:formatCode>General</c:formatCode>
                <c:ptCount val="2"/>
                <c:pt idx="0">
                  <c:v>2018</c:v>
                </c:pt>
                <c:pt idx="1">
                  <c:v>2019</c:v>
                </c:pt>
              </c:numCache>
            </c:numRef>
          </c:cat>
          <c:val>
            <c:numRef>
              <c:f>[工作簿1]Sheet1!$B$71:$C$71</c:f>
              <c:numCache>
                <c:formatCode>General</c:formatCode>
                <c:ptCount val="2"/>
                <c:pt idx="0">
                  <c:v>100.88</c:v>
                </c:pt>
                <c:pt idx="1">
                  <c:v>90.14</c:v>
                </c:pt>
              </c:numCache>
            </c:numRef>
          </c:val>
        </c:ser>
        <c:dLbls>
          <c:showLegendKey val="0"/>
          <c:showVal val="1"/>
          <c:showCatName val="0"/>
          <c:showSerName val="0"/>
          <c:showPercent val="0"/>
          <c:showBubbleSize val="0"/>
        </c:dLbls>
        <c:gapWidth val="219"/>
        <c:overlap val="-27"/>
        <c:axId val="567792134"/>
        <c:axId val="782621804"/>
      </c:barChart>
      <c:catAx>
        <c:axId val="5677921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621804"/>
        <c:crosses val="autoZero"/>
        <c:auto val="1"/>
        <c:lblAlgn val="ctr"/>
        <c:lblOffset val="100"/>
        <c:noMultiLvlLbl val="0"/>
      </c:catAx>
      <c:valAx>
        <c:axId val="7826218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77921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sz="1200" b="1"/>
              <a:t>图</a:t>
            </a:r>
            <a:r>
              <a:rPr lang="en-US" altLang="zh-CN" sz="1200" b="1"/>
              <a:t>5</a:t>
            </a:r>
            <a:r>
              <a:rPr altLang="en-US" sz="1200" b="1"/>
              <a:t>：</a:t>
            </a:r>
            <a:r>
              <a:rPr sz="1200" b="1"/>
              <a:t>一般公共预算财政拨款支出决算变动情况</a:t>
            </a:r>
            <a:endParaRPr sz="1200" b="1"/>
          </a:p>
        </c:rich>
      </c:tx>
      <c:layout>
        <c:manualLayout>
          <c:xMode val="edge"/>
          <c:yMode val="edge"/>
          <c:x val="0.140694444444444"/>
          <c:y val="0.0277777777777778"/>
        </c:manualLayout>
      </c:layout>
      <c:overlay val="0"/>
      <c:spPr>
        <a:noFill/>
        <a:ln>
          <a:noFill/>
        </a:ln>
        <a:effectLst/>
      </c:spPr>
    </c:title>
    <c:autoTitleDeleted val="0"/>
    <c:plotArea>
      <c:layout/>
      <c:barChart>
        <c:barDir val="col"/>
        <c:grouping val="clustered"/>
        <c:varyColors val="0"/>
        <c:ser>
          <c:idx val="0"/>
          <c:order val="0"/>
          <c:tx>
            <c:strRef>
              <c:f>[工作簿3]Sheet1!$A$2</c:f>
              <c:strCache>
                <c:ptCount val="1"/>
                <c:pt idx="0">
                  <c:v>一般公共预算拨款支出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[工作簿3]Sheet1!$B$1:$C$1</c:f>
              <c:numCache>
                <c:formatCode>General</c:formatCode>
                <c:ptCount val="2"/>
                <c:pt idx="0">
                  <c:v>2018</c:v>
                </c:pt>
                <c:pt idx="1">
                  <c:v>2019</c:v>
                </c:pt>
              </c:numCache>
            </c:numRef>
          </c:cat>
          <c:val>
            <c:numRef>
              <c:f>[工作簿3]Sheet1!$B$2:$C$2</c:f>
              <c:numCache>
                <c:formatCode>General</c:formatCode>
                <c:ptCount val="2"/>
                <c:pt idx="0">
                  <c:v>84.07</c:v>
                </c:pt>
                <c:pt idx="1">
                  <c:v>86.24</c:v>
                </c:pt>
              </c:numCache>
            </c:numRef>
          </c:val>
        </c:ser>
        <c:dLbls>
          <c:showLegendKey val="0"/>
          <c:showVal val="1"/>
          <c:showCatName val="0"/>
          <c:showSerName val="0"/>
          <c:showPercent val="0"/>
          <c:showBubbleSize val="0"/>
        </c:dLbls>
        <c:gapWidth val="219"/>
        <c:overlap val="-27"/>
        <c:axId val="310548010"/>
        <c:axId val="575926835"/>
      </c:barChart>
      <c:catAx>
        <c:axId val="3105480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926835"/>
        <c:crosses val="autoZero"/>
        <c:auto val="1"/>
        <c:lblAlgn val="ctr"/>
        <c:lblOffset val="100"/>
        <c:noMultiLvlLbl val="0"/>
      </c:catAx>
      <c:valAx>
        <c:axId val="5759268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5480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503049569623318"/>
                  <c:y val="0.04381467918789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4.75, </a:t>
                    </a:r>
                    <a:r>
                      <a:rPr lang="en-US" altLang="zh-CN"/>
                      <a:t>6</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79.65</a:t>
                    </a:r>
                    <a:r>
                      <a:t>, 9</a:t>
                    </a:r>
                    <a:r>
                      <a:rPr lang="en-US" altLang="zh-CN"/>
                      <a:t>2</a:t>
                    </a:r>
                    <a:r>
                      <a:t>%</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[工作簿3]Sheet1!$A$23:$A$25</c:f>
              <c:strCache>
                <c:ptCount val="3"/>
                <c:pt idx="0">
                  <c:v>社会保障和就业支出 </c:v>
                </c:pt>
                <c:pt idx="1">
                  <c:v>卫生健康支出</c:v>
                </c:pt>
                <c:pt idx="2">
                  <c:v>住房保障支出 </c:v>
                </c:pt>
              </c:strCache>
            </c:strRef>
          </c:cat>
          <c:val>
            <c:numRef>
              <c:f>[工作簿3]Sheet1!$B$23:$B$25</c:f>
              <c:numCache>
                <c:formatCode>General</c:formatCode>
                <c:ptCount val="3"/>
                <c:pt idx="0">
                  <c:v>4.75</c:v>
                </c:pt>
                <c:pt idx="1">
                  <c:v>108.53</c:v>
                </c:pt>
                <c:pt idx="2">
                  <c:v>1.84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7</a:t>
            </a:r>
            <a:r>
              <a:rPr altLang="en-US"/>
              <a:t>：</a:t>
            </a:r>
            <a:r>
              <a:rPr lang="en-US" altLang="zh-CN"/>
              <a:t>“</a:t>
            </a:r>
            <a:r>
              <a:rPr altLang="en-US"/>
              <a:t>三公</a:t>
            </a:r>
            <a:r>
              <a:rPr lang="en-US" altLang="zh-CN"/>
              <a:t>”</a:t>
            </a:r>
            <a:r>
              <a:rPr altLang="en-US"/>
              <a:t>经费财政拨款支出结构</a:t>
            </a:r>
            <a:endParaRPr altLang="en-US"/>
          </a:p>
        </c:rich>
      </c:tx>
      <c:layout>
        <c:manualLayout>
          <c:xMode val="edge"/>
          <c:yMode val="edge"/>
          <c:x val="0.204444444444444"/>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[工作簿3]Sheet1!$A$45:$A$47</c:f>
              <c:strCache>
                <c:ptCount val="3"/>
                <c:pt idx="0">
                  <c:v>因公出差</c:v>
                </c:pt>
                <c:pt idx="1">
                  <c:v>公务用车购置及运行维护费</c:v>
                </c:pt>
                <c:pt idx="2">
                  <c:v>公务接待费</c:v>
                </c:pt>
              </c:strCache>
            </c:strRef>
          </c:cat>
          <c:val>
            <c:numRef>
              <c:f>[工作簿3]Sheet1!$B$45:$B$47</c:f>
              <c:numCache>
                <c:formatCode>General</c:formatCode>
                <c:ptCount val="3"/>
                <c:pt idx="1">
                  <c:v>1.28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e4ffab-b04f-486e-8166-2b84dfdbb108}"/>
        <w:style w:val=""/>
        <w:category>
          <w:name w:val="常规"/>
          <w:gallery w:val="placeholder"/>
        </w:category>
        <w:types>
          <w:type w:val="bbPlcHdr"/>
        </w:types>
        <w:behaviors>
          <w:behavior w:val="content"/>
        </w:behaviors>
        <w:description w:val=""/>
        <w:guid w:val="{a8e4ffab-b04f-486e-8166-2b84dfdbb108}"/>
      </w:docPartPr>
      <w:docPartBody>
        <w:p>
          <w:r>
            <w:rPr>
              <w:color w:val="808080"/>
            </w:rPr>
            <w:t>单击此处输入文字。</w:t>
          </w:r>
        </w:p>
      </w:docPartBody>
    </w:docPart>
    <w:docPart>
      <w:docPartPr>
        <w:name w:val="{c2539a31-eb7b-42c7-a8e5-ee387ec839a6}"/>
        <w:style w:val=""/>
        <w:category>
          <w:name w:val="常规"/>
          <w:gallery w:val="placeholder"/>
        </w:category>
        <w:types>
          <w:type w:val="bbPlcHdr"/>
        </w:types>
        <w:behaviors>
          <w:behavior w:val="content"/>
        </w:behaviors>
        <w:description w:val=""/>
        <w:guid w:val="{c2539a31-eb7b-42c7-a8e5-ee387ec839a6}"/>
      </w:docPartPr>
      <w:docPartBody>
        <w:p>
          <w:r>
            <w:rPr>
              <w:color w:val="808080"/>
            </w:rPr>
            <w:t>单击此处输入文字。</w:t>
          </w:r>
        </w:p>
      </w:docPartBody>
    </w:docPart>
    <w:docPart>
      <w:docPartPr>
        <w:name w:val="{6099761a-2454-4354-baaf-7e7a679557b6}"/>
        <w:style w:val=""/>
        <w:category>
          <w:name w:val="常规"/>
          <w:gallery w:val="placeholder"/>
        </w:category>
        <w:types>
          <w:type w:val="bbPlcHdr"/>
        </w:types>
        <w:behaviors>
          <w:behavior w:val="content"/>
        </w:behaviors>
        <w:description w:val=""/>
        <w:guid w:val="{6099761a-2454-4354-baaf-7e7a679557b6}"/>
      </w:docPartPr>
      <w:docPartBody>
        <w:p>
          <w:r>
            <w:rPr>
              <w:color w:val="808080"/>
            </w:rPr>
            <w:t>单击此处输入文字。</w:t>
          </w:r>
        </w:p>
      </w:docPartBody>
    </w:docPart>
    <w:docPart>
      <w:docPartPr>
        <w:name w:val="{b037b6bc-0f3f-48ca-bdcb-e1ff6c71f935}"/>
        <w:style w:val=""/>
        <w:category>
          <w:name w:val="常规"/>
          <w:gallery w:val="placeholder"/>
        </w:category>
        <w:types>
          <w:type w:val="bbPlcHdr"/>
        </w:types>
        <w:behaviors>
          <w:behavior w:val="content"/>
        </w:behaviors>
        <w:description w:val=""/>
        <w:guid w:val="{b037b6bc-0f3f-48ca-bdcb-e1ff6c71f935}"/>
      </w:docPartPr>
      <w:docPartBody>
        <w:p>
          <w:r>
            <w:rPr>
              <w:color w:val="808080"/>
            </w:rPr>
            <w:t>单击此处输入文字。</w:t>
          </w:r>
        </w:p>
      </w:docPartBody>
    </w:docPart>
    <w:docPart>
      <w:docPartPr>
        <w:name w:val="{2615a22c-bead-46d0-8aea-5c1d3ba1fc83}"/>
        <w:style w:val=""/>
        <w:category>
          <w:name w:val="常规"/>
          <w:gallery w:val="placeholder"/>
        </w:category>
        <w:types>
          <w:type w:val="bbPlcHdr"/>
        </w:types>
        <w:behaviors>
          <w:behavior w:val="content"/>
        </w:behaviors>
        <w:description w:val=""/>
        <w:guid w:val="{2615a22c-bead-46d0-8aea-5c1d3ba1fc83}"/>
      </w:docPartPr>
      <w:docPartBody>
        <w:p>
          <w:r>
            <w:rPr>
              <w:color w:val="808080"/>
            </w:rPr>
            <w:t>单击此处输入文字。</w:t>
          </w:r>
        </w:p>
      </w:docPartBody>
    </w:docPart>
    <w:docPart>
      <w:docPartPr>
        <w:name w:val="{b7a1bdf4-9476-4d0e-b5bd-3692c959b31f}"/>
        <w:style w:val=""/>
        <w:category>
          <w:name w:val="常规"/>
          <w:gallery w:val="placeholder"/>
        </w:category>
        <w:types>
          <w:type w:val="bbPlcHdr"/>
        </w:types>
        <w:behaviors>
          <w:behavior w:val="content"/>
        </w:behaviors>
        <w:description w:val=""/>
        <w:guid w:val="{b7a1bdf4-9476-4d0e-b5bd-3692c959b31f}"/>
      </w:docPartPr>
      <w:docPartBody>
        <w:p>
          <w:r>
            <w:rPr>
              <w:color w:val="808080"/>
            </w:rPr>
            <w:t>单击此处输入文字。</w:t>
          </w:r>
        </w:p>
      </w:docPartBody>
    </w:docPart>
    <w:docPart>
      <w:docPartPr>
        <w:name w:val="{91177682-8fc5-4551-bd0c-1a5e3c535b50}"/>
        <w:style w:val=""/>
        <w:category>
          <w:name w:val="常规"/>
          <w:gallery w:val="placeholder"/>
        </w:category>
        <w:types>
          <w:type w:val="bbPlcHdr"/>
        </w:types>
        <w:behaviors>
          <w:behavior w:val="content"/>
        </w:behaviors>
        <w:description w:val=""/>
        <w:guid w:val="{91177682-8fc5-4551-bd0c-1a5e3c535b50}"/>
      </w:docPartPr>
      <w:docPartBody>
        <w:p>
          <w:r>
            <w:rPr>
              <w:color w:val="808080"/>
            </w:rPr>
            <w:t>单击此处输入文字。</w:t>
          </w:r>
        </w:p>
      </w:docPartBody>
    </w:docPart>
    <w:docPart>
      <w:docPartPr>
        <w:name w:val="{df4303b1-97ad-44b2-a2b9-0fee1a6e3b35}"/>
        <w:style w:val=""/>
        <w:category>
          <w:name w:val="常规"/>
          <w:gallery w:val="placeholder"/>
        </w:category>
        <w:types>
          <w:type w:val="bbPlcHdr"/>
        </w:types>
        <w:behaviors>
          <w:behavior w:val="content"/>
        </w:behaviors>
        <w:description w:val=""/>
        <w:guid w:val="{df4303b1-97ad-44b2-a2b9-0fee1a6e3b35}"/>
      </w:docPartPr>
      <w:docPartBody>
        <w:p>
          <w:r>
            <w:rPr>
              <w:color w:val="808080"/>
            </w:rPr>
            <w:t>单击此处输入文字。</w:t>
          </w:r>
        </w:p>
      </w:docPartBody>
    </w:docPart>
    <w:docPart>
      <w:docPartPr>
        <w:name w:val="{6602850a-8cf5-405f-a965-36ff74cd46f0}"/>
        <w:style w:val=""/>
        <w:category>
          <w:name w:val="常规"/>
          <w:gallery w:val="placeholder"/>
        </w:category>
        <w:types>
          <w:type w:val="bbPlcHdr"/>
        </w:types>
        <w:behaviors>
          <w:behavior w:val="content"/>
        </w:behaviors>
        <w:description w:val=""/>
        <w:guid w:val="{6602850a-8cf5-405f-a965-36ff74cd46f0}"/>
      </w:docPartPr>
      <w:docPartBody>
        <w:p>
          <w:r>
            <w:rPr>
              <w:color w:val="808080"/>
            </w:rPr>
            <w:t>单击此处输入文字。</w:t>
          </w:r>
        </w:p>
      </w:docPartBody>
    </w:docPart>
    <w:docPart>
      <w:docPartPr>
        <w:name w:val="{f5639873-730d-42d8-a1a3-99356043b34a}"/>
        <w:style w:val=""/>
        <w:category>
          <w:name w:val="常规"/>
          <w:gallery w:val="placeholder"/>
        </w:category>
        <w:types>
          <w:type w:val="bbPlcHdr"/>
        </w:types>
        <w:behaviors>
          <w:behavior w:val="content"/>
        </w:behaviors>
        <w:description w:val=""/>
        <w:guid w:val="{f5639873-730d-42d8-a1a3-99356043b34a}"/>
      </w:docPartPr>
      <w:docPartBody>
        <w:p>
          <w:r>
            <w:rPr>
              <w:color w:val="808080"/>
            </w:rPr>
            <w:t>单击此处输入文字。</w:t>
          </w:r>
        </w:p>
      </w:docPartBody>
    </w:docPart>
    <w:docPart>
      <w:docPartPr>
        <w:name w:val="{696083dc-2bb0-41b0-ad77-19748454488d}"/>
        <w:style w:val=""/>
        <w:category>
          <w:name w:val="常规"/>
          <w:gallery w:val="placeholder"/>
        </w:category>
        <w:types>
          <w:type w:val="bbPlcHdr"/>
        </w:types>
        <w:behaviors>
          <w:behavior w:val="content"/>
        </w:behaviors>
        <w:description w:val=""/>
        <w:guid w:val="{696083dc-2bb0-41b0-ad77-19748454488d}"/>
      </w:docPartPr>
      <w:docPartBody>
        <w:p>
          <w:r>
            <w:rPr>
              <w:color w:val="808080"/>
            </w:rPr>
            <w:t>单击此处输入文字。</w:t>
          </w:r>
        </w:p>
      </w:docPartBody>
    </w:docPart>
    <w:docPart>
      <w:docPartPr>
        <w:name w:val="{fc9822de-72e2-43b2-b09e-1c0184980808}"/>
        <w:style w:val=""/>
        <w:category>
          <w:name w:val="常规"/>
          <w:gallery w:val="placeholder"/>
        </w:category>
        <w:types>
          <w:type w:val="bbPlcHdr"/>
        </w:types>
        <w:behaviors>
          <w:behavior w:val="content"/>
        </w:behaviors>
        <w:description w:val=""/>
        <w:guid w:val="{fc9822de-72e2-43b2-b09e-1c0184980808}"/>
      </w:docPartPr>
      <w:docPartBody>
        <w:p>
          <w:r>
            <w:rPr>
              <w:color w:val="808080"/>
            </w:rPr>
            <w:t>单击此处输入文字。</w:t>
          </w:r>
        </w:p>
      </w:docPartBody>
    </w:docPart>
    <w:docPart>
      <w:docPartPr>
        <w:name w:val="{328d6f4c-73d1-4b71-b8b7-eb66e5d87001}"/>
        <w:style w:val=""/>
        <w:category>
          <w:name w:val="常规"/>
          <w:gallery w:val="placeholder"/>
        </w:category>
        <w:types>
          <w:type w:val="bbPlcHdr"/>
        </w:types>
        <w:behaviors>
          <w:behavior w:val="content"/>
        </w:behaviors>
        <w:description w:val=""/>
        <w:guid w:val="{328d6f4c-73d1-4b71-b8b7-eb66e5d87001}"/>
      </w:docPartPr>
      <w:docPartBody>
        <w:p>
          <w:r>
            <w:rPr>
              <w:color w:val="808080"/>
            </w:rPr>
            <w:t>单击此处输入文字。</w:t>
          </w:r>
        </w:p>
      </w:docPartBody>
    </w:docPart>
    <w:docPart>
      <w:docPartPr>
        <w:name w:val="{50d1c969-330b-41aa-8d11-59a76c0cda63}"/>
        <w:style w:val=""/>
        <w:category>
          <w:name w:val="常规"/>
          <w:gallery w:val="placeholder"/>
        </w:category>
        <w:types>
          <w:type w:val="bbPlcHdr"/>
        </w:types>
        <w:behaviors>
          <w:behavior w:val="content"/>
        </w:behaviors>
        <w:description w:val=""/>
        <w:guid w:val="{50d1c969-330b-41aa-8d11-59a76c0cda63}"/>
      </w:docPartPr>
      <w:docPartBody>
        <w:p>
          <w:r>
            <w:rPr>
              <w:color w:val="808080"/>
            </w:rPr>
            <w:t>单击此处输入文字。</w:t>
          </w:r>
        </w:p>
      </w:docPartBody>
    </w:docPart>
    <w:docPart>
      <w:docPartPr>
        <w:name w:val="{21e98274-d5b8-46ce-99f9-6e22d5537679}"/>
        <w:style w:val=""/>
        <w:category>
          <w:name w:val="常规"/>
          <w:gallery w:val="placeholder"/>
        </w:category>
        <w:types>
          <w:type w:val="bbPlcHdr"/>
        </w:types>
        <w:behaviors>
          <w:behavior w:val="content"/>
        </w:behaviors>
        <w:description w:val=""/>
        <w:guid w:val="{21e98274-d5b8-46ce-99f9-6e22d5537679}"/>
      </w:docPartPr>
      <w:docPartBody>
        <w:p>
          <w:r>
            <w:rPr>
              <w:color w:val="808080"/>
            </w:rPr>
            <w:t>单击此处输入文字。</w:t>
          </w:r>
        </w:p>
      </w:docPartBody>
    </w:docPart>
    <w:docPart>
      <w:docPartPr>
        <w:name w:val="{a6123a61-212e-47dc-9ff1-03a1e5c82a24}"/>
        <w:style w:val=""/>
        <w:category>
          <w:name w:val="常规"/>
          <w:gallery w:val="placeholder"/>
        </w:category>
        <w:types>
          <w:type w:val="bbPlcHdr"/>
        </w:types>
        <w:behaviors>
          <w:behavior w:val="content"/>
        </w:behaviors>
        <w:description w:val=""/>
        <w:guid w:val="{a6123a61-212e-47dc-9ff1-03a1e5c82a24}"/>
      </w:docPartPr>
      <w:docPartBody>
        <w:p>
          <w:r>
            <w:rPr>
              <w:color w:val="808080"/>
            </w:rPr>
            <w:t>单击此处输入文字。</w:t>
          </w:r>
        </w:p>
      </w:docPartBody>
    </w:docPart>
    <w:docPart>
      <w:docPartPr>
        <w:name w:val="{54419f4c-5d58-4a9d-9b03-a78370919edf}"/>
        <w:style w:val=""/>
        <w:category>
          <w:name w:val="常规"/>
          <w:gallery w:val="placeholder"/>
        </w:category>
        <w:types>
          <w:type w:val="bbPlcHdr"/>
        </w:types>
        <w:behaviors>
          <w:behavior w:val="content"/>
        </w:behaviors>
        <w:description w:val=""/>
        <w:guid w:val="{54419f4c-5d58-4a9d-9b03-a78370919edf}"/>
      </w:docPartPr>
      <w:docPartBody>
        <w:p>
          <w:r>
            <w:rPr>
              <w:color w:val="808080"/>
            </w:rPr>
            <w:t>单击此处输入文字。</w:t>
          </w:r>
        </w:p>
      </w:docPartBody>
    </w:docPart>
    <w:docPart>
      <w:docPartPr>
        <w:name w:val="{7b439dd6-0ef5-49c4-a0d3-371341a60ea2}"/>
        <w:style w:val=""/>
        <w:category>
          <w:name w:val="常规"/>
          <w:gallery w:val="placeholder"/>
        </w:category>
        <w:types>
          <w:type w:val="bbPlcHdr"/>
        </w:types>
        <w:behaviors>
          <w:behavior w:val="content"/>
        </w:behaviors>
        <w:description w:val=""/>
        <w:guid w:val="{7b439dd6-0ef5-49c4-a0d3-371341a60ea2}"/>
      </w:docPartPr>
      <w:docPartBody>
        <w:p>
          <w:r>
            <w:rPr>
              <w:color w:val="808080"/>
            </w:rPr>
            <w:t>单击此处输入文字。</w:t>
          </w:r>
        </w:p>
      </w:docPartBody>
    </w:docPart>
    <w:docPart>
      <w:docPartPr>
        <w:name w:val="{20aa6027-8b40-49c3-8d5f-60442fc75deb}"/>
        <w:style w:val=""/>
        <w:category>
          <w:name w:val="常规"/>
          <w:gallery w:val="placeholder"/>
        </w:category>
        <w:types>
          <w:type w:val="bbPlcHdr"/>
        </w:types>
        <w:behaviors>
          <w:behavior w:val="content"/>
        </w:behaviors>
        <w:description w:val=""/>
        <w:guid w:val="{20aa6027-8b40-49c3-8d5f-60442fc75deb}"/>
      </w:docPartPr>
      <w:docPartBody>
        <w:p>
          <w:r>
            <w:rPr>
              <w:color w:val="808080"/>
            </w:rPr>
            <w:t>单击此处输入文字。</w:t>
          </w:r>
        </w:p>
      </w:docPartBody>
    </w:docPart>
    <w:docPart>
      <w:docPartPr>
        <w:name w:val="{939378ad-dc41-4353-abe2-c0641596185c}"/>
        <w:style w:val=""/>
        <w:category>
          <w:name w:val="常规"/>
          <w:gallery w:val="placeholder"/>
        </w:category>
        <w:types>
          <w:type w:val="bbPlcHdr"/>
        </w:types>
        <w:behaviors>
          <w:behavior w:val="content"/>
        </w:behaviors>
        <w:description w:val=""/>
        <w:guid w:val="{939378ad-dc41-4353-abe2-c0641596185c}"/>
      </w:docPartPr>
      <w:docPartBody>
        <w:p>
          <w:r>
            <w:rPr>
              <w:color w:val="808080"/>
            </w:rPr>
            <w:t>单击此处输入文字。</w:t>
          </w:r>
        </w:p>
      </w:docPartBody>
    </w:docPart>
    <w:docPart>
      <w:docPartPr>
        <w:name w:val="{e47a00cb-5636-4737-91b2-e72d2f87ba9f}"/>
        <w:style w:val=""/>
        <w:category>
          <w:name w:val="常规"/>
          <w:gallery w:val="placeholder"/>
        </w:category>
        <w:types>
          <w:type w:val="bbPlcHdr"/>
        </w:types>
        <w:behaviors>
          <w:behavior w:val="content"/>
        </w:behaviors>
        <w:description w:val=""/>
        <w:guid w:val="{e47a00cb-5636-4737-91b2-e72d2f87ba9f}"/>
      </w:docPartPr>
      <w:docPartBody>
        <w:p>
          <w:r>
            <w:rPr>
              <w:color w:val="808080"/>
            </w:rPr>
            <w:t>单击此处输入文字。</w:t>
          </w:r>
        </w:p>
      </w:docPartBody>
    </w:docPart>
    <w:docPart>
      <w:docPartPr>
        <w:name w:val="{ca1d06e5-3307-4508-8969-368c11da649b}"/>
        <w:style w:val=""/>
        <w:category>
          <w:name w:val="常规"/>
          <w:gallery w:val="placeholder"/>
        </w:category>
        <w:types>
          <w:type w:val="bbPlcHdr"/>
        </w:types>
        <w:behaviors>
          <w:behavior w:val="content"/>
        </w:behaviors>
        <w:description w:val=""/>
        <w:guid w:val="{ca1d06e5-3307-4508-8969-368c11da649b}"/>
      </w:docPartPr>
      <w:docPartBody>
        <w:p>
          <w:r>
            <w:rPr>
              <w:color w:val="808080"/>
            </w:rPr>
            <w:t>单击此处输入文字。</w:t>
          </w:r>
        </w:p>
      </w:docPartBody>
    </w:docPart>
    <w:docPart>
      <w:docPartPr>
        <w:name w:val="{6e5eb661-3464-472c-90b1-a9151e843b9e}"/>
        <w:style w:val=""/>
        <w:category>
          <w:name w:val="常规"/>
          <w:gallery w:val="placeholder"/>
        </w:category>
        <w:types>
          <w:type w:val="bbPlcHdr"/>
        </w:types>
        <w:behaviors>
          <w:behavior w:val="content"/>
        </w:behaviors>
        <w:description w:val=""/>
        <w:guid w:val="{6e5eb661-3464-472c-90b1-a9151e843b9e}"/>
      </w:docPartPr>
      <w:docPartBody>
        <w:p>
          <w:r>
            <w:rPr>
              <w:color w:val="808080"/>
            </w:rPr>
            <w:t>单击此处输入文字。</w:t>
          </w:r>
        </w:p>
      </w:docPartBody>
    </w:docPart>
    <w:docPart>
      <w:docPartPr>
        <w:name w:val="{d7ad601b-a854-47d4-b819-8ce103c572a6}"/>
        <w:style w:val=""/>
        <w:category>
          <w:name w:val="常规"/>
          <w:gallery w:val="placeholder"/>
        </w:category>
        <w:types>
          <w:type w:val="bbPlcHdr"/>
        </w:types>
        <w:behaviors>
          <w:behavior w:val="content"/>
        </w:behaviors>
        <w:description w:val=""/>
        <w:guid w:val="{d7ad601b-a854-47d4-b819-8ce103c572a6}"/>
      </w:docPartPr>
      <w:docPartBody>
        <w:p>
          <w:r>
            <w:rPr>
              <w:color w:val="808080"/>
            </w:rPr>
            <w:t>单击此处输入文字。</w:t>
          </w:r>
        </w:p>
      </w:docPartBody>
    </w:docPart>
    <w:docPart>
      <w:docPartPr>
        <w:name w:val="{e9ca1b59-8738-42b8-bc5d-b3ac532f8e84}"/>
        <w:style w:val=""/>
        <w:category>
          <w:name w:val="常规"/>
          <w:gallery w:val="placeholder"/>
        </w:category>
        <w:types>
          <w:type w:val="bbPlcHdr"/>
        </w:types>
        <w:behaviors>
          <w:behavior w:val="content"/>
        </w:behaviors>
        <w:description w:val=""/>
        <w:guid w:val="{e9ca1b59-8738-42b8-bc5d-b3ac532f8e84}"/>
      </w:docPartPr>
      <w:docPartBody>
        <w:p>
          <w:r>
            <w:rPr>
              <w:color w:val="808080"/>
            </w:rPr>
            <w:t>单击此处输入文字。</w:t>
          </w:r>
        </w:p>
      </w:docPartBody>
    </w:docPart>
    <w:docPart>
      <w:docPartPr>
        <w:name w:val="{8f0e5aee-c7ca-4fd9-ae13-ac60bff1f983}"/>
        <w:style w:val=""/>
        <w:category>
          <w:name w:val="常规"/>
          <w:gallery w:val="placeholder"/>
        </w:category>
        <w:types>
          <w:type w:val="bbPlcHdr"/>
        </w:types>
        <w:behaviors>
          <w:behavior w:val="content"/>
        </w:behaviors>
        <w:description w:val=""/>
        <w:guid w:val="{8f0e5aee-c7ca-4fd9-ae13-ac60bff1f983}"/>
      </w:docPartPr>
      <w:docPartBody>
        <w:p>
          <w:r>
            <w:rPr>
              <w:color w:val="808080"/>
            </w:rPr>
            <w:t>单击此处输入文字。</w:t>
          </w:r>
        </w:p>
      </w:docPartBody>
    </w:docPart>
    <w:docPart>
      <w:docPartPr>
        <w:name w:val="{ba77e65e-ecd6-450d-9b92-86144320cfb6}"/>
        <w:style w:val=""/>
        <w:category>
          <w:name w:val="常规"/>
          <w:gallery w:val="placeholder"/>
        </w:category>
        <w:types>
          <w:type w:val="bbPlcHdr"/>
        </w:types>
        <w:behaviors>
          <w:behavior w:val="content"/>
        </w:behaviors>
        <w:description w:val=""/>
        <w:guid w:val="{ba77e65e-ecd6-450d-9b92-86144320cfb6}"/>
      </w:docPartPr>
      <w:docPartBody>
        <w:p>
          <w:r>
            <w:rPr>
              <w:color w:val="808080"/>
            </w:rPr>
            <w:t>单击此处输入文字。</w:t>
          </w:r>
        </w:p>
      </w:docPartBody>
    </w:docPart>
    <w:docPart>
      <w:docPartPr>
        <w:name w:val="{442e6c1e-da10-4889-b1d4-528e706f53b5}"/>
        <w:style w:val=""/>
        <w:category>
          <w:name w:val="常规"/>
          <w:gallery w:val="placeholder"/>
        </w:category>
        <w:types>
          <w:type w:val="bbPlcHdr"/>
        </w:types>
        <w:behaviors>
          <w:behavior w:val="content"/>
        </w:behaviors>
        <w:description w:val=""/>
        <w:guid w:val="{442e6c1e-da10-4889-b1d4-528e706f53b5}"/>
      </w:docPartPr>
      <w:docPartBody>
        <w:p>
          <w:r>
            <w:rPr>
              <w:color w:val="808080"/>
            </w:rPr>
            <w:t>单击此处输入文字。</w:t>
          </w:r>
        </w:p>
      </w:docPartBody>
    </w:docPart>
    <w:docPart>
      <w:docPartPr>
        <w:name w:val="{9933411d-923e-43e1-b323-feef9d72801f}"/>
        <w:style w:val=""/>
        <w:category>
          <w:name w:val="常规"/>
          <w:gallery w:val="placeholder"/>
        </w:category>
        <w:types>
          <w:type w:val="bbPlcHdr"/>
        </w:types>
        <w:behaviors>
          <w:behavior w:val="content"/>
        </w:behaviors>
        <w:description w:val=""/>
        <w:guid w:val="{9933411d-923e-43e1-b323-feef9d72801f}"/>
      </w:docPartPr>
      <w:docPartBody>
        <w:p>
          <w:r>
            <w:rPr>
              <w:color w:val="808080"/>
            </w:rPr>
            <w:t>单击此处输入文字。</w:t>
          </w:r>
        </w:p>
      </w:docPartBody>
    </w:docPart>
    <w:docPart>
      <w:docPartPr>
        <w:name w:val="{b1b672fe-187d-4ee2-b409-1e163ec4b861}"/>
        <w:style w:val=""/>
        <w:category>
          <w:name w:val="常规"/>
          <w:gallery w:val="placeholder"/>
        </w:category>
        <w:types>
          <w:type w:val="bbPlcHdr"/>
        </w:types>
        <w:behaviors>
          <w:behavior w:val="content"/>
        </w:behaviors>
        <w:description w:val=""/>
        <w:guid w:val="{b1b672fe-187d-4ee2-b409-1e163ec4b861}"/>
      </w:docPartPr>
      <w:docPartBody>
        <w:p>
          <w:r>
            <w:rPr>
              <w:color w:val="808080"/>
            </w:rPr>
            <w:t>单击此处输入文字。</w:t>
          </w:r>
        </w:p>
      </w:docPartBody>
    </w:docPart>
    <w:docPart>
      <w:docPartPr>
        <w:name w:val="{87e80557-6764-4d59-9060-67553031193d}"/>
        <w:style w:val=""/>
        <w:category>
          <w:name w:val="常规"/>
          <w:gallery w:val="placeholder"/>
        </w:category>
        <w:types>
          <w:type w:val="bbPlcHdr"/>
        </w:types>
        <w:behaviors>
          <w:behavior w:val="content"/>
        </w:behaviors>
        <w:description w:val=""/>
        <w:guid w:val="{87e80557-6764-4d59-9060-67553031193d}"/>
      </w:docPartPr>
      <w:docPartBody>
        <w:p>
          <w:r>
            <w:rPr>
              <w:color w:val="808080"/>
            </w:rPr>
            <w:t>单击此处输入文字。</w:t>
          </w:r>
        </w:p>
      </w:docPartBody>
    </w:docPart>
    <w:docPart>
      <w:docPartPr>
        <w:name w:val="{88a14194-4ea3-4808-bbc7-67e56191e430}"/>
        <w:style w:val=""/>
        <w:category>
          <w:name w:val="常规"/>
          <w:gallery w:val="placeholder"/>
        </w:category>
        <w:types>
          <w:type w:val="bbPlcHdr"/>
        </w:types>
        <w:behaviors>
          <w:behavior w:val="content"/>
        </w:behaviors>
        <w:description w:val=""/>
        <w:guid w:val="{88a14194-4ea3-4808-bbc7-67e56191e430}"/>
      </w:docPartPr>
      <w:docPartBody>
        <w:p>
          <w:r>
            <w:rPr>
              <w:color w:val="808080"/>
            </w:rPr>
            <w:t>单击此处输入文字。</w:t>
          </w:r>
        </w:p>
      </w:docPartBody>
    </w:docPart>
    <w:docPart>
      <w:docPartPr>
        <w:name w:val="{c069e1a0-627c-494a-9125-672cfa6f86f8}"/>
        <w:style w:val=""/>
        <w:category>
          <w:name w:val="常规"/>
          <w:gallery w:val="placeholder"/>
        </w:category>
        <w:types>
          <w:type w:val="bbPlcHdr"/>
        </w:types>
        <w:behaviors>
          <w:behavior w:val="content"/>
        </w:behaviors>
        <w:description w:val=""/>
        <w:guid w:val="{c069e1a0-627c-494a-9125-672cfa6f86f8}"/>
      </w:docPartPr>
      <w:docPartBody>
        <w:p>
          <w:r>
            <w:rPr>
              <w:color w:val="808080"/>
            </w:rPr>
            <w:t>单击此处输入文字。</w:t>
          </w:r>
        </w:p>
      </w:docPartBody>
    </w:docPart>
    <w:docPart>
      <w:docPartPr>
        <w:name w:val="{3772b27c-6e77-42e0-87ff-ebcb1f74b20b}"/>
        <w:style w:val=""/>
        <w:category>
          <w:name w:val="常规"/>
          <w:gallery w:val="placeholder"/>
        </w:category>
        <w:types>
          <w:type w:val="bbPlcHdr"/>
        </w:types>
        <w:behaviors>
          <w:behavior w:val="content"/>
        </w:behaviors>
        <w:description w:val=""/>
        <w:guid w:val="{3772b27c-6e77-42e0-87ff-ebcb1f74b20b}"/>
      </w:docPartPr>
      <w:docPartBody>
        <w:p>
          <w:r>
            <w:rPr>
              <w:color w:val="808080"/>
            </w:rPr>
            <w:t>单击此处输入文字。</w:t>
          </w:r>
        </w:p>
      </w:docPartBody>
    </w:docPart>
    <w:docPart>
      <w:docPartPr>
        <w:name w:val="{a2485795-7ae6-4c19-93ca-2f3b430d94ad}"/>
        <w:style w:val=""/>
        <w:category>
          <w:name w:val="常规"/>
          <w:gallery w:val="placeholder"/>
        </w:category>
        <w:types>
          <w:type w:val="bbPlcHdr"/>
        </w:types>
        <w:behaviors>
          <w:behavior w:val="content"/>
        </w:behaviors>
        <w:description w:val=""/>
        <w:guid w:val="{a2485795-7ae6-4c19-93ca-2f3b430d94a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1318</Words>
  <Characters>7516</Characters>
  <Lines>62</Lines>
  <Paragraphs>17</Paragraphs>
  <TotalTime>4</TotalTime>
  <ScaleCrop>false</ScaleCrop>
  <LinksUpToDate>false</LinksUpToDate>
  <CharactersWithSpaces>8817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2020-10-29T08:03:26Z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