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12C" w:rsidRDefault="0062412C">
      <w:pPr>
        <w:spacing w:line="600" w:lineRule="exact"/>
        <w:jc w:val="center"/>
        <w:outlineLvl w:val="0"/>
        <w:rPr>
          <w:rFonts w:ascii="方正小标宋简体" w:eastAsia="方正小标宋简体" w:hAnsi="宋体"/>
          <w:color w:val="000000"/>
          <w:sz w:val="72"/>
          <w:szCs w:val="72"/>
        </w:rPr>
      </w:pPr>
      <w:bookmarkStart w:id="0" w:name="_Toc15306267"/>
    </w:p>
    <w:p w:rsidR="0062412C" w:rsidRDefault="0062412C">
      <w:pPr>
        <w:spacing w:line="600" w:lineRule="exact"/>
        <w:jc w:val="center"/>
        <w:outlineLvl w:val="0"/>
        <w:rPr>
          <w:rFonts w:ascii="方正小标宋简体" w:eastAsia="方正小标宋简体" w:hAnsi="宋体"/>
          <w:color w:val="000000"/>
          <w:sz w:val="72"/>
          <w:szCs w:val="72"/>
        </w:rPr>
      </w:pPr>
    </w:p>
    <w:p w:rsidR="0062412C" w:rsidRDefault="0062412C">
      <w:pPr>
        <w:spacing w:line="600" w:lineRule="exact"/>
        <w:jc w:val="center"/>
        <w:outlineLvl w:val="0"/>
        <w:rPr>
          <w:rFonts w:ascii="方正小标宋简体" w:eastAsia="方正小标宋简体" w:hAnsi="宋体"/>
          <w:color w:val="000000"/>
          <w:sz w:val="72"/>
          <w:szCs w:val="72"/>
        </w:rPr>
      </w:pPr>
    </w:p>
    <w:p w:rsidR="0062412C" w:rsidRDefault="0062412C">
      <w:pPr>
        <w:spacing w:line="600" w:lineRule="exact"/>
        <w:jc w:val="center"/>
        <w:outlineLvl w:val="0"/>
        <w:rPr>
          <w:rFonts w:ascii="方正小标宋简体" w:eastAsia="方正小标宋简体" w:hAnsi="宋体"/>
          <w:color w:val="000000"/>
          <w:sz w:val="72"/>
          <w:szCs w:val="72"/>
        </w:rPr>
      </w:pPr>
    </w:p>
    <w:p w:rsidR="0062412C" w:rsidRDefault="0031061A">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bookmarkStart w:id="1" w:name="_Toc15396597"/>
      <w:bookmarkStart w:id="2" w:name="_Toc15396475"/>
      <w:bookmarkStart w:id="3" w:name="_Toc15378441"/>
      <w:bookmarkStart w:id="4" w:name="_Toc15377193"/>
      <w:bookmarkStart w:id="5" w:name="_Toc15377425"/>
      <w:r>
        <w:rPr>
          <w:rFonts w:asciiTheme="majorEastAsia" w:eastAsiaTheme="majorEastAsia" w:hAnsiTheme="majorEastAsia" w:cstheme="majorEastAsia" w:hint="eastAsia"/>
          <w:b/>
          <w:bCs/>
          <w:color w:val="000000"/>
          <w:sz w:val="56"/>
          <w:szCs w:val="56"/>
        </w:rPr>
        <w:t>2019年度</w:t>
      </w:r>
      <w:bookmarkStart w:id="6" w:name="_Toc15378442"/>
      <w:bookmarkStart w:id="7" w:name="_Toc15396598"/>
      <w:bookmarkStart w:id="8" w:name="_Toc15377426"/>
      <w:bookmarkStart w:id="9" w:name="_Toc15396476"/>
      <w:bookmarkStart w:id="10" w:name="_Toc15377194"/>
      <w:bookmarkEnd w:id="1"/>
      <w:bookmarkEnd w:id="2"/>
      <w:bookmarkEnd w:id="3"/>
      <w:bookmarkEnd w:id="4"/>
      <w:bookmarkEnd w:id="5"/>
    </w:p>
    <w:p w:rsidR="0062412C" w:rsidRDefault="0031061A">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r>
        <w:rPr>
          <w:rFonts w:asciiTheme="majorEastAsia" w:eastAsiaTheme="majorEastAsia" w:hAnsiTheme="majorEastAsia" w:cstheme="majorEastAsia" w:hint="eastAsia"/>
          <w:b/>
          <w:bCs/>
          <w:color w:val="000000"/>
          <w:sz w:val="56"/>
          <w:szCs w:val="56"/>
        </w:rPr>
        <w:t>四川省</w:t>
      </w:r>
      <w:bookmarkStart w:id="11" w:name="_Toc15306268"/>
      <w:bookmarkEnd w:id="0"/>
      <w:r>
        <w:rPr>
          <w:rFonts w:asciiTheme="majorEastAsia" w:eastAsiaTheme="majorEastAsia" w:hAnsiTheme="majorEastAsia" w:cstheme="majorEastAsia" w:hint="eastAsia"/>
          <w:b/>
          <w:bCs/>
          <w:color w:val="000000"/>
          <w:sz w:val="56"/>
          <w:szCs w:val="56"/>
        </w:rPr>
        <w:t>峨眉山市</w:t>
      </w:r>
    </w:p>
    <w:p w:rsidR="0062412C" w:rsidRDefault="00EF3A72">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r>
        <w:rPr>
          <w:rFonts w:asciiTheme="majorEastAsia" w:eastAsiaTheme="majorEastAsia" w:hAnsiTheme="majorEastAsia" w:cstheme="majorEastAsia" w:hint="eastAsia"/>
          <w:b/>
          <w:bCs/>
          <w:color w:val="000000"/>
          <w:sz w:val="56"/>
          <w:szCs w:val="56"/>
        </w:rPr>
        <w:t>普兴乡</w:t>
      </w:r>
      <w:r w:rsidR="0031061A">
        <w:rPr>
          <w:rFonts w:asciiTheme="majorEastAsia" w:eastAsiaTheme="majorEastAsia" w:hAnsiTheme="majorEastAsia" w:cstheme="majorEastAsia" w:hint="eastAsia"/>
          <w:b/>
          <w:bCs/>
          <w:color w:val="000000"/>
          <w:sz w:val="56"/>
          <w:szCs w:val="56"/>
        </w:rPr>
        <w:t>卫生院部门决算</w:t>
      </w:r>
      <w:bookmarkEnd w:id="6"/>
      <w:bookmarkEnd w:id="7"/>
      <w:bookmarkEnd w:id="8"/>
      <w:bookmarkEnd w:id="9"/>
      <w:bookmarkEnd w:id="10"/>
      <w:bookmarkEnd w:id="11"/>
    </w:p>
    <w:p w:rsidR="0062412C" w:rsidRDefault="0031061A">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62412C" w:rsidRDefault="0062412C">
      <w:pPr>
        <w:widowControl/>
        <w:jc w:val="center"/>
        <w:rPr>
          <w:rFonts w:ascii="黑体" w:eastAsia="黑体" w:hAnsi="黑体" w:cstheme="minorBidi"/>
          <w:sz w:val="28"/>
          <w:szCs w:val="28"/>
        </w:rPr>
      </w:pPr>
    </w:p>
    <w:p w:rsidR="0062412C" w:rsidRDefault="0031061A">
      <w:pPr>
        <w:pStyle w:val="10"/>
      </w:pPr>
      <w:r>
        <w:rPr>
          <w:rFonts w:hint="eastAsia"/>
        </w:rPr>
        <w:t>公开时间：2020年9月3日</w:t>
      </w:r>
    </w:p>
    <w:p w:rsidR="0062412C" w:rsidRDefault="0062412C"/>
    <w:p w:rsidR="0062412C" w:rsidRDefault="0031061A">
      <w:pPr>
        <w:pStyle w:val="10"/>
        <w:adjustRightInd w:val="0"/>
        <w:snapToGrid w:val="0"/>
        <w:spacing w:before="0" w:line="440" w:lineRule="exact"/>
        <w:jc w:val="left"/>
        <w:rPr>
          <w:rFonts w:cstheme="minorBidi"/>
          <w:sz w:val="24"/>
          <w:szCs w:val="24"/>
        </w:rPr>
      </w:pPr>
      <w:r>
        <w:rPr>
          <w:rFonts w:hint="eastAsia"/>
          <w:sz w:val="24"/>
        </w:rPr>
        <w:t>第一部分部门概况</w:t>
      </w:r>
    </w:p>
    <w:p w:rsidR="0062412C" w:rsidRDefault="0031061A">
      <w:pPr>
        <w:pStyle w:val="20"/>
        <w:adjustRightInd w:val="0"/>
        <w:snapToGrid w:val="0"/>
        <w:spacing w:line="440" w:lineRule="exact"/>
        <w:jc w:val="left"/>
        <w:rPr>
          <w:rFonts w:ascii="仿宋" w:eastAsia="仿宋" w:hAnsi="仿宋"/>
          <w:sz w:val="24"/>
        </w:rPr>
      </w:pPr>
      <w:r>
        <w:rPr>
          <w:rFonts w:hint="eastAsia"/>
          <w:sz w:val="24"/>
        </w:rPr>
        <w:t>一、基本职能及主要工作</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二、机构设置</w:t>
      </w:r>
    </w:p>
    <w:p w:rsidR="0062412C" w:rsidRDefault="0031061A">
      <w:pPr>
        <w:pStyle w:val="10"/>
        <w:adjustRightInd w:val="0"/>
        <w:snapToGrid w:val="0"/>
        <w:spacing w:before="0" w:line="440" w:lineRule="exact"/>
        <w:jc w:val="left"/>
        <w:rPr>
          <w:sz w:val="24"/>
          <w:szCs w:val="24"/>
        </w:rPr>
      </w:pPr>
      <w:r>
        <w:rPr>
          <w:rFonts w:hint="eastAsia"/>
          <w:sz w:val="24"/>
        </w:rPr>
        <w:t>第二部分度部门决算情况说明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62412C" w:rsidRDefault="0031061A">
      <w:pPr>
        <w:pStyle w:val="20"/>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rsidR="0062412C" w:rsidRDefault="0031061A">
      <w:pPr>
        <w:adjustRightInd w:val="0"/>
        <w:snapToGrid w:val="0"/>
        <w:spacing w:line="440" w:lineRule="exact"/>
        <w:ind w:firstLineChars="200" w:firstLine="480"/>
        <w:jc w:val="left"/>
        <w:rPr>
          <w:rFonts w:ascii="仿宋" w:eastAsia="仿宋" w:hAnsi="仿宋" w:cstheme="minorBidi"/>
          <w:sz w:val="24"/>
        </w:rPr>
      </w:pPr>
      <w:r>
        <w:rPr>
          <w:rStyle w:val="a9"/>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rsidR="0062412C" w:rsidRDefault="0031061A">
      <w:pPr>
        <w:pStyle w:val="10"/>
        <w:adjustRightInd w:val="0"/>
        <w:snapToGrid w:val="0"/>
        <w:spacing w:before="0" w:line="440" w:lineRule="exact"/>
        <w:jc w:val="left"/>
        <w:rPr>
          <w:rFonts w:cstheme="minorBidi"/>
          <w:sz w:val="24"/>
          <w:szCs w:val="24"/>
        </w:rPr>
      </w:pPr>
      <w:r>
        <w:rPr>
          <w:rFonts w:hint="eastAsia"/>
          <w:sz w:val="24"/>
        </w:rPr>
        <w:t>第三部分名词解释</w:t>
      </w:r>
    </w:p>
    <w:p w:rsidR="0062412C" w:rsidRDefault="0031061A">
      <w:pPr>
        <w:pStyle w:val="10"/>
        <w:adjustRightInd w:val="0"/>
        <w:snapToGrid w:val="0"/>
        <w:spacing w:before="0" w:line="440" w:lineRule="exact"/>
        <w:jc w:val="left"/>
        <w:rPr>
          <w:rFonts w:cstheme="minorBidi"/>
          <w:sz w:val="24"/>
          <w:szCs w:val="24"/>
        </w:rPr>
      </w:pPr>
      <w:r>
        <w:rPr>
          <w:rFonts w:hint="eastAsia"/>
          <w:sz w:val="24"/>
        </w:rPr>
        <w:t>第四部分附件</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rsidR="0062412C" w:rsidRDefault="0031061A">
      <w:pPr>
        <w:pStyle w:val="10"/>
        <w:adjustRightInd w:val="0"/>
        <w:snapToGrid w:val="0"/>
        <w:spacing w:before="0" w:line="440" w:lineRule="exact"/>
        <w:jc w:val="left"/>
        <w:rPr>
          <w:rFonts w:cstheme="minorBidi"/>
          <w:sz w:val="24"/>
          <w:szCs w:val="24"/>
        </w:rPr>
      </w:pPr>
      <w:r>
        <w:rPr>
          <w:rFonts w:hint="eastAsia"/>
          <w:sz w:val="24"/>
        </w:rPr>
        <w:t>第五部分附表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rsidR="0062412C" w:rsidRDefault="0031061A">
      <w:pPr>
        <w:pStyle w:val="20"/>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lastRenderedPageBreak/>
        <w:t>八、</w:t>
      </w:r>
      <w:r>
        <w:rPr>
          <w:rFonts w:hint="eastAsia"/>
          <w:sz w:val="24"/>
        </w:rPr>
        <w:t>一般公共预算财政拨款基本支出决算表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rsidR="0062412C" w:rsidRDefault="0031061A">
      <w:pPr>
        <w:pStyle w:val="1"/>
        <w:jc w:val="center"/>
        <w:rPr>
          <w:rStyle w:val="1Char"/>
          <w:rFonts w:ascii="黑体" w:eastAsia="黑体" w:hAnsi="黑体"/>
          <w:b/>
        </w:rPr>
      </w:pPr>
      <w:bookmarkStart w:id="12" w:name="_Toc15396599"/>
      <w:bookmarkStart w:id="13" w:name="_Toc15377196"/>
      <w:r>
        <w:rPr>
          <w:rFonts w:ascii="黑体" w:eastAsia="黑体" w:hAnsi="黑体" w:hint="eastAsia"/>
          <w:b w:val="0"/>
        </w:rPr>
        <w:t xml:space="preserve">第一部分 </w:t>
      </w:r>
      <w:r>
        <w:rPr>
          <w:rStyle w:val="1Char"/>
          <w:rFonts w:ascii="黑体" w:eastAsia="黑体" w:hAnsi="黑体" w:hint="eastAsia"/>
        </w:rPr>
        <w:t>部门概况</w:t>
      </w:r>
      <w:bookmarkEnd w:id="12"/>
      <w:bookmarkEnd w:id="13"/>
    </w:p>
    <w:p w:rsidR="0062412C" w:rsidRDefault="0062412C">
      <w:pPr>
        <w:widowControl/>
        <w:jc w:val="left"/>
        <w:rPr>
          <w:rFonts w:ascii="黑体" w:eastAsia="黑体"/>
          <w:color w:val="000000"/>
          <w:sz w:val="32"/>
          <w:szCs w:val="32"/>
        </w:rPr>
      </w:pPr>
    </w:p>
    <w:p w:rsidR="0062412C" w:rsidRDefault="0031061A">
      <w:pPr>
        <w:pStyle w:val="2"/>
        <w:rPr>
          <w:rStyle w:val="2Char"/>
          <w:rFonts w:ascii="仿宋" w:eastAsia="仿宋" w:hAnsi="仿宋"/>
        </w:rPr>
      </w:pPr>
      <w:bookmarkStart w:id="14" w:name="_Toc15377197"/>
      <w:bookmarkStart w:id="15" w:name="_Toc15396600"/>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62412C" w:rsidRDefault="0031061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End w:id="16"/>
      <w:bookmarkEnd w:id="17"/>
    </w:p>
    <w:p w:rsidR="0062412C" w:rsidRDefault="0031061A">
      <w:pPr>
        <w:snapToGrid w:val="0"/>
        <w:spacing w:line="588" w:lineRule="exact"/>
        <w:ind w:firstLineChars="200" w:firstLine="640"/>
        <w:rPr>
          <w:rFonts w:ascii="仿宋" w:eastAsia="仿宋" w:hAnsi="仿宋"/>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62412C" w:rsidRDefault="0031061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15377199"/>
      <w:bookmarkStart w:id="19" w:name="_Toc15378446"/>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p>
    <w:p w:rsidR="00FB33B3" w:rsidRPr="00FB33B3" w:rsidRDefault="00FB33B3" w:rsidP="00FB33B3">
      <w:pPr>
        <w:snapToGrid w:val="0"/>
        <w:spacing w:line="588" w:lineRule="exact"/>
        <w:ind w:firstLineChars="200" w:firstLine="640"/>
        <w:rPr>
          <w:rFonts w:ascii="仿宋_GB2312" w:eastAsia="仿宋_GB2312" w:hAnsi="宋体"/>
          <w:color w:val="000000"/>
          <w:sz w:val="32"/>
          <w:szCs w:val="32"/>
        </w:rPr>
      </w:pPr>
      <w:r>
        <w:rPr>
          <w:rFonts w:ascii="仿宋_GB2312" w:eastAsia="仿宋_GB2312" w:hAnsi="仿宋" w:hint="eastAsia"/>
          <w:sz w:val="32"/>
          <w:szCs w:val="32"/>
        </w:rPr>
        <w:t>2019年预算医疗收入62.28</w:t>
      </w:r>
      <w:r w:rsidR="00C86983">
        <w:rPr>
          <w:rFonts w:ascii="仿宋_GB2312" w:eastAsia="仿宋_GB2312" w:hAnsi="仿宋" w:hint="eastAsia"/>
          <w:sz w:val="32"/>
          <w:szCs w:val="32"/>
        </w:rPr>
        <w:t>万</w:t>
      </w:r>
      <w:r>
        <w:rPr>
          <w:rFonts w:ascii="仿宋_GB2312" w:eastAsia="仿宋_GB2312" w:hAnsi="仿宋" w:hint="eastAsia"/>
          <w:sz w:val="32"/>
          <w:szCs w:val="32"/>
        </w:rPr>
        <w:t>元，</w:t>
      </w:r>
      <w:r w:rsidRPr="00BC7755">
        <w:rPr>
          <w:rFonts w:ascii="仿宋_GB2312" w:eastAsia="仿宋_GB2312" w:hAnsi="宋体" w:hint="eastAsia"/>
          <w:color w:val="000000"/>
          <w:sz w:val="32"/>
          <w:szCs w:val="32"/>
        </w:rPr>
        <w:t xml:space="preserve"> </w:t>
      </w:r>
      <w:r w:rsidRPr="00BC7755">
        <w:rPr>
          <w:rFonts w:ascii="仿宋_GB2312" w:eastAsia="仿宋_GB2312" w:hint="eastAsia"/>
          <w:sz w:val="32"/>
          <w:szCs w:val="32"/>
        </w:rPr>
        <w:t>门诊人次12666人，出院人次283人。今年继续开展健康体检及建档工作，基本公共卫生服务截止2019年12月共累计建档人数12553人，共查出慢性疾病1405人，其中高血压1121人，糖尿病284</w:t>
      </w:r>
      <w:r w:rsidRPr="00BC7755">
        <w:rPr>
          <w:rFonts w:ascii="仿宋_GB2312" w:eastAsia="仿宋_GB2312" w:hint="eastAsia"/>
          <w:sz w:val="32"/>
          <w:szCs w:val="32"/>
        </w:rPr>
        <w:lastRenderedPageBreak/>
        <w:t>人，精神障碍80人，全乡规范建档率达93.07%；2019年免费为1353个老年人进行了体检。</w:t>
      </w:r>
    </w:p>
    <w:p w:rsidR="0062412C" w:rsidRDefault="0031061A">
      <w:pPr>
        <w:pStyle w:val="2"/>
        <w:rPr>
          <w:rStyle w:val="2Char"/>
          <w:rFonts w:ascii="黑体" w:eastAsia="黑体" w:hAnsi="黑体"/>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62412C" w:rsidRDefault="00FB33B3">
      <w:pPr>
        <w:ind w:firstLineChars="200" w:firstLine="640"/>
        <w:rPr>
          <w:rFonts w:ascii="仿宋" w:eastAsia="仿宋" w:hAnsi="仿宋"/>
          <w:sz w:val="32"/>
          <w:szCs w:val="32"/>
        </w:rPr>
      </w:pPr>
      <w:r>
        <w:rPr>
          <w:rFonts w:ascii="仿宋" w:eastAsia="仿宋" w:hAnsi="仿宋" w:hint="eastAsia"/>
          <w:sz w:val="32"/>
          <w:szCs w:val="32"/>
        </w:rPr>
        <w:t>普兴乡</w:t>
      </w:r>
      <w:r w:rsidR="0031061A">
        <w:rPr>
          <w:rFonts w:ascii="仿宋" w:eastAsia="仿宋" w:hAnsi="仿宋" w:hint="eastAsia"/>
          <w:sz w:val="32"/>
          <w:szCs w:val="32"/>
        </w:rPr>
        <w:t>卫生院为峨眉山市卫生健康局下属二级预算单位，单位性质为财政差额拨款事业单位，无下设机构。</w:t>
      </w:r>
    </w:p>
    <w:p w:rsidR="0062412C" w:rsidRDefault="0031061A">
      <w:pPr>
        <w:pStyle w:val="1"/>
        <w:ind w:right="440"/>
        <w:jc w:val="right"/>
        <w:rPr>
          <w:rFonts w:ascii="黑体" w:eastAsia="黑体" w:hAnsi="黑体"/>
          <w:b w:val="0"/>
          <w:bCs w:val="0"/>
        </w:rPr>
      </w:pPr>
      <w:bookmarkStart w:id="22" w:name="_Toc15377204"/>
      <w:bookmarkStart w:id="23" w:name="_Toc15396602"/>
      <w:r>
        <w:rPr>
          <w:rFonts w:ascii="黑体" w:eastAsia="黑体" w:hAnsi="黑体" w:hint="eastAsia"/>
          <w:b w:val="0"/>
          <w:color w:val="000000"/>
        </w:rPr>
        <w:t>第二部分</w:t>
      </w:r>
      <w:r>
        <w:rPr>
          <w:rStyle w:val="1Char"/>
          <w:rFonts w:ascii="黑体" w:eastAsia="黑体" w:hAnsi="黑体" w:hint="eastAsia"/>
        </w:rPr>
        <w:t>2019年度部门决算情况说明</w:t>
      </w:r>
      <w:bookmarkEnd w:id="22"/>
      <w:bookmarkEnd w:id="23"/>
    </w:p>
    <w:p w:rsidR="0062412C" w:rsidRDefault="0031061A">
      <w:pPr>
        <w:pStyle w:val="aa"/>
        <w:numPr>
          <w:ilvl w:val="0"/>
          <w:numId w:val="1"/>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62412C" w:rsidRDefault="0031061A" w:rsidP="00CA2B7C">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sz w:val="32"/>
          <w:szCs w:val="32"/>
        </w:rPr>
        <w:t>2019年度收入总计</w:t>
      </w:r>
      <w:r w:rsidR="00BF053A">
        <w:rPr>
          <w:rFonts w:ascii="仿宋" w:eastAsia="仿宋" w:hAnsi="仿宋" w:hint="eastAsia"/>
          <w:color w:val="000000"/>
          <w:sz w:val="32"/>
          <w:szCs w:val="32"/>
        </w:rPr>
        <w:t>208.91</w:t>
      </w:r>
      <w:r>
        <w:rPr>
          <w:rFonts w:ascii="仿宋" w:eastAsia="仿宋" w:hAnsi="仿宋" w:hint="eastAsia"/>
          <w:color w:val="000000"/>
          <w:sz w:val="32"/>
          <w:szCs w:val="32"/>
        </w:rPr>
        <w:t>万元，支出总计</w:t>
      </w:r>
      <w:r w:rsidR="00BF053A">
        <w:rPr>
          <w:rFonts w:ascii="仿宋" w:eastAsia="仿宋" w:hAnsi="仿宋" w:hint="eastAsia"/>
          <w:color w:val="000000"/>
          <w:sz w:val="32"/>
          <w:szCs w:val="32"/>
        </w:rPr>
        <w:t>213.87</w:t>
      </w:r>
      <w:r>
        <w:rPr>
          <w:rFonts w:ascii="仿宋" w:eastAsia="仿宋" w:hAnsi="仿宋" w:hint="eastAsia"/>
          <w:color w:val="000000"/>
          <w:sz w:val="32"/>
          <w:szCs w:val="32"/>
        </w:rPr>
        <w:t>万元。与2018年相比，收入</w:t>
      </w:r>
      <w:r w:rsidR="00BF053A">
        <w:rPr>
          <w:rFonts w:ascii="仿宋" w:eastAsia="仿宋" w:hAnsi="仿宋" w:hint="eastAsia"/>
          <w:color w:val="000000"/>
          <w:sz w:val="32"/>
          <w:szCs w:val="32"/>
        </w:rPr>
        <w:t>增加6.25</w:t>
      </w:r>
      <w:r>
        <w:rPr>
          <w:rFonts w:ascii="仿宋" w:eastAsia="仿宋" w:hAnsi="仿宋" w:hint="eastAsia"/>
          <w:color w:val="000000"/>
          <w:sz w:val="32"/>
          <w:szCs w:val="32"/>
        </w:rPr>
        <w:t>万元</w:t>
      </w:r>
      <w:r w:rsidR="00BF053A">
        <w:rPr>
          <w:rFonts w:ascii="仿宋" w:eastAsia="仿宋" w:hAnsi="仿宋" w:hint="eastAsia"/>
          <w:color w:val="000000"/>
          <w:sz w:val="32"/>
          <w:szCs w:val="32"/>
        </w:rPr>
        <w:t>，增加3</w:t>
      </w:r>
      <w:r>
        <w:rPr>
          <w:rFonts w:ascii="仿宋" w:eastAsia="仿宋" w:hAnsi="仿宋" w:hint="eastAsia"/>
          <w:color w:val="000000"/>
          <w:sz w:val="32"/>
          <w:szCs w:val="32"/>
        </w:rPr>
        <w:t>%；支出总计</w:t>
      </w:r>
      <w:r w:rsidR="00BF053A">
        <w:rPr>
          <w:rFonts w:ascii="仿宋" w:eastAsia="仿宋" w:hAnsi="仿宋" w:hint="eastAsia"/>
          <w:color w:val="000000"/>
          <w:sz w:val="32"/>
          <w:szCs w:val="32"/>
        </w:rPr>
        <w:t>增加41.11</w:t>
      </w:r>
      <w:r>
        <w:rPr>
          <w:rFonts w:ascii="仿宋" w:eastAsia="仿宋" w:hAnsi="仿宋" w:hint="eastAsia"/>
          <w:color w:val="000000"/>
          <w:sz w:val="32"/>
          <w:szCs w:val="32"/>
        </w:rPr>
        <w:t>万元，</w:t>
      </w:r>
      <w:r w:rsidR="00BF053A">
        <w:rPr>
          <w:rFonts w:ascii="仿宋" w:eastAsia="仿宋" w:hAnsi="仿宋" w:hint="eastAsia"/>
          <w:color w:val="000000"/>
          <w:sz w:val="32"/>
          <w:szCs w:val="32"/>
        </w:rPr>
        <w:t>增加2</w:t>
      </w:r>
      <w:r w:rsidR="00E426F3">
        <w:rPr>
          <w:rFonts w:ascii="仿宋" w:eastAsia="仿宋" w:hAnsi="仿宋" w:hint="eastAsia"/>
          <w:color w:val="000000"/>
          <w:sz w:val="32"/>
          <w:szCs w:val="32"/>
        </w:rPr>
        <w:t>4</w:t>
      </w:r>
      <w:r>
        <w:rPr>
          <w:rFonts w:ascii="仿宋" w:eastAsia="仿宋" w:hAnsi="仿宋"/>
          <w:color w:val="000000"/>
          <w:sz w:val="32"/>
          <w:szCs w:val="32"/>
        </w:rPr>
        <w:t>%</w:t>
      </w:r>
      <w:r>
        <w:rPr>
          <w:rFonts w:ascii="仿宋" w:eastAsia="仿宋" w:hAnsi="仿宋" w:hint="eastAsia"/>
          <w:color w:val="000000"/>
          <w:sz w:val="32"/>
          <w:szCs w:val="32"/>
        </w:rPr>
        <w:t>。收入主要变动原因是201</w:t>
      </w:r>
      <w:r w:rsidR="00BF053A">
        <w:rPr>
          <w:rFonts w:ascii="仿宋" w:eastAsia="仿宋" w:hAnsi="仿宋" w:hint="eastAsia"/>
          <w:color w:val="000000"/>
          <w:sz w:val="32"/>
          <w:szCs w:val="32"/>
        </w:rPr>
        <w:t>9</w:t>
      </w:r>
      <w:r>
        <w:rPr>
          <w:rFonts w:ascii="仿宋" w:eastAsia="仿宋" w:hAnsi="仿宋" w:hint="eastAsia"/>
          <w:color w:val="000000"/>
          <w:sz w:val="32"/>
          <w:szCs w:val="32"/>
        </w:rPr>
        <w:t>年</w:t>
      </w:r>
      <w:r w:rsidR="00BF053A">
        <w:rPr>
          <w:rFonts w:ascii="仿宋" w:eastAsia="仿宋" w:hAnsi="仿宋" w:hint="eastAsia"/>
          <w:color w:val="000000"/>
          <w:sz w:val="32"/>
          <w:szCs w:val="32"/>
        </w:rPr>
        <w:t>有贫困人员体检经费</w:t>
      </w:r>
      <w:r>
        <w:rPr>
          <w:rFonts w:ascii="仿宋" w:eastAsia="仿宋" w:hAnsi="仿宋" w:hint="eastAsia"/>
          <w:color w:val="000000"/>
          <w:sz w:val="32"/>
          <w:szCs w:val="32"/>
        </w:rPr>
        <w:t>。同理，本年支出</w:t>
      </w:r>
      <w:r w:rsidR="001D1721">
        <w:rPr>
          <w:rFonts w:ascii="仿宋" w:eastAsia="仿宋" w:hAnsi="仿宋" w:hint="eastAsia"/>
          <w:color w:val="000000"/>
          <w:sz w:val="32"/>
          <w:szCs w:val="32"/>
        </w:rPr>
        <w:t>增加</w:t>
      </w:r>
      <w:r>
        <w:rPr>
          <w:rFonts w:ascii="仿宋" w:eastAsia="仿宋" w:hAnsi="仿宋" w:hint="eastAsia"/>
          <w:color w:val="000000"/>
          <w:sz w:val="32"/>
          <w:szCs w:val="32"/>
        </w:rPr>
        <w:t>其主要原因为</w:t>
      </w:r>
      <w:r w:rsidR="00E426F3">
        <w:rPr>
          <w:rFonts w:ascii="仿宋" w:eastAsia="仿宋" w:hAnsi="仿宋" w:hint="eastAsia"/>
          <w:color w:val="000000"/>
          <w:sz w:val="32"/>
          <w:szCs w:val="32"/>
        </w:rPr>
        <w:t>有</w:t>
      </w:r>
      <w:r w:rsidR="001D1721">
        <w:rPr>
          <w:rFonts w:ascii="仿宋" w:eastAsia="仿宋" w:hAnsi="仿宋" w:hint="eastAsia"/>
          <w:color w:val="000000"/>
          <w:sz w:val="32"/>
          <w:szCs w:val="32"/>
        </w:rPr>
        <w:t>2018年结转</w:t>
      </w:r>
      <w:r w:rsidR="00E426F3">
        <w:rPr>
          <w:rFonts w:ascii="仿宋" w:eastAsia="仿宋" w:hAnsi="仿宋" w:hint="eastAsia"/>
          <w:color w:val="000000"/>
          <w:sz w:val="32"/>
          <w:szCs w:val="32"/>
        </w:rPr>
        <w:t>经费在2019年支出</w:t>
      </w:r>
      <w:r>
        <w:rPr>
          <w:rFonts w:ascii="仿宋" w:eastAsia="仿宋" w:hAnsi="仿宋" w:hint="eastAsia"/>
          <w:color w:val="000000"/>
          <w:sz w:val="32"/>
          <w:szCs w:val="32"/>
        </w:rPr>
        <w:t>。</w:t>
      </w:r>
    </w:p>
    <w:p w:rsidR="0062412C" w:rsidRDefault="0062412C">
      <w:pPr>
        <w:widowControl/>
        <w:jc w:val="center"/>
        <w:rPr>
          <w:rFonts w:ascii="宋体" w:hAnsi="宋体" w:cs="宋体"/>
          <w:color w:val="000000"/>
          <w:kern w:val="0"/>
          <w:sz w:val="22"/>
          <w:szCs w:val="22"/>
        </w:rPr>
      </w:pPr>
    </w:p>
    <w:p w:rsidR="0062412C" w:rsidRDefault="001D1721" w:rsidP="00CA2B7C">
      <w:pPr>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4296641" cy="2528455"/>
            <wp:effectExtent l="19050" t="0" r="27709" b="51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5DA8" w:rsidRDefault="00595DA8">
      <w:pPr>
        <w:spacing w:line="600" w:lineRule="exact"/>
        <w:outlineLvl w:val="1"/>
        <w:rPr>
          <w:rFonts w:ascii="黑体" w:eastAsia="黑体" w:hAnsi="黑体"/>
          <w:color w:val="000000"/>
          <w:sz w:val="32"/>
          <w:szCs w:val="32"/>
        </w:rPr>
      </w:pPr>
      <w:bookmarkStart w:id="26" w:name="_Toc15396604"/>
      <w:bookmarkStart w:id="27" w:name="_Toc15377206"/>
    </w:p>
    <w:p w:rsidR="0062412C" w:rsidRDefault="0031061A">
      <w:pPr>
        <w:spacing w:line="600" w:lineRule="exact"/>
        <w:outlineLvl w:val="1"/>
        <w:rPr>
          <w:rStyle w:val="2Char"/>
          <w:rFonts w:ascii="黑体" w:eastAsia="黑体" w:hAnsi="黑体"/>
          <w:b w:val="0"/>
        </w:rPr>
      </w:pPr>
      <w:r>
        <w:rPr>
          <w:rFonts w:ascii="黑体" w:eastAsia="黑体" w:hAnsi="黑体" w:hint="eastAsia"/>
          <w:color w:val="000000"/>
          <w:sz w:val="32"/>
          <w:szCs w:val="32"/>
        </w:rPr>
        <w:lastRenderedPageBreak/>
        <w:t>收</w:t>
      </w:r>
      <w:r>
        <w:rPr>
          <w:rStyle w:val="2Char"/>
          <w:rFonts w:ascii="黑体" w:eastAsia="黑体" w:hAnsi="黑体" w:hint="eastAsia"/>
          <w:b w:val="0"/>
        </w:rPr>
        <w:t>入决算情况说明</w:t>
      </w:r>
      <w:bookmarkEnd w:id="26"/>
      <w:bookmarkEnd w:id="27"/>
    </w:p>
    <w:p w:rsidR="0062412C" w:rsidRDefault="0031061A">
      <w:pPr>
        <w:spacing w:line="600" w:lineRule="exact"/>
        <w:ind w:firstLineChars="200" w:firstLine="640"/>
        <w:outlineLvl w:val="1"/>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w:t>
      </w:r>
      <w:r w:rsidR="00CE2EFB">
        <w:rPr>
          <w:rFonts w:ascii="仿宋" w:eastAsia="仿宋" w:hAnsi="仿宋" w:hint="eastAsia"/>
          <w:color w:val="000000"/>
          <w:sz w:val="32"/>
          <w:szCs w:val="32"/>
        </w:rPr>
        <w:t>208.91</w:t>
      </w:r>
      <w:r>
        <w:rPr>
          <w:rFonts w:ascii="仿宋" w:eastAsia="仿宋" w:hAnsi="仿宋" w:hint="eastAsia"/>
          <w:color w:val="000000"/>
          <w:sz w:val="32"/>
          <w:szCs w:val="32"/>
        </w:rPr>
        <w:t>万元，其中：一般公共预算财政拨款收入</w:t>
      </w:r>
      <w:r w:rsidR="00CE2EFB">
        <w:rPr>
          <w:rFonts w:ascii="仿宋" w:eastAsia="仿宋" w:hAnsi="仿宋" w:hint="eastAsia"/>
          <w:color w:val="000000"/>
          <w:sz w:val="32"/>
          <w:szCs w:val="32"/>
        </w:rPr>
        <w:t>117.05</w:t>
      </w:r>
      <w:r>
        <w:rPr>
          <w:rFonts w:ascii="仿宋" w:eastAsia="仿宋" w:hAnsi="仿宋" w:hint="eastAsia"/>
          <w:color w:val="000000"/>
          <w:sz w:val="32"/>
          <w:szCs w:val="32"/>
        </w:rPr>
        <w:t>万元，占</w:t>
      </w:r>
      <w:r w:rsidR="00CE2EFB">
        <w:rPr>
          <w:rFonts w:ascii="仿宋" w:eastAsia="仿宋" w:hAnsi="仿宋" w:hint="eastAsia"/>
          <w:color w:val="000000"/>
          <w:sz w:val="32"/>
          <w:szCs w:val="32"/>
        </w:rPr>
        <w:t>56</w:t>
      </w:r>
      <w:r>
        <w:rPr>
          <w:rFonts w:ascii="仿宋" w:eastAsia="仿宋" w:hAnsi="仿宋"/>
          <w:color w:val="000000"/>
          <w:sz w:val="32"/>
          <w:szCs w:val="32"/>
        </w:rPr>
        <w:t>%</w:t>
      </w:r>
      <w:r>
        <w:rPr>
          <w:rFonts w:ascii="仿宋" w:eastAsia="仿宋" w:hAnsi="仿宋" w:hint="eastAsia"/>
          <w:color w:val="000000"/>
          <w:sz w:val="32"/>
          <w:szCs w:val="32"/>
        </w:rPr>
        <w:t>；政府性基金预算财政拨款收入3.</w:t>
      </w:r>
      <w:r w:rsidR="00CE2EFB">
        <w:rPr>
          <w:rFonts w:ascii="仿宋" w:eastAsia="仿宋" w:hAnsi="仿宋" w:hint="eastAsia"/>
          <w:color w:val="000000"/>
          <w:sz w:val="32"/>
          <w:szCs w:val="32"/>
        </w:rPr>
        <w:t>9</w:t>
      </w:r>
      <w:r>
        <w:rPr>
          <w:rFonts w:ascii="仿宋" w:eastAsia="仿宋" w:hAnsi="仿宋" w:hint="eastAsia"/>
          <w:color w:val="000000"/>
          <w:sz w:val="32"/>
          <w:szCs w:val="32"/>
        </w:rPr>
        <w:t>万元</w:t>
      </w:r>
      <w:r w:rsidR="00CE2EFB">
        <w:rPr>
          <w:rFonts w:ascii="仿宋" w:eastAsia="仿宋" w:hAnsi="仿宋" w:hint="eastAsia"/>
          <w:color w:val="000000"/>
          <w:sz w:val="32"/>
          <w:szCs w:val="32"/>
        </w:rPr>
        <w:t>，占2</w:t>
      </w:r>
      <w:r w:rsidR="00CE2EFB">
        <w:rPr>
          <w:rFonts w:ascii="仿宋" w:eastAsia="仿宋" w:hAnsi="仿宋"/>
          <w:color w:val="000000"/>
          <w:sz w:val="32"/>
          <w:szCs w:val="32"/>
        </w:rPr>
        <w:t>%</w:t>
      </w:r>
      <w:r>
        <w:rPr>
          <w:rFonts w:ascii="仿宋" w:eastAsia="仿宋" w:hAnsi="仿宋" w:hint="eastAsia"/>
          <w:color w:val="000000"/>
          <w:sz w:val="32"/>
          <w:szCs w:val="32"/>
        </w:rPr>
        <w:t>；</w:t>
      </w:r>
      <w:r w:rsidR="00CE2EFB">
        <w:rPr>
          <w:rFonts w:ascii="仿宋" w:eastAsia="仿宋" w:hAnsi="仿宋" w:hint="eastAsia"/>
          <w:color w:val="000000"/>
          <w:sz w:val="32"/>
          <w:szCs w:val="32"/>
        </w:rPr>
        <w:t>事业收入62.28万元，占30%；</w:t>
      </w:r>
      <w:r>
        <w:rPr>
          <w:rFonts w:ascii="仿宋" w:eastAsia="仿宋" w:hAnsi="仿宋" w:hint="eastAsia"/>
          <w:color w:val="000000"/>
          <w:sz w:val="32"/>
          <w:szCs w:val="32"/>
        </w:rPr>
        <w:t>其他收入</w:t>
      </w:r>
      <w:r w:rsidR="00CE2EFB">
        <w:rPr>
          <w:rFonts w:ascii="仿宋" w:eastAsia="仿宋" w:hAnsi="仿宋" w:hint="eastAsia"/>
          <w:color w:val="000000"/>
          <w:sz w:val="32"/>
          <w:szCs w:val="32"/>
        </w:rPr>
        <w:t>25.68</w:t>
      </w:r>
      <w:r>
        <w:rPr>
          <w:rFonts w:ascii="仿宋" w:eastAsia="仿宋" w:hAnsi="仿宋" w:hint="eastAsia"/>
          <w:color w:val="000000"/>
          <w:sz w:val="32"/>
          <w:szCs w:val="32"/>
        </w:rPr>
        <w:t>万元，占</w:t>
      </w:r>
      <w:r w:rsidR="00CE2EFB">
        <w:rPr>
          <w:rFonts w:ascii="仿宋" w:eastAsia="仿宋" w:hAnsi="仿宋" w:hint="eastAsia"/>
          <w:color w:val="000000"/>
          <w:sz w:val="32"/>
          <w:szCs w:val="32"/>
        </w:rPr>
        <w:t>12</w:t>
      </w:r>
      <w:r>
        <w:rPr>
          <w:rFonts w:ascii="仿宋" w:eastAsia="仿宋" w:hAnsi="仿宋"/>
          <w:color w:val="000000"/>
          <w:sz w:val="32"/>
          <w:szCs w:val="32"/>
        </w:rPr>
        <w:t>%</w:t>
      </w:r>
      <w:r>
        <w:rPr>
          <w:rFonts w:ascii="仿宋" w:eastAsia="仿宋" w:hAnsi="仿宋" w:hint="eastAsia"/>
          <w:color w:val="000000"/>
          <w:sz w:val="32"/>
          <w:szCs w:val="32"/>
        </w:rPr>
        <w:t>。</w:t>
      </w:r>
    </w:p>
    <w:p w:rsidR="00E426F3" w:rsidRDefault="00E426F3">
      <w:pPr>
        <w:spacing w:line="600" w:lineRule="exact"/>
        <w:ind w:firstLineChars="200" w:firstLine="640"/>
        <w:outlineLvl w:val="1"/>
        <w:rPr>
          <w:rFonts w:ascii="仿宋" w:eastAsia="仿宋" w:hAnsi="仿宋"/>
          <w:color w:val="000000" w:themeColor="text1"/>
          <w:sz w:val="32"/>
          <w:szCs w:val="32"/>
        </w:rPr>
      </w:pPr>
    </w:p>
    <w:p w:rsidR="0062412C" w:rsidRDefault="00CF2073" w:rsidP="007D5BC1">
      <w:pPr>
        <w:ind w:firstLineChars="200" w:firstLine="640"/>
        <w:jc w:val="center"/>
        <w:outlineLvl w:val="1"/>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4095750" cy="3006437"/>
            <wp:effectExtent l="19050" t="0" r="19050" b="3463"/>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412C" w:rsidRDefault="0062412C">
      <w:pPr>
        <w:spacing w:line="600" w:lineRule="exact"/>
        <w:ind w:firstLineChars="200" w:firstLine="640"/>
        <w:rPr>
          <w:rFonts w:ascii="仿宋_GB2312" w:eastAsia="仿宋_GB2312"/>
          <w:color w:val="FF0000"/>
          <w:sz w:val="32"/>
          <w:szCs w:val="32"/>
        </w:rPr>
      </w:pPr>
    </w:p>
    <w:p w:rsidR="0062412C" w:rsidRDefault="0031061A">
      <w:pPr>
        <w:pStyle w:val="aa"/>
        <w:numPr>
          <w:ilvl w:val="0"/>
          <w:numId w:val="1"/>
        </w:numPr>
        <w:spacing w:line="600" w:lineRule="exact"/>
        <w:ind w:firstLineChars="0"/>
        <w:outlineLvl w:val="1"/>
        <w:rPr>
          <w:rStyle w:val="2Char"/>
          <w:rFonts w:ascii="黑体" w:eastAsia="黑体" w:hAnsi="黑体"/>
          <w:b w:val="0"/>
        </w:rPr>
      </w:pPr>
      <w:bookmarkStart w:id="28" w:name="_Toc15396605"/>
      <w:bookmarkStart w:id="29" w:name="_Toc15377207"/>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8"/>
      <w:bookmarkEnd w:id="29"/>
    </w:p>
    <w:p w:rsidR="0062412C" w:rsidRPr="003B7DA5" w:rsidRDefault="0031061A" w:rsidP="003B7DA5">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7D5BC1">
        <w:rPr>
          <w:rFonts w:ascii="仿宋" w:eastAsia="仿宋" w:hAnsi="仿宋" w:hint="eastAsia"/>
          <w:color w:val="000000"/>
          <w:sz w:val="32"/>
          <w:szCs w:val="32"/>
        </w:rPr>
        <w:t>213.8</w:t>
      </w:r>
      <w:r w:rsidR="00E426F3">
        <w:rPr>
          <w:rFonts w:ascii="仿宋" w:eastAsia="仿宋" w:hAnsi="仿宋" w:hint="eastAsia"/>
          <w:color w:val="000000"/>
          <w:sz w:val="32"/>
          <w:szCs w:val="32"/>
        </w:rPr>
        <w:t>7</w:t>
      </w:r>
      <w:r>
        <w:rPr>
          <w:rFonts w:ascii="仿宋" w:eastAsia="仿宋" w:hAnsi="仿宋" w:hint="eastAsia"/>
          <w:color w:val="000000"/>
          <w:sz w:val="32"/>
          <w:szCs w:val="32"/>
        </w:rPr>
        <w:t>万元，其中：基本支出</w:t>
      </w:r>
      <w:r w:rsidR="007D5BC1">
        <w:rPr>
          <w:rFonts w:ascii="仿宋" w:eastAsia="仿宋" w:hAnsi="仿宋" w:hint="eastAsia"/>
          <w:color w:val="000000"/>
          <w:sz w:val="32"/>
          <w:szCs w:val="32"/>
        </w:rPr>
        <w:t>73.86</w:t>
      </w:r>
      <w:r>
        <w:rPr>
          <w:rFonts w:ascii="仿宋" w:eastAsia="仿宋" w:hAnsi="仿宋" w:hint="eastAsia"/>
          <w:color w:val="000000"/>
          <w:sz w:val="32"/>
          <w:szCs w:val="32"/>
        </w:rPr>
        <w:t>万元，占</w:t>
      </w:r>
      <w:r w:rsidR="007D5BC1">
        <w:rPr>
          <w:rFonts w:ascii="仿宋" w:eastAsia="仿宋" w:hAnsi="仿宋" w:hint="eastAsia"/>
          <w:color w:val="000000"/>
          <w:sz w:val="32"/>
          <w:szCs w:val="32"/>
        </w:rPr>
        <w:t>35</w:t>
      </w:r>
      <w:r>
        <w:rPr>
          <w:rFonts w:ascii="仿宋" w:eastAsia="仿宋" w:hAnsi="仿宋"/>
          <w:color w:val="000000"/>
          <w:sz w:val="32"/>
          <w:szCs w:val="32"/>
        </w:rPr>
        <w:t>%</w:t>
      </w:r>
      <w:r>
        <w:rPr>
          <w:rFonts w:ascii="仿宋" w:eastAsia="仿宋" w:hAnsi="仿宋" w:hint="eastAsia"/>
          <w:color w:val="000000"/>
          <w:sz w:val="32"/>
          <w:szCs w:val="32"/>
        </w:rPr>
        <w:t>；项目支出</w:t>
      </w:r>
      <w:r w:rsidR="007D5BC1">
        <w:rPr>
          <w:rFonts w:ascii="仿宋" w:eastAsia="仿宋" w:hAnsi="仿宋" w:hint="eastAsia"/>
          <w:color w:val="000000"/>
          <w:sz w:val="32"/>
          <w:szCs w:val="32"/>
        </w:rPr>
        <w:t>140</w:t>
      </w:r>
      <w:r w:rsidR="00E426F3">
        <w:rPr>
          <w:rFonts w:ascii="仿宋" w:eastAsia="仿宋" w:hAnsi="仿宋" w:hint="eastAsia"/>
          <w:color w:val="000000"/>
          <w:sz w:val="32"/>
          <w:szCs w:val="32"/>
        </w:rPr>
        <w:t>.01</w:t>
      </w:r>
      <w:r>
        <w:rPr>
          <w:rFonts w:ascii="仿宋" w:eastAsia="仿宋" w:hAnsi="仿宋" w:hint="eastAsia"/>
          <w:color w:val="000000"/>
          <w:sz w:val="32"/>
          <w:szCs w:val="32"/>
        </w:rPr>
        <w:t>万元，占</w:t>
      </w:r>
      <w:r w:rsidR="007D5BC1">
        <w:rPr>
          <w:rFonts w:ascii="仿宋" w:eastAsia="仿宋" w:hAnsi="仿宋" w:hint="eastAsia"/>
          <w:color w:val="000000"/>
          <w:sz w:val="32"/>
          <w:szCs w:val="32"/>
        </w:rPr>
        <w:t>65</w:t>
      </w:r>
      <w:r>
        <w:rPr>
          <w:rFonts w:ascii="仿宋" w:eastAsia="仿宋" w:hAnsi="仿宋"/>
          <w:color w:val="000000"/>
          <w:sz w:val="32"/>
          <w:szCs w:val="32"/>
        </w:rPr>
        <w:t>%</w:t>
      </w:r>
      <w:r>
        <w:rPr>
          <w:rFonts w:ascii="仿宋" w:eastAsia="仿宋" w:hAnsi="仿宋" w:hint="eastAsia"/>
          <w:color w:val="000000"/>
          <w:sz w:val="32"/>
          <w:szCs w:val="32"/>
        </w:rPr>
        <w:t>；上缴上级支出0万元，占0</w:t>
      </w:r>
      <w:r>
        <w:rPr>
          <w:rFonts w:ascii="仿宋" w:eastAsia="仿宋" w:hAnsi="仿宋"/>
          <w:color w:val="000000"/>
          <w:sz w:val="32"/>
          <w:szCs w:val="32"/>
        </w:rPr>
        <w:t>%</w:t>
      </w:r>
      <w:r>
        <w:rPr>
          <w:rFonts w:ascii="仿宋" w:eastAsia="仿宋" w:hAnsi="仿宋" w:hint="eastAsia"/>
          <w:color w:val="000000"/>
          <w:sz w:val="32"/>
          <w:szCs w:val="32"/>
        </w:rPr>
        <w:t>；经营支出0万元，占0</w:t>
      </w:r>
      <w:r>
        <w:rPr>
          <w:rFonts w:ascii="仿宋" w:eastAsia="仿宋" w:hAnsi="仿宋"/>
          <w:color w:val="000000"/>
          <w:sz w:val="32"/>
          <w:szCs w:val="32"/>
        </w:rPr>
        <w:t>%</w:t>
      </w:r>
      <w:r>
        <w:rPr>
          <w:rFonts w:ascii="仿宋" w:eastAsia="仿宋" w:hAnsi="仿宋" w:hint="eastAsia"/>
          <w:color w:val="000000"/>
          <w:sz w:val="32"/>
          <w:szCs w:val="32"/>
        </w:rPr>
        <w:t>；对附属单位补助支出0万元，占0</w:t>
      </w:r>
      <w:r>
        <w:rPr>
          <w:rFonts w:ascii="仿宋" w:eastAsia="仿宋" w:hAnsi="仿宋"/>
          <w:color w:val="000000"/>
          <w:sz w:val="32"/>
          <w:szCs w:val="32"/>
        </w:rPr>
        <w:t>%</w:t>
      </w:r>
      <w:r>
        <w:rPr>
          <w:rFonts w:ascii="仿宋" w:eastAsia="仿宋" w:hAnsi="仿宋" w:hint="eastAsia"/>
          <w:color w:val="000000"/>
          <w:sz w:val="32"/>
          <w:szCs w:val="32"/>
        </w:rPr>
        <w:t>。</w:t>
      </w:r>
    </w:p>
    <w:p w:rsidR="0062412C" w:rsidRDefault="007D5BC1" w:rsidP="00AF3546">
      <w:pPr>
        <w:ind w:firstLineChars="200" w:firstLine="640"/>
        <w:jc w:val="center"/>
        <w:rPr>
          <w:rFonts w:ascii="仿宋" w:eastAsia="仿宋" w:hAnsi="仿宋"/>
          <w:color w:val="000000" w:themeColor="text1"/>
          <w:sz w:val="32"/>
          <w:szCs w:val="32"/>
        </w:rPr>
      </w:pPr>
      <w:r>
        <w:rPr>
          <w:rFonts w:ascii="仿宋" w:eastAsia="仿宋" w:hAnsi="仿宋"/>
          <w:noProof/>
          <w:color w:val="000000" w:themeColor="text1"/>
          <w:sz w:val="32"/>
          <w:szCs w:val="32"/>
        </w:rPr>
        <w:lastRenderedPageBreak/>
        <w:drawing>
          <wp:inline distT="0" distB="0" distL="0" distR="0">
            <wp:extent cx="3875867" cy="2673927"/>
            <wp:effectExtent l="19050" t="0" r="10333"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412C" w:rsidRDefault="0062412C">
      <w:pPr>
        <w:spacing w:line="600" w:lineRule="exact"/>
        <w:ind w:firstLineChars="200" w:firstLine="640"/>
        <w:rPr>
          <w:rFonts w:ascii="仿宋_GB2312" w:eastAsia="仿宋_GB2312"/>
          <w:color w:val="FF0000"/>
          <w:sz w:val="32"/>
          <w:szCs w:val="32"/>
        </w:rPr>
      </w:pPr>
    </w:p>
    <w:p w:rsidR="0062412C" w:rsidRDefault="0031061A">
      <w:pPr>
        <w:spacing w:line="600" w:lineRule="exact"/>
        <w:ind w:firstLineChars="200" w:firstLine="640"/>
        <w:outlineLvl w:val="1"/>
        <w:rPr>
          <w:rStyle w:val="2Char"/>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9年财政拨款收入</w:t>
      </w:r>
      <w:r w:rsidR="00AF3546">
        <w:rPr>
          <w:rFonts w:ascii="仿宋" w:eastAsia="仿宋" w:hAnsi="仿宋" w:hint="eastAsia"/>
          <w:color w:val="000000"/>
          <w:sz w:val="32"/>
          <w:szCs w:val="32"/>
        </w:rPr>
        <w:t>120.95</w:t>
      </w:r>
      <w:r>
        <w:rPr>
          <w:rFonts w:ascii="仿宋" w:eastAsia="仿宋" w:hAnsi="仿宋" w:hint="eastAsia"/>
          <w:color w:val="000000"/>
          <w:sz w:val="32"/>
          <w:szCs w:val="32"/>
        </w:rPr>
        <w:t xml:space="preserve">万元，财政拨款支出 </w:t>
      </w:r>
      <w:r w:rsidR="00AF3546">
        <w:rPr>
          <w:rFonts w:ascii="仿宋" w:eastAsia="仿宋" w:hAnsi="仿宋" w:hint="eastAsia"/>
          <w:color w:val="000000"/>
          <w:sz w:val="32"/>
          <w:szCs w:val="32"/>
        </w:rPr>
        <w:t>132.60</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8年相比，财政拨款收入</w:t>
      </w:r>
      <w:r w:rsidR="00845F40">
        <w:rPr>
          <w:rFonts w:ascii="仿宋" w:eastAsia="仿宋" w:hAnsi="仿宋" w:hint="eastAsia"/>
          <w:color w:val="000000"/>
          <w:sz w:val="32"/>
          <w:szCs w:val="32"/>
        </w:rPr>
        <w:t>下</w:t>
      </w:r>
      <w:r>
        <w:rPr>
          <w:rFonts w:ascii="仿宋" w:eastAsia="仿宋" w:hAnsi="仿宋" w:hint="eastAsia"/>
          <w:color w:val="000000"/>
          <w:sz w:val="32"/>
          <w:szCs w:val="32"/>
        </w:rPr>
        <w:t>降</w:t>
      </w:r>
      <w:r w:rsidR="00AF3546">
        <w:rPr>
          <w:rFonts w:ascii="仿宋" w:eastAsia="仿宋" w:hAnsi="仿宋" w:hint="eastAsia"/>
          <w:color w:val="000000"/>
          <w:sz w:val="32"/>
          <w:szCs w:val="32"/>
        </w:rPr>
        <w:t>4.2</w:t>
      </w:r>
      <w:r>
        <w:rPr>
          <w:rFonts w:ascii="仿宋" w:eastAsia="仿宋" w:hAnsi="仿宋" w:hint="eastAsia"/>
          <w:color w:val="000000"/>
          <w:sz w:val="32"/>
          <w:szCs w:val="32"/>
        </w:rPr>
        <w:t>万元，减少</w:t>
      </w:r>
      <w:r w:rsidR="00AF3546">
        <w:rPr>
          <w:rFonts w:ascii="仿宋" w:eastAsia="仿宋" w:hAnsi="仿宋" w:hint="eastAsia"/>
          <w:color w:val="000000"/>
          <w:sz w:val="32"/>
          <w:szCs w:val="32"/>
        </w:rPr>
        <w:t>3</w:t>
      </w:r>
      <w:r>
        <w:rPr>
          <w:rFonts w:ascii="仿宋" w:eastAsia="仿宋" w:hAnsi="仿宋" w:hint="eastAsia"/>
          <w:color w:val="000000"/>
          <w:sz w:val="32"/>
          <w:szCs w:val="32"/>
        </w:rPr>
        <w:t>%；财政拨款支出</w:t>
      </w:r>
      <w:r w:rsidR="00AF3546">
        <w:rPr>
          <w:rFonts w:ascii="仿宋" w:eastAsia="仿宋" w:hAnsi="仿宋" w:hint="eastAsia"/>
          <w:color w:val="000000"/>
          <w:sz w:val="32"/>
          <w:szCs w:val="32"/>
        </w:rPr>
        <w:t>增加37.35</w:t>
      </w:r>
      <w:r>
        <w:rPr>
          <w:rFonts w:ascii="仿宋" w:eastAsia="仿宋" w:hAnsi="仿宋" w:hint="eastAsia"/>
          <w:color w:val="000000"/>
          <w:sz w:val="32"/>
          <w:szCs w:val="32"/>
        </w:rPr>
        <w:t>万元，</w:t>
      </w:r>
      <w:r w:rsidR="00845F40">
        <w:rPr>
          <w:rFonts w:ascii="仿宋" w:eastAsia="仿宋" w:hAnsi="仿宋" w:hint="eastAsia"/>
          <w:color w:val="000000"/>
          <w:sz w:val="32"/>
          <w:szCs w:val="32"/>
        </w:rPr>
        <w:t>增加</w:t>
      </w:r>
      <w:r w:rsidR="00793EE1">
        <w:rPr>
          <w:rFonts w:ascii="仿宋" w:eastAsia="仿宋" w:hAnsi="仿宋" w:hint="eastAsia"/>
          <w:color w:val="000000"/>
          <w:sz w:val="32"/>
          <w:szCs w:val="32"/>
        </w:rPr>
        <w:t>39</w:t>
      </w:r>
      <w:r>
        <w:rPr>
          <w:rFonts w:ascii="仿宋" w:eastAsia="仿宋" w:hAnsi="仿宋"/>
          <w:color w:val="000000"/>
          <w:sz w:val="32"/>
          <w:szCs w:val="32"/>
        </w:rPr>
        <w:t>%</w:t>
      </w:r>
      <w:r>
        <w:rPr>
          <w:rFonts w:ascii="仿宋" w:eastAsia="仿宋" w:hAnsi="仿宋" w:hint="eastAsia"/>
          <w:color w:val="000000"/>
          <w:sz w:val="32"/>
          <w:szCs w:val="32"/>
        </w:rPr>
        <w:t>。财政拨款收入减少主要变动原因是201</w:t>
      </w:r>
      <w:r w:rsidR="00793EE1">
        <w:rPr>
          <w:rFonts w:ascii="仿宋" w:eastAsia="仿宋" w:hAnsi="仿宋" w:hint="eastAsia"/>
          <w:color w:val="000000"/>
          <w:sz w:val="32"/>
          <w:szCs w:val="32"/>
        </w:rPr>
        <w:t>9</w:t>
      </w:r>
      <w:r>
        <w:rPr>
          <w:rFonts w:ascii="仿宋" w:eastAsia="仿宋" w:hAnsi="仿宋" w:hint="eastAsia"/>
          <w:color w:val="000000"/>
          <w:sz w:val="32"/>
          <w:szCs w:val="32"/>
        </w:rPr>
        <w:t>年</w:t>
      </w:r>
      <w:r w:rsidR="00793EE1">
        <w:rPr>
          <w:rFonts w:ascii="仿宋" w:eastAsia="仿宋" w:hAnsi="仿宋" w:hint="eastAsia"/>
          <w:color w:val="000000"/>
          <w:sz w:val="32"/>
          <w:szCs w:val="32"/>
        </w:rPr>
        <w:t>没有污水处理环评经费</w:t>
      </w:r>
      <w:r w:rsidRPr="00793EE1">
        <w:rPr>
          <w:rFonts w:ascii="仿宋" w:eastAsia="仿宋" w:hAnsi="仿宋" w:hint="eastAsia"/>
          <w:color w:val="000000"/>
          <w:sz w:val="32"/>
          <w:szCs w:val="32"/>
        </w:rPr>
        <w:t>；财政拨款支出</w:t>
      </w:r>
      <w:r w:rsidR="00793EE1" w:rsidRPr="00793EE1">
        <w:rPr>
          <w:rFonts w:ascii="仿宋" w:eastAsia="仿宋" w:hAnsi="仿宋" w:hint="eastAsia"/>
          <w:color w:val="000000"/>
          <w:sz w:val="32"/>
          <w:szCs w:val="32"/>
        </w:rPr>
        <w:t>增加</w:t>
      </w:r>
      <w:r>
        <w:rPr>
          <w:rFonts w:ascii="仿宋" w:eastAsia="仿宋" w:hAnsi="仿宋" w:hint="eastAsia"/>
          <w:color w:val="000000"/>
          <w:sz w:val="32"/>
          <w:szCs w:val="32"/>
        </w:rPr>
        <w:t>其原因为</w:t>
      </w:r>
      <w:r w:rsidR="00845F40">
        <w:rPr>
          <w:rFonts w:ascii="仿宋" w:eastAsia="仿宋" w:hAnsi="仿宋" w:hint="eastAsia"/>
          <w:color w:val="000000"/>
          <w:sz w:val="32"/>
          <w:szCs w:val="32"/>
        </w:rPr>
        <w:t>有</w:t>
      </w:r>
      <w:r>
        <w:rPr>
          <w:rFonts w:ascii="仿宋" w:eastAsia="仿宋" w:hAnsi="仿宋" w:hint="eastAsia"/>
          <w:color w:val="000000"/>
          <w:sz w:val="32"/>
          <w:szCs w:val="32"/>
        </w:rPr>
        <w:t>2018年</w:t>
      </w:r>
      <w:r w:rsidR="00845F40">
        <w:rPr>
          <w:rFonts w:ascii="仿宋" w:eastAsia="仿宋" w:hAnsi="仿宋" w:hint="eastAsia"/>
          <w:color w:val="000000"/>
          <w:sz w:val="32"/>
          <w:szCs w:val="32"/>
        </w:rPr>
        <w:t>项目经费结转到2019</w:t>
      </w:r>
      <w:r w:rsidR="00793EE1">
        <w:rPr>
          <w:rFonts w:ascii="仿宋" w:eastAsia="仿宋" w:hAnsi="仿宋" w:hint="eastAsia"/>
          <w:color w:val="000000"/>
          <w:sz w:val="32"/>
          <w:szCs w:val="32"/>
        </w:rPr>
        <w:t>支出</w:t>
      </w:r>
      <w:r w:rsidR="00595DA8">
        <w:rPr>
          <w:rFonts w:ascii="仿宋" w:eastAsia="仿宋" w:hAnsi="仿宋" w:hint="eastAsia"/>
          <w:color w:val="000000"/>
          <w:sz w:val="32"/>
          <w:szCs w:val="32"/>
        </w:rPr>
        <w:t>。</w:t>
      </w:r>
    </w:p>
    <w:p w:rsidR="00A446D0" w:rsidRPr="00845F40" w:rsidRDefault="00A446D0" w:rsidP="003B7DA5">
      <w:pPr>
        <w:spacing w:line="600" w:lineRule="exact"/>
        <w:rPr>
          <w:rFonts w:ascii="仿宋" w:eastAsia="仿宋" w:hAnsi="仿宋"/>
          <w:color w:val="000000" w:themeColor="text1"/>
          <w:sz w:val="28"/>
          <w:szCs w:val="28"/>
        </w:rPr>
      </w:pPr>
    </w:p>
    <w:p w:rsidR="0062412C" w:rsidRDefault="00CC19DA">
      <w:pPr>
        <w:ind w:firstLine="640"/>
        <w:rPr>
          <w:rFonts w:ascii="仿宋" w:eastAsia="仿宋" w:hAnsi="仿宋"/>
          <w:b/>
          <w:color w:val="00B050"/>
          <w:sz w:val="32"/>
          <w:szCs w:val="32"/>
        </w:rPr>
      </w:pPr>
      <w:r>
        <w:rPr>
          <w:rFonts w:ascii="仿宋" w:eastAsia="仿宋" w:hAnsi="仿宋"/>
          <w:b/>
          <w:noProof/>
          <w:color w:val="00B050"/>
          <w:sz w:val="32"/>
          <w:szCs w:val="32"/>
        </w:rPr>
        <w:drawing>
          <wp:inline distT="0" distB="0" distL="0" distR="0">
            <wp:extent cx="3964132" cy="2223655"/>
            <wp:effectExtent l="19050" t="0" r="17318" b="519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2412C" w:rsidRDefault="0031061A">
      <w:pPr>
        <w:spacing w:line="600" w:lineRule="exact"/>
        <w:ind w:firstLineChars="200" w:firstLine="640"/>
        <w:outlineLvl w:val="1"/>
        <w:rPr>
          <w:rStyle w:val="2Char"/>
          <w:rFonts w:ascii="黑体" w:eastAsia="黑体" w:hAnsi="黑体"/>
          <w:b w:val="0"/>
        </w:rPr>
      </w:pPr>
      <w:bookmarkStart w:id="32" w:name="_Toc15377209"/>
      <w:bookmarkStart w:id="33" w:name="_Toc15396607"/>
      <w:r w:rsidRPr="00635F18">
        <w:rPr>
          <w:rFonts w:ascii="黑体" w:eastAsia="黑体" w:hAnsi="黑体" w:hint="eastAsia"/>
          <w:color w:val="000000"/>
          <w:sz w:val="32"/>
          <w:szCs w:val="32"/>
        </w:rPr>
        <w:lastRenderedPageBreak/>
        <w:t>五、</w:t>
      </w:r>
      <w:r w:rsidRPr="00635F18">
        <w:rPr>
          <w:rFonts w:ascii="黑体" w:eastAsia="黑体" w:hAnsi="黑体" w:hint="eastAsia"/>
          <w:b/>
          <w:color w:val="000000"/>
          <w:sz w:val="32"/>
          <w:szCs w:val="32"/>
        </w:rPr>
        <w:t>一</w:t>
      </w:r>
      <w:r w:rsidRPr="00635F18">
        <w:rPr>
          <w:rStyle w:val="2Char"/>
          <w:rFonts w:ascii="黑体" w:eastAsia="黑体" w:hAnsi="黑体" w:hint="eastAsia"/>
          <w:b w:val="0"/>
        </w:rPr>
        <w:t>般公共预算财政拨款支出决算情况说明</w:t>
      </w:r>
      <w:bookmarkEnd w:id="32"/>
      <w:bookmarkEnd w:id="33"/>
    </w:p>
    <w:p w:rsidR="0062412C" w:rsidRDefault="0031061A">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62412C" w:rsidRDefault="0031061A">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AE2B22">
        <w:rPr>
          <w:rFonts w:ascii="仿宋" w:eastAsia="仿宋" w:hAnsi="仿宋" w:hint="eastAsia"/>
          <w:color w:val="000000"/>
          <w:sz w:val="32"/>
          <w:szCs w:val="32"/>
        </w:rPr>
        <w:t>128.70</w:t>
      </w:r>
      <w:r>
        <w:rPr>
          <w:rFonts w:ascii="仿宋" w:eastAsia="仿宋" w:hAnsi="仿宋" w:hint="eastAsia"/>
          <w:color w:val="000000"/>
          <w:sz w:val="32"/>
          <w:szCs w:val="32"/>
        </w:rPr>
        <w:t>万元，占本年支出合计的</w:t>
      </w:r>
      <w:r w:rsidR="00AE2B22">
        <w:rPr>
          <w:rFonts w:ascii="仿宋" w:eastAsia="仿宋" w:hAnsi="仿宋" w:hint="eastAsia"/>
          <w:color w:val="000000"/>
          <w:sz w:val="32"/>
          <w:szCs w:val="32"/>
        </w:rPr>
        <w:t>60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8年相比，一般公共预算财政拨款支出增加</w:t>
      </w:r>
      <w:r w:rsidR="00AE2B22">
        <w:rPr>
          <w:rFonts w:ascii="仿宋" w:eastAsia="仿宋" w:hAnsi="仿宋" w:hint="eastAsia"/>
          <w:color w:val="000000"/>
          <w:sz w:val="32"/>
          <w:szCs w:val="32"/>
        </w:rPr>
        <w:t>42.10</w:t>
      </w:r>
      <w:r>
        <w:rPr>
          <w:rFonts w:ascii="仿宋" w:eastAsia="仿宋" w:hAnsi="仿宋" w:hint="eastAsia"/>
          <w:color w:val="000000"/>
          <w:sz w:val="32"/>
          <w:szCs w:val="32"/>
        </w:rPr>
        <w:t>万元，增加</w:t>
      </w:r>
      <w:r w:rsidR="00B775BD">
        <w:rPr>
          <w:rFonts w:ascii="仿宋" w:eastAsia="仿宋" w:hAnsi="仿宋" w:hint="eastAsia"/>
          <w:color w:val="000000"/>
          <w:sz w:val="32"/>
          <w:szCs w:val="32"/>
        </w:rPr>
        <w:t>4</w:t>
      </w:r>
      <w:r w:rsidR="004540EC">
        <w:rPr>
          <w:rFonts w:ascii="仿宋" w:eastAsia="仿宋" w:hAnsi="仿宋" w:hint="eastAsia"/>
          <w:color w:val="000000"/>
          <w:sz w:val="32"/>
          <w:szCs w:val="32"/>
        </w:rPr>
        <w:t>9</w:t>
      </w:r>
      <w:r>
        <w:rPr>
          <w:rFonts w:ascii="仿宋" w:eastAsia="仿宋" w:hAnsi="仿宋"/>
          <w:color w:val="000000"/>
          <w:sz w:val="32"/>
          <w:szCs w:val="32"/>
        </w:rPr>
        <w:t>%</w:t>
      </w:r>
      <w:r>
        <w:rPr>
          <w:rFonts w:ascii="仿宋" w:eastAsia="仿宋" w:hAnsi="仿宋" w:hint="eastAsia"/>
          <w:color w:val="000000"/>
          <w:sz w:val="32"/>
          <w:szCs w:val="32"/>
        </w:rPr>
        <w:t>。主要变动原因是</w:t>
      </w:r>
      <w:r w:rsidR="00254A52">
        <w:rPr>
          <w:rFonts w:ascii="仿宋" w:eastAsia="仿宋" w:hAnsi="仿宋" w:hint="eastAsia"/>
          <w:color w:val="000000"/>
          <w:sz w:val="32"/>
          <w:szCs w:val="32"/>
        </w:rPr>
        <w:t>有2018年项目经费结转到2019支出</w:t>
      </w:r>
      <w:r>
        <w:rPr>
          <w:rFonts w:ascii="仿宋" w:eastAsia="仿宋" w:hAnsi="仿宋" w:hint="eastAsia"/>
          <w:color w:val="000000"/>
          <w:sz w:val="32"/>
          <w:szCs w:val="32"/>
        </w:rPr>
        <w:t>。</w:t>
      </w:r>
    </w:p>
    <w:p w:rsidR="00595DA8" w:rsidRDefault="00595DA8">
      <w:pPr>
        <w:spacing w:line="600" w:lineRule="exact"/>
        <w:ind w:firstLineChars="200" w:firstLine="640"/>
        <w:rPr>
          <w:rFonts w:ascii="仿宋" w:eastAsia="仿宋" w:hAnsi="仿宋"/>
          <w:color w:val="000000" w:themeColor="text1"/>
          <w:sz w:val="32"/>
          <w:szCs w:val="32"/>
        </w:rPr>
      </w:pPr>
    </w:p>
    <w:p w:rsidR="0062412C" w:rsidRDefault="00AE7C0E">
      <w:pPr>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3915641" cy="2542309"/>
            <wp:effectExtent l="19050" t="0" r="27709"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7C0E" w:rsidRDefault="00AE7C0E" w:rsidP="0062654C">
      <w:pPr>
        <w:spacing w:line="600" w:lineRule="exact"/>
        <w:outlineLvl w:val="2"/>
        <w:rPr>
          <w:rFonts w:ascii="仿宋" w:eastAsia="仿宋" w:hAnsi="仿宋"/>
          <w:b/>
          <w:color w:val="000000"/>
          <w:sz w:val="32"/>
          <w:szCs w:val="32"/>
        </w:rPr>
      </w:pPr>
      <w:bookmarkStart w:id="35" w:name="_Toc15377211"/>
    </w:p>
    <w:p w:rsidR="0062412C" w:rsidRDefault="0031061A" w:rsidP="0062654C">
      <w:pPr>
        <w:spacing w:line="600" w:lineRule="exact"/>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35"/>
    </w:p>
    <w:p w:rsidR="0062412C" w:rsidRDefault="0031061A">
      <w:pPr>
        <w:spacing w:line="600" w:lineRule="exact"/>
        <w:ind w:firstLine="640"/>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9年一般公共预算财政拨款支出</w:t>
      </w:r>
      <w:r w:rsidR="00AE2B22">
        <w:rPr>
          <w:rFonts w:ascii="仿宋" w:eastAsia="仿宋" w:hAnsi="仿宋" w:hint="eastAsia"/>
          <w:sz w:val="32"/>
          <w:szCs w:val="32"/>
        </w:rPr>
        <w:t>1</w:t>
      </w:r>
      <w:r w:rsidR="00220F36">
        <w:rPr>
          <w:rFonts w:ascii="仿宋" w:eastAsia="仿宋" w:hAnsi="仿宋" w:hint="eastAsia"/>
          <w:sz w:val="32"/>
          <w:szCs w:val="32"/>
        </w:rPr>
        <w:t>28.70</w:t>
      </w:r>
      <w:r>
        <w:rPr>
          <w:rFonts w:ascii="仿宋" w:eastAsia="仿宋" w:hAnsi="仿宋" w:hint="eastAsia"/>
          <w:sz w:val="32"/>
          <w:szCs w:val="32"/>
        </w:rPr>
        <w:t>万元，主要用于以下方面</w:t>
      </w:r>
      <w:r>
        <w:rPr>
          <w:rFonts w:ascii="仿宋" w:eastAsia="仿宋" w:hAnsi="仿宋"/>
          <w:sz w:val="32"/>
          <w:szCs w:val="32"/>
        </w:rPr>
        <w:t>:</w:t>
      </w:r>
    </w:p>
    <w:p w:rsidR="0062412C" w:rsidRDefault="0031061A">
      <w:pPr>
        <w:spacing w:line="600" w:lineRule="exact"/>
        <w:ind w:firstLine="640"/>
        <w:rPr>
          <w:rFonts w:ascii="仿宋" w:eastAsia="仿宋" w:hAnsi="仿宋"/>
          <w:sz w:val="32"/>
          <w:szCs w:val="32"/>
        </w:rPr>
      </w:pPr>
      <w:r>
        <w:rPr>
          <w:rFonts w:ascii="仿宋" w:eastAsia="仿宋" w:hAnsi="仿宋" w:hint="eastAsia"/>
          <w:b/>
          <w:sz w:val="32"/>
          <w:szCs w:val="32"/>
        </w:rPr>
        <w:t>一般公共服务（类）</w:t>
      </w:r>
      <w:r>
        <w:rPr>
          <w:rFonts w:ascii="仿宋" w:eastAsia="仿宋" w:hAnsi="仿宋" w:hint="eastAsia"/>
          <w:sz w:val="32"/>
          <w:szCs w:val="32"/>
        </w:rPr>
        <w:t>支出0万元，占0</w:t>
      </w:r>
      <w:r>
        <w:rPr>
          <w:rFonts w:ascii="仿宋" w:eastAsia="仿宋" w:hAnsi="仿宋"/>
          <w:sz w:val="32"/>
          <w:szCs w:val="32"/>
        </w:rPr>
        <w:t>%</w:t>
      </w:r>
      <w:r>
        <w:rPr>
          <w:rFonts w:ascii="仿宋" w:eastAsia="仿宋" w:hAnsi="仿宋" w:hint="eastAsia"/>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sz w:val="32"/>
          <w:szCs w:val="32"/>
        </w:rPr>
        <w:t>教</w:t>
      </w:r>
      <w:r>
        <w:rPr>
          <w:rFonts w:ascii="仿宋" w:eastAsia="仿宋" w:hAnsi="仿宋" w:hint="eastAsia"/>
          <w:b/>
          <w:color w:val="000000" w:themeColor="text1"/>
          <w:sz w:val="32"/>
          <w:szCs w:val="32"/>
        </w:rPr>
        <w:t>育支出（类）</w:t>
      </w:r>
      <w:r>
        <w:rPr>
          <w:rFonts w:ascii="仿宋" w:eastAsia="仿宋" w:hAnsi="仿宋" w:hint="eastAsia"/>
          <w:color w:val="000000" w:themeColor="text1"/>
          <w:sz w:val="32"/>
          <w:szCs w:val="32"/>
        </w:rPr>
        <w:t>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t>文化旅游体育与传媒（类）支出0万元，占0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lastRenderedPageBreak/>
        <w:t>卫生健康支出</w:t>
      </w:r>
      <w:r w:rsidR="00220F36">
        <w:rPr>
          <w:rFonts w:ascii="仿宋" w:eastAsia="仿宋" w:hAnsi="仿宋" w:hint="eastAsia"/>
          <w:color w:val="000000" w:themeColor="text1"/>
          <w:sz w:val="32"/>
          <w:szCs w:val="32"/>
        </w:rPr>
        <w:t>127.44</w:t>
      </w:r>
      <w:r>
        <w:rPr>
          <w:rFonts w:ascii="仿宋" w:eastAsia="仿宋" w:hAnsi="仿宋" w:hint="eastAsia"/>
          <w:color w:val="000000" w:themeColor="text1"/>
          <w:sz w:val="32"/>
          <w:szCs w:val="32"/>
        </w:rPr>
        <w:t>万元，占一般公共预算财政拨款支出的9</w:t>
      </w:r>
      <w:r w:rsidR="00220F36">
        <w:rPr>
          <w:rFonts w:ascii="仿宋" w:eastAsia="仿宋" w:hAnsi="仿宋" w:hint="eastAsia"/>
          <w:color w:val="000000" w:themeColor="text1"/>
          <w:sz w:val="32"/>
          <w:szCs w:val="32"/>
        </w:rPr>
        <w:t>9</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2100302乡镇卫生院支出</w:t>
      </w:r>
      <w:r w:rsidR="00AE2B22">
        <w:rPr>
          <w:rFonts w:ascii="仿宋" w:eastAsia="仿宋" w:hAnsi="仿宋" w:hint="eastAsia"/>
          <w:color w:val="000000" w:themeColor="text1"/>
          <w:sz w:val="32"/>
          <w:szCs w:val="32"/>
        </w:rPr>
        <w:t>13.57</w:t>
      </w:r>
      <w:r>
        <w:rPr>
          <w:rFonts w:ascii="仿宋" w:eastAsia="仿宋" w:hAnsi="仿宋" w:hint="eastAsia"/>
          <w:color w:val="000000" w:themeColor="text1"/>
          <w:sz w:val="32"/>
          <w:szCs w:val="32"/>
        </w:rPr>
        <w:t>万元，占</w:t>
      </w:r>
      <w:r w:rsidR="00AE2B22">
        <w:rPr>
          <w:rFonts w:ascii="仿宋" w:eastAsia="仿宋" w:hAnsi="仿宋" w:hint="eastAsia"/>
          <w:color w:val="000000" w:themeColor="text1"/>
          <w:sz w:val="32"/>
          <w:szCs w:val="32"/>
        </w:rPr>
        <w:t>10</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2100399其他基层医疗卫生机构支出</w:t>
      </w:r>
      <w:r w:rsidR="00AE2B22">
        <w:rPr>
          <w:rFonts w:ascii="仿宋" w:eastAsia="仿宋" w:hAnsi="仿宋" w:hint="eastAsia"/>
          <w:color w:val="000000" w:themeColor="text1"/>
          <w:sz w:val="32"/>
          <w:szCs w:val="32"/>
        </w:rPr>
        <w:t>22.74</w:t>
      </w:r>
      <w:r>
        <w:rPr>
          <w:rFonts w:ascii="仿宋" w:eastAsia="仿宋" w:hAnsi="仿宋" w:hint="eastAsia"/>
          <w:color w:val="000000" w:themeColor="text1"/>
          <w:sz w:val="32"/>
          <w:szCs w:val="32"/>
        </w:rPr>
        <w:t>万元，占</w:t>
      </w:r>
      <w:r w:rsidR="00AE2B22">
        <w:rPr>
          <w:rFonts w:ascii="仿宋" w:eastAsia="仿宋" w:hAnsi="仿宋" w:hint="eastAsia"/>
          <w:color w:val="000000" w:themeColor="text1"/>
          <w:sz w:val="32"/>
          <w:szCs w:val="32"/>
        </w:rPr>
        <w:t>1</w:t>
      </w:r>
      <w:r w:rsidR="0099533B">
        <w:rPr>
          <w:rFonts w:ascii="仿宋" w:eastAsia="仿宋" w:hAnsi="仿宋" w:hint="eastAsia"/>
          <w:color w:val="000000" w:themeColor="text1"/>
          <w:sz w:val="32"/>
          <w:szCs w:val="32"/>
        </w:rPr>
        <w:t>8</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2100408基本公共卫生服务支出</w:t>
      </w:r>
      <w:r w:rsidR="00220F36">
        <w:rPr>
          <w:rFonts w:ascii="仿宋" w:eastAsia="仿宋" w:hAnsi="仿宋" w:hint="eastAsia"/>
          <w:color w:val="000000" w:themeColor="text1"/>
          <w:sz w:val="32"/>
          <w:szCs w:val="32"/>
        </w:rPr>
        <w:t>90.44</w:t>
      </w:r>
      <w:r>
        <w:rPr>
          <w:rFonts w:ascii="仿宋" w:eastAsia="仿宋" w:hAnsi="仿宋" w:hint="eastAsia"/>
          <w:color w:val="000000" w:themeColor="text1"/>
          <w:sz w:val="32"/>
          <w:szCs w:val="32"/>
        </w:rPr>
        <w:t>万元，占</w:t>
      </w:r>
      <w:r w:rsidR="00220F36">
        <w:rPr>
          <w:rFonts w:ascii="仿宋" w:eastAsia="仿宋" w:hAnsi="仿宋" w:hint="eastAsia"/>
          <w:color w:val="000000" w:themeColor="text1"/>
          <w:sz w:val="32"/>
          <w:szCs w:val="32"/>
        </w:rPr>
        <w:t>7</w:t>
      </w:r>
      <w:r w:rsidR="0099533B">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2101102事业单位医疗支出</w:t>
      </w:r>
      <w:r w:rsidR="00220F36">
        <w:rPr>
          <w:rFonts w:ascii="仿宋" w:eastAsia="仿宋" w:hAnsi="仿宋" w:hint="eastAsia"/>
          <w:color w:val="000000" w:themeColor="text1"/>
          <w:sz w:val="32"/>
          <w:szCs w:val="32"/>
        </w:rPr>
        <w:t>0.69</w:t>
      </w:r>
      <w:r>
        <w:rPr>
          <w:rFonts w:ascii="仿宋" w:eastAsia="仿宋" w:hAnsi="仿宋" w:hint="eastAsia"/>
          <w:color w:val="000000" w:themeColor="text1"/>
          <w:sz w:val="32"/>
          <w:szCs w:val="32"/>
        </w:rPr>
        <w:t>万元，占1%</w:t>
      </w:r>
    </w:p>
    <w:p w:rsidR="0062412C" w:rsidRDefault="0031061A">
      <w:pPr>
        <w:spacing w:line="600" w:lineRule="exact"/>
        <w:ind w:firstLineChars="200" w:firstLine="643"/>
        <w:rPr>
          <w:rFonts w:ascii="仿宋" w:eastAsia="仿宋" w:hAnsi="仿宋"/>
          <w:color w:val="000000"/>
          <w:sz w:val="32"/>
          <w:szCs w:val="32"/>
        </w:rPr>
      </w:pPr>
      <w:r>
        <w:rPr>
          <w:rFonts w:ascii="仿宋" w:eastAsia="仿宋" w:hAnsi="仿宋" w:hint="eastAsia"/>
          <w:b/>
          <w:bCs/>
          <w:color w:val="000000" w:themeColor="text1"/>
          <w:sz w:val="32"/>
          <w:szCs w:val="32"/>
        </w:rPr>
        <w:t>住房保障支出</w:t>
      </w:r>
      <w:r w:rsidR="00220F36">
        <w:rPr>
          <w:rFonts w:ascii="仿宋" w:eastAsia="仿宋" w:hAnsi="仿宋" w:hint="eastAsia"/>
          <w:color w:val="000000" w:themeColor="text1"/>
          <w:sz w:val="32"/>
          <w:szCs w:val="32"/>
        </w:rPr>
        <w:t>1.26</w:t>
      </w:r>
      <w:r>
        <w:rPr>
          <w:rFonts w:ascii="仿宋" w:eastAsia="仿宋" w:hAnsi="仿宋" w:hint="eastAsia"/>
          <w:color w:val="000000" w:themeColor="text1"/>
          <w:sz w:val="32"/>
          <w:szCs w:val="32"/>
        </w:rPr>
        <w:t>万元，占</w:t>
      </w:r>
      <w:r w:rsidR="00220F36">
        <w:rPr>
          <w:rFonts w:ascii="仿宋" w:eastAsia="仿宋" w:hAnsi="仿宋" w:hint="eastAsia"/>
          <w:color w:val="000000" w:themeColor="text1"/>
          <w:sz w:val="32"/>
          <w:szCs w:val="32"/>
        </w:rPr>
        <w:t>1</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62412C">
      <w:pPr>
        <w:spacing w:line="600" w:lineRule="exact"/>
        <w:ind w:firstLineChars="200" w:firstLine="640"/>
        <w:rPr>
          <w:rFonts w:ascii="仿宋" w:eastAsia="仿宋" w:hAnsi="仿宋"/>
          <w:color w:val="000000"/>
          <w:sz w:val="32"/>
          <w:szCs w:val="32"/>
        </w:rPr>
      </w:pPr>
    </w:p>
    <w:p w:rsidR="0062412C" w:rsidRDefault="00220F36">
      <w:pPr>
        <w:ind w:firstLine="640"/>
        <w:jc w:val="center"/>
        <w:rPr>
          <w:rFonts w:ascii="仿宋" w:eastAsia="仿宋" w:hAnsi="仿宋"/>
          <w:color w:val="000000"/>
          <w:sz w:val="32"/>
          <w:szCs w:val="32"/>
        </w:rPr>
      </w:pPr>
      <w:r>
        <w:rPr>
          <w:rFonts w:ascii="仿宋" w:eastAsia="仿宋" w:hAnsi="仿宋"/>
          <w:noProof/>
          <w:color w:val="000000"/>
          <w:sz w:val="32"/>
          <w:szCs w:val="32"/>
        </w:rPr>
        <w:drawing>
          <wp:inline distT="0" distB="0" distL="0" distR="0">
            <wp:extent cx="4161905" cy="2521527"/>
            <wp:effectExtent l="19050" t="0" r="1004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412C" w:rsidRDefault="0062412C">
      <w:pPr>
        <w:spacing w:line="600" w:lineRule="exact"/>
        <w:rPr>
          <w:rFonts w:ascii="仿宋" w:eastAsia="仿宋" w:hAnsi="仿宋"/>
          <w:color w:val="000000"/>
          <w:sz w:val="32"/>
          <w:szCs w:val="32"/>
        </w:rPr>
      </w:pPr>
    </w:p>
    <w:p w:rsidR="0062412C" w:rsidRDefault="0031061A">
      <w:pPr>
        <w:spacing w:line="600" w:lineRule="exact"/>
        <w:ind w:firstLineChars="200" w:firstLine="643"/>
        <w:outlineLvl w:val="2"/>
        <w:rPr>
          <w:rFonts w:ascii="仿宋" w:eastAsia="仿宋" w:hAnsi="仿宋"/>
          <w:b/>
          <w:sz w:val="32"/>
          <w:szCs w:val="32"/>
        </w:rPr>
      </w:pPr>
      <w:bookmarkStart w:id="36" w:name="_Toc15377212"/>
      <w:r>
        <w:rPr>
          <w:rFonts w:ascii="仿宋" w:eastAsia="仿宋" w:hAnsi="仿宋" w:hint="eastAsia"/>
          <w:b/>
          <w:sz w:val="32"/>
          <w:szCs w:val="32"/>
        </w:rPr>
        <w:t>（三）一般公共预算财政拨款支出决算具体情况</w:t>
      </w:r>
      <w:bookmarkEnd w:id="36"/>
    </w:p>
    <w:p w:rsidR="0062412C" w:rsidRDefault="0031061A">
      <w:pPr>
        <w:spacing w:line="600" w:lineRule="exact"/>
        <w:ind w:firstLineChars="200" w:firstLine="643"/>
        <w:outlineLvl w:val="2"/>
        <w:rPr>
          <w:rFonts w:ascii="仿宋" w:eastAsia="仿宋" w:hAnsi="仿宋"/>
          <w:color w:val="FF0000"/>
          <w:sz w:val="32"/>
          <w:szCs w:val="32"/>
        </w:rPr>
      </w:pPr>
      <w:bookmarkStart w:id="37" w:name="_Toc15377213"/>
      <w:bookmarkStart w:id="38" w:name="_Toc15377444"/>
      <w:bookmarkStart w:id="39" w:name="_Toc15378460"/>
      <w:r>
        <w:rPr>
          <w:rFonts w:ascii="仿宋" w:eastAsia="仿宋" w:hAnsi="仿宋" w:hint="eastAsia"/>
          <w:b/>
          <w:color w:val="000000" w:themeColor="text1"/>
          <w:sz w:val="32"/>
          <w:szCs w:val="32"/>
        </w:rPr>
        <w:t>2019年一般公共预算支出决算数为</w:t>
      </w:r>
      <w:r w:rsidR="00635F18">
        <w:rPr>
          <w:rFonts w:ascii="仿宋" w:eastAsia="仿宋" w:hAnsi="仿宋" w:hint="eastAsia"/>
          <w:b/>
          <w:color w:val="000000" w:themeColor="text1"/>
          <w:sz w:val="32"/>
          <w:szCs w:val="32"/>
        </w:rPr>
        <w:t>128.70</w:t>
      </w:r>
      <w:r>
        <w:rPr>
          <w:rFonts w:ascii="仿宋" w:eastAsia="仿宋" w:hAnsi="仿宋" w:hint="eastAsia"/>
          <w:b/>
          <w:color w:val="000000" w:themeColor="text1"/>
          <w:sz w:val="32"/>
          <w:szCs w:val="32"/>
        </w:rPr>
        <w:t>万元</w:t>
      </w:r>
      <w:r>
        <w:rPr>
          <w:rFonts w:ascii="仿宋" w:eastAsia="仿宋" w:hAnsi="仿宋" w:hint="eastAsia"/>
          <w:color w:val="000000" w:themeColor="text1"/>
          <w:sz w:val="32"/>
          <w:szCs w:val="32"/>
        </w:rPr>
        <w:t>，</w:t>
      </w:r>
      <w:r>
        <w:rPr>
          <w:rStyle w:val="a8"/>
          <w:rFonts w:ascii="仿宋" w:eastAsia="仿宋" w:hAnsi="仿宋" w:hint="eastAsia"/>
          <w:bCs/>
          <w:color w:val="000000" w:themeColor="text1"/>
          <w:sz w:val="32"/>
          <w:szCs w:val="32"/>
        </w:rPr>
        <w:t>完成</w:t>
      </w:r>
      <w:r>
        <w:rPr>
          <w:rStyle w:val="a8"/>
          <w:rFonts w:ascii="仿宋" w:eastAsia="仿宋" w:hAnsi="仿宋" w:hint="eastAsia"/>
          <w:bCs/>
          <w:color w:val="000000"/>
          <w:sz w:val="32"/>
          <w:szCs w:val="32"/>
        </w:rPr>
        <w:t>预算8</w:t>
      </w:r>
      <w:r w:rsidR="00635F18">
        <w:rPr>
          <w:rStyle w:val="a8"/>
          <w:rFonts w:ascii="仿宋" w:eastAsia="仿宋" w:hAnsi="仿宋" w:hint="eastAsia"/>
          <w:bCs/>
          <w:color w:val="000000"/>
          <w:sz w:val="32"/>
          <w:szCs w:val="32"/>
        </w:rPr>
        <w:t>8</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。其中：</w:t>
      </w:r>
      <w:bookmarkEnd w:id="37"/>
      <w:bookmarkEnd w:id="38"/>
      <w:bookmarkEnd w:id="39"/>
    </w:p>
    <w:p w:rsidR="0062412C" w:rsidRDefault="0031061A">
      <w:pPr>
        <w:numPr>
          <w:ilvl w:val="0"/>
          <w:numId w:val="2"/>
        </w:num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一般公共服务（类）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p>
    <w:p w:rsidR="0062412C" w:rsidRDefault="0031061A">
      <w:pPr>
        <w:numPr>
          <w:ilvl w:val="0"/>
          <w:numId w:val="2"/>
        </w:num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t>教育（类）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numPr>
          <w:ilvl w:val="0"/>
          <w:numId w:val="2"/>
        </w:num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t>科学技术（类）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numPr>
          <w:ilvl w:val="0"/>
          <w:numId w:val="2"/>
        </w:num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lastRenderedPageBreak/>
        <w:t>文化旅游体育与传媒（类）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numPr>
          <w:ilvl w:val="0"/>
          <w:numId w:val="2"/>
        </w:num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社会保障和就业（类）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0</w:t>
      </w:r>
    </w:p>
    <w:p w:rsidR="0062412C" w:rsidRDefault="0031061A">
      <w:pPr>
        <w:numPr>
          <w:ilvl w:val="0"/>
          <w:numId w:val="2"/>
        </w:numPr>
        <w:spacing w:line="600" w:lineRule="exact"/>
        <w:ind w:firstLineChars="200" w:firstLine="643"/>
        <w:rPr>
          <w:rStyle w:val="a8"/>
          <w:rFonts w:ascii="仿宋" w:eastAsia="仿宋" w:hAnsi="仿宋"/>
          <w:b w:val="0"/>
          <w:bCs/>
          <w:color w:val="C0504D" w:themeColor="accent2"/>
          <w:sz w:val="32"/>
          <w:szCs w:val="32"/>
        </w:rPr>
      </w:pPr>
      <w:r>
        <w:rPr>
          <w:rFonts w:ascii="仿宋" w:eastAsia="仿宋" w:hAnsi="仿宋" w:hint="eastAsia"/>
          <w:b/>
          <w:bCs/>
          <w:color w:val="000000" w:themeColor="text1"/>
          <w:sz w:val="32"/>
          <w:szCs w:val="32"/>
        </w:rPr>
        <w:t>卫生健康</w:t>
      </w:r>
      <w:r>
        <w:rPr>
          <w:rStyle w:val="a8"/>
          <w:rFonts w:ascii="仿宋" w:eastAsia="仿宋" w:hAnsi="仿宋" w:hint="eastAsia"/>
          <w:bCs/>
          <w:color w:val="000000"/>
          <w:sz w:val="32"/>
          <w:szCs w:val="32"/>
        </w:rPr>
        <w:t>（类）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sidR="00635F18">
        <w:rPr>
          <w:rStyle w:val="a8"/>
          <w:rFonts w:ascii="仿宋" w:eastAsia="仿宋" w:hAnsi="仿宋" w:hint="eastAsia"/>
          <w:b w:val="0"/>
          <w:bCs/>
          <w:color w:val="000000"/>
          <w:sz w:val="32"/>
          <w:szCs w:val="32"/>
        </w:rPr>
        <w:t>12</w:t>
      </w:r>
      <w:r w:rsidR="0099533B">
        <w:rPr>
          <w:rStyle w:val="a8"/>
          <w:rFonts w:ascii="仿宋" w:eastAsia="仿宋" w:hAnsi="仿宋" w:hint="eastAsia"/>
          <w:b w:val="0"/>
          <w:bCs/>
          <w:color w:val="000000"/>
          <w:sz w:val="32"/>
          <w:szCs w:val="32"/>
        </w:rPr>
        <w:t>7.44</w:t>
      </w:r>
      <w:r>
        <w:rPr>
          <w:rStyle w:val="a8"/>
          <w:rFonts w:ascii="仿宋" w:eastAsia="仿宋" w:hAnsi="仿宋" w:hint="eastAsia"/>
          <w:b w:val="0"/>
          <w:bCs/>
          <w:color w:val="000000"/>
          <w:sz w:val="32"/>
          <w:szCs w:val="32"/>
        </w:rPr>
        <w:t>万元，完成预算</w:t>
      </w:r>
      <w:r w:rsidR="00635F18">
        <w:rPr>
          <w:rStyle w:val="a8"/>
          <w:rFonts w:ascii="仿宋" w:eastAsia="仿宋" w:hAnsi="仿宋" w:hint="eastAsia"/>
          <w:b w:val="0"/>
          <w:bCs/>
          <w:color w:val="000000"/>
          <w:sz w:val="32"/>
          <w:szCs w:val="32"/>
        </w:rPr>
        <w:t>8</w:t>
      </w:r>
      <w:r w:rsidR="0099533B">
        <w:rPr>
          <w:rStyle w:val="a8"/>
          <w:rFonts w:ascii="仿宋" w:eastAsia="仿宋" w:hAnsi="仿宋" w:hint="eastAsia"/>
          <w:b w:val="0"/>
          <w:bCs/>
          <w:color w:val="000000"/>
          <w:sz w:val="32"/>
          <w:szCs w:val="32"/>
        </w:rPr>
        <w:t>7</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，决算数小于预算数的主要原因是当年有结转资金跨年使用。</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2100302  乡镇卫生院支出决算为</w:t>
      </w:r>
      <w:r w:rsidR="00635F18">
        <w:rPr>
          <w:rStyle w:val="a8"/>
          <w:rFonts w:ascii="仿宋" w:eastAsia="仿宋" w:hAnsi="仿宋" w:hint="eastAsia"/>
          <w:b w:val="0"/>
          <w:bCs/>
          <w:color w:val="000000"/>
          <w:sz w:val="32"/>
          <w:szCs w:val="32"/>
        </w:rPr>
        <w:t>13.57</w:t>
      </w:r>
      <w:r>
        <w:rPr>
          <w:rStyle w:val="a8"/>
          <w:rFonts w:ascii="仿宋" w:eastAsia="仿宋" w:hAnsi="仿宋" w:hint="eastAsia"/>
          <w:b w:val="0"/>
          <w:bCs/>
          <w:color w:val="000000"/>
          <w:sz w:val="32"/>
          <w:szCs w:val="32"/>
        </w:rPr>
        <w:t>万元，完成预算100%。</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2100399  其他基层医疗卫生机构支出决算数为</w:t>
      </w:r>
      <w:r w:rsidR="00313EFD">
        <w:rPr>
          <w:rStyle w:val="a8"/>
          <w:rFonts w:ascii="仿宋" w:eastAsia="仿宋" w:hAnsi="仿宋" w:hint="eastAsia"/>
          <w:b w:val="0"/>
          <w:bCs/>
          <w:color w:val="000000"/>
          <w:sz w:val="32"/>
          <w:szCs w:val="32"/>
        </w:rPr>
        <w:t>22.74</w:t>
      </w:r>
      <w:r>
        <w:rPr>
          <w:rStyle w:val="a8"/>
          <w:rFonts w:ascii="仿宋" w:eastAsia="仿宋" w:hAnsi="仿宋" w:hint="eastAsia"/>
          <w:b w:val="0"/>
          <w:bCs/>
          <w:color w:val="000000"/>
          <w:sz w:val="32"/>
          <w:szCs w:val="32"/>
        </w:rPr>
        <w:t>万元，完成预算</w:t>
      </w:r>
      <w:r w:rsidR="00313EFD">
        <w:rPr>
          <w:rStyle w:val="a8"/>
          <w:rFonts w:ascii="仿宋" w:eastAsia="仿宋" w:hAnsi="仿宋" w:hint="eastAsia"/>
          <w:b w:val="0"/>
          <w:bCs/>
          <w:color w:val="000000"/>
          <w:sz w:val="32"/>
          <w:szCs w:val="32"/>
        </w:rPr>
        <w:t>100</w:t>
      </w:r>
      <w:r>
        <w:rPr>
          <w:rStyle w:val="a8"/>
          <w:rFonts w:ascii="仿宋" w:eastAsia="仿宋" w:hAnsi="仿宋" w:hint="eastAsia"/>
          <w:b w:val="0"/>
          <w:bCs/>
          <w:color w:val="000000"/>
          <w:sz w:val="32"/>
          <w:szCs w:val="32"/>
        </w:rPr>
        <w:t>%。</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2100408  基本公共卫生服务决算数为</w:t>
      </w:r>
      <w:r w:rsidR="00313EFD">
        <w:rPr>
          <w:rStyle w:val="a8"/>
          <w:rFonts w:ascii="仿宋" w:eastAsia="仿宋" w:hAnsi="仿宋" w:hint="eastAsia"/>
          <w:b w:val="0"/>
          <w:bCs/>
          <w:color w:val="000000"/>
          <w:sz w:val="32"/>
          <w:szCs w:val="32"/>
        </w:rPr>
        <w:t>90.44</w:t>
      </w:r>
      <w:r>
        <w:rPr>
          <w:rStyle w:val="a8"/>
          <w:rFonts w:ascii="仿宋" w:eastAsia="仿宋" w:hAnsi="仿宋" w:hint="eastAsia"/>
          <w:b w:val="0"/>
          <w:bCs/>
          <w:color w:val="000000"/>
          <w:sz w:val="32"/>
          <w:szCs w:val="32"/>
        </w:rPr>
        <w:t>万元，完成预算</w:t>
      </w:r>
      <w:r w:rsidR="00A47903">
        <w:rPr>
          <w:rStyle w:val="a8"/>
          <w:rFonts w:ascii="仿宋" w:eastAsia="仿宋" w:hAnsi="仿宋" w:hint="eastAsia"/>
          <w:b w:val="0"/>
          <w:bCs/>
          <w:color w:val="000000"/>
          <w:sz w:val="32"/>
          <w:szCs w:val="32"/>
        </w:rPr>
        <w:t>84</w:t>
      </w:r>
      <w:r>
        <w:rPr>
          <w:rStyle w:val="a8"/>
          <w:rFonts w:ascii="仿宋" w:eastAsia="仿宋" w:hAnsi="仿宋" w:hint="eastAsia"/>
          <w:b w:val="0"/>
          <w:bCs/>
          <w:color w:val="000000"/>
          <w:sz w:val="32"/>
          <w:szCs w:val="32"/>
        </w:rPr>
        <w:t>%</w:t>
      </w:r>
      <w:r w:rsidR="00313EFD">
        <w:rPr>
          <w:rStyle w:val="a8"/>
          <w:rFonts w:ascii="仿宋" w:eastAsia="仿宋" w:hAnsi="仿宋" w:hint="eastAsia"/>
          <w:b w:val="0"/>
          <w:bCs/>
          <w:color w:val="000000"/>
          <w:sz w:val="32"/>
          <w:szCs w:val="32"/>
        </w:rPr>
        <w:t>，结转资金跨年使用</w:t>
      </w:r>
      <w:r>
        <w:rPr>
          <w:rStyle w:val="a8"/>
          <w:rFonts w:ascii="仿宋" w:eastAsia="仿宋" w:hAnsi="仿宋" w:hint="eastAsia"/>
          <w:b w:val="0"/>
          <w:bCs/>
          <w:color w:val="000000"/>
          <w:sz w:val="32"/>
          <w:szCs w:val="32"/>
        </w:rPr>
        <w:t>。</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2101102  事业单位医疗决算数为</w:t>
      </w:r>
      <w:r w:rsidR="00313EFD">
        <w:rPr>
          <w:rStyle w:val="a8"/>
          <w:rFonts w:ascii="仿宋" w:eastAsia="仿宋" w:hAnsi="仿宋" w:hint="eastAsia"/>
          <w:b w:val="0"/>
          <w:bCs/>
          <w:color w:val="000000"/>
          <w:sz w:val="32"/>
          <w:szCs w:val="32"/>
        </w:rPr>
        <w:t>0.69</w:t>
      </w:r>
      <w:r>
        <w:rPr>
          <w:rStyle w:val="a8"/>
          <w:rFonts w:ascii="仿宋" w:eastAsia="仿宋" w:hAnsi="仿宋" w:hint="eastAsia"/>
          <w:b w:val="0"/>
          <w:bCs/>
          <w:color w:val="000000"/>
          <w:sz w:val="32"/>
          <w:szCs w:val="32"/>
        </w:rPr>
        <w:t>万元，完成预算100%</w:t>
      </w:r>
    </w:p>
    <w:p w:rsidR="0062412C" w:rsidRDefault="0031061A">
      <w:pPr>
        <w:numPr>
          <w:ilvl w:val="0"/>
          <w:numId w:val="2"/>
        </w:numPr>
        <w:spacing w:line="600" w:lineRule="exact"/>
        <w:ind w:firstLineChars="200" w:firstLine="643"/>
        <w:rPr>
          <w:rFonts w:ascii="仿宋" w:eastAsia="仿宋" w:hAnsi="仿宋"/>
          <w:color w:val="000000"/>
          <w:sz w:val="32"/>
          <w:szCs w:val="32"/>
        </w:rPr>
      </w:pPr>
      <w:r>
        <w:rPr>
          <w:rFonts w:ascii="仿宋" w:eastAsia="仿宋" w:hAnsi="仿宋" w:hint="eastAsia"/>
          <w:b/>
          <w:bCs/>
          <w:color w:val="000000"/>
          <w:sz w:val="32"/>
          <w:szCs w:val="32"/>
        </w:rPr>
        <w:t>住房保障支出</w:t>
      </w:r>
      <w:r>
        <w:rPr>
          <w:rFonts w:ascii="仿宋" w:eastAsia="仿宋" w:hAnsi="仿宋" w:hint="eastAsia"/>
          <w:color w:val="000000"/>
          <w:sz w:val="32"/>
          <w:szCs w:val="32"/>
        </w:rPr>
        <w:t>：支出决算为</w:t>
      </w:r>
      <w:r w:rsidR="00313EFD">
        <w:rPr>
          <w:rFonts w:ascii="仿宋" w:eastAsia="仿宋" w:hAnsi="仿宋" w:hint="eastAsia"/>
          <w:color w:val="000000"/>
          <w:sz w:val="32"/>
          <w:szCs w:val="32"/>
        </w:rPr>
        <w:t>1.26</w:t>
      </w:r>
      <w:r>
        <w:rPr>
          <w:rFonts w:ascii="仿宋" w:eastAsia="仿宋" w:hAnsi="仿宋" w:hint="eastAsia"/>
          <w:color w:val="000000"/>
          <w:sz w:val="32"/>
          <w:szCs w:val="32"/>
        </w:rPr>
        <w:t>万元，完成预算100%。</w:t>
      </w:r>
    </w:p>
    <w:p w:rsidR="0062412C" w:rsidRDefault="0062412C">
      <w:pPr>
        <w:spacing w:line="600" w:lineRule="exact"/>
        <w:rPr>
          <w:rFonts w:ascii="仿宋" w:eastAsia="仿宋" w:hAnsi="仿宋"/>
          <w:b/>
          <w:color w:val="000000"/>
          <w:sz w:val="32"/>
          <w:szCs w:val="32"/>
        </w:rPr>
      </w:pPr>
    </w:p>
    <w:p w:rsidR="0062412C" w:rsidRDefault="0031061A">
      <w:pPr>
        <w:tabs>
          <w:tab w:val="right" w:pos="8306"/>
        </w:tabs>
        <w:spacing w:line="600" w:lineRule="exact"/>
        <w:ind w:firstLine="640"/>
        <w:outlineLvl w:val="1"/>
        <w:rPr>
          <w:rStyle w:val="2Char"/>
        </w:rPr>
      </w:pPr>
      <w:bookmarkStart w:id="40" w:name="_Toc15396608"/>
      <w:bookmarkStart w:id="41"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62412C" w:rsidRDefault="0031061A">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313EFD">
        <w:rPr>
          <w:rFonts w:ascii="仿宋" w:eastAsia="仿宋" w:hAnsi="仿宋" w:hint="eastAsia"/>
          <w:color w:val="000000"/>
          <w:sz w:val="32"/>
          <w:szCs w:val="32"/>
        </w:rPr>
        <w:t>15.52</w:t>
      </w:r>
      <w:r>
        <w:rPr>
          <w:rFonts w:ascii="仿宋" w:eastAsia="仿宋" w:hAnsi="仿宋" w:hint="eastAsia"/>
          <w:color w:val="000000"/>
          <w:sz w:val="32"/>
          <w:szCs w:val="32"/>
        </w:rPr>
        <w:t>万元，其中：人员经费</w:t>
      </w:r>
      <w:r w:rsidR="00313EFD">
        <w:rPr>
          <w:rFonts w:ascii="仿宋" w:eastAsia="仿宋" w:hAnsi="仿宋" w:hint="eastAsia"/>
          <w:color w:val="000000"/>
          <w:sz w:val="32"/>
          <w:szCs w:val="32"/>
        </w:rPr>
        <w:t>15.52</w:t>
      </w:r>
      <w:r w:rsidR="0099533B">
        <w:rPr>
          <w:rFonts w:ascii="仿宋" w:eastAsia="仿宋" w:hAnsi="仿宋" w:hint="eastAsia"/>
          <w:color w:val="000000"/>
          <w:sz w:val="32"/>
          <w:szCs w:val="32"/>
        </w:rPr>
        <w:t>万元，主要包括：基本工资、津贴补贴</w:t>
      </w:r>
      <w:r>
        <w:rPr>
          <w:rFonts w:ascii="仿宋" w:eastAsia="仿宋" w:hAnsi="仿宋" w:hint="eastAsia"/>
          <w:color w:val="000000"/>
          <w:sz w:val="32"/>
          <w:szCs w:val="32"/>
        </w:rPr>
        <w:t>、其他社会保障缴费、其他工资福利支出、</w:t>
      </w:r>
      <w:r w:rsidR="0099533B">
        <w:rPr>
          <w:rFonts w:ascii="仿宋" w:eastAsia="仿宋" w:hAnsi="仿宋" w:hint="eastAsia"/>
          <w:color w:val="000000"/>
          <w:sz w:val="32"/>
          <w:szCs w:val="32"/>
        </w:rPr>
        <w:t>住房公积金</w:t>
      </w:r>
      <w:r>
        <w:rPr>
          <w:rFonts w:ascii="仿宋" w:eastAsia="仿宋" w:hAnsi="仿宋" w:hint="eastAsia"/>
          <w:color w:val="000000"/>
          <w:sz w:val="32"/>
          <w:szCs w:val="32"/>
        </w:rPr>
        <w:t>。</w:t>
      </w:r>
      <w:r>
        <w:rPr>
          <w:rFonts w:ascii="仿宋" w:eastAsia="仿宋" w:hAnsi="仿宋"/>
          <w:color w:val="000000"/>
          <w:sz w:val="32"/>
          <w:szCs w:val="32"/>
        </w:rPr>
        <w:br/>
      </w:r>
      <w:r>
        <w:rPr>
          <w:rFonts w:ascii="仿宋" w:eastAsia="仿宋" w:hAnsi="仿宋" w:hint="eastAsia"/>
          <w:color w:val="000000"/>
          <w:sz w:val="32"/>
          <w:szCs w:val="32"/>
        </w:rPr>
        <w:t xml:space="preserve">　　日常公用经费0万元，主要包括：办公费、印刷费、咨</w:t>
      </w:r>
      <w:r>
        <w:rPr>
          <w:rFonts w:ascii="仿宋" w:eastAsia="仿宋" w:hAnsi="仿宋" w:hint="eastAsia"/>
          <w:color w:val="000000"/>
          <w:sz w:val="32"/>
          <w:szCs w:val="32"/>
        </w:rPr>
        <w:lastRenderedPageBreak/>
        <w:t>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62412C" w:rsidRDefault="0031061A">
      <w:pPr>
        <w:spacing w:line="600" w:lineRule="exact"/>
        <w:ind w:firstLine="640"/>
        <w:outlineLvl w:val="1"/>
        <w:rPr>
          <w:rStyle w:val="2Char"/>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62412C" w:rsidRDefault="0031061A">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62412C" w:rsidRDefault="0031061A">
      <w:pPr>
        <w:spacing w:line="600" w:lineRule="exact"/>
        <w:ind w:firstLine="640"/>
        <w:rPr>
          <w:rFonts w:ascii="仿宋" w:eastAsia="仿宋" w:hAnsi="仿宋"/>
          <w:b/>
          <w:color w:val="FF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w:t>
      </w:r>
      <w:r w:rsidR="00166E0A">
        <w:rPr>
          <w:rFonts w:ascii="仿宋" w:eastAsia="仿宋" w:hAnsi="仿宋" w:hint="eastAsia"/>
          <w:color w:val="000000"/>
          <w:sz w:val="32"/>
          <w:szCs w:val="32"/>
        </w:rPr>
        <w:t>0.87</w:t>
      </w:r>
      <w:r>
        <w:rPr>
          <w:rFonts w:ascii="仿宋" w:eastAsia="仿宋" w:hAnsi="仿宋" w:hint="eastAsia"/>
          <w:color w:val="000000"/>
          <w:sz w:val="32"/>
          <w:szCs w:val="32"/>
        </w:rPr>
        <w:t>万元，完成预算</w:t>
      </w:r>
      <w:r w:rsidR="00166E0A">
        <w:rPr>
          <w:rFonts w:ascii="仿宋" w:eastAsia="仿宋" w:hAnsi="仿宋" w:hint="eastAsia"/>
          <w:color w:val="000000"/>
          <w:sz w:val="32"/>
          <w:szCs w:val="32"/>
        </w:rPr>
        <w:t>87</w:t>
      </w:r>
      <w:r>
        <w:rPr>
          <w:rFonts w:ascii="仿宋" w:eastAsia="仿宋" w:hAnsi="仿宋"/>
          <w:color w:val="000000"/>
          <w:sz w:val="32"/>
          <w:szCs w:val="32"/>
        </w:rPr>
        <w:t>%</w:t>
      </w:r>
    </w:p>
    <w:p w:rsidR="0062412C" w:rsidRDefault="0031061A">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62412C" w:rsidRDefault="0031061A">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166E0A">
        <w:rPr>
          <w:rFonts w:ascii="仿宋" w:eastAsia="仿宋" w:hAnsi="仿宋" w:hint="eastAsia"/>
          <w:color w:val="000000"/>
          <w:sz w:val="32"/>
          <w:szCs w:val="32"/>
        </w:rPr>
        <w:t>0.87</w:t>
      </w:r>
      <w:r>
        <w:rPr>
          <w:rFonts w:ascii="仿宋" w:eastAsia="仿宋" w:hAnsi="仿宋" w:hint="eastAsia"/>
          <w:color w:val="000000"/>
          <w:sz w:val="32"/>
          <w:szCs w:val="32"/>
        </w:rPr>
        <w:t>万元，占0</w:t>
      </w:r>
      <w:r>
        <w:rPr>
          <w:rFonts w:ascii="仿宋" w:eastAsia="仿宋" w:hAnsi="仿宋"/>
          <w:color w:val="000000"/>
          <w:sz w:val="32"/>
          <w:szCs w:val="32"/>
        </w:rPr>
        <w:t>%</w:t>
      </w:r>
      <w:r>
        <w:rPr>
          <w:rFonts w:ascii="仿宋" w:eastAsia="仿宋" w:hAnsi="仿宋" w:hint="eastAsia"/>
          <w:color w:val="000000"/>
          <w:sz w:val="32"/>
          <w:szCs w:val="32"/>
        </w:rPr>
        <w:t>；公务接待费支出决算0万元，占0</w:t>
      </w:r>
      <w:r>
        <w:rPr>
          <w:rFonts w:ascii="仿宋" w:eastAsia="仿宋" w:hAnsi="仿宋"/>
          <w:color w:val="000000"/>
          <w:sz w:val="32"/>
          <w:szCs w:val="32"/>
        </w:rPr>
        <w:t>%</w:t>
      </w:r>
      <w:r>
        <w:rPr>
          <w:rFonts w:ascii="仿宋" w:eastAsia="仿宋" w:hAnsi="仿宋" w:hint="eastAsia"/>
          <w:color w:val="000000"/>
          <w:sz w:val="32"/>
          <w:szCs w:val="32"/>
        </w:rPr>
        <w:t>。具体情况如下：（图7：“三公”经费财政拨款支出结构）（饼状图）</w:t>
      </w:r>
    </w:p>
    <w:p w:rsidR="0062412C" w:rsidRDefault="0031061A">
      <w:pPr>
        <w:numPr>
          <w:ilvl w:val="0"/>
          <w:numId w:val="3"/>
        </w:num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全年安排因公出国（境）团组0次，出国（境）0人。因公出国（境）支出决算比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p>
    <w:p w:rsidR="0062412C" w:rsidRDefault="0031061A">
      <w:pPr>
        <w:numPr>
          <w:ilvl w:val="0"/>
          <w:numId w:val="4"/>
        </w:numPr>
        <w:spacing w:line="60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公务用车购置及运行维护费支出</w:t>
      </w:r>
      <w:r w:rsidR="00166E0A">
        <w:rPr>
          <w:rFonts w:ascii="仿宋_GB2312" w:eastAsia="仿宋_GB2312" w:hint="eastAsia"/>
          <w:color w:val="000000"/>
          <w:sz w:val="32"/>
          <w:szCs w:val="32"/>
        </w:rPr>
        <w:t>0.87</w:t>
      </w:r>
      <w:r>
        <w:rPr>
          <w:rFonts w:ascii="仿宋_GB2312" w:eastAsia="仿宋_GB2312" w:hint="eastAsia"/>
          <w:color w:val="000000"/>
          <w:sz w:val="32"/>
          <w:szCs w:val="32"/>
        </w:rPr>
        <w:t>万元,</w:t>
      </w:r>
      <w:r>
        <w:rPr>
          <w:rStyle w:val="a8"/>
          <w:rFonts w:ascii="仿宋" w:eastAsia="仿宋" w:hAnsi="仿宋" w:hint="eastAsia"/>
          <w:b w:val="0"/>
          <w:bCs/>
          <w:color w:val="000000"/>
          <w:sz w:val="32"/>
          <w:szCs w:val="32"/>
        </w:rPr>
        <w:t>完成预算</w:t>
      </w:r>
      <w:r w:rsidR="00166E0A">
        <w:rPr>
          <w:rStyle w:val="a8"/>
          <w:rFonts w:ascii="仿宋" w:eastAsia="仿宋" w:hAnsi="仿宋" w:hint="eastAsia"/>
          <w:b w:val="0"/>
          <w:bCs/>
          <w:color w:val="000000"/>
          <w:sz w:val="32"/>
          <w:szCs w:val="32"/>
        </w:rPr>
        <w:t>87</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sidR="00EC5A17">
        <w:rPr>
          <w:rFonts w:ascii="仿宋_GB2312" w:eastAsia="仿宋_GB2312" w:hint="eastAsia"/>
          <w:color w:val="000000"/>
          <w:sz w:val="32"/>
          <w:szCs w:val="32"/>
        </w:rPr>
        <w:t>0.87</w:t>
      </w:r>
      <w:r>
        <w:rPr>
          <w:rFonts w:ascii="仿宋_GB2312" w:eastAsia="仿宋_GB2312" w:hint="eastAsia"/>
          <w:color w:val="000000"/>
          <w:sz w:val="32"/>
          <w:szCs w:val="32"/>
        </w:rPr>
        <w:t>万元。</w:t>
      </w:r>
    </w:p>
    <w:p w:rsidR="0062412C" w:rsidRDefault="0031061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0万元。全年按规定更新购置公务用车0辆，金额0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sidR="00EC5A17">
        <w:rPr>
          <w:rFonts w:ascii="仿宋_GB2312" w:eastAsia="仿宋_GB2312" w:hint="eastAsia"/>
          <w:color w:val="000000"/>
          <w:sz w:val="32"/>
          <w:szCs w:val="32"/>
        </w:rPr>
        <w:t>1</w:t>
      </w:r>
      <w:r>
        <w:rPr>
          <w:rFonts w:ascii="仿宋_GB2312" w:eastAsia="仿宋_GB2312" w:hint="eastAsia"/>
          <w:color w:val="000000"/>
          <w:sz w:val="32"/>
          <w:szCs w:val="32"/>
        </w:rPr>
        <w:t>辆，其中：主要领导干部用车0辆、机要通信用车0辆、</w:t>
      </w:r>
      <w:r w:rsidR="00166E0A">
        <w:rPr>
          <w:rFonts w:ascii="仿宋_GB2312" w:eastAsia="仿宋_GB2312" w:hint="eastAsia"/>
          <w:color w:val="000000"/>
          <w:sz w:val="32"/>
          <w:szCs w:val="32"/>
        </w:rPr>
        <w:t>其他用车1</w:t>
      </w:r>
      <w:r>
        <w:rPr>
          <w:rFonts w:ascii="仿宋_GB2312" w:eastAsia="仿宋_GB2312" w:hint="eastAsia"/>
          <w:color w:val="000000"/>
          <w:sz w:val="32"/>
          <w:szCs w:val="32"/>
        </w:rPr>
        <w:t>辆。</w:t>
      </w:r>
    </w:p>
    <w:p w:rsidR="0062412C" w:rsidRDefault="0031061A">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sidR="00EC5A17">
        <w:rPr>
          <w:rFonts w:ascii="仿宋_GB2312" w:eastAsia="仿宋_GB2312" w:hint="eastAsia"/>
          <w:color w:val="000000"/>
          <w:sz w:val="32"/>
          <w:szCs w:val="32"/>
        </w:rPr>
        <w:t>0.87</w:t>
      </w:r>
      <w:r>
        <w:rPr>
          <w:rFonts w:ascii="仿宋_GB2312" w:eastAsia="仿宋_GB2312" w:hint="eastAsia"/>
          <w:color w:val="000000"/>
          <w:sz w:val="32"/>
          <w:szCs w:val="32"/>
        </w:rPr>
        <w:t>万元。主要（具体工作）等所需的公务用车燃料费、维修费、过路过桥费、保险费等支出。</w:t>
      </w:r>
    </w:p>
    <w:p w:rsidR="0062412C" w:rsidRDefault="0031061A">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r>
        <w:rPr>
          <w:rFonts w:ascii="仿宋" w:eastAsia="仿宋" w:hAnsi="仿宋" w:hint="eastAsia"/>
          <w:b/>
          <w:color w:val="000000"/>
          <w:sz w:val="32"/>
          <w:szCs w:val="32"/>
        </w:rPr>
        <w:t>国内公务接待支出</w:t>
      </w:r>
      <w:r>
        <w:rPr>
          <w:rFonts w:ascii="仿宋" w:eastAsia="仿宋" w:hAnsi="仿宋" w:hint="eastAsia"/>
          <w:color w:val="000000"/>
          <w:sz w:val="32"/>
          <w:szCs w:val="32"/>
        </w:rPr>
        <w:t>0</w:t>
      </w:r>
      <w:r>
        <w:rPr>
          <w:rFonts w:ascii="仿宋_GB2312" w:eastAsia="仿宋_GB2312" w:hint="eastAsia"/>
          <w:color w:val="000000"/>
          <w:sz w:val="32"/>
          <w:szCs w:val="32"/>
        </w:rPr>
        <w:t>万元，国内公务接待0批次，0人次（不包括陪同人员），共计支出0万元。</w:t>
      </w:r>
    </w:p>
    <w:p w:rsidR="0062412C" w:rsidRDefault="0031061A">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，外事接待0批次，0人，共计支出0万元。</w:t>
      </w:r>
    </w:p>
    <w:p w:rsidR="0062412C" w:rsidRDefault="0062412C">
      <w:pPr>
        <w:spacing w:line="600" w:lineRule="exact"/>
        <w:ind w:firstLine="640"/>
        <w:outlineLvl w:val="1"/>
        <w:rPr>
          <w:rFonts w:ascii="黑体" w:eastAsia="黑体"/>
          <w:color w:val="000000"/>
          <w:sz w:val="32"/>
          <w:szCs w:val="32"/>
        </w:rPr>
      </w:pPr>
      <w:bookmarkStart w:id="46" w:name="_Toc15377218"/>
      <w:bookmarkStart w:id="47" w:name="_Toc15396610"/>
    </w:p>
    <w:p w:rsidR="0062412C" w:rsidRDefault="0031061A">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6"/>
      <w:bookmarkEnd w:id="47"/>
    </w:p>
    <w:p w:rsidR="0062412C" w:rsidRDefault="0031061A">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9年政府性基金预算拨款支出3.</w:t>
      </w:r>
      <w:r w:rsidR="00EC5A17">
        <w:rPr>
          <w:rFonts w:ascii="仿宋_GB2312" w:eastAsia="仿宋_GB2312" w:hint="eastAsia"/>
          <w:color w:val="000000"/>
          <w:sz w:val="32"/>
          <w:szCs w:val="32"/>
        </w:rPr>
        <w:t>90</w:t>
      </w:r>
      <w:r>
        <w:rPr>
          <w:rFonts w:ascii="仿宋_GB2312" w:eastAsia="仿宋_GB2312" w:hint="eastAsia"/>
          <w:color w:val="000000"/>
          <w:sz w:val="32"/>
          <w:szCs w:val="32"/>
        </w:rPr>
        <w:t>万元，完成预算100%。</w:t>
      </w:r>
    </w:p>
    <w:p w:rsidR="0062412C" w:rsidRDefault="0062412C">
      <w:pPr>
        <w:spacing w:line="600" w:lineRule="exact"/>
        <w:ind w:firstLine="640"/>
        <w:rPr>
          <w:rFonts w:ascii="仿宋_GB2312" w:eastAsia="仿宋_GB2312"/>
          <w:color w:val="000000"/>
          <w:sz w:val="32"/>
          <w:szCs w:val="32"/>
        </w:rPr>
      </w:pPr>
    </w:p>
    <w:p w:rsidR="0062412C" w:rsidRDefault="0031061A">
      <w:pPr>
        <w:numPr>
          <w:ilvl w:val="0"/>
          <w:numId w:val="5"/>
        </w:numPr>
        <w:spacing w:line="600" w:lineRule="exact"/>
        <w:ind w:firstLine="640"/>
        <w:outlineLvl w:val="1"/>
        <w:rPr>
          <w:rStyle w:val="2Char"/>
          <w:rFonts w:ascii="黑体" w:eastAsia="黑体" w:hAnsi="黑体"/>
          <w:b w:val="0"/>
        </w:rPr>
      </w:pPr>
      <w:bookmarkStart w:id="48" w:name="_Toc15377219"/>
      <w:bookmarkStart w:id="49" w:name="_Toc15396611"/>
      <w:r>
        <w:rPr>
          <w:rStyle w:val="2Char"/>
          <w:rFonts w:ascii="黑体" w:eastAsia="黑体" w:hAnsi="黑体" w:hint="eastAsia"/>
          <w:b w:val="0"/>
        </w:rPr>
        <w:t>国有资本经营预算支出决算情况说明</w:t>
      </w:r>
      <w:bookmarkEnd w:id="48"/>
      <w:bookmarkEnd w:id="49"/>
    </w:p>
    <w:p w:rsidR="0062412C" w:rsidRDefault="0031061A">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9年国有资本经营预算拨款支出0万元。</w:t>
      </w:r>
    </w:p>
    <w:p w:rsidR="0062412C" w:rsidRDefault="0062412C">
      <w:pPr>
        <w:spacing w:line="580" w:lineRule="exact"/>
        <w:jc w:val="center"/>
        <w:rPr>
          <w:rFonts w:ascii="方正小标宋简体" w:eastAsia="方正小标宋简体" w:hAnsi="方正小标宋简体" w:cs="方正小标宋简体"/>
          <w:sz w:val="44"/>
          <w:szCs w:val="44"/>
        </w:rPr>
      </w:pPr>
    </w:p>
    <w:p w:rsidR="0062412C" w:rsidRDefault="0031061A">
      <w:pPr>
        <w:spacing w:line="600" w:lineRule="exact"/>
        <w:ind w:firstLineChars="250" w:firstLine="800"/>
        <w:outlineLvl w:val="1"/>
        <w:rPr>
          <w:rStyle w:val="2Char"/>
          <w:rFonts w:ascii="黑体" w:eastAsia="黑体" w:hAnsi="黑体"/>
        </w:rPr>
      </w:pPr>
      <w:bookmarkStart w:id="50" w:name="_Toc15377221"/>
      <w:bookmarkStart w:id="51" w:name="_Toc15396612"/>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rsidR="0062412C" w:rsidRDefault="0031061A">
      <w:pPr>
        <w:spacing w:line="600" w:lineRule="exact"/>
        <w:ind w:firstLineChars="200" w:firstLine="643"/>
        <w:outlineLvl w:val="2"/>
        <w:rPr>
          <w:rFonts w:ascii="仿宋" w:eastAsia="仿宋" w:hAnsi="仿宋"/>
          <w:b/>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rsidR="0062412C" w:rsidRDefault="00EC5A17">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lastRenderedPageBreak/>
        <w:t>普兴乡</w:t>
      </w:r>
      <w:r w:rsidR="0031061A">
        <w:rPr>
          <w:rFonts w:ascii="仿宋" w:eastAsia="仿宋" w:hAnsi="仿宋" w:hint="eastAsia"/>
          <w:b/>
          <w:color w:val="000000"/>
          <w:sz w:val="32"/>
          <w:szCs w:val="32"/>
        </w:rPr>
        <w:t>卫生院属峨眉山市卫生健康局下属二级预算单位，事业编制，不属于机关单位，无机关运行经费支出。</w:t>
      </w:r>
    </w:p>
    <w:p w:rsidR="0062412C" w:rsidRDefault="0062412C">
      <w:pPr>
        <w:spacing w:line="600" w:lineRule="exact"/>
        <w:ind w:firstLineChars="200" w:firstLine="643"/>
        <w:rPr>
          <w:rFonts w:ascii="仿宋" w:eastAsia="仿宋" w:hAnsi="仿宋"/>
          <w:b/>
          <w:color w:val="FF0000"/>
          <w:sz w:val="32"/>
          <w:szCs w:val="32"/>
        </w:rPr>
      </w:pPr>
    </w:p>
    <w:p w:rsidR="0062412C" w:rsidRDefault="0031061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62412C" w:rsidRDefault="0031061A">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9年，本单位政府采购支出总额</w:t>
      </w:r>
      <w:r w:rsidR="00EC5A17">
        <w:rPr>
          <w:rFonts w:ascii="仿宋_GB2312" w:eastAsia="仿宋_GB2312" w:hint="eastAsia"/>
          <w:color w:val="000000"/>
          <w:sz w:val="32"/>
          <w:szCs w:val="32"/>
        </w:rPr>
        <w:t>0</w:t>
      </w:r>
      <w:r>
        <w:rPr>
          <w:rFonts w:ascii="仿宋_GB2312" w:eastAsia="仿宋_GB2312" w:hint="eastAsia"/>
          <w:color w:val="000000"/>
          <w:sz w:val="32"/>
          <w:szCs w:val="32"/>
        </w:rPr>
        <w:t>万元，其中：政府采购货物支出</w:t>
      </w:r>
      <w:r w:rsidR="00EC5A17">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sidR="00EC5A17">
        <w:rPr>
          <w:rFonts w:ascii="仿宋_GB2312" w:eastAsia="仿宋_GB2312" w:hint="eastAsia"/>
          <w:color w:val="000000"/>
          <w:sz w:val="32"/>
          <w:szCs w:val="32"/>
        </w:rPr>
        <w:t>0</w:t>
      </w:r>
      <w:r>
        <w:rPr>
          <w:rFonts w:ascii="仿宋_GB2312" w:eastAsia="仿宋_GB2312" w:hint="eastAsia"/>
          <w:color w:val="000000"/>
          <w:sz w:val="32"/>
          <w:szCs w:val="32"/>
        </w:rPr>
        <w:t>万元、政府采购服务支出0万元。主要用于单位标识标牌购置、办公桌椅购置、绿化工程。授予中小企业合同金额0万元，占政府采购支出总额的0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，其中：授予小微企业合同金额0万元，占政府采购支出总额的0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w:t>
      </w:r>
    </w:p>
    <w:p w:rsidR="0062412C" w:rsidRDefault="0062412C">
      <w:pPr>
        <w:spacing w:line="600" w:lineRule="exact"/>
        <w:ind w:firstLineChars="200" w:firstLine="640"/>
        <w:rPr>
          <w:rFonts w:ascii="仿宋_GB2312" w:eastAsia="仿宋_GB2312"/>
          <w:color w:val="000000"/>
          <w:sz w:val="32"/>
          <w:szCs w:val="32"/>
        </w:rPr>
      </w:pPr>
    </w:p>
    <w:p w:rsidR="0062412C" w:rsidRDefault="0031061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rsidR="0062412C" w:rsidRDefault="0031061A">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日，本单位共有车辆</w:t>
      </w:r>
      <w:r w:rsidR="00A47903">
        <w:rPr>
          <w:rFonts w:ascii="仿宋_GB2312" w:eastAsia="仿宋_GB2312" w:hint="eastAsia"/>
          <w:color w:val="000000"/>
          <w:sz w:val="32"/>
          <w:szCs w:val="32"/>
        </w:rPr>
        <w:t>1</w:t>
      </w:r>
      <w:r>
        <w:rPr>
          <w:rFonts w:ascii="仿宋_GB2312" w:eastAsia="仿宋_GB2312" w:hint="eastAsia"/>
          <w:color w:val="000000"/>
          <w:sz w:val="32"/>
          <w:szCs w:val="32"/>
        </w:rPr>
        <w:t>辆，其中：主要领导干部用车0辆、机要通信用车0辆、应急保障用车</w:t>
      </w:r>
      <w:r w:rsidR="00A47903">
        <w:rPr>
          <w:rFonts w:ascii="仿宋_GB2312" w:eastAsia="仿宋_GB2312" w:hint="eastAsia"/>
          <w:color w:val="000000"/>
          <w:sz w:val="32"/>
          <w:szCs w:val="32"/>
        </w:rPr>
        <w:t>0</w:t>
      </w:r>
      <w:r>
        <w:rPr>
          <w:rFonts w:ascii="仿宋_GB2312" w:eastAsia="仿宋_GB2312" w:hint="eastAsia"/>
          <w:color w:val="000000"/>
          <w:sz w:val="32"/>
          <w:szCs w:val="32"/>
        </w:rPr>
        <w:t>辆、其他用车</w:t>
      </w:r>
      <w:r w:rsidR="00A47903">
        <w:rPr>
          <w:rFonts w:ascii="仿宋_GB2312" w:eastAsia="仿宋_GB2312" w:hint="eastAsia"/>
          <w:color w:val="000000"/>
          <w:sz w:val="32"/>
          <w:szCs w:val="32"/>
        </w:rPr>
        <w:t>1</w:t>
      </w:r>
      <w:r>
        <w:rPr>
          <w:rFonts w:ascii="仿宋_GB2312" w:eastAsia="仿宋_GB2312" w:hint="eastAsia"/>
          <w:color w:val="000000"/>
          <w:sz w:val="32"/>
          <w:szCs w:val="32"/>
        </w:rPr>
        <w:t>辆。</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万元以上通用设备0台（套），单价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万元以上专用设备0台（套）。</w:t>
      </w:r>
    </w:p>
    <w:p w:rsidR="0062412C" w:rsidRDefault="0062412C">
      <w:pPr>
        <w:autoSpaceDE w:val="0"/>
        <w:autoSpaceDN w:val="0"/>
        <w:adjustRightInd w:val="0"/>
        <w:spacing w:line="600" w:lineRule="exact"/>
        <w:ind w:firstLineChars="200" w:firstLine="640"/>
        <w:jc w:val="left"/>
        <w:rPr>
          <w:rFonts w:ascii="仿宋_GB2312" w:eastAsia="仿宋_GB2312"/>
          <w:color w:val="000000"/>
          <w:sz w:val="32"/>
          <w:szCs w:val="32"/>
        </w:rPr>
      </w:pPr>
    </w:p>
    <w:p w:rsidR="0062412C" w:rsidRDefault="0031061A">
      <w:pPr>
        <w:numPr>
          <w:ilvl w:val="0"/>
          <w:numId w:val="6"/>
        </w:num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预算绩效管理情况。</w:t>
      </w:r>
    </w:p>
    <w:p w:rsidR="003723D0" w:rsidRPr="003723D0" w:rsidRDefault="003723D0" w:rsidP="003723D0">
      <w:pPr>
        <w:pStyle w:val="aa"/>
        <w:spacing w:line="580" w:lineRule="exact"/>
        <w:ind w:leftChars="200" w:left="420" w:firstLineChars="100" w:firstLine="320"/>
        <w:rPr>
          <w:rFonts w:ascii="仿宋_GB2312" w:eastAsia="仿宋_GB2312" w:hAnsi="仿宋_GB2312" w:cs="仿宋_GB2312"/>
          <w:sz w:val="32"/>
          <w:szCs w:val="32"/>
        </w:rPr>
      </w:pPr>
      <w:r w:rsidRPr="003723D0">
        <w:rPr>
          <w:rFonts w:ascii="楷体_GB2312" w:eastAsia="楷体_GB2312" w:hAnsi="楷体_GB2312" w:cs="楷体_GB2312" w:hint="eastAsia"/>
          <w:sz w:val="32"/>
          <w:szCs w:val="32"/>
        </w:rPr>
        <w:t>1.项目绩效目标完成情况。</w:t>
      </w:r>
    </w:p>
    <w:p w:rsidR="003723D0" w:rsidRPr="003723D0" w:rsidRDefault="003723D0" w:rsidP="003723D0">
      <w:pPr>
        <w:spacing w:line="580" w:lineRule="exact"/>
        <w:ind w:firstLineChars="195" w:firstLine="624"/>
        <w:rPr>
          <w:rFonts w:ascii="仿宋_GB2312" w:eastAsia="仿宋_GB2312" w:hAnsi="仿宋_GB2312" w:cs="仿宋_GB2312"/>
          <w:sz w:val="32"/>
          <w:szCs w:val="32"/>
        </w:rPr>
      </w:pPr>
      <w:r w:rsidRPr="003723D0">
        <w:rPr>
          <w:rFonts w:ascii="仿宋_GB2312" w:eastAsia="仿宋_GB2312" w:hAnsi="仿宋_GB2312" w:cs="仿宋_GB2312" w:hint="eastAsia"/>
          <w:sz w:val="32"/>
          <w:szCs w:val="32"/>
        </w:rPr>
        <w:t>根据预算绩效管理要求，</w:t>
      </w:r>
      <w:r w:rsidRPr="003723D0">
        <w:rPr>
          <w:rFonts w:ascii="仿宋_GB2312" w:eastAsia="仿宋_GB2312" w:hAnsi="仿宋_GB2312" w:cs="仿宋_GB2312"/>
          <w:sz w:val="32"/>
          <w:szCs w:val="32"/>
        </w:rPr>
        <w:t>本单位无专项预算项，专项预算项目由主管局统一预算编制。2019年，本单位收到调整预算安</w:t>
      </w:r>
      <w:r w:rsidR="00A645EB">
        <w:rPr>
          <w:rFonts w:ascii="仿宋_GB2312" w:eastAsia="仿宋_GB2312" w:hAnsi="仿宋_GB2312" w:cs="仿宋_GB2312" w:hint="eastAsia"/>
          <w:sz w:val="32"/>
          <w:szCs w:val="32"/>
        </w:rPr>
        <w:t>排</w:t>
      </w:r>
      <w:r>
        <w:rPr>
          <w:rFonts w:ascii="仿宋_GB2312" w:eastAsia="仿宋_GB2312" w:hAnsi="仿宋_GB2312" w:cs="仿宋_GB2312" w:hint="eastAsia"/>
          <w:sz w:val="32"/>
          <w:szCs w:val="32"/>
        </w:rPr>
        <w:t>134.33</w:t>
      </w:r>
      <w:r w:rsidRPr="003723D0">
        <w:rPr>
          <w:rFonts w:ascii="仿宋_GB2312" w:eastAsia="仿宋_GB2312" w:hAnsi="仿宋_GB2312" w:cs="仿宋_GB2312"/>
          <w:sz w:val="32"/>
          <w:szCs w:val="32"/>
        </w:rPr>
        <w:t>万元，其中基本支出0万元，项目支出</w:t>
      </w:r>
      <w:r>
        <w:rPr>
          <w:rFonts w:ascii="仿宋_GB2312" w:eastAsia="仿宋_GB2312" w:hAnsi="仿宋_GB2312" w:cs="仿宋_GB2312" w:hint="eastAsia"/>
          <w:sz w:val="32"/>
          <w:szCs w:val="32"/>
        </w:rPr>
        <w:t>117.08</w:t>
      </w:r>
      <w:r w:rsidRPr="003723D0">
        <w:rPr>
          <w:rFonts w:ascii="仿宋_GB2312" w:eastAsia="仿宋_GB2312" w:hAnsi="仿宋_GB2312" w:cs="仿宋_GB2312"/>
          <w:sz w:val="32"/>
          <w:szCs w:val="32"/>
        </w:rPr>
        <w:t>万元。</w:t>
      </w:r>
      <w:r w:rsidRPr="003723D0">
        <w:rPr>
          <w:rFonts w:ascii="仿宋_GB2312" w:eastAsia="仿宋_GB2312" w:hAnsi="仿宋_GB2312" w:cs="仿宋_GB2312" w:hint="eastAsia"/>
          <w:sz w:val="32"/>
          <w:szCs w:val="32"/>
        </w:rPr>
        <w:t>主要为</w:t>
      </w:r>
      <w:r w:rsidRPr="003723D0">
        <w:rPr>
          <w:rFonts w:ascii="仿宋_GB2312" w:eastAsia="仿宋_GB2312" w:hAnsi="仿宋_GB2312" w:cs="仿宋_GB2312"/>
          <w:sz w:val="32"/>
          <w:szCs w:val="32"/>
        </w:rPr>
        <w:t>基层医疗卫生机构</w:t>
      </w:r>
      <w:r w:rsidRPr="003723D0">
        <w:rPr>
          <w:rFonts w:ascii="仿宋_GB2312" w:eastAsia="仿宋_GB2312" w:hAnsi="仿宋_GB2312" w:cs="仿宋_GB2312" w:hint="eastAsia"/>
          <w:sz w:val="32"/>
          <w:szCs w:val="32"/>
        </w:rPr>
        <w:t>及村卫生室实施基本药物制</w:t>
      </w:r>
      <w:r w:rsidRPr="003723D0">
        <w:rPr>
          <w:rFonts w:ascii="仿宋_GB2312" w:eastAsia="仿宋_GB2312" w:hAnsi="仿宋_GB2312" w:cs="仿宋_GB2312" w:hint="eastAsia"/>
          <w:sz w:val="32"/>
          <w:szCs w:val="32"/>
        </w:rPr>
        <w:lastRenderedPageBreak/>
        <w:t>度、基本公共卫生服务、</w:t>
      </w:r>
      <w:r>
        <w:rPr>
          <w:rFonts w:ascii="仿宋_GB2312" w:eastAsia="仿宋_GB2312" w:hAnsi="仿宋_GB2312" w:cs="仿宋_GB2312" w:hint="eastAsia"/>
          <w:sz w:val="32"/>
          <w:szCs w:val="32"/>
        </w:rPr>
        <w:t>医疗废物暂存点建设</w:t>
      </w:r>
      <w:r w:rsidRPr="003723D0">
        <w:rPr>
          <w:rFonts w:ascii="仿宋_GB2312" w:eastAsia="仿宋_GB2312" w:hAnsi="仿宋_GB2312" w:cs="仿宋_GB2312" w:hint="eastAsia"/>
          <w:sz w:val="32"/>
          <w:szCs w:val="32"/>
        </w:rPr>
        <w:t>项目。</w:t>
      </w:r>
    </w:p>
    <w:p w:rsidR="0062412C" w:rsidRDefault="003723D0" w:rsidP="00033053">
      <w:pPr>
        <w:spacing w:line="58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31061A">
        <w:rPr>
          <w:rFonts w:ascii="仿宋_GB2312" w:eastAsia="仿宋_GB2312" w:hAnsi="仿宋_GB2312" w:cs="仿宋_GB2312" w:hint="eastAsia"/>
          <w:sz w:val="32"/>
          <w:szCs w:val="32"/>
        </w:rPr>
        <w:t>基本公共卫生服务项目绩效目标完成情况综述。项目全年预算数</w:t>
      </w:r>
      <w:r w:rsidR="00A47903">
        <w:rPr>
          <w:rFonts w:ascii="仿宋_GB2312" w:eastAsia="仿宋_GB2312" w:hAnsi="仿宋_GB2312" w:cs="仿宋_GB2312" w:hint="eastAsia"/>
          <w:sz w:val="32"/>
          <w:szCs w:val="32"/>
        </w:rPr>
        <w:t>107.69</w:t>
      </w:r>
      <w:r w:rsidR="0031061A">
        <w:rPr>
          <w:rFonts w:ascii="仿宋_GB2312" w:eastAsia="仿宋_GB2312" w:hAnsi="仿宋_GB2312" w:cs="仿宋_GB2312" w:hint="eastAsia"/>
          <w:sz w:val="32"/>
          <w:szCs w:val="32"/>
        </w:rPr>
        <w:t>万元，执行数为</w:t>
      </w:r>
      <w:r w:rsidR="00A47903">
        <w:rPr>
          <w:rFonts w:ascii="仿宋_GB2312" w:eastAsia="仿宋_GB2312" w:hAnsi="仿宋_GB2312" w:cs="仿宋_GB2312" w:hint="eastAsia"/>
          <w:sz w:val="32"/>
          <w:szCs w:val="32"/>
        </w:rPr>
        <w:t>90.44</w:t>
      </w:r>
      <w:r w:rsidR="0031061A">
        <w:rPr>
          <w:rFonts w:ascii="仿宋_GB2312" w:eastAsia="仿宋_GB2312" w:hAnsi="仿宋_GB2312" w:cs="仿宋_GB2312" w:hint="eastAsia"/>
          <w:sz w:val="32"/>
          <w:szCs w:val="32"/>
        </w:rPr>
        <w:t>万元，完成预算数的</w:t>
      </w:r>
      <w:r w:rsidR="00A47903">
        <w:rPr>
          <w:rFonts w:ascii="仿宋_GB2312" w:eastAsia="仿宋_GB2312" w:hAnsi="仿宋_GB2312" w:cs="仿宋_GB2312" w:hint="eastAsia"/>
          <w:sz w:val="32"/>
          <w:szCs w:val="32"/>
        </w:rPr>
        <w:t>84</w:t>
      </w:r>
      <w:r w:rsidR="0031061A">
        <w:rPr>
          <w:rFonts w:ascii="仿宋_GB2312" w:eastAsia="仿宋_GB2312" w:hAnsi="仿宋_GB2312" w:cs="仿宋_GB2312" w:hint="eastAsia"/>
          <w:sz w:val="32"/>
          <w:szCs w:val="32"/>
        </w:rPr>
        <w:t>%。通过十四项项目实施，对城乡居民健康问题实施干预，减少健康危险因素，有效预防和控制慢病和传染病的发生，提高公共卫生服务和突发公共卫生事件的处置能力，使城乡居民逐步享有均等化公共卫生服务。</w:t>
      </w:r>
    </w:p>
    <w:p w:rsidR="003723D0" w:rsidRDefault="003723D0" w:rsidP="000F2E5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31061A">
        <w:rPr>
          <w:rFonts w:ascii="仿宋_GB2312" w:eastAsia="仿宋_GB2312" w:hAnsi="仿宋_GB2312" w:cs="仿宋_GB2312" w:hint="eastAsia"/>
          <w:sz w:val="32"/>
          <w:szCs w:val="32"/>
        </w:rPr>
        <w:t>基层医疗卫生机构</w:t>
      </w:r>
      <w:r w:rsidR="000F2E5F">
        <w:rPr>
          <w:rFonts w:ascii="仿宋_GB2312" w:eastAsia="仿宋_GB2312" w:hAnsi="仿宋_GB2312" w:cs="仿宋_GB2312" w:hint="eastAsia"/>
          <w:sz w:val="32"/>
          <w:szCs w:val="32"/>
        </w:rPr>
        <w:t>基药</w:t>
      </w:r>
      <w:r w:rsidR="0031061A">
        <w:rPr>
          <w:rFonts w:ascii="仿宋_GB2312" w:eastAsia="仿宋_GB2312" w:hAnsi="仿宋_GB2312" w:cs="仿宋_GB2312" w:hint="eastAsia"/>
          <w:sz w:val="32"/>
          <w:szCs w:val="32"/>
        </w:rPr>
        <w:t>项目绩效目标完成情况综述。项目全年预算</w:t>
      </w:r>
      <w:r w:rsidR="00A47903">
        <w:rPr>
          <w:rFonts w:ascii="仿宋_GB2312" w:eastAsia="仿宋_GB2312" w:hAnsi="仿宋_GB2312" w:cs="仿宋_GB2312" w:hint="eastAsia"/>
          <w:sz w:val="32"/>
          <w:szCs w:val="32"/>
        </w:rPr>
        <w:t>22.74</w:t>
      </w:r>
      <w:r w:rsidR="0031061A">
        <w:rPr>
          <w:rFonts w:ascii="仿宋_GB2312" w:eastAsia="仿宋_GB2312" w:hAnsi="仿宋_GB2312" w:cs="仿宋_GB2312" w:hint="eastAsia"/>
          <w:sz w:val="32"/>
          <w:szCs w:val="32"/>
        </w:rPr>
        <w:t>万元，执行数为</w:t>
      </w:r>
      <w:r w:rsidR="00A47903">
        <w:rPr>
          <w:rFonts w:ascii="仿宋_GB2312" w:eastAsia="仿宋_GB2312" w:hAnsi="仿宋_GB2312" w:cs="仿宋_GB2312" w:hint="eastAsia"/>
          <w:sz w:val="32"/>
          <w:szCs w:val="32"/>
        </w:rPr>
        <w:t>22.74</w:t>
      </w:r>
      <w:r w:rsidR="0031061A">
        <w:rPr>
          <w:rFonts w:ascii="仿宋_GB2312" w:eastAsia="仿宋_GB2312" w:hAnsi="仿宋_GB2312" w:cs="仿宋_GB2312" w:hint="eastAsia"/>
          <w:sz w:val="32"/>
          <w:szCs w:val="32"/>
        </w:rPr>
        <w:t>万元，完成预算数</w:t>
      </w:r>
      <w:r w:rsidR="00A47903">
        <w:rPr>
          <w:rFonts w:ascii="仿宋_GB2312" w:eastAsia="仿宋_GB2312" w:hAnsi="仿宋_GB2312" w:cs="仿宋_GB2312" w:hint="eastAsia"/>
          <w:sz w:val="32"/>
          <w:szCs w:val="32"/>
        </w:rPr>
        <w:t>10</w:t>
      </w:r>
      <w:r w:rsidR="0031061A">
        <w:rPr>
          <w:rFonts w:ascii="仿宋_GB2312" w:eastAsia="仿宋_GB2312" w:hAnsi="仿宋_GB2312" w:cs="仿宋_GB2312" w:hint="eastAsia"/>
          <w:sz w:val="32"/>
          <w:szCs w:val="32"/>
        </w:rPr>
        <w:t>0%。我院严格实施国家基本药物制度，实行国家基本药物零差价制度，保障基本药物合理使用，满足百姓用药需求，减轻群众用药负担。保障群众用药安全和身体健康，维护群众的基本医疗卫生权益。</w:t>
      </w:r>
      <w:r w:rsidR="000F2E5F" w:rsidRPr="000F2E5F">
        <w:rPr>
          <w:rFonts w:ascii="仿宋_GB2312" w:eastAsia="仿宋_GB2312" w:hAnsi="仿宋_GB2312" w:cs="仿宋_GB2312"/>
          <w:sz w:val="32"/>
          <w:szCs w:val="32"/>
        </w:rPr>
        <w:t>村卫生室基药资金按3000元/村卫生室，剩余部分按各村卫生室基药采购量进行分配。若督导或绩效考核发现配备非基药、加价、使用过期药品、加价、村卫生室自行采购等情况，</w:t>
      </w:r>
      <w:r>
        <w:rPr>
          <w:rFonts w:ascii="仿宋_GB2312" w:eastAsia="仿宋_GB2312" w:hAnsi="仿宋_GB2312" w:cs="仿宋_GB2312" w:hint="eastAsia"/>
          <w:sz w:val="32"/>
          <w:szCs w:val="32"/>
        </w:rPr>
        <w:t>按规定扣除相应补助</w:t>
      </w:r>
      <w:r w:rsidRPr="002E1108">
        <w:rPr>
          <w:rFonts w:ascii="仿宋_GB2312" w:eastAsia="仿宋_GB2312" w:hAnsi="仿宋_GB2312" w:cs="仿宋_GB2312"/>
          <w:sz w:val="32"/>
          <w:szCs w:val="32"/>
        </w:rPr>
        <w:t>。</w:t>
      </w:r>
    </w:p>
    <w:p w:rsidR="0062412C" w:rsidRDefault="003723D0" w:rsidP="000F2E5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31061A">
        <w:rPr>
          <w:rFonts w:ascii="仿宋_GB2312" w:eastAsia="仿宋_GB2312" w:hAnsi="仿宋_GB2312" w:cs="仿宋_GB2312" w:hint="eastAsia"/>
          <w:sz w:val="32"/>
          <w:szCs w:val="32"/>
        </w:rPr>
        <w:t>医疗废物暂存点建设绩效目标完成情况综述。项目全年预算3.</w:t>
      </w:r>
      <w:r w:rsidR="00255450">
        <w:rPr>
          <w:rFonts w:ascii="仿宋_GB2312" w:eastAsia="仿宋_GB2312" w:hAnsi="仿宋_GB2312" w:cs="仿宋_GB2312" w:hint="eastAsia"/>
          <w:sz w:val="32"/>
          <w:szCs w:val="32"/>
        </w:rPr>
        <w:t>90</w:t>
      </w:r>
      <w:r w:rsidR="0031061A">
        <w:rPr>
          <w:rFonts w:ascii="仿宋_GB2312" w:eastAsia="仿宋_GB2312" w:hAnsi="仿宋_GB2312" w:cs="仿宋_GB2312" w:hint="eastAsia"/>
          <w:sz w:val="32"/>
          <w:szCs w:val="32"/>
        </w:rPr>
        <w:t>万元，执行数为3.</w:t>
      </w:r>
      <w:r w:rsidR="00255450">
        <w:rPr>
          <w:rFonts w:ascii="仿宋_GB2312" w:eastAsia="仿宋_GB2312" w:hAnsi="仿宋_GB2312" w:cs="仿宋_GB2312" w:hint="eastAsia"/>
          <w:sz w:val="32"/>
          <w:szCs w:val="32"/>
        </w:rPr>
        <w:t>90</w:t>
      </w:r>
      <w:r w:rsidR="0031061A">
        <w:rPr>
          <w:rFonts w:ascii="仿宋_GB2312" w:eastAsia="仿宋_GB2312" w:hAnsi="仿宋_GB2312" w:cs="仿宋_GB2312" w:hint="eastAsia"/>
          <w:sz w:val="32"/>
          <w:szCs w:val="32"/>
        </w:rPr>
        <w:t>万元，完成预算数100%。医疗废物暂存点的建立，有效的优化处理处置医疗废物，作到消毒效果好、环境污染小，保障医院在医疗活动中直接或间接产生的医疗废物及时处理处置，减少医疗废物污染风险。</w:t>
      </w:r>
    </w:p>
    <w:p w:rsidR="003723D0" w:rsidRDefault="003723D0" w:rsidP="000F2E5F">
      <w:pPr>
        <w:spacing w:line="580" w:lineRule="exact"/>
        <w:ind w:firstLineChars="200" w:firstLine="640"/>
        <w:rPr>
          <w:rFonts w:ascii="仿宋_GB2312" w:eastAsia="仿宋_GB2312" w:hAnsi="仿宋_GB2312" w:cs="仿宋_GB2312"/>
          <w:sz w:val="32"/>
          <w:szCs w:val="32"/>
        </w:rPr>
      </w:pPr>
    </w:p>
    <w:p w:rsidR="0062412C" w:rsidRDefault="0031061A">
      <w:pPr>
        <w:numPr>
          <w:ilvl w:val="0"/>
          <w:numId w:val="7"/>
        </w:numPr>
        <w:spacing w:line="600" w:lineRule="exact"/>
        <w:ind w:firstLineChars="150" w:firstLine="660"/>
        <w:jc w:val="center"/>
        <w:outlineLvl w:val="0"/>
        <w:rPr>
          <w:rStyle w:val="1Char"/>
          <w:rFonts w:ascii="黑体" w:eastAsia="黑体" w:hAnsi="黑体"/>
          <w:b w:val="0"/>
        </w:rPr>
      </w:pPr>
      <w:bookmarkStart w:id="55" w:name="_Toc15377225"/>
      <w:bookmarkStart w:id="56" w:name="_Toc15396613"/>
      <w:r>
        <w:rPr>
          <w:rFonts w:ascii="黑体" w:eastAsia="黑体" w:hAnsi="黑体" w:hint="eastAsia"/>
          <w:color w:val="000000"/>
          <w:sz w:val="44"/>
          <w:szCs w:val="44"/>
        </w:rPr>
        <w:t>名</w:t>
      </w:r>
      <w:r>
        <w:rPr>
          <w:rStyle w:val="1Char"/>
          <w:rFonts w:ascii="黑体" w:eastAsia="黑体" w:hAnsi="黑体" w:hint="eastAsia"/>
          <w:b w:val="0"/>
        </w:rPr>
        <w:t>词解释</w:t>
      </w:r>
      <w:bookmarkEnd w:id="55"/>
      <w:bookmarkEnd w:id="56"/>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lastRenderedPageBreak/>
        <w:t>1.</w:t>
      </w:r>
      <w:r>
        <w:rPr>
          <w:rFonts w:ascii="仿宋_GB2312" w:eastAsia="仿宋_GB2312" w:hint="eastAsia"/>
          <w:sz w:val="32"/>
          <w:szCs w:val="32"/>
        </w:rPr>
        <w:t>财政拨款收入：指单位从同级财政部门取得的财政预算资金。</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事业收入：指事业单位开展专业业务活动及辅助活动取得的收入。如各类检查收入、药品收入、床位收入、护理收入、手术费等。</w:t>
      </w:r>
    </w:p>
    <w:p w:rsidR="0062412C" w:rsidRDefault="0031061A">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w:t>
      </w:r>
      <w:r>
        <w:rPr>
          <w:rFonts w:ascii="仿宋_GB2312" w:eastAsia="仿宋_GB2312" w:hAnsi="仿宋_GB2312" w:cs="仿宋_GB2312" w:hint="eastAsia"/>
          <w:sz w:val="32"/>
          <w:szCs w:val="32"/>
        </w:rPr>
        <w:t>主要是指利息收入、培训收入、食堂收入、捐赠收入</w:t>
      </w:r>
      <w:r>
        <w:rPr>
          <w:rFonts w:ascii="仿宋_GB2312" w:eastAsia="仿宋_GB2312" w:hint="eastAsia"/>
          <w:sz w:val="32"/>
          <w:szCs w:val="32"/>
        </w:rPr>
        <w:t>等。</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62412C" w:rsidRDefault="0031061A">
      <w:pPr>
        <w:ind w:firstLineChars="200" w:firstLine="640"/>
        <w:rPr>
          <w:rStyle w:val="a8"/>
          <w:rFonts w:ascii="仿宋_GB2312" w:eastAsia="仿宋_GB2312" w:hAnsi="仿宋_GB2312" w:cs="仿宋_GB2312"/>
          <w:b w:val="0"/>
          <w:sz w:val="32"/>
          <w:szCs w:val="32"/>
        </w:rPr>
      </w:pPr>
      <w:r>
        <w:rPr>
          <w:rFonts w:ascii="仿宋_GB2312" w:eastAsia="仿宋_GB2312" w:hint="eastAsia"/>
          <w:color w:val="000000"/>
          <w:sz w:val="32"/>
          <w:szCs w:val="32"/>
        </w:rPr>
        <w:t>9</w:t>
      </w:r>
      <w:r>
        <w:rPr>
          <w:rFonts w:ascii="仿宋_GB2312" w:eastAsia="仿宋_GB2312"/>
          <w:color w:val="000000"/>
          <w:sz w:val="32"/>
          <w:szCs w:val="32"/>
        </w:rPr>
        <w:t>.</w:t>
      </w:r>
      <w:r>
        <w:rPr>
          <w:rFonts w:ascii="仿宋_GB2312" w:eastAsia="仿宋_GB2312" w:hAnsi="仿宋_GB2312" w:cs="仿宋_GB2312" w:hint="eastAsia"/>
          <w:sz w:val="32"/>
          <w:szCs w:val="32"/>
        </w:rPr>
        <w:t>机关事业单位基本养老保险缴费支出：</w:t>
      </w:r>
      <w:r>
        <w:rPr>
          <w:rStyle w:val="a8"/>
          <w:rFonts w:ascii="仿宋_GB2312" w:eastAsia="仿宋_GB2312" w:hAnsi="仿宋_GB2312" w:cs="仿宋_GB2312" w:hint="eastAsia"/>
          <w:b w:val="0"/>
          <w:sz w:val="32"/>
          <w:szCs w:val="32"/>
        </w:rPr>
        <w:t>反映机关事业单位实施养老保险制度由单位缴纳的基本养老保险费支出。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10、</w:t>
      </w:r>
      <w:r>
        <w:rPr>
          <w:rFonts w:ascii="仿宋_GB2312" w:eastAsia="仿宋_GB2312" w:hAnsi="仿宋_GB2312" w:cs="仿宋_GB2312" w:hint="eastAsia"/>
          <w:sz w:val="32"/>
          <w:szCs w:val="32"/>
        </w:rPr>
        <w:t>机关事业单位职业年金缴费支出：</w:t>
      </w:r>
      <w:r>
        <w:rPr>
          <w:rStyle w:val="a8"/>
          <w:rFonts w:ascii="仿宋_GB2312" w:eastAsia="仿宋_GB2312" w:hAnsi="仿宋_GB2312" w:cs="仿宋_GB2312" w:hint="eastAsia"/>
          <w:b w:val="0"/>
          <w:sz w:val="32"/>
          <w:szCs w:val="32"/>
        </w:rPr>
        <w:t>反映机关事业单位实施养老保险制度由单位缴纳的</w:t>
      </w:r>
      <w:r>
        <w:rPr>
          <w:rFonts w:ascii="仿宋_GB2312" w:eastAsia="仿宋_GB2312" w:hAnsi="仿宋_GB2312" w:cs="仿宋_GB2312" w:hint="eastAsia"/>
          <w:sz w:val="32"/>
          <w:szCs w:val="32"/>
        </w:rPr>
        <w:t>职业年金</w:t>
      </w:r>
      <w:r>
        <w:rPr>
          <w:rStyle w:val="a8"/>
          <w:rFonts w:ascii="仿宋_GB2312" w:eastAsia="仿宋_GB2312" w:hAnsi="仿宋_GB2312" w:cs="仿宋_GB2312" w:hint="eastAsia"/>
          <w:b w:val="0"/>
          <w:sz w:val="32"/>
          <w:szCs w:val="32"/>
        </w:rPr>
        <w:t>支出。</w:t>
      </w:r>
    </w:p>
    <w:p w:rsidR="0062412C" w:rsidRDefault="0031061A">
      <w:pPr>
        <w:ind w:firstLineChars="200" w:firstLine="640"/>
        <w:rPr>
          <w:rStyle w:val="a8"/>
          <w:rFonts w:ascii="仿宋_GB2312" w:eastAsia="仿宋_GB2312" w:hAnsi="仿宋_GB2312" w:cs="仿宋_GB2312"/>
          <w:b w:val="0"/>
          <w:sz w:val="32"/>
          <w:szCs w:val="32"/>
        </w:rPr>
      </w:pPr>
      <w:r>
        <w:rPr>
          <w:rStyle w:val="a8"/>
          <w:rFonts w:ascii="仿宋_GB2312" w:eastAsia="仿宋_GB2312" w:hAnsi="仿宋_GB2312" w:cs="仿宋_GB2312" w:hint="eastAsia"/>
          <w:b w:val="0"/>
          <w:sz w:val="32"/>
          <w:szCs w:val="32"/>
        </w:rPr>
        <w:t>11、</w:t>
      </w:r>
      <w:r>
        <w:rPr>
          <w:rFonts w:ascii="仿宋_GB2312" w:eastAsia="仿宋_GB2312" w:hAnsi="仿宋_GB2312" w:cs="仿宋_GB2312" w:hint="eastAsia"/>
          <w:sz w:val="32"/>
          <w:szCs w:val="32"/>
        </w:rPr>
        <w:t>死亡抚恤：</w:t>
      </w:r>
      <w:r>
        <w:rPr>
          <w:rStyle w:val="a8"/>
          <w:rFonts w:ascii="仿宋_GB2312" w:eastAsia="仿宋_GB2312" w:hAnsi="仿宋_GB2312" w:cs="仿宋_GB2312" w:hint="eastAsia"/>
          <w:b w:val="0"/>
          <w:sz w:val="32"/>
          <w:szCs w:val="32"/>
        </w:rPr>
        <w:t>指反映按规定用于烈士和牺牲、病故人</w:t>
      </w:r>
      <w:r>
        <w:rPr>
          <w:rStyle w:val="a8"/>
          <w:rFonts w:ascii="仿宋_GB2312" w:eastAsia="仿宋_GB2312" w:hAnsi="仿宋_GB2312" w:cs="仿宋_GB2312" w:hint="eastAsia"/>
          <w:b w:val="0"/>
          <w:sz w:val="32"/>
          <w:szCs w:val="32"/>
        </w:rPr>
        <w:lastRenderedPageBreak/>
        <w:t>员家属的一次性和定期抚恤金以及丧葬补助费。</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12、</w:t>
      </w:r>
      <w:r>
        <w:rPr>
          <w:rFonts w:ascii="仿宋_GB2312" w:eastAsia="仿宋_GB2312" w:hAnsi="仿宋_GB2312" w:cs="仿宋_GB2312" w:hint="eastAsia"/>
          <w:sz w:val="32"/>
          <w:szCs w:val="32"/>
        </w:rPr>
        <w:t>乡镇卫生院：反映用于乡镇卫生院的支出。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13、</w:t>
      </w:r>
      <w:r>
        <w:rPr>
          <w:rFonts w:ascii="仿宋_GB2312" w:eastAsia="仿宋_GB2312" w:hAnsi="仿宋_GB2312" w:cs="仿宋_GB2312" w:hint="eastAsia"/>
          <w:sz w:val="32"/>
          <w:szCs w:val="32"/>
        </w:rPr>
        <w:t>其他基层医疗卫生机构支出：反映其他用于基层医疗卫生机构的支出。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14、</w:t>
      </w:r>
      <w:r>
        <w:rPr>
          <w:rFonts w:ascii="仿宋_GB2312" w:eastAsia="仿宋_GB2312" w:hAnsi="仿宋_GB2312" w:cs="仿宋_GB2312" w:hint="eastAsia"/>
          <w:sz w:val="32"/>
          <w:szCs w:val="32"/>
        </w:rPr>
        <w:t>基本公共卫生服务：反映基本公共卫生服务支出。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15、</w:t>
      </w:r>
      <w:r>
        <w:rPr>
          <w:rFonts w:ascii="仿宋_GB2312" w:eastAsia="仿宋_GB2312" w:hAnsi="仿宋_GB2312" w:cs="仿宋_GB2312" w:hint="eastAsia"/>
          <w:sz w:val="32"/>
          <w:szCs w:val="32"/>
        </w:rPr>
        <w:t>重大公共卫生专项：反映重大疾病预防控制等重大公共卫生服务项目支出。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16、</w:t>
      </w:r>
      <w:r>
        <w:rPr>
          <w:rFonts w:ascii="仿宋_GB2312" w:eastAsia="仿宋_GB2312" w:hAnsi="仿宋_GB2312" w:cs="仿宋_GB2312" w:hint="eastAsia"/>
          <w:sz w:val="32"/>
          <w:szCs w:val="32"/>
        </w:rPr>
        <w:t>中医（民族医）药专项：反映中医（民族医）药方面的专项支出。</w:t>
      </w:r>
    </w:p>
    <w:p w:rsidR="0062412C" w:rsidRDefault="0031061A">
      <w:pPr>
        <w:ind w:firstLineChars="200" w:firstLine="640"/>
        <w:rPr>
          <w:rStyle w:val="a8"/>
          <w:rFonts w:ascii="仿宋_GB2312" w:eastAsia="仿宋_GB2312" w:hAnsi="仿宋_GB2312" w:cs="仿宋_GB2312"/>
          <w:b w:val="0"/>
          <w:sz w:val="32"/>
          <w:szCs w:val="32"/>
        </w:rPr>
      </w:pPr>
      <w:r>
        <w:rPr>
          <w:rFonts w:ascii="仿宋_GB2312" w:eastAsia="仿宋_GB2312" w:hAnsi="仿宋_GB2312" w:cs="仿宋_GB2312" w:hint="eastAsia"/>
          <w:sz w:val="32"/>
          <w:szCs w:val="32"/>
        </w:rPr>
        <w:t>17、事业单位医疗：</w:t>
      </w:r>
      <w:r>
        <w:rPr>
          <w:rStyle w:val="a8"/>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62412C" w:rsidRDefault="0031061A">
      <w:pPr>
        <w:ind w:firstLineChars="200" w:firstLine="640"/>
        <w:rPr>
          <w:rFonts w:hAnsi="仿宋"/>
        </w:rPr>
      </w:pPr>
      <w:r>
        <w:rPr>
          <w:rFonts w:ascii="仿宋_GB2312" w:eastAsia="仿宋_GB2312" w:hAnsi="仿宋_GB2312" w:cs="仿宋_GB2312" w:hint="eastAsia"/>
          <w:sz w:val="32"/>
          <w:szCs w:val="32"/>
        </w:rPr>
        <w:t>18、住房公积金：反映行政事业单位按人力资源和社会保障部、财政部规定的基本工资和津贴补贴以及规定比例为职工缴纳的住房公积金</w:t>
      </w:r>
      <w:r>
        <w:rPr>
          <w:rFonts w:hAnsi="仿宋" w:hint="eastAsia"/>
        </w:rPr>
        <w:t>。</w:t>
      </w:r>
    </w:p>
    <w:p w:rsidR="0062412C" w:rsidRDefault="0031061A">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19、</w:t>
      </w:r>
      <w:r>
        <w:rPr>
          <w:rFonts w:ascii="仿宋" w:eastAsia="仿宋" w:hAnsi="仿宋" w:cs="仿宋" w:hint="eastAsia"/>
          <w:sz w:val="32"/>
          <w:szCs w:val="32"/>
        </w:rPr>
        <w:t>其他支出：反映除上述项目以外其他不能划分到具体功能科目中的支出项目。</w:t>
      </w:r>
    </w:p>
    <w:p w:rsidR="0062412C" w:rsidRDefault="0031061A">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20、</w:t>
      </w:r>
      <w:r>
        <w:rPr>
          <w:rFonts w:ascii="仿宋" w:eastAsia="仿宋" w:hAnsi="仿宋" w:cs="仿宋" w:hint="eastAsia"/>
          <w:sz w:val="32"/>
          <w:szCs w:val="32"/>
        </w:rPr>
        <w:t>年末结转和结余：指本年度或以前年度预算安排、因客观条件发生变化无法按原计划实施，需延迟到以后年度按有关规定继续使用的资金。</w:t>
      </w:r>
    </w:p>
    <w:p w:rsidR="0062412C" w:rsidRDefault="0031061A">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21、</w:t>
      </w:r>
      <w:r>
        <w:rPr>
          <w:rFonts w:ascii="仿宋" w:eastAsia="仿宋" w:hAnsi="仿宋" w:cs="仿宋" w:hint="eastAsia"/>
          <w:sz w:val="32"/>
          <w:szCs w:val="32"/>
        </w:rPr>
        <w:t>基本支出：指为保障机构正常运转、完成日常工作任务而发生的人员支出和公用支出。</w:t>
      </w:r>
    </w:p>
    <w:p w:rsidR="0062412C" w:rsidRDefault="0031061A">
      <w:pPr>
        <w:ind w:firstLineChars="200" w:firstLine="640"/>
        <w:rPr>
          <w:rFonts w:ascii="仿宋" w:eastAsia="仿宋" w:hAnsi="仿宋" w:cs="仿宋"/>
          <w:sz w:val="32"/>
          <w:szCs w:val="32"/>
        </w:rPr>
      </w:pPr>
      <w:r>
        <w:rPr>
          <w:rFonts w:ascii="仿宋" w:eastAsia="仿宋" w:hAnsi="仿宋" w:cs="仿宋" w:hint="eastAsia"/>
          <w:sz w:val="32"/>
          <w:szCs w:val="32"/>
        </w:rPr>
        <w:lastRenderedPageBreak/>
        <w:t xml:space="preserve">22、项目支出：指在基本支出之外为完成特定行政任务和事业发展目标所发生的支出。 </w:t>
      </w:r>
    </w:p>
    <w:p w:rsidR="0062412C" w:rsidRDefault="0031061A">
      <w:pPr>
        <w:ind w:firstLineChars="200" w:firstLine="640"/>
        <w:rPr>
          <w:rFonts w:ascii="仿宋_GB2312" w:eastAsia="仿宋_GB2312"/>
          <w:color w:val="000000"/>
          <w:sz w:val="32"/>
          <w:szCs w:val="32"/>
        </w:rPr>
      </w:pPr>
      <w:r>
        <w:rPr>
          <w:rFonts w:ascii="仿宋" w:eastAsia="仿宋" w:hAnsi="仿宋" w:cs="仿宋" w:hint="eastAsia"/>
          <w:sz w:val="32"/>
          <w:szCs w:val="32"/>
        </w:rPr>
        <w:t>23、“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rsidP="00EC5290">
      <w:pPr>
        <w:spacing w:line="600" w:lineRule="exact"/>
        <w:outlineLvl w:val="0"/>
        <w:rPr>
          <w:rFonts w:ascii="黑体" w:eastAsia="黑体" w:hAnsi="黑体"/>
          <w:color w:val="000000"/>
          <w:sz w:val="44"/>
          <w:szCs w:val="44"/>
        </w:rPr>
      </w:pPr>
      <w:bookmarkStart w:id="57" w:name="_Toc15396614"/>
      <w:bookmarkStart w:id="58" w:name="_Toc15377226"/>
    </w:p>
    <w:p w:rsidR="001E739B" w:rsidRDefault="001E739B" w:rsidP="00EC5290">
      <w:pPr>
        <w:spacing w:line="600" w:lineRule="exact"/>
        <w:outlineLvl w:val="0"/>
        <w:rPr>
          <w:rFonts w:ascii="黑体" w:eastAsia="黑体" w:hAnsi="黑体"/>
          <w:color w:val="000000"/>
          <w:sz w:val="44"/>
          <w:szCs w:val="44"/>
        </w:rPr>
      </w:pPr>
    </w:p>
    <w:p w:rsidR="001E739B" w:rsidRDefault="001E739B" w:rsidP="00EC5290">
      <w:pPr>
        <w:spacing w:line="600" w:lineRule="exact"/>
        <w:outlineLvl w:val="0"/>
        <w:rPr>
          <w:rFonts w:ascii="黑体" w:eastAsia="黑体" w:hAnsi="黑体"/>
          <w:color w:val="000000"/>
          <w:sz w:val="44"/>
          <w:szCs w:val="44"/>
        </w:rPr>
      </w:pPr>
    </w:p>
    <w:p w:rsidR="001E739B" w:rsidRDefault="001E739B" w:rsidP="00EC5290">
      <w:pPr>
        <w:spacing w:line="600" w:lineRule="exact"/>
        <w:outlineLvl w:val="0"/>
        <w:rPr>
          <w:rFonts w:ascii="黑体" w:eastAsia="黑体" w:hAnsi="黑体"/>
          <w:color w:val="000000"/>
          <w:sz w:val="44"/>
          <w:szCs w:val="44"/>
        </w:rPr>
      </w:pPr>
    </w:p>
    <w:p w:rsidR="001E739B" w:rsidRDefault="001E739B" w:rsidP="00EC5290">
      <w:pPr>
        <w:spacing w:line="600" w:lineRule="exact"/>
        <w:outlineLvl w:val="0"/>
        <w:rPr>
          <w:rFonts w:ascii="黑体" w:eastAsia="黑体" w:hAnsi="黑体"/>
          <w:color w:val="000000"/>
          <w:sz w:val="44"/>
          <w:szCs w:val="44"/>
        </w:rPr>
      </w:pPr>
    </w:p>
    <w:p w:rsidR="0062412C" w:rsidRDefault="0031061A">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b w:val="0"/>
        </w:rPr>
        <w:t>四部分 附件</w:t>
      </w:r>
      <w:bookmarkEnd w:id="57"/>
    </w:p>
    <w:p w:rsidR="0062412C" w:rsidRDefault="0031061A">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lastRenderedPageBreak/>
        <w:t>附件1</w:t>
      </w:r>
    </w:p>
    <w:p w:rsidR="0062412C" w:rsidRDefault="0062412C">
      <w:pPr>
        <w:spacing w:line="580" w:lineRule="exact"/>
        <w:jc w:val="center"/>
        <w:rPr>
          <w:rFonts w:ascii="方正小标宋简体" w:eastAsia="方正小标宋简体" w:hAnsi="方正小标宋简体" w:cs="方正小标宋简体"/>
          <w:sz w:val="44"/>
          <w:szCs w:val="44"/>
        </w:rPr>
      </w:pPr>
    </w:p>
    <w:p w:rsidR="0062412C" w:rsidRDefault="0031061A">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峨眉山市</w:t>
      </w:r>
      <w:r w:rsidR="00FB300E">
        <w:rPr>
          <w:rFonts w:ascii="方正小标宋简体" w:eastAsia="方正小标宋简体" w:hAnsi="宋体" w:hint="eastAsia"/>
          <w:color w:val="000000"/>
          <w:kern w:val="0"/>
          <w:sz w:val="40"/>
          <w:szCs w:val="44"/>
        </w:rPr>
        <w:t>普兴乡</w:t>
      </w:r>
      <w:r>
        <w:rPr>
          <w:rFonts w:ascii="方正小标宋简体" w:eastAsia="方正小标宋简体" w:hAnsi="宋体" w:hint="eastAsia"/>
          <w:color w:val="000000"/>
          <w:kern w:val="0"/>
          <w:sz w:val="40"/>
          <w:szCs w:val="44"/>
        </w:rPr>
        <w:t>卫生院</w:t>
      </w:r>
    </w:p>
    <w:p w:rsidR="0062412C" w:rsidRDefault="0031061A">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color w:val="000000"/>
          <w:kern w:val="0"/>
          <w:sz w:val="40"/>
          <w:szCs w:val="44"/>
        </w:rPr>
        <w:t>2019年部门</w:t>
      </w:r>
      <w:r>
        <w:rPr>
          <w:rFonts w:ascii="方正小标宋简体" w:eastAsia="方正小标宋简体" w:hAnsi="宋体" w:hint="eastAsia"/>
          <w:color w:val="000000"/>
          <w:kern w:val="0"/>
          <w:sz w:val="40"/>
          <w:szCs w:val="44"/>
          <w:lang w:val="zh-CN"/>
        </w:rPr>
        <w:t>整体支出绩效评价报告</w:t>
      </w:r>
    </w:p>
    <w:p w:rsidR="0062412C" w:rsidRDefault="0062412C">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（一）机构组成：峨眉山市</w:t>
      </w:r>
      <w:r w:rsidR="00FB300E">
        <w:rPr>
          <w:rFonts w:ascii="仿宋_GB2312" w:eastAsia="仿宋_GB2312" w:hAnsi="宋体" w:cs="宋体" w:hint="eastAsia"/>
          <w:color w:val="000000"/>
          <w:kern w:val="0"/>
          <w:sz w:val="32"/>
          <w:szCs w:val="32"/>
          <w:shd w:val="clear" w:color="auto" w:fill="FFFFFF"/>
          <w:lang w:val="zh-CN"/>
        </w:rPr>
        <w:t>普兴乡</w:t>
      </w:r>
      <w:r>
        <w:rPr>
          <w:rFonts w:ascii="仿宋_GB2312" w:eastAsia="仿宋_GB2312" w:hAnsi="宋体" w:cs="宋体" w:hint="eastAsia"/>
          <w:color w:val="000000"/>
          <w:kern w:val="0"/>
          <w:sz w:val="32"/>
          <w:szCs w:val="32"/>
          <w:shd w:val="clear" w:color="auto" w:fill="FFFFFF"/>
          <w:lang w:val="zh-CN"/>
        </w:rPr>
        <w:t>卫生院为峨眉山市卫生健康局下属基层医疗单位，为独立核算机构。</w:t>
      </w:r>
    </w:p>
    <w:p w:rsidR="0062412C" w:rsidRDefault="0031061A">
      <w:pPr>
        <w:snapToGrid w:val="0"/>
        <w:spacing w:line="588" w:lineRule="exact"/>
        <w:ind w:firstLineChars="200" w:firstLine="640"/>
        <w:rPr>
          <w:rFonts w:ascii="仿宋" w:eastAsia="仿宋" w:hAnsi="仿宋"/>
          <w:sz w:val="32"/>
          <w:szCs w:val="32"/>
        </w:rPr>
      </w:pPr>
      <w:r>
        <w:rPr>
          <w:rFonts w:ascii="仿宋_GB2312" w:eastAsia="仿宋_GB2312" w:hAnsi="宋体" w:cs="宋体" w:hint="eastAsia"/>
          <w:color w:val="000000"/>
          <w:kern w:val="0"/>
          <w:sz w:val="32"/>
          <w:szCs w:val="32"/>
          <w:shd w:val="clear" w:color="auto" w:fill="FFFFFF"/>
          <w:lang w:val="zh-CN"/>
        </w:rPr>
        <w:t>（二）机构职能：</w:t>
      </w: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（三）人员概况：峨眉山市</w:t>
      </w:r>
      <w:r w:rsidR="00FB300E">
        <w:rPr>
          <w:rFonts w:ascii="仿宋_GB2312" w:eastAsia="仿宋_GB2312" w:hAnsi="宋体" w:cs="宋体" w:hint="eastAsia"/>
          <w:color w:val="000000"/>
          <w:kern w:val="0"/>
          <w:sz w:val="32"/>
          <w:szCs w:val="32"/>
          <w:shd w:val="clear" w:color="auto" w:fill="FFFFFF"/>
          <w:lang w:val="zh-CN"/>
        </w:rPr>
        <w:t>普兴乡</w:t>
      </w:r>
      <w:r>
        <w:rPr>
          <w:rFonts w:ascii="仿宋_GB2312" w:eastAsia="仿宋_GB2312" w:hAnsi="宋体" w:cs="宋体" w:hint="eastAsia"/>
          <w:color w:val="000000"/>
          <w:kern w:val="0"/>
          <w:sz w:val="32"/>
          <w:szCs w:val="32"/>
          <w:shd w:val="clear" w:color="auto" w:fill="FFFFFF"/>
          <w:lang w:val="zh-CN"/>
        </w:rPr>
        <w:t>卫生院</w:t>
      </w:r>
      <w:r>
        <w:rPr>
          <w:rFonts w:ascii="仿宋_GB2312" w:eastAsia="仿宋_GB2312" w:hAnsi="宋体" w:cs="宋体" w:hint="eastAsia"/>
          <w:color w:val="000000"/>
          <w:kern w:val="0"/>
          <w:sz w:val="32"/>
          <w:szCs w:val="32"/>
          <w:shd w:val="clear" w:color="auto" w:fill="FFFFFF"/>
        </w:rPr>
        <w:t>2019年年末实有人数</w:t>
      </w:r>
      <w:r w:rsidR="000A376C">
        <w:rPr>
          <w:rFonts w:ascii="仿宋_GB2312" w:eastAsia="仿宋_GB2312" w:hAnsi="宋体" w:cs="宋体" w:hint="eastAsia"/>
          <w:color w:val="000000"/>
          <w:kern w:val="0"/>
          <w:sz w:val="32"/>
          <w:szCs w:val="32"/>
          <w:shd w:val="clear" w:color="auto" w:fill="FFFFFF"/>
        </w:rPr>
        <w:t>5</w:t>
      </w:r>
      <w:r>
        <w:rPr>
          <w:rFonts w:ascii="仿宋_GB2312" w:eastAsia="仿宋_GB2312" w:hAnsi="宋体" w:cs="宋体" w:hint="eastAsia"/>
          <w:color w:val="000000"/>
          <w:kern w:val="0"/>
          <w:sz w:val="32"/>
          <w:szCs w:val="32"/>
          <w:shd w:val="clear" w:color="auto" w:fill="FFFFFF"/>
        </w:rPr>
        <w:t>人。</w:t>
      </w: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（一）部门财政资金收入情况：本单位</w:t>
      </w:r>
      <w:r>
        <w:rPr>
          <w:rFonts w:ascii="仿宋_GB2312" w:eastAsia="仿宋_GB2312" w:hAnsi="宋体" w:cs="宋体" w:hint="eastAsia"/>
          <w:color w:val="000000"/>
          <w:kern w:val="0"/>
          <w:sz w:val="32"/>
          <w:szCs w:val="32"/>
          <w:shd w:val="clear" w:color="auto" w:fill="FFFFFF"/>
        </w:rPr>
        <w:t>2019年财政资金收入为</w:t>
      </w:r>
      <w:r w:rsidR="00EC5290">
        <w:rPr>
          <w:rFonts w:ascii="仿宋_GB2312" w:eastAsia="仿宋_GB2312" w:hAnsi="宋体" w:cs="宋体" w:hint="eastAsia"/>
          <w:color w:val="000000"/>
          <w:kern w:val="0"/>
          <w:sz w:val="32"/>
          <w:szCs w:val="32"/>
          <w:shd w:val="clear" w:color="auto" w:fill="FFFFFF"/>
        </w:rPr>
        <w:t>120.95</w:t>
      </w:r>
      <w:r>
        <w:rPr>
          <w:rFonts w:ascii="仿宋_GB2312" w:eastAsia="仿宋_GB2312" w:hAnsi="宋体" w:cs="宋体" w:hint="eastAsia"/>
          <w:color w:val="000000"/>
          <w:kern w:val="0"/>
          <w:sz w:val="32"/>
          <w:szCs w:val="32"/>
          <w:shd w:val="clear" w:color="auto" w:fill="FFFFFF"/>
        </w:rPr>
        <w:t>万元，其中一般公共预算财政拨款</w:t>
      </w:r>
      <w:r w:rsidR="00EC5290">
        <w:rPr>
          <w:rFonts w:ascii="仿宋_GB2312" w:eastAsia="仿宋_GB2312" w:hAnsi="宋体" w:cs="宋体" w:hint="eastAsia"/>
          <w:color w:val="000000"/>
          <w:kern w:val="0"/>
          <w:sz w:val="32"/>
          <w:szCs w:val="32"/>
          <w:shd w:val="clear" w:color="auto" w:fill="FFFFFF"/>
        </w:rPr>
        <w:t>117.05</w:t>
      </w:r>
      <w:r>
        <w:rPr>
          <w:rFonts w:ascii="仿宋_GB2312" w:eastAsia="仿宋_GB2312" w:hAnsi="宋体" w:cs="宋体" w:hint="eastAsia"/>
          <w:color w:val="000000"/>
          <w:kern w:val="0"/>
          <w:sz w:val="32"/>
          <w:szCs w:val="32"/>
          <w:shd w:val="clear" w:color="auto" w:fill="FFFFFF"/>
        </w:rPr>
        <w:t>万元，政府性基金预算财政拨款3.</w:t>
      </w:r>
      <w:r w:rsidR="00FB300E">
        <w:rPr>
          <w:rFonts w:ascii="仿宋_GB2312" w:eastAsia="仿宋_GB2312" w:hAnsi="宋体" w:cs="宋体" w:hint="eastAsia"/>
          <w:color w:val="000000"/>
          <w:kern w:val="0"/>
          <w:sz w:val="32"/>
          <w:szCs w:val="32"/>
          <w:shd w:val="clear" w:color="auto" w:fill="FFFFFF"/>
        </w:rPr>
        <w:t>90</w:t>
      </w:r>
      <w:r>
        <w:rPr>
          <w:rFonts w:ascii="仿宋_GB2312" w:eastAsia="仿宋_GB2312" w:hAnsi="宋体" w:cs="宋体" w:hint="eastAsia"/>
          <w:color w:val="000000"/>
          <w:kern w:val="0"/>
          <w:sz w:val="32"/>
          <w:szCs w:val="32"/>
          <w:shd w:val="clear" w:color="auto" w:fill="FFFFFF"/>
        </w:rPr>
        <w:t>万元。</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lastRenderedPageBreak/>
        <w:t>（二）部门财政资金支出情况：本单位</w:t>
      </w:r>
      <w:r>
        <w:rPr>
          <w:rFonts w:ascii="仿宋_GB2312" w:eastAsia="仿宋_GB2312" w:hAnsi="宋体" w:cs="宋体" w:hint="eastAsia"/>
          <w:color w:val="000000"/>
          <w:kern w:val="0"/>
          <w:sz w:val="32"/>
          <w:szCs w:val="32"/>
          <w:shd w:val="clear" w:color="auto" w:fill="FFFFFF"/>
        </w:rPr>
        <w:t>2019年财政资金支出为</w:t>
      </w:r>
      <w:r w:rsidR="00FB300E">
        <w:rPr>
          <w:rFonts w:ascii="仿宋_GB2312" w:eastAsia="仿宋_GB2312" w:hAnsi="宋体" w:cs="宋体" w:hint="eastAsia"/>
          <w:color w:val="000000"/>
          <w:kern w:val="0"/>
          <w:sz w:val="32"/>
          <w:szCs w:val="32"/>
          <w:shd w:val="clear" w:color="auto" w:fill="FFFFFF"/>
        </w:rPr>
        <w:t>132.60</w:t>
      </w:r>
      <w:r>
        <w:rPr>
          <w:rFonts w:ascii="仿宋_GB2312" w:eastAsia="仿宋_GB2312" w:hAnsi="宋体" w:cs="宋体" w:hint="eastAsia"/>
          <w:color w:val="000000"/>
          <w:kern w:val="0"/>
          <w:sz w:val="32"/>
          <w:szCs w:val="32"/>
          <w:shd w:val="clear" w:color="auto" w:fill="FFFFFF"/>
        </w:rPr>
        <w:t>万元。其中一般公共预算财政拨款支出为</w:t>
      </w:r>
      <w:r w:rsidR="00FB300E">
        <w:rPr>
          <w:rFonts w:ascii="仿宋_GB2312" w:eastAsia="仿宋_GB2312" w:hAnsi="宋体" w:cs="宋体" w:hint="eastAsia"/>
          <w:color w:val="000000"/>
          <w:kern w:val="0"/>
          <w:sz w:val="32"/>
          <w:szCs w:val="32"/>
          <w:shd w:val="clear" w:color="auto" w:fill="FFFFFF"/>
        </w:rPr>
        <w:t>128.70</w:t>
      </w:r>
      <w:r>
        <w:rPr>
          <w:rFonts w:ascii="仿宋_GB2312" w:eastAsia="仿宋_GB2312" w:hAnsi="宋体" w:cs="宋体" w:hint="eastAsia"/>
          <w:color w:val="000000"/>
          <w:kern w:val="0"/>
          <w:sz w:val="32"/>
          <w:szCs w:val="32"/>
          <w:shd w:val="clear" w:color="auto" w:fill="FFFFFF"/>
        </w:rPr>
        <w:t>万元，政府性基金预算财政拨款支出为3.</w:t>
      </w:r>
      <w:r w:rsidR="00FB300E">
        <w:rPr>
          <w:rFonts w:ascii="仿宋_GB2312" w:eastAsia="仿宋_GB2312" w:hAnsi="宋体" w:cs="宋体" w:hint="eastAsia"/>
          <w:color w:val="000000"/>
          <w:kern w:val="0"/>
          <w:sz w:val="32"/>
          <w:szCs w:val="32"/>
          <w:shd w:val="clear" w:color="auto" w:fill="FFFFFF"/>
        </w:rPr>
        <w:t>90</w:t>
      </w:r>
      <w:r>
        <w:rPr>
          <w:rFonts w:ascii="仿宋_GB2312" w:eastAsia="仿宋_GB2312" w:hAnsi="宋体" w:cs="宋体" w:hint="eastAsia"/>
          <w:color w:val="000000"/>
          <w:kern w:val="0"/>
          <w:sz w:val="32"/>
          <w:szCs w:val="32"/>
          <w:shd w:val="clear" w:color="auto" w:fill="FFFFFF"/>
        </w:rPr>
        <w:t>万元。</w:t>
      </w: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62412C" w:rsidRDefault="0031061A">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201</w:t>
      </w:r>
      <w:r>
        <w:rPr>
          <w:rFonts w:ascii="仿宋_GB2312" w:eastAsia="仿宋_GB2312" w:hAnsi="仿宋_GB2312" w:cs="仿宋_GB2312" w:hint="eastAsia"/>
          <w:color w:val="000000"/>
          <w:kern w:val="0"/>
          <w:sz w:val="32"/>
          <w:szCs w:val="32"/>
          <w:shd w:val="clear" w:color="auto" w:fill="FFFFFF"/>
        </w:rPr>
        <w:t>9</w:t>
      </w:r>
      <w:r>
        <w:rPr>
          <w:rFonts w:ascii="仿宋_GB2312" w:eastAsia="仿宋_GB2312" w:hAnsi="仿宋_GB2312" w:cs="仿宋_GB2312" w:hint="eastAsia"/>
          <w:color w:val="000000"/>
          <w:kern w:val="0"/>
          <w:sz w:val="32"/>
          <w:szCs w:val="32"/>
          <w:shd w:val="clear" w:color="auto" w:fill="FFFFFF"/>
          <w:lang w:val="zh-CN"/>
        </w:rPr>
        <w:t>年我院按事业编制差额预算单位进行基本支出预算，根据人社部门核定的人员工资进行预算编制；基本支出按人社部门核定的人员工资及地方津补贴的60%进行预算编制；</w:t>
      </w:r>
    </w:p>
    <w:p w:rsidR="0062412C" w:rsidRDefault="0031061A">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201</w:t>
      </w:r>
      <w:r>
        <w:rPr>
          <w:rFonts w:ascii="仿宋_GB2312" w:eastAsia="仿宋_GB2312" w:hAnsi="仿宋_GB2312" w:cs="仿宋_GB2312" w:hint="eastAsia"/>
          <w:color w:val="000000"/>
          <w:kern w:val="0"/>
          <w:sz w:val="32"/>
          <w:szCs w:val="32"/>
          <w:shd w:val="clear" w:color="auto" w:fill="FFFFFF"/>
        </w:rPr>
        <w:t>9</w:t>
      </w:r>
      <w:r>
        <w:rPr>
          <w:rFonts w:ascii="仿宋_GB2312" w:eastAsia="仿宋_GB2312" w:hAnsi="仿宋_GB2312" w:cs="仿宋_GB2312" w:hint="eastAsia"/>
          <w:color w:val="000000"/>
          <w:kern w:val="0"/>
          <w:sz w:val="32"/>
          <w:szCs w:val="32"/>
          <w:shd w:val="clear" w:color="auto" w:fill="FFFFFF"/>
          <w:lang w:val="zh-CN"/>
        </w:rPr>
        <w:t>年事业收入预算根据单位的工作开展要求编制单位事业收入预算。</w:t>
      </w:r>
    </w:p>
    <w:p w:rsidR="0062412C" w:rsidRDefault="0031061A">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2019年我院预算经人大批准，收到财政资金</w:t>
      </w:r>
      <w:r w:rsidR="00FB300E">
        <w:rPr>
          <w:rFonts w:ascii="仿宋_GB2312" w:eastAsia="仿宋_GB2312" w:hAnsi="仿宋_GB2312" w:cs="仿宋_GB2312" w:hint="eastAsia"/>
          <w:color w:val="000000"/>
          <w:kern w:val="0"/>
          <w:sz w:val="32"/>
          <w:szCs w:val="32"/>
          <w:shd w:val="clear" w:color="auto" w:fill="FFFFFF"/>
        </w:rPr>
        <w:t>120.95</w:t>
      </w:r>
      <w:r>
        <w:rPr>
          <w:rFonts w:ascii="仿宋_GB2312" w:eastAsia="仿宋_GB2312" w:hAnsi="仿宋_GB2312" w:cs="仿宋_GB2312" w:hint="eastAsia"/>
          <w:color w:val="000000"/>
          <w:kern w:val="0"/>
          <w:sz w:val="32"/>
          <w:szCs w:val="32"/>
          <w:shd w:val="clear" w:color="auto" w:fill="FFFFFF"/>
        </w:rPr>
        <w:t>万元，其中基本资金</w:t>
      </w:r>
      <w:r w:rsidR="00FB300E">
        <w:rPr>
          <w:rFonts w:ascii="仿宋_GB2312" w:eastAsia="仿宋_GB2312" w:hAnsi="仿宋_GB2312" w:cs="仿宋_GB2312" w:hint="eastAsia"/>
          <w:color w:val="000000"/>
          <w:kern w:val="0"/>
          <w:sz w:val="32"/>
          <w:szCs w:val="32"/>
          <w:shd w:val="clear" w:color="auto" w:fill="FFFFFF"/>
        </w:rPr>
        <w:t>15.52</w:t>
      </w:r>
      <w:r>
        <w:rPr>
          <w:rFonts w:ascii="仿宋_GB2312" w:eastAsia="仿宋_GB2312" w:hAnsi="仿宋_GB2312" w:cs="仿宋_GB2312" w:hint="eastAsia"/>
          <w:color w:val="000000"/>
          <w:kern w:val="0"/>
          <w:sz w:val="32"/>
          <w:szCs w:val="32"/>
          <w:shd w:val="clear" w:color="auto" w:fill="FFFFFF"/>
        </w:rPr>
        <w:t>万元，项目资金</w:t>
      </w:r>
      <w:r w:rsidR="00FB300E">
        <w:rPr>
          <w:rFonts w:ascii="仿宋_GB2312" w:eastAsia="仿宋_GB2312" w:hAnsi="仿宋_GB2312" w:cs="仿宋_GB2312" w:hint="eastAsia"/>
          <w:color w:val="000000"/>
          <w:kern w:val="0"/>
          <w:sz w:val="32"/>
          <w:szCs w:val="32"/>
          <w:shd w:val="clear" w:color="auto" w:fill="FFFFFF"/>
        </w:rPr>
        <w:t>105.43</w:t>
      </w:r>
      <w:r>
        <w:rPr>
          <w:rFonts w:ascii="仿宋_GB2312" w:eastAsia="仿宋_GB2312" w:hAnsi="仿宋_GB2312" w:cs="仿宋_GB2312" w:hint="eastAsia"/>
          <w:color w:val="000000"/>
          <w:kern w:val="0"/>
          <w:sz w:val="32"/>
          <w:szCs w:val="32"/>
          <w:shd w:val="clear" w:color="auto" w:fill="FFFFFF"/>
        </w:rPr>
        <w:t>万元。</w:t>
      </w:r>
    </w:p>
    <w:p w:rsidR="0062412C" w:rsidRDefault="0031061A">
      <w:pPr>
        <w:widowControl/>
        <w:adjustRightInd w:val="0"/>
        <w:snapToGrid w:val="0"/>
        <w:spacing w:line="580" w:lineRule="exact"/>
        <w:ind w:firstLineChars="200" w:firstLine="640"/>
        <w:contextualSpacing/>
        <w:jc w:val="left"/>
        <w:rPr>
          <w:rFonts w:ascii="仿宋_GB2312" w:eastAsia="仿宋_GB2312" w:hAnsi="仿宋_GB2312" w:cs="仿宋_GB2312"/>
          <w:color w:val="000000"/>
          <w:kern w:val="0"/>
          <w:sz w:val="32"/>
          <w:szCs w:val="32"/>
          <w:shd w:val="clear" w:color="auto" w:fill="FFFFFF"/>
        </w:rPr>
      </w:pPr>
      <w:r w:rsidRPr="00EF3A72">
        <w:rPr>
          <w:rFonts w:ascii="仿宋" w:eastAsia="仿宋" w:hAnsi="仿宋" w:cs="仿宋" w:hint="eastAsia"/>
          <w:color w:val="333333"/>
          <w:sz w:val="32"/>
          <w:szCs w:val="32"/>
        </w:rPr>
        <w:t>（二）预算编制原则</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为了使单位预算编制科学化、规范化、法制化，我院特制定预算管理办法。</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（1）必须以党和国家的方针政策以及各项法律法规为依据。</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（2）必须以收支平衡、略有结余为准则。</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（3）必须遵循完整性原则。单位的预算必须包括单位的全部财务收支，不得遗漏。</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lastRenderedPageBreak/>
        <w:t xml:space="preserve">　（4）必须遵循真实性原则。单位的预算收支项目的数字必须依据充分确定的资料，按批准部门认可的计算依据和计算方法计算得来，不允许估算。</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（5）统一性原则。预算编制必须按照统一的预算科目和规定的收支标准、程序进行计算编制。</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（6）年度性原则。要求各事业单位的预算必须按财政年度进行编制。</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（三）部门预算的执行</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制定实施预算的各项管理制度和管理办法。为了保证预算的完全执行，预算编审班子制定了一系列的管理制度和管理办法。及时、真实、准确反映预算执行情况。各部门要按照财政部门的要求，认真编制预算执行情况表及相关报表，认真编写预算执行情况说明。</w:t>
      </w:r>
    </w:p>
    <w:p w:rsidR="0062412C" w:rsidRDefault="0031061A" w:rsidP="00FB33B3">
      <w:pPr>
        <w:widowControl/>
        <w:adjustRightInd w:val="0"/>
        <w:snapToGrid w:val="0"/>
        <w:spacing w:line="580" w:lineRule="exact"/>
        <w:ind w:leftChars="200" w:left="420" w:firstLineChars="100" w:firstLine="32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（四）结果应用情况。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我院当年预算报经财政部门审核通过后，经财政部门数据反馈最终进行本单位预算批复通报，实施当年预算结果。</w:t>
      </w:r>
    </w:p>
    <w:p w:rsidR="0062412C" w:rsidRDefault="0062412C" w:rsidP="00FB33B3">
      <w:pPr>
        <w:widowControl/>
        <w:adjustRightInd w:val="0"/>
        <w:snapToGrid w:val="0"/>
        <w:spacing w:line="580" w:lineRule="exact"/>
        <w:ind w:leftChars="200" w:left="420"/>
        <w:contextualSpacing/>
        <w:jc w:val="left"/>
        <w:rPr>
          <w:rFonts w:ascii="仿宋_GB2312" w:eastAsia="仿宋_GB2312" w:hAnsi="宋体" w:cs="宋体"/>
          <w:color w:val="000000"/>
          <w:kern w:val="0"/>
          <w:sz w:val="32"/>
          <w:szCs w:val="32"/>
          <w:shd w:val="clear" w:color="auto" w:fill="FFFFFF"/>
          <w:lang w:val="zh-CN"/>
        </w:rPr>
      </w:pP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（一）评价结论：我单位严格按照预算管理要求实施当年工作目标任务。</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（二）存在问题：个别经费拨付不及时，且个别项目先做事后拨款，考核不及时而造成当年结转资金大。</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lastRenderedPageBreak/>
        <w:t>（三）改进建议：建议各部门按项目预算要求和原则，按时对项目进行考核，及时拨付项目资金。</w:t>
      </w: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rsidP="001E739B">
      <w:pPr>
        <w:spacing w:line="600" w:lineRule="exact"/>
        <w:outlineLvl w:val="0"/>
        <w:rPr>
          <w:rStyle w:val="1Char"/>
          <w:rFonts w:ascii="黑体" w:eastAsia="黑体" w:hAnsi="黑体"/>
          <w:b w:val="0"/>
        </w:rPr>
      </w:pPr>
    </w:p>
    <w:p w:rsidR="0062412C" w:rsidRDefault="0031061A">
      <w:pPr>
        <w:spacing w:line="600" w:lineRule="exact"/>
        <w:jc w:val="center"/>
        <w:outlineLvl w:val="0"/>
        <w:rPr>
          <w:rStyle w:val="1Char"/>
          <w:rFonts w:ascii="黑体" w:eastAsia="黑体" w:hAnsi="黑体"/>
          <w:b w:val="0"/>
        </w:rPr>
      </w:pPr>
      <w:bookmarkStart w:id="59" w:name="_Toc15396618"/>
      <w:r>
        <w:rPr>
          <w:rFonts w:ascii="黑体" w:eastAsia="黑体" w:hAnsi="黑体" w:hint="eastAsia"/>
          <w:color w:val="000000"/>
          <w:sz w:val="44"/>
          <w:szCs w:val="44"/>
        </w:rPr>
        <w:lastRenderedPageBreak/>
        <w:t>第</w:t>
      </w:r>
      <w:r>
        <w:rPr>
          <w:rStyle w:val="1Char"/>
          <w:rFonts w:ascii="黑体" w:eastAsia="黑体" w:hAnsi="黑体" w:hint="eastAsia"/>
          <w:b w:val="0"/>
        </w:rPr>
        <w:t>五部分 附表</w:t>
      </w:r>
      <w:bookmarkEnd w:id="58"/>
      <w:bookmarkEnd w:id="59"/>
    </w:p>
    <w:p w:rsidR="0062412C" w:rsidRDefault="0062412C">
      <w:pPr>
        <w:spacing w:line="600" w:lineRule="exact"/>
        <w:jc w:val="center"/>
        <w:outlineLvl w:val="0"/>
        <w:rPr>
          <w:rFonts w:ascii="仿宋" w:eastAsia="仿宋" w:hAnsi="仿宋"/>
          <w:b/>
          <w:color w:val="000000"/>
          <w:sz w:val="44"/>
          <w:szCs w:val="44"/>
        </w:rPr>
      </w:pPr>
    </w:p>
    <w:p w:rsidR="0062412C" w:rsidRDefault="0031061A">
      <w:pPr>
        <w:pStyle w:val="2"/>
        <w:rPr>
          <w:rFonts w:ascii="仿宋" w:eastAsia="仿宋" w:hAnsi="仿宋"/>
          <w:color w:val="000000"/>
        </w:rPr>
      </w:pPr>
      <w:bookmarkStart w:id="60" w:name="_Toc15396619"/>
      <w:r>
        <w:rPr>
          <w:rFonts w:ascii="仿宋" w:eastAsia="仿宋" w:hAnsi="仿宋" w:hint="eastAsia"/>
          <w:b w:val="0"/>
          <w:color w:val="000000"/>
        </w:rPr>
        <w:t>一、收</w:t>
      </w:r>
      <w:r>
        <w:rPr>
          <w:rStyle w:val="2Char"/>
          <w:rFonts w:ascii="仿宋" w:eastAsia="仿宋" w:hAnsi="仿宋" w:hint="eastAsia"/>
        </w:rPr>
        <w:t>入支出决算总表</w:t>
      </w:r>
      <w:bookmarkEnd w:id="60"/>
    </w:p>
    <w:p w:rsidR="0062412C" w:rsidRDefault="0031061A">
      <w:pPr>
        <w:pStyle w:val="2"/>
        <w:rPr>
          <w:rFonts w:ascii="仿宋" w:eastAsia="仿宋" w:hAnsi="仿宋"/>
          <w:color w:val="000000"/>
        </w:rPr>
      </w:pPr>
      <w:bookmarkStart w:id="61" w:name="_Toc15396620"/>
      <w:r>
        <w:rPr>
          <w:rFonts w:ascii="仿宋" w:eastAsia="仿宋" w:hAnsi="仿宋" w:hint="eastAsia"/>
          <w:b w:val="0"/>
          <w:color w:val="000000"/>
        </w:rPr>
        <w:t>二、收</w:t>
      </w:r>
      <w:r>
        <w:rPr>
          <w:rStyle w:val="2Char"/>
          <w:rFonts w:ascii="仿宋" w:eastAsia="仿宋" w:hAnsi="仿宋" w:hint="eastAsia"/>
        </w:rPr>
        <w:t>入决算表</w:t>
      </w:r>
      <w:bookmarkEnd w:id="61"/>
    </w:p>
    <w:p w:rsidR="0062412C" w:rsidRDefault="0031061A">
      <w:pPr>
        <w:pStyle w:val="2"/>
        <w:rPr>
          <w:rFonts w:ascii="仿宋" w:eastAsia="仿宋" w:hAnsi="仿宋"/>
          <w:color w:val="000000"/>
        </w:rPr>
      </w:pPr>
      <w:bookmarkStart w:id="62"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2"/>
    </w:p>
    <w:p w:rsidR="0062412C" w:rsidRDefault="0031061A">
      <w:pPr>
        <w:pStyle w:val="2"/>
        <w:rPr>
          <w:rFonts w:ascii="仿宋" w:eastAsia="仿宋" w:hAnsi="仿宋"/>
          <w:b w:val="0"/>
          <w:color w:val="000000"/>
        </w:rPr>
      </w:pPr>
      <w:bookmarkStart w:id="63"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3"/>
    </w:p>
    <w:p w:rsidR="0062412C" w:rsidRDefault="0031061A">
      <w:pPr>
        <w:pStyle w:val="2"/>
        <w:rPr>
          <w:rStyle w:val="2Char"/>
          <w:rFonts w:ascii="仿宋" w:eastAsia="仿宋" w:hAnsi="仿宋"/>
        </w:rPr>
      </w:pPr>
      <w:bookmarkStart w:id="64"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5" w:name="_Toc15396624"/>
      <w:bookmarkEnd w:id="64"/>
    </w:p>
    <w:p w:rsidR="0062412C" w:rsidRDefault="0031061A">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5"/>
    </w:p>
    <w:p w:rsidR="0062412C" w:rsidRDefault="0031061A">
      <w:pPr>
        <w:pStyle w:val="2"/>
        <w:rPr>
          <w:rFonts w:ascii="仿宋" w:eastAsia="仿宋" w:hAnsi="仿宋"/>
          <w:color w:val="000000"/>
        </w:rPr>
      </w:pPr>
      <w:bookmarkStart w:id="66"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6"/>
    </w:p>
    <w:p w:rsidR="0062412C" w:rsidRDefault="0031061A">
      <w:pPr>
        <w:pStyle w:val="2"/>
        <w:rPr>
          <w:rFonts w:ascii="仿宋" w:eastAsia="仿宋" w:hAnsi="仿宋"/>
          <w:color w:val="000000"/>
        </w:rPr>
      </w:pPr>
      <w:bookmarkStart w:id="67"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7"/>
    </w:p>
    <w:p w:rsidR="0062412C" w:rsidRDefault="0031061A">
      <w:pPr>
        <w:pStyle w:val="2"/>
        <w:rPr>
          <w:rFonts w:ascii="仿宋" w:eastAsia="仿宋" w:hAnsi="仿宋"/>
          <w:color w:val="000000"/>
        </w:rPr>
      </w:pPr>
      <w:bookmarkStart w:id="68"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8"/>
    </w:p>
    <w:p w:rsidR="0062412C" w:rsidRDefault="0031061A">
      <w:pPr>
        <w:pStyle w:val="2"/>
        <w:rPr>
          <w:rFonts w:ascii="仿宋" w:eastAsia="仿宋" w:hAnsi="仿宋"/>
          <w:color w:val="000000"/>
        </w:rPr>
      </w:pPr>
      <w:bookmarkStart w:id="69"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9"/>
    </w:p>
    <w:p w:rsidR="0062412C" w:rsidRDefault="0031061A">
      <w:pPr>
        <w:pStyle w:val="2"/>
        <w:rPr>
          <w:rFonts w:ascii="仿宋" w:eastAsia="仿宋" w:hAnsi="仿宋"/>
          <w:color w:val="000000"/>
        </w:rPr>
      </w:pPr>
      <w:bookmarkStart w:id="70"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0"/>
    </w:p>
    <w:p w:rsidR="0062412C" w:rsidRDefault="0031061A">
      <w:pPr>
        <w:pStyle w:val="2"/>
        <w:rPr>
          <w:rFonts w:ascii="仿宋" w:eastAsia="仿宋" w:hAnsi="仿宋"/>
          <w:color w:val="000000"/>
        </w:rPr>
      </w:pPr>
      <w:bookmarkStart w:id="71"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1"/>
    </w:p>
    <w:p w:rsidR="0062412C" w:rsidRDefault="0031061A">
      <w:pPr>
        <w:pStyle w:val="2"/>
        <w:rPr>
          <w:rFonts w:ascii="仿宋" w:eastAsia="仿宋" w:hAnsi="仿宋"/>
          <w:color w:val="000000" w:themeColor="text1"/>
        </w:rPr>
      </w:pPr>
      <w:bookmarkStart w:id="72"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2"/>
    </w:p>
    <w:sectPr w:rsidR="0062412C" w:rsidSect="0062412C">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368" w:rsidRDefault="00E40368" w:rsidP="0062412C">
      <w:r>
        <w:separator/>
      </w:r>
    </w:p>
  </w:endnote>
  <w:endnote w:type="continuationSeparator" w:id="1">
    <w:p w:rsidR="00E40368" w:rsidRDefault="00E40368" w:rsidP="00624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62412C" w:rsidRDefault="00E4252E">
        <w:pPr>
          <w:pStyle w:val="a5"/>
          <w:jc w:val="center"/>
        </w:pPr>
        <w:r>
          <w:fldChar w:fldCharType="begin"/>
        </w:r>
        <w:r w:rsidR="0031061A">
          <w:instrText>PAGE   \* MERGEFORMAT</w:instrText>
        </w:r>
        <w:r>
          <w:fldChar w:fldCharType="separate"/>
        </w:r>
        <w:r w:rsidR="00E20990" w:rsidRPr="00E20990">
          <w:rPr>
            <w:noProof/>
            <w:lang w:val="zh-CN"/>
          </w:rPr>
          <w:t>8</w:t>
        </w:r>
        <w:r>
          <w:fldChar w:fldCharType="end"/>
        </w:r>
      </w:p>
    </w:sdtContent>
  </w:sdt>
  <w:p w:rsidR="0062412C" w:rsidRDefault="006241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368" w:rsidRDefault="00E40368" w:rsidP="0062412C">
      <w:r>
        <w:separator/>
      </w:r>
    </w:p>
  </w:footnote>
  <w:footnote w:type="continuationSeparator" w:id="1">
    <w:p w:rsidR="00E40368" w:rsidRDefault="00E40368" w:rsidP="006241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12C" w:rsidRDefault="0062412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29B370"/>
    <w:multiLevelType w:val="singleLevel"/>
    <w:tmpl w:val="9129B370"/>
    <w:lvl w:ilvl="0">
      <w:start w:val="2"/>
      <w:numFmt w:val="decimal"/>
      <w:suff w:val="nothing"/>
      <w:lvlText w:val="%1、"/>
      <w:lvlJc w:val="left"/>
    </w:lvl>
  </w:abstractNum>
  <w:abstractNum w:abstractNumId="1">
    <w:nsid w:val="B4137879"/>
    <w:multiLevelType w:val="singleLevel"/>
    <w:tmpl w:val="B4137879"/>
    <w:lvl w:ilvl="0">
      <w:start w:val="4"/>
      <w:numFmt w:val="chineseCounting"/>
      <w:suff w:val="nothing"/>
      <w:lvlText w:val="（%1）"/>
      <w:lvlJc w:val="left"/>
      <w:rPr>
        <w:rFonts w:hint="eastAsia"/>
      </w:rPr>
    </w:lvl>
  </w:abstractNum>
  <w:abstractNum w:abstractNumId="2">
    <w:nsid w:val="CF652CEC"/>
    <w:multiLevelType w:val="singleLevel"/>
    <w:tmpl w:val="CF652CEC"/>
    <w:lvl w:ilvl="0">
      <w:start w:val="9"/>
      <w:numFmt w:val="chineseCounting"/>
      <w:suff w:val="nothing"/>
      <w:lvlText w:val="%1、"/>
      <w:lvlJc w:val="left"/>
      <w:rPr>
        <w:rFonts w:hint="eastAsia"/>
      </w:rPr>
    </w:lvl>
  </w:abstractNum>
  <w:abstractNum w:abstractNumId="3">
    <w:nsid w:val="E2FA047D"/>
    <w:multiLevelType w:val="singleLevel"/>
    <w:tmpl w:val="E2FA047D"/>
    <w:lvl w:ilvl="0">
      <w:start w:val="3"/>
      <w:numFmt w:val="chineseCounting"/>
      <w:suff w:val="space"/>
      <w:lvlText w:val="第%1部分"/>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223188DC"/>
    <w:multiLevelType w:val="singleLevel"/>
    <w:tmpl w:val="223188DC"/>
    <w:lvl w:ilvl="0">
      <w:start w:val="1"/>
      <w:numFmt w:val="decimal"/>
      <w:lvlText w:val="%1."/>
      <w:lvlJc w:val="left"/>
      <w:pPr>
        <w:tabs>
          <w:tab w:val="left" w:pos="312"/>
        </w:tabs>
      </w:pPr>
      <w:rPr>
        <w:rFonts w:hint="default"/>
        <w:color w:val="auto"/>
      </w:rPr>
    </w:lvl>
  </w:abstractNum>
  <w:abstractNum w:abstractNumId="6">
    <w:nsid w:val="6E49FBF6"/>
    <w:multiLevelType w:val="singleLevel"/>
    <w:tmpl w:val="6E49FBF6"/>
    <w:lvl w:ilvl="0">
      <w:start w:val="1"/>
      <w:numFmt w:val="decimal"/>
      <w:lvlText w:val="%1."/>
      <w:lvlJc w:val="left"/>
      <w:pPr>
        <w:tabs>
          <w:tab w:val="left" w:pos="312"/>
        </w:tabs>
      </w:p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1361C"/>
    <w:rsid w:val="000222C6"/>
    <w:rsid w:val="0002549F"/>
    <w:rsid w:val="00033053"/>
    <w:rsid w:val="00040166"/>
    <w:rsid w:val="000468DB"/>
    <w:rsid w:val="0006200E"/>
    <w:rsid w:val="0006487A"/>
    <w:rsid w:val="00065F8F"/>
    <w:rsid w:val="00066D17"/>
    <w:rsid w:val="00070A43"/>
    <w:rsid w:val="000768F2"/>
    <w:rsid w:val="0009184B"/>
    <w:rsid w:val="00094236"/>
    <w:rsid w:val="0009593C"/>
    <w:rsid w:val="00097322"/>
    <w:rsid w:val="000A376C"/>
    <w:rsid w:val="000A6A92"/>
    <w:rsid w:val="000B047F"/>
    <w:rsid w:val="000B5923"/>
    <w:rsid w:val="000B5A48"/>
    <w:rsid w:val="000B6FF3"/>
    <w:rsid w:val="000C3467"/>
    <w:rsid w:val="000C3CA6"/>
    <w:rsid w:val="000D1267"/>
    <w:rsid w:val="000D1D50"/>
    <w:rsid w:val="000D5782"/>
    <w:rsid w:val="000E6613"/>
    <w:rsid w:val="000E7119"/>
    <w:rsid w:val="000F2E5F"/>
    <w:rsid w:val="00114E9B"/>
    <w:rsid w:val="001333E0"/>
    <w:rsid w:val="00142216"/>
    <w:rsid w:val="00144D6A"/>
    <w:rsid w:val="0014729F"/>
    <w:rsid w:val="00157BAB"/>
    <w:rsid w:val="001654D1"/>
    <w:rsid w:val="00166E0A"/>
    <w:rsid w:val="00174518"/>
    <w:rsid w:val="0018106D"/>
    <w:rsid w:val="001877A7"/>
    <w:rsid w:val="00191536"/>
    <w:rsid w:val="00196687"/>
    <w:rsid w:val="001A6042"/>
    <w:rsid w:val="001B13EC"/>
    <w:rsid w:val="001C0962"/>
    <w:rsid w:val="001D1721"/>
    <w:rsid w:val="001D7531"/>
    <w:rsid w:val="001E737D"/>
    <w:rsid w:val="001E739B"/>
    <w:rsid w:val="001F0592"/>
    <w:rsid w:val="001F7506"/>
    <w:rsid w:val="002006CD"/>
    <w:rsid w:val="00202B36"/>
    <w:rsid w:val="00204B7A"/>
    <w:rsid w:val="00204CDE"/>
    <w:rsid w:val="0021101A"/>
    <w:rsid w:val="00220536"/>
    <w:rsid w:val="00220F36"/>
    <w:rsid w:val="00235629"/>
    <w:rsid w:val="00254A52"/>
    <w:rsid w:val="00255450"/>
    <w:rsid w:val="00260C38"/>
    <w:rsid w:val="002616C0"/>
    <w:rsid w:val="00265372"/>
    <w:rsid w:val="002662AA"/>
    <w:rsid w:val="00280496"/>
    <w:rsid w:val="00294DC9"/>
    <w:rsid w:val="00295495"/>
    <w:rsid w:val="002A31DE"/>
    <w:rsid w:val="002B2613"/>
    <w:rsid w:val="002D19B0"/>
    <w:rsid w:val="002D6D05"/>
    <w:rsid w:val="002F1818"/>
    <w:rsid w:val="002F567B"/>
    <w:rsid w:val="0031061A"/>
    <w:rsid w:val="00313EFD"/>
    <w:rsid w:val="003216A9"/>
    <w:rsid w:val="00335A74"/>
    <w:rsid w:val="0036561B"/>
    <w:rsid w:val="0037013F"/>
    <w:rsid w:val="003723D0"/>
    <w:rsid w:val="00380C92"/>
    <w:rsid w:val="003A484F"/>
    <w:rsid w:val="003A4883"/>
    <w:rsid w:val="003B0BE0"/>
    <w:rsid w:val="003B0C1B"/>
    <w:rsid w:val="003B688C"/>
    <w:rsid w:val="003B7DA5"/>
    <w:rsid w:val="003C0291"/>
    <w:rsid w:val="003C313E"/>
    <w:rsid w:val="003C39AE"/>
    <w:rsid w:val="003C4B63"/>
    <w:rsid w:val="003C7B60"/>
    <w:rsid w:val="003D0C0F"/>
    <w:rsid w:val="003D1FB2"/>
    <w:rsid w:val="003D66DA"/>
    <w:rsid w:val="003E1310"/>
    <w:rsid w:val="003E6F55"/>
    <w:rsid w:val="00406254"/>
    <w:rsid w:val="00416CD4"/>
    <w:rsid w:val="004223DE"/>
    <w:rsid w:val="00434489"/>
    <w:rsid w:val="00437085"/>
    <w:rsid w:val="00443880"/>
    <w:rsid w:val="004464F4"/>
    <w:rsid w:val="00453056"/>
    <w:rsid w:val="004540EC"/>
    <w:rsid w:val="00471401"/>
    <w:rsid w:val="00473F31"/>
    <w:rsid w:val="0048263A"/>
    <w:rsid w:val="00486DC1"/>
    <w:rsid w:val="00487E5D"/>
    <w:rsid w:val="004A711F"/>
    <w:rsid w:val="004B199D"/>
    <w:rsid w:val="004B4690"/>
    <w:rsid w:val="004B4DDF"/>
    <w:rsid w:val="004C4B88"/>
    <w:rsid w:val="004C52B2"/>
    <w:rsid w:val="004E0A2D"/>
    <w:rsid w:val="004E206B"/>
    <w:rsid w:val="004E6DF7"/>
    <w:rsid w:val="004F0FBD"/>
    <w:rsid w:val="004F403E"/>
    <w:rsid w:val="00505A47"/>
    <w:rsid w:val="00512FDA"/>
    <w:rsid w:val="00520DA0"/>
    <w:rsid w:val="005664BB"/>
    <w:rsid w:val="00566FFA"/>
    <w:rsid w:val="00573D9C"/>
    <w:rsid w:val="0057481D"/>
    <w:rsid w:val="00575F0B"/>
    <w:rsid w:val="0058486E"/>
    <w:rsid w:val="00585B33"/>
    <w:rsid w:val="0059014D"/>
    <w:rsid w:val="00595DA8"/>
    <w:rsid w:val="005A3ACD"/>
    <w:rsid w:val="005B5C64"/>
    <w:rsid w:val="005C62BC"/>
    <w:rsid w:val="005C6BD0"/>
    <w:rsid w:val="005C6C4C"/>
    <w:rsid w:val="005D1C8B"/>
    <w:rsid w:val="005D468D"/>
    <w:rsid w:val="005D5B4A"/>
    <w:rsid w:val="005D5CED"/>
    <w:rsid w:val="005F1A4C"/>
    <w:rsid w:val="00605688"/>
    <w:rsid w:val="006070AF"/>
    <w:rsid w:val="00607E6C"/>
    <w:rsid w:val="006101B1"/>
    <w:rsid w:val="00614E44"/>
    <w:rsid w:val="0062270A"/>
    <w:rsid w:val="00622830"/>
    <w:rsid w:val="00623DA0"/>
    <w:rsid w:val="0062412C"/>
    <w:rsid w:val="0062654C"/>
    <w:rsid w:val="00630AEF"/>
    <w:rsid w:val="006325F8"/>
    <w:rsid w:val="00633463"/>
    <w:rsid w:val="00634C9A"/>
    <w:rsid w:val="00635F18"/>
    <w:rsid w:val="006440E4"/>
    <w:rsid w:val="0066343B"/>
    <w:rsid w:val="00664777"/>
    <w:rsid w:val="006748A4"/>
    <w:rsid w:val="00681A31"/>
    <w:rsid w:val="00683E73"/>
    <w:rsid w:val="00695F5F"/>
    <w:rsid w:val="006A3141"/>
    <w:rsid w:val="006A5E34"/>
    <w:rsid w:val="006B2422"/>
    <w:rsid w:val="006B2B9A"/>
    <w:rsid w:val="006C1937"/>
    <w:rsid w:val="006C4192"/>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3EE1"/>
    <w:rsid w:val="0079426B"/>
    <w:rsid w:val="007D1682"/>
    <w:rsid w:val="007D312A"/>
    <w:rsid w:val="007D3F19"/>
    <w:rsid w:val="007D5BC1"/>
    <w:rsid w:val="007E23B0"/>
    <w:rsid w:val="007E3B33"/>
    <w:rsid w:val="007F1991"/>
    <w:rsid w:val="007F2C2F"/>
    <w:rsid w:val="007F55FC"/>
    <w:rsid w:val="007F5665"/>
    <w:rsid w:val="00800112"/>
    <w:rsid w:val="00813348"/>
    <w:rsid w:val="008253BB"/>
    <w:rsid w:val="00833962"/>
    <w:rsid w:val="0083706E"/>
    <w:rsid w:val="008408F6"/>
    <w:rsid w:val="008423A5"/>
    <w:rsid w:val="00845F40"/>
    <w:rsid w:val="00850625"/>
    <w:rsid w:val="00853718"/>
    <w:rsid w:val="00855221"/>
    <w:rsid w:val="00860645"/>
    <w:rsid w:val="008718F3"/>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24D1"/>
    <w:rsid w:val="0097099F"/>
    <w:rsid w:val="00971997"/>
    <w:rsid w:val="00971FFC"/>
    <w:rsid w:val="0098660A"/>
    <w:rsid w:val="009931C3"/>
    <w:rsid w:val="0099533B"/>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27526"/>
    <w:rsid w:val="00A307CD"/>
    <w:rsid w:val="00A331C8"/>
    <w:rsid w:val="00A35117"/>
    <w:rsid w:val="00A40A00"/>
    <w:rsid w:val="00A4142F"/>
    <w:rsid w:val="00A422EB"/>
    <w:rsid w:val="00A446D0"/>
    <w:rsid w:val="00A45BB7"/>
    <w:rsid w:val="00A47903"/>
    <w:rsid w:val="00A52624"/>
    <w:rsid w:val="00A56DF2"/>
    <w:rsid w:val="00A56E6E"/>
    <w:rsid w:val="00A60170"/>
    <w:rsid w:val="00A645EB"/>
    <w:rsid w:val="00A67AB5"/>
    <w:rsid w:val="00A733B2"/>
    <w:rsid w:val="00A741C2"/>
    <w:rsid w:val="00A81029"/>
    <w:rsid w:val="00A91760"/>
    <w:rsid w:val="00A93B00"/>
    <w:rsid w:val="00A93C21"/>
    <w:rsid w:val="00AA2F73"/>
    <w:rsid w:val="00AB64C9"/>
    <w:rsid w:val="00AC3C6A"/>
    <w:rsid w:val="00AD0F83"/>
    <w:rsid w:val="00AD5620"/>
    <w:rsid w:val="00AD656B"/>
    <w:rsid w:val="00AD7C1B"/>
    <w:rsid w:val="00AE16BA"/>
    <w:rsid w:val="00AE1EBE"/>
    <w:rsid w:val="00AE2B22"/>
    <w:rsid w:val="00AE7C0E"/>
    <w:rsid w:val="00AF3546"/>
    <w:rsid w:val="00B024EA"/>
    <w:rsid w:val="00B03C9D"/>
    <w:rsid w:val="00B060AE"/>
    <w:rsid w:val="00B10517"/>
    <w:rsid w:val="00B14E76"/>
    <w:rsid w:val="00B161B8"/>
    <w:rsid w:val="00B16D75"/>
    <w:rsid w:val="00B2048C"/>
    <w:rsid w:val="00B310B9"/>
    <w:rsid w:val="00B35F3F"/>
    <w:rsid w:val="00B36CBB"/>
    <w:rsid w:val="00B425E0"/>
    <w:rsid w:val="00B440AA"/>
    <w:rsid w:val="00B44B70"/>
    <w:rsid w:val="00B53C56"/>
    <w:rsid w:val="00B57DAF"/>
    <w:rsid w:val="00B726F8"/>
    <w:rsid w:val="00B775BD"/>
    <w:rsid w:val="00B77EA6"/>
    <w:rsid w:val="00B81598"/>
    <w:rsid w:val="00B841F1"/>
    <w:rsid w:val="00B944D6"/>
    <w:rsid w:val="00BB4DF0"/>
    <w:rsid w:val="00BC289F"/>
    <w:rsid w:val="00BC2D50"/>
    <w:rsid w:val="00BC5361"/>
    <w:rsid w:val="00BC5460"/>
    <w:rsid w:val="00BC6B50"/>
    <w:rsid w:val="00BD0E25"/>
    <w:rsid w:val="00BF053A"/>
    <w:rsid w:val="00BF22BD"/>
    <w:rsid w:val="00BF5BD6"/>
    <w:rsid w:val="00C03E31"/>
    <w:rsid w:val="00C11149"/>
    <w:rsid w:val="00C30E69"/>
    <w:rsid w:val="00C326DF"/>
    <w:rsid w:val="00C33E72"/>
    <w:rsid w:val="00C354B2"/>
    <w:rsid w:val="00C35554"/>
    <w:rsid w:val="00C41247"/>
    <w:rsid w:val="00C42709"/>
    <w:rsid w:val="00C533CC"/>
    <w:rsid w:val="00C5751C"/>
    <w:rsid w:val="00C61BFC"/>
    <w:rsid w:val="00C62B85"/>
    <w:rsid w:val="00C65438"/>
    <w:rsid w:val="00C86983"/>
    <w:rsid w:val="00C91CBB"/>
    <w:rsid w:val="00C96FD7"/>
    <w:rsid w:val="00CA2B7C"/>
    <w:rsid w:val="00CB4E70"/>
    <w:rsid w:val="00CC09B6"/>
    <w:rsid w:val="00CC19DA"/>
    <w:rsid w:val="00CC666F"/>
    <w:rsid w:val="00CD1E3F"/>
    <w:rsid w:val="00CE2EFB"/>
    <w:rsid w:val="00CE44F6"/>
    <w:rsid w:val="00CE49DA"/>
    <w:rsid w:val="00CE7B61"/>
    <w:rsid w:val="00CF2073"/>
    <w:rsid w:val="00CF4687"/>
    <w:rsid w:val="00D00095"/>
    <w:rsid w:val="00D114F0"/>
    <w:rsid w:val="00D20620"/>
    <w:rsid w:val="00D254F7"/>
    <w:rsid w:val="00D26091"/>
    <w:rsid w:val="00D2685C"/>
    <w:rsid w:val="00D34E7C"/>
    <w:rsid w:val="00D35489"/>
    <w:rsid w:val="00D36AFE"/>
    <w:rsid w:val="00D51276"/>
    <w:rsid w:val="00D544AE"/>
    <w:rsid w:val="00D7035F"/>
    <w:rsid w:val="00DA634F"/>
    <w:rsid w:val="00DA65AC"/>
    <w:rsid w:val="00DB1913"/>
    <w:rsid w:val="00DC410D"/>
    <w:rsid w:val="00DC5A81"/>
    <w:rsid w:val="00DC68CA"/>
    <w:rsid w:val="00DC7CBA"/>
    <w:rsid w:val="00DD42B6"/>
    <w:rsid w:val="00DD73B7"/>
    <w:rsid w:val="00DF1B57"/>
    <w:rsid w:val="00DF28BC"/>
    <w:rsid w:val="00DF34B9"/>
    <w:rsid w:val="00E002E5"/>
    <w:rsid w:val="00E01053"/>
    <w:rsid w:val="00E065DB"/>
    <w:rsid w:val="00E07ACF"/>
    <w:rsid w:val="00E20990"/>
    <w:rsid w:val="00E331A1"/>
    <w:rsid w:val="00E33202"/>
    <w:rsid w:val="00E336A9"/>
    <w:rsid w:val="00E35B67"/>
    <w:rsid w:val="00E40368"/>
    <w:rsid w:val="00E4252E"/>
    <w:rsid w:val="00E426F3"/>
    <w:rsid w:val="00E472B1"/>
    <w:rsid w:val="00E50624"/>
    <w:rsid w:val="00E568DF"/>
    <w:rsid w:val="00E64269"/>
    <w:rsid w:val="00E66797"/>
    <w:rsid w:val="00E82267"/>
    <w:rsid w:val="00E853CE"/>
    <w:rsid w:val="00E867B6"/>
    <w:rsid w:val="00E87F08"/>
    <w:rsid w:val="00EA010F"/>
    <w:rsid w:val="00EA3DC2"/>
    <w:rsid w:val="00EC5290"/>
    <w:rsid w:val="00EC5A17"/>
    <w:rsid w:val="00ED1B63"/>
    <w:rsid w:val="00ED3C1F"/>
    <w:rsid w:val="00ED4085"/>
    <w:rsid w:val="00ED420E"/>
    <w:rsid w:val="00ED6FBE"/>
    <w:rsid w:val="00EE251C"/>
    <w:rsid w:val="00EE2F57"/>
    <w:rsid w:val="00EF3A72"/>
    <w:rsid w:val="00EF4C34"/>
    <w:rsid w:val="00EF77C6"/>
    <w:rsid w:val="00F021AD"/>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300E"/>
    <w:rsid w:val="00FB33B3"/>
    <w:rsid w:val="00FC202C"/>
    <w:rsid w:val="00FD3CC1"/>
    <w:rsid w:val="00FD6AF8"/>
    <w:rsid w:val="00FF1E02"/>
    <w:rsid w:val="00FF30B4"/>
    <w:rsid w:val="04036DBC"/>
    <w:rsid w:val="04465C2A"/>
    <w:rsid w:val="0759218C"/>
    <w:rsid w:val="09746F3C"/>
    <w:rsid w:val="0ADD228F"/>
    <w:rsid w:val="0D2918C4"/>
    <w:rsid w:val="0E1A1EE2"/>
    <w:rsid w:val="0E6F4BDB"/>
    <w:rsid w:val="10C055FF"/>
    <w:rsid w:val="10D70F44"/>
    <w:rsid w:val="10FE6D75"/>
    <w:rsid w:val="133B39B7"/>
    <w:rsid w:val="150A3FD8"/>
    <w:rsid w:val="16BB723D"/>
    <w:rsid w:val="19FF7B3D"/>
    <w:rsid w:val="1EC5528F"/>
    <w:rsid w:val="1F590C40"/>
    <w:rsid w:val="1FEF7B2B"/>
    <w:rsid w:val="218609E0"/>
    <w:rsid w:val="240371BF"/>
    <w:rsid w:val="250F6564"/>
    <w:rsid w:val="28900B79"/>
    <w:rsid w:val="28EE5410"/>
    <w:rsid w:val="2956264D"/>
    <w:rsid w:val="29F24787"/>
    <w:rsid w:val="29FD04D3"/>
    <w:rsid w:val="2B1966D0"/>
    <w:rsid w:val="2FD47009"/>
    <w:rsid w:val="30BC7215"/>
    <w:rsid w:val="31931372"/>
    <w:rsid w:val="319F7F4E"/>
    <w:rsid w:val="34AB0028"/>
    <w:rsid w:val="35D60403"/>
    <w:rsid w:val="39B56292"/>
    <w:rsid w:val="3D673385"/>
    <w:rsid w:val="432072FE"/>
    <w:rsid w:val="434B40C5"/>
    <w:rsid w:val="44735AB1"/>
    <w:rsid w:val="448504BD"/>
    <w:rsid w:val="48E91D2A"/>
    <w:rsid w:val="4A760F68"/>
    <w:rsid w:val="4D785287"/>
    <w:rsid w:val="4D996EB8"/>
    <w:rsid w:val="4E600EC2"/>
    <w:rsid w:val="4ECE2238"/>
    <w:rsid w:val="502A3B10"/>
    <w:rsid w:val="51D05E42"/>
    <w:rsid w:val="56AF62CE"/>
    <w:rsid w:val="571B6E1D"/>
    <w:rsid w:val="58CF184A"/>
    <w:rsid w:val="5BA32A83"/>
    <w:rsid w:val="5BA8654A"/>
    <w:rsid w:val="5C4046C1"/>
    <w:rsid w:val="60205F5C"/>
    <w:rsid w:val="648039C3"/>
    <w:rsid w:val="65B727C6"/>
    <w:rsid w:val="68850D36"/>
    <w:rsid w:val="6CDF776A"/>
    <w:rsid w:val="6D3540F6"/>
    <w:rsid w:val="6D9A3260"/>
    <w:rsid w:val="6F5862CC"/>
    <w:rsid w:val="711A6024"/>
    <w:rsid w:val="72734D90"/>
    <w:rsid w:val="779F41CD"/>
    <w:rsid w:val="78F477BD"/>
    <w:rsid w:val="7FA30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12C"/>
    <w:pPr>
      <w:widowControl w:val="0"/>
      <w:jc w:val="both"/>
    </w:pPr>
    <w:rPr>
      <w:kern w:val="2"/>
      <w:sz w:val="21"/>
      <w:szCs w:val="24"/>
    </w:rPr>
  </w:style>
  <w:style w:type="paragraph" w:styleId="1">
    <w:name w:val="heading 1"/>
    <w:basedOn w:val="a"/>
    <w:next w:val="a"/>
    <w:link w:val="1Char"/>
    <w:uiPriority w:val="9"/>
    <w:qFormat/>
    <w:rsid w:val="0062412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2412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2412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62412C"/>
    <w:pPr>
      <w:spacing w:beforeLines="30"/>
    </w:pPr>
    <w:rPr>
      <w:rFonts w:ascii="仿宋_GB2312" w:eastAsia="仿宋_GB2312"/>
      <w:kern w:val="0"/>
      <w:sz w:val="30"/>
    </w:rPr>
  </w:style>
  <w:style w:type="paragraph" w:styleId="30">
    <w:name w:val="toc 3"/>
    <w:basedOn w:val="a"/>
    <w:next w:val="a"/>
    <w:uiPriority w:val="39"/>
    <w:unhideWhenUsed/>
    <w:qFormat/>
    <w:rsid w:val="0062412C"/>
    <w:pPr>
      <w:tabs>
        <w:tab w:val="right" w:leader="dot" w:pos="8296"/>
      </w:tabs>
      <w:ind w:leftChars="400" w:left="840"/>
    </w:pPr>
  </w:style>
  <w:style w:type="paragraph" w:styleId="a4">
    <w:name w:val="Balloon Text"/>
    <w:basedOn w:val="a"/>
    <w:link w:val="Char0"/>
    <w:uiPriority w:val="99"/>
    <w:semiHidden/>
    <w:unhideWhenUsed/>
    <w:qFormat/>
    <w:rsid w:val="0062412C"/>
    <w:rPr>
      <w:sz w:val="18"/>
      <w:szCs w:val="18"/>
    </w:rPr>
  </w:style>
  <w:style w:type="paragraph" w:styleId="a5">
    <w:name w:val="footer"/>
    <w:basedOn w:val="a"/>
    <w:link w:val="Char1"/>
    <w:uiPriority w:val="99"/>
    <w:qFormat/>
    <w:rsid w:val="0062412C"/>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62412C"/>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62412C"/>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62412C"/>
    <w:pPr>
      <w:tabs>
        <w:tab w:val="right" w:leader="dot" w:pos="8296"/>
      </w:tabs>
      <w:ind w:leftChars="200" w:left="420"/>
    </w:pPr>
  </w:style>
  <w:style w:type="paragraph" w:styleId="a7">
    <w:name w:val="Normal (Web)"/>
    <w:basedOn w:val="a"/>
    <w:uiPriority w:val="99"/>
    <w:semiHidden/>
    <w:unhideWhenUsed/>
    <w:rsid w:val="0062412C"/>
    <w:pPr>
      <w:spacing w:beforeAutospacing="1" w:afterAutospacing="1"/>
      <w:jc w:val="left"/>
    </w:pPr>
    <w:rPr>
      <w:kern w:val="0"/>
      <w:sz w:val="24"/>
    </w:rPr>
  </w:style>
  <w:style w:type="character" w:styleId="a8">
    <w:name w:val="Strong"/>
    <w:basedOn w:val="a0"/>
    <w:uiPriority w:val="99"/>
    <w:qFormat/>
    <w:rsid w:val="0062412C"/>
    <w:rPr>
      <w:b/>
    </w:rPr>
  </w:style>
  <w:style w:type="character" w:styleId="a9">
    <w:name w:val="Hyperlink"/>
    <w:basedOn w:val="a0"/>
    <w:uiPriority w:val="99"/>
    <w:unhideWhenUsed/>
    <w:qFormat/>
    <w:rsid w:val="0062412C"/>
    <w:rPr>
      <w:color w:val="0000FF" w:themeColor="hyperlink"/>
      <w:u w:val="single"/>
    </w:rPr>
  </w:style>
  <w:style w:type="character" w:customStyle="1" w:styleId="HeaderChar">
    <w:name w:val="Header Char"/>
    <w:basedOn w:val="a0"/>
    <w:uiPriority w:val="99"/>
    <w:semiHidden/>
    <w:qFormat/>
    <w:rsid w:val="0062412C"/>
    <w:rPr>
      <w:rFonts w:ascii="Times New Roman" w:hAnsi="Times New Roman"/>
      <w:sz w:val="18"/>
      <w:szCs w:val="18"/>
    </w:rPr>
  </w:style>
  <w:style w:type="character" w:customStyle="1" w:styleId="Char2">
    <w:name w:val="页眉 Char"/>
    <w:link w:val="a6"/>
    <w:uiPriority w:val="99"/>
    <w:semiHidden/>
    <w:qFormat/>
    <w:locked/>
    <w:rsid w:val="0062412C"/>
    <w:rPr>
      <w:sz w:val="18"/>
    </w:rPr>
  </w:style>
  <w:style w:type="character" w:customStyle="1" w:styleId="FooterChar">
    <w:name w:val="Footer Char"/>
    <w:basedOn w:val="a0"/>
    <w:uiPriority w:val="99"/>
    <w:semiHidden/>
    <w:qFormat/>
    <w:rsid w:val="0062412C"/>
    <w:rPr>
      <w:rFonts w:ascii="Times New Roman" w:hAnsi="Times New Roman"/>
      <w:sz w:val="18"/>
      <w:szCs w:val="18"/>
    </w:rPr>
  </w:style>
  <w:style w:type="character" w:customStyle="1" w:styleId="Char1">
    <w:name w:val="页脚 Char"/>
    <w:link w:val="a5"/>
    <w:uiPriority w:val="99"/>
    <w:qFormat/>
    <w:locked/>
    <w:rsid w:val="0062412C"/>
    <w:rPr>
      <w:sz w:val="18"/>
    </w:rPr>
  </w:style>
  <w:style w:type="character" w:customStyle="1" w:styleId="BodyTextChar">
    <w:name w:val="Body Text Char"/>
    <w:basedOn w:val="a0"/>
    <w:uiPriority w:val="99"/>
    <w:semiHidden/>
    <w:qFormat/>
    <w:rsid w:val="0062412C"/>
    <w:rPr>
      <w:rFonts w:ascii="Times New Roman" w:hAnsi="Times New Roman"/>
      <w:szCs w:val="24"/>
    </w:rPr>
  </w:style>
  <w:style w:type="character" w:customStyle="1" w:styleId="Char">
    <w:name w:val="正文文本 Char"/>
    <w:link w:val="a3"/>
    <w:uiPriority w:val="99"/>
    <w:qFormat/>
    <w:locked/>
    <w:rsid w:val="0062412C"/>
    <w:rPr>
      <w:rFonts w:ascii="仿宋_GB2312" w:eastAsia="仿宋_GB2312" w:hAnsi="Times New Roman"/>
      <w:sz w:val="24"/>
    </w:rPr>
  </w:style>
  <w:style w:type="paragraph" w:customStyle="1" w:styleId="Default">
    <w:name w:val="Default"/>
    <w:uiPriority w:val="99"/>
    <w:qFormat/>
    <w:rsid w:val="0062412C"/>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62412C"/>
    <w:pPr>
      <w:ind w:firstLineChars="200" w:firstLine="420"/>
    </w:pPr>
  </w:style>
  <w:style w:type="character" w:customStyle="1" w:styleId="1Char">
    <w:name w:val="标题 1 Char"/>
    <w:basedOn w:val="a0"/>
    <w:link w:val="1"/>
    <w:uiPriority w:val="9"/>
    <w:qFormat/>
    <w:rsid w:val="0062412C"/>
    <w:rPr>
      <w:rFonts w:ascii="Times New Roman" w:hAnsi="Times New Roman"/>
      <w:b/>
      <w:bCs/>
      <w:kern w:val="44"/>
      <w:sz w:val="44"/>
      <w:szCs w:val="44"/>
    </w:rPr>
  </w:style>
  <w:style w:type="character" w:customStyle="1" w:styleId="2Char">
    <w:name w:val="标题 2 Char"/>
    <w:basedOn w:val="a0"/>
    <w:link w:val="2"/>
    <w:uiPriority w:val="9"/>
    <w:qFormat/>
    <w:rsid w:val="0062412C"/>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62412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62412C"/>
    <w:rPr>
      <w:rFonts w:ascii="Times New Roman" w:hAnsi="Times New Roman"/>
      <w:kern w:val="2"/>
      <w:sz w:val="18"/>
      <w:szCs w:val="18"/>
    </w:rPr>
  </w:style>
  <w:style w:type="character" w:customStyle="1" w:styleId="3Char">
    <w:name w:val="标题 3 Char"/>
    <w:basedOn w:val="a0"/>
    <w:link w:val="3"/>
    <w:uiPriority w:val="9"/>
    <w:qFormat/>
    <w:rsid w:val="0062412C"/>
    <w:rPr>
      <w:rFonts w:ascii="Times New Roman" w:hAnsi="Times New Roman"/>
      <w:b/>
      <w:bCs/>
      <w:kern w:val="2"/>
      <w:sz w:val="32"/>
      <w:szCs w:val="32"/>
    </w:rPr>
  </w:style>
  <w:style w:type="paragraph" w:customStyle="1" w:styleId="TOC2">
    <w:name w:val="TOC 标题2"/>
    <w:basedOn w:val="1"/>
    <w:next w:val="a"/>
    <w:uiPriority w:val="39"/>
    <w:unhideWhenUsed/>
    <w:qFormat/>
    <w:rsid w:val="0062412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b="0"/>
              <a:t>图</a:t>
            </a:r>
            <a:r>
              <a:rPr lang="en-US" altLang="zh-CN" sz="1400" b="0"/>
              <a:t>1</a:t>
            </a:r>
            <a:r>
              <a:rPr lang="zh-CN" altLang="en-US" sz="1400" b="0"/>
              <a:t>：收、支决算总计变动情况图</a:t>
            </a:r>
          </a:p>
        </c:rich>
      </c:tx>
    </c:title>
    <c:plotArea>
      <c:layout/>
      <c:barChart>
        <c:barDir val="col"/>
        <c:grouping val="clustered"/>
        <c:ser>
          <c:idx val="0"/>
          <c:order val="0"/>
          <c:tx>
            <c:strRef>
              <c:f>Sheet1!$B$1</c:f>
              <c:strCache>
                <c:ptCount val="1"/>
                <c:pt idx="0">
                  <c:v>收入总计</c:v>
                </c:pt>
              </c:strCache>
            </c:strRef>
          </c:tx>
          <c:dLbls>
            <c:showVal val="1"/>
          </c:dLbls>
          <c:cat>
            <c:strRef>
              <c:f>Sheet1!$A$2:$A$3</c:f>
              <c:strCache>
                <c:ptCount val="2"/>
                <c:pt idx="0">
                  <c:v>2018年</c:v>
                </c:pt>
                <c:pt idx="1">
                  <c:v>2019年</c:v>
                </c:pt>
              </c:strCache>
            </c:strRef>
          </c:cat>
          <c:val>
            <c:numRef>
              <c:f>Sheet1!$B$2:$B$3</c:f>
              <c:numCache>
                <c:formatCode>General</c:formatCode>
                <c:ptCount val="2"/>
                <c:pt idx="0">
                  <c:v>202.66</c:v>
                </c:pt>
                <c:pt idx="1">
                  <c:v>208.91</c:v>
                </c:pt>
              </c:numCache>
            </c:numRef>
          </c:val>
        </c:ser>
        <c:ser>
          <c:idx val="1"/>
          <c:order val="1"/>
          <c:tx>
            <c:strRef>
              <c:f>Sheet1!$C$1</c:f>
              <c:strCache>
                <c:ptCount val="1"/>
                <c:pt idx="0">
                  <c:v>支出总计</c:v>
                </c:pt>
              </c:strCache>
            </c:strRef>
          </c:tx>
          <c:dLbls>
            <c:showVal val="1"/>
          </c:dLbls>
          <c:cat>
            <c:strRef>
              <c:f>Sheet1!$A$2:$A$3</c:f>
              <c:strCache>
                <c:ptCount val="2"/>
                <c:pt idx="0">
                  <c:v>2018年</c:v>
                </c:pt>
                <c:pt idx="1">
                  <c:v>2019年</c:v>
                </c:pt>
              </c:strCache>
            </c:strRef>
          </c:cat>
          <c:val>
            <c:numRef>
              <c:f>Sheet1!$C$2:$C$3</c:f>
              <c:numCache>
                <c:formatCode>General</c:formatCode>
                <c:ptCount val="2"/>
                <c:pt idx="0">
                  <c:v>172.76</c:v>
                </c:pt>
                <c:pt idx="1">
                  <c:v>213.87</c:v>
                </c:pt>
              </c:numCache>
            </c:numRef>
          </c:val>
        </c:ser>
        <c:dLbls>
          <c:showVal val="1"/>
        </c:dLbls>
        <c:overlap val="-25"/>
        <c:axId val="140967296"/>
        <c:axId val="141918592"/>
      </c:barChart>
      <c:catAx>
        <c:axId val="140967296"/>
        <c:scaling>
          <c:orientation val="minMax"/>
        </c:scaling>
        <c:axPos val="b"/>
        <c:majorTickMark val="none"/>
        <c:tickLblPos val="nextTo"/>
        <c:crossAx val="141918592"/>
        <c:crosses val="autoZero"/>
        <c:auto val="1"/>
        <c:lblAlgn val="ctr"/>
        <c:lblOffset val="100"/>
      </c:catAx>
      <c:valAx>
        <c:axId val="141918592"/>
        <c:scaling>
          <c:orientation val="minMax"/>
        </c:scaling>
        <c:delete val="1"/>
        <c:axPos val="l"/>
        <c:numFmt formatCode="General" sourceLinked="1"/>
        <c:tickLblPos val="nextTo"/>
        <c:crossAx val="140967296"/>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图2：收入决算结构图</c:v>
                </c:pt>
              </c:strCache>
            </c:strRef>
          </c:tx>
          <c:dLbls>
            <c:showPercent val="1"/>
          </c:dLbls>
          <c:cat>
            <c:strRef>
              <c:f>Sheet1!$A$2:$A$5</c:f>
              <c:strCache>
                <c:ptCount val="4"/>
                <c:pt idx="0">
                  <c:v>一般公共预算财政拨款收入</c:v>
                </c:pt>
                <c:pt idx="1">
                  <c:v>政府性基金预算财政拨款收入</c:v>
                </c:pt>
                <c:pt idx="2">
                  <c:v>事业收入</c:v>
                </c:pt>
                <c:pt idx="3">
                  <c:v>其他收入</c:v>
                </c:pt>
              </c:strCache>
            </c:strRef>
          </c:cat>
          <c:val>
            <c:numRef>
              <c:f>Sheet1!$B$2:$B$5</c:f>
              <c:numCache>
                <c:formatCode>General</c:formatCode>
                <c:ptCount val="4"/>
                <c:pt idx="0">
                  <c:v>117.05</c:v>
                </c:pt>
                <c:pt idx="1">
                  <c:v>3.9</c:v>
                </c:pt>
                <c:pt idx="2">
                  <c:v>62.28</c:v>
                </c:pt>
                <c:pt idx="3">
                  <c:v>25.68</c:v>
                </c:pt>
              </c:numCache>
            </c:numRef>
          </c:val>
        </c:ser>
        <c:dLbls>
          <c:showPercent val="1"/>
        </c:dLbls>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图3：支出决算结构图</c:v>
                </c:pt>
              </c:strCache>
            </c:strRef>
          </c:tx>
          <c:dLbls>
            <c:showPercent val="1"/>
          </c:dLbls>
          <c:cat>
            <c:strRef>
              <c:f>Sheet1!$A$2:$A$3</c:f>
              <c:strCache>
                <c:ptCount val="2"/>
                <c:pt idx="0">
                  <c:v>基本支出</c:v>
                </c:pt>
                <c:pt idx="1">
                  <c:v>项目支出</c:v>
                </c:pt>
              </c:strCache>
            </c:strRef>
          </c:cat>
          <c:val>
            <c:numRef>
              <c:f>Sheet1!$B$2:$B$3</c:f>
              <c:numCache>
                <c:formatCode>General</c:formatCode>
                <c:ptCount val="2"/>
                <c:pt idx="0">
                  <c:v>73.86</c:v>
                </c:pt>
                <c:pt idx="1">
                  <c:v>140.01</c:v>
                </c:pt>
              </c:numCache>
            </c:numRef>
          </c:val>
        </c:ser>
        <c:dLbls>
          <c:showPercent val="1"/>
        </c:dLbls>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200" b="0"/>
              <a:t>图</a:t>
            </a:r>
            <a:r>
              <a:rPr lang="en-US" altLang="zh-CN" sz="1200" b="0"/>
              <a:t>4</a:t>
            </a:r>
            <a:r>
              <a:rPr lang="zh-CN" altLang="en-US" sz="1200" b="0"/>
              <a:t>：财政拨款收、支决算总计变动</a:t>
            </a:r>
            <a:r>
              <a:rPr lang="zh-CN" altLang="en-US" sz="1200" b="0" baseline="0"/>
              <a:t>情况</a:t>
            </a:r>
            <a:endParaRPr lang="zh-CN" altLang="en-US" sz="1200" b="0"/>
          </a:p>
        </c:rich>
      </c:tx>
    </c:title>
    <c:plotArea>
      <c:layout/>
      <c:barChart>
        <c:barDir val="col"/>
        <c:grouping val="clustered"/>
        <c:ser>
          <c:idx val="0"/>
          <c:order val="0"/>
          <c:tx>
            <c:strRef>
              <c:f>Sheet1!$B$1</c:f>
              <c:strCache>
                <c:ptCount val="1"/>
                <c:pt idx="0">
                  <c:v>财政拨款收入</c:v>
                </c:pt>
              </c:strCache>
            </c:strRef>
          </c:tx>
          <c:dLbls>
            <c:showVal val="1"/>
          </c:dLbls>
          <c:cat>
            <c:strRef>
              <c:f>Sheet1!$A$2:$A$3</c:f>
              <c:strCache>
                <c:ptCount val="2"/>
                <c:pt idx="0">
                  <c:v>2018年</c:v>
                </c:pt>
                <c:pt idx="1">
                  <c:v>2019年</c:v>
                </c:pt>
              </c:strCache>
            </c:strRef>
          </c:cat>
          <c:val>
            <c:numRef>
              <c:f>Sheet1!$B$2:$B$3</c:f>
              <c:numCache>
                <c:formatCode>General</c:formatCode>
                <c:ptCount val="2"/>
                <c:pt idx="0">
                  <c:v>125.14999999999999</c:v>
                </c:pt>
                <c:pt idx="1">
                  <c:v>120.95</c:v>
                </c:pt>
              </c:numCache>
            </c:numRef>
          </c:val>
        </c:ser>
        <c:ser>
          <c:idx val="1"/>
          <c:order val="1"/>
          <c:tx>
            <c:strRef>
              <c:f>Sheet1!$C$1</c:f>
              <c:strCache>
                <c:ptCount val="1"/>
                <c:pt idx="0">
                  <c:v>财政拨款支出</c:v>
                </c:pt>
              </c:strCache>
            </c:strRef>
          </c:tx>
          <c:dLbls>
            <c:showVal val="1"/>
          </c:dLbls>
          <c:cat>
            <c:strRef>
              <c:f>Sheet1!$A$2:$A$3</c:f>
              <c:strCache>
                <c:ptCount val="2"/>
                <c:pt idx="0">
                  <c:v>2018年</c:v>
                </c:pt>
                <c:pt idx="1">
                  <c:v>2019年</c:v>
                </c:pt>
              </c:strCache>
            </c:strRef>
          </c:cat>
          <c:val>
            <c:numRef>
              <c:f>Sheet1!$C$2:$C$3</c:f>
              <c:numCache>
                <c:formatCode>General</c:formatCode>
                <c:ptCount val="2"/>
                <c:pt idx="0">
                  <c:v>95.25</c:v>
                </c:pt>
                <c:pt idx="1">
                  <c:v>132.6</c:v>
                </c:pt>
              </c:numCache>
            </c:numRef>
          </c:val>
        </c:ser>
        <c:dLbls>
          <c:showVal val="1"/>
        </c:dLbls>
        <c:overlap val="-25"/>
        <c:axId val="114974720"/>
        <c:axId val="114976256"/>
      </c:barChart>
      <c:catAx>
        <c:axId val="114974720"/>
        <c:scaling>
          <c:orientation val="minMax"/>
        </c:scaling>
        <c:axPos val="b"/>
        <c:majorTickMark val="none"/>
        <c:tickLblPos val="nextTo"/>
        <c:crossAx val="114976256"/>
        <c:crosses val="autoZero"/>
        <c:auto val="1"/>
        <c:lblAlgn val="ctr"/>
        <c:lblOffset val="100"/>
      </c:catAx>
      <c:valAx>
        <c:axId val="114976256"/>
        <c:scaling>
          <c:orientation val="minMax"/>
        </c:scaling>
        <c:delete val="1"/>
        <c:axPos val="l"/>
        <c:numFmt formatCode="General" sourceLinked="1"/>
        <c:tickLblPos val="nextTo"/>
        <c:crossAx val="114974720"/>
        <c:crosses val="autoZero"/>
        <c:crossBetween val="between"/>
      </c:valAx>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b="0"/>
              <a:t>图</a:t>
            </a:r>
            <a:r>
              <a:rPr lang="en-US" altLang="zh-CN" sz="1400" b="0"/>
              <a:t>5</a:t>
            </a:r>
            <a:r>
              <a:rPr lang="zh-CN" altLang="en-US" sz="1400" b="0"/>
              <a:t>：一般公共预算财政拨款支出决算变动情况</a:t>
            </a:r>
          </a:p>
        </c:rich>
      </c:tx>
    </c:title>
    <c:plotArea>
      <c:layout/>
      <c:barChart>
        <c:barDir val="col"/>
        <c:grouping val="clustered"/>
        <c:ser>
          <c:idx val="0"/>
          <c:order val="0"/>
          <c:tx>
            <c:strRef>
              <c:f>Sheet1!$B$1</c:f>
              <c:strCache>
                <c:ptCount val="1"/>
                <c:pt idx="0">
                  <c:v>一般公共预算财政拨款支出</c:v>
                </c:pt>
              </c:strCache>
            </c:strRef>
          </c:tx>
          <c:dLbls>
            <c:showVal val="1"/>
          </c:dLbls>
          <c:cat>
            <c:strRef>
              <c:f>Sheet1!$A$2:$A$3</c:f>
              <c:strCache>
                <c:ptCount val="2"/>
                <c:pt idx="0">
                  <c:v>2018年</c:v>
                </c:pt>
                <c:pt idx="1">
                  <c:v>2019年</c:v>
                </c:pt>
              </c:strCache>
            </c:strRef>
          </c:cat>
          <c:val>
            <c:numRef>
              <c:f>Sheet1!$B$2:$B$3</c:f>
              <c:numCache>
                <c:formatCode>General</c:formatCode>
                <c:ptCount val="2"/>
                <c:pt idx="0">
                  <c:v>86.6</c:v>
                </c:pt>
                <c:pt idx="1">
                  <c:v>128.69999999999999</c:v>
                </c:pt>
              </c:numCache>
            </c:numRef>
          </c:val>
        </c:ser>
        <c:dLbls>
          <c:showVal val="1"/>
        </c:dLbls>
        <c:overlap val="-25"/>
        <c:axId val="141985280"/>
        <c:axId val="141986816"/>
      </c:barChart>
      <c:catAx>
        <c:axId val="141985280"/>
        <c:scaling>
          <c:orientation val="minMax"/>
        </c:scaling>
        <c:axPos val="b"/>
        <c:majorTickMark val="none"/>
        <c:tickLblPos val="nextTo"/>
        <c:crossAx val="141986816"/>
        <c:crosses val="autoZero"/>
        <c:auto val="1"/>
        <c:lblAlgn val="ctr"/>
        <c:lblOffset val="100"/>
      </c:catAx>
      <c:valAx>
        <c:axId val="141986816"/>
        <c:scaling>
          <c:orientation val="minMax"/>
        </c:scaling>
        <c:delete val="1"/>
        <c:axPos val="l"/>
        <c:numFmt formatCode="General" sourceLinked="1"/>
        <c:majorTickMark val="none"/>
        <c:tickLblPos val="nextTo"/>
        <c:crossAx val="141985280"/>
        <c:crosses val="autoZero"/>
        <c:crossBetween val="between"/>
      </c:val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b="0"/>
              <a:t>图</a:t>
            </a:r>
            <a:r>
              <a:rPr lang="en-US" altLang="zh-CN" sz="1400" b="0"/>
              <a:t>6</a:t>
            </a:r>
            <a:r>
              <a:rPr lang="zh-CN" altLang="en-US" sz="1400" b="0"/>
              <a:t>：一般公共预算财政拨款支出决算结构</a:t>
            </a:r>
          </a:p>
        </c:rich>
      </c:tx>
    </c:title>
    <c:plotArea>
      <c:layout/>
      <c:pieChart>
        <c:varyColors val="1"/>
        <c:ser>
          <c:idx val="0"/>
          <c:order val="0"/>
          <c:tx>
            <c:strRef>
              <c:f>Sheet1!$B$1</c:f>
              <c:strCache>
                <c:ptCount val="1"/>
                <c:pt idx="0">
                  <c:v>销售额</c:v>
                </c:pt>
              </c:strCache>
            </c:strRef>
          </c:tx>
          <c:dLbls>
            <c:showPercent val="1"/>
          </c:dLbls>
          <c:cat>
            <c:strRef>
              <c:f>Sheet1!$A$2:$A$3</c:f>
              <c:strCache>
                <c:ptCount val="2"/>
                <c:pt idx="0">
                  <c:v>卫生健康支出</c:v>
                </c:pt>
                <c:pt idx="1">
                  <c:v>住房保障支出</c:v>
                </c:pt>
              </c:strCache>
            </c:strRef>
          </c:cat>
          <c:val>
            <c:numRef>
              <c:f>Sheet1!$B$2:$B$3</c:f>
              <c:numCache>
                <c:formatCode>General</c:formatCode>
                <c:ptCount val="2"/>
                <c:pt idx="0">
                  <c:v>127.44000000000027</c:v>
                </c:pt>
                <c:pt idx="1">
                  <c:v>1.26</c:v>
                </c:pt>
              </c:numCache>
            </c:numRef>
          </c:val>
        </c:ser>
        <c:dLbls>
          <c:showPercent val="1"/>
        </c:dLbls>
        <c:firstSliceAng val="0"/>
      </c:pieChart>
    </c:plotArea>
    <c:legend>
      <c:legendPos val="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A61089-6634-43D6-AC9C-AAFBE579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21</Pages>
  <Words>1090</Words>
  <Characters>6218</Characters>
  <Application>Microsoft Office Word</Application>
  <DocSecurity>0</DocSecurity>
  <Lines>51</Lines>
  <Paragraphs>14</Paragraphs>
  <ScaleCrop>false</ScaleCrop>
  <Company>四川省财政厅</Company>
  <LinksUpToDate>false</LinksUpToDate>
  <CharactersWithSpaces>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93</cp:revision>
  <cp:lastPrinted>2020-07-23T02:58:00Z</cp:lastPrinted>
  <dcterms:created xsi:type="dcterms:W3CDTF">2020-08-04T01:49:00Z</dcterms:created>
  <dcterms:modified xsi:type="dcterms:W3CDTF">2025-07-10T09:58:00Z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