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宋体" w:eastAsia="方正小标宋简体"/>
          <w:color w:val="000000"/>
          <w:sz w:val="72"/>
          <w:szCs w:val="72"/>
        </w:rPr>
      </w:pPr>
      <w:bookmarkStart w:id="0" w:name="_Toc15396597"/>
      <w:bookmarkStart w:id="1" w:name="_Toc15377425"/>
      <w:bookmarkStart w:id="2" w:name="_Toc15377193"/>
      <w:bookmarkStart w:id="3" w:name="_Toc15378441"/>
      <w:bookmarkStart w:id="4" w:name="_Toc15396475"/>
      <w:bookmarkStart w:id="71" w:name="_GoBack"/>
      <w:bookmarkEnd w:id="7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宋体" w:eastAsia="方正小标宋简体"/>
          <w:color w:val="000000"/>
          <w:sz w:val="72"/>
          <w:szCs w:val="72"/>
        </w:rPr>
      </w:pPr>
      <w:bookmarkStart w:id="5" w:name="_Toc15377194"/>
      <w:bookmarkStart w:id="6" w:name="_Toc15378442"/>
      <w:bookmarkStart w:id="7" w:name="_Toc15377426"/>
      <w:bookmarkStart w:id="8" w:name="_Toc15396476"/>
      <w:bookmarkStart w:id="9" w:name="_Toc15396598"/>
      <w:bookmarkStart w:id="10" w:name="_Toc15306268"/>
      <w:r>
        <w:rPr>
          <w:rFonts w:hint="eastAsia" w:ascii="方正小标宋简体" w:hAnsi="宋体" w:eastAsia="方正小标宋简体"/>
          <w:color w:val="000000"/>
          <w:sz w:val="72"/>
          <w:szCs w:val="72"/>
          <w:lang w:eastAsia="zh-CN"/>
        </w:rPr>
        <w:t>峨眉山市规划建设服务中心</w:t>
      </w:r>
      <w:r>
        <w:rPr>
          <w:rFonts w:hint="eastAsia" w:ascii="方正小标宋简体" w:hAnsi="宋体" w:eastAsia="方正小标宋简体"/>
          <w:color w:val="000000"/>
          <w:sz w:val="72"/>
          <w:szCs w:val="72"/>
        </w:rPr>
        <w:t>部门决算</w:t>
      </w:r>
      <w:bookmarkEnd w:id="5"/>
      <w:bookmarkEnd w:id="6"/>
      <w:bookmarkEnd w:id="7"/>
      <w:bookmarkEnd w:id="8"/>
      <w:bookmarkEnd w:id="9"/>
      <w:bookmarkEnd w:id="10"/>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5"/>
      </w:pPr>
      <w:r>
        <w:rPr>
          <w:rFonts w:hint="eastAsia"/>
        </w:rPr>
        <w:t>公开时间：2020年</w:t>
      </w:r>
      <w:r>
        <w:rPr>
          <w:rFonts w:hint="eastAsia"/>
          <w:lang w:val="en-US" w:eastAsia="zh-CN"/>
        </w:rPr>
        <w:t>11</w:t>
      </w:r>
      <w:r>
        <w:rPr>
          <w:rFonts w:hint="eastAsia"/>
        </w:rPr>
        <w:t>月</w:t>
      </w:r>
      <w:r>
        <w:rPr>
          <w:rFonts w:hint="eastAsia"/>
          <w:lang w:val="en-US" w:eastAsia="zh-CN"/>
        </w:rPr>
        <w:t>2</w:t>
      </w:r>
      <w:r>
        <w:rPr>
          <w:rFonts w:hint="eastAsia"/>
        </w:rPr>
        <w:t>日</w:t>
      </w:r>
    </w:p>
    <w:p/>
    <w:p>
      <w:pPr>
        <w:pStyle w:val="5"/>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6"/>
        <w:adjustRightInd w:val="0"/>
        <w:snapToGrid w:val="0"/>
        <w:spacing w:line="440" w:lineRule="exact"/>
        <w:jc w:val="left"/>
        <w:rPr>
          <w:rFonts w:ascii="仿宋" w:hAnsi="仿宋" w:eastAsia="仿宋"/>
          <w:sz w:val="24"/>
        </w:rPr>
      </w:pPr>
      <w:r>
        <w:rPr>
          <w:rFonts w:hint="eastAsia"/>
          <w:sz w:val="24"/>
        </w:rPr>
        <w:t>一、基本职能及主要工作</w:t>
      </w:r>
    </w:p>
    <w:p>
      <w:pPr>
        <w:pStyle w:val="6"/>
        <w:adjustRightInd w:val="0"/>
        <w:snapToGrid w:val="0"/>
        <w:spacing w:line="440" w:lineRule="exact"/>
        <w:jc w:val="left"/>
        <w:rPr>
          <w:rFonts w:ascii="仿宋" w:hAnsi="仿宋" w:eastAsia="仿宋" w:cstheme="minorBidi"/>
          <w:sz w:val="24"/>
        </w:rPr>
      </w:pPr>
      <w:r>
        <w:rPr>
          <w:rFonts w:hint="eastAsia"/>
          <w:sz w:val="24"/>
        </w:rPr>
        <w:t>二、机构设置</w:t>
      </w:r>
    </w:p>
    <w:p>
      <w:pPr>
        <w:pStyle w:val="5"/>
        <w:adjustRightInd w:val="0"/>
        <w:snapToGrid w:val="0"/>
        <w:spacing w:before="0" w:line="440" w:lineRule="exact"/>
        <w:jc w:val="left"/>
        <w:rPr>
          <w:sz w:val="24"/>
          <w:szCs w:val="24"/>
        </w:rPr>
      </w:pPr>
      <w:r>
        <w:rPr>
          <w:rFonts w:hint="eastAsia"/>
          <w:sz w:val="24"/>
        </w:rPr>
        <w:t>第二部分度部门决算情况说明</w:t>
      </w:r>
    </w:p>
    <w:p>
      <w:pPr>
        <w:pStyle w:val="6"/>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6"/>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6"/>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6"/>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6"/>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6"/>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6"/>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6"/>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6"/>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0"/>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5"/>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5"/>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6"/>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6"/>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5"/>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6"/>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1" w:name="_Toc15377196"/>
      <w:bookmarkStart w:id="12" w:name="_Toc15396599"/>
      <w:r>
        <w:rPr>
          <w:rFonts w:ascii="仿宋" w:hAnsi="仿宋" w:eastAsia="仿宋"/>
          <w:b/>
          <w:sz w:val="24"/>
        </w:rPr>
        <w:br w:type="page"/>
      </w:r>
    </w:p>
    <w:p>
      <w:pPr>
        <w:pStyle w:val="2"/>
        <w:jc w:val="center"/>
        <w:rPr>
          <w:rStyle w:val="11"/>
          <w:rFonts w:ascii="黑体" w:hAnsi="黑体" w:eastAsia="黑体"/>
          <w:b/>
          <w:bCs w:val="0"/>
        </w:rPr>
      </w:pPr>
      <w:r>
        <w:rPr>
          <w:rFonts w:hint="eastAsia" w:ascii="黑体" w:hAnsi="黑体" w:eastAsia="黑体"/>
          <w:b w:val="0"/>
        </w:rPr>
        <w:t xml:space="preserve">第一部分 </w:t>
      </w:r>
      <w:r>
        <w:rPr>
          <w:rStyle w:val="11"/>
          <w:rFonts w:hint="eastAsia" w:ascii="黑体" w:hAnsi="黑体" w:eastAsia="黑体"/>
          <w:b w:val="0"/>
          <w:bCs w:val="0"/>
        </w:rPr>
        <w:t>部门概况</w:t>
      </w:r>
      <w:bookmarkEnd w:id="11"/>
      <w:bookmarkEnd w:id="12"/>
    </w:p>
    <w:p>
      <w:pPr>
        <w:widowControl/>
        <w:jc w:val="left"/>
        <w:rPr>
          <w:rFonts w:ascii="黑体" w:eastAsia="黑体"/>
          <w:color w:val="000000"/>
          <w:sz w:val="32"/>
          <w:szCs w:val="32"/>
        </w:rPr>
      </w:pPr>
    </w:p>
    <w:p>
      <w:pPr>
        <w:pStyle w:val="3"/>
        <w:rPr>
          <w:rStyle w:val="12"/>
          <w:rFonts w:ascii="仿宋" w:hAnsi="仿宋" w:eastAsia="仿宋"/>
          <w:b w:val="0"/>
          <w:bCs w:val="0"/>
        </w:rPr>
      </w:pPr>
      <w:bookmarkStart w:id="13" w:name="_Toc15396600"/>
      <w:bookmarkStart w:id="14" w:name="_Toc15377197"/>
      <w:r>
        <w:rPr>
          <w:rFonts w:hint="eastAsia" w:ascii="黑体" w:hAnsi="黑体" w:eastAsia="黑体"/>
          <w:b w:val="0"/>
          <w:color w:val="000000"/>
        </w:rPr>
        <w:t>一、基</w:t>
      </w:r>
      <w:r>
        <w:rPr>
          <w:rStyle w:val="12"/>
          <w:rFonts w:hint="eastAsia" w:ascii="黑体" w:hAnsi="黑体" w:eastAsia="黑体"/>
          <w:b w:val="0"/>
          <w:bCs w:val="0"/>
        </w:rPr>
        <w:t>本职能及主要工作</w:t>
      </w:r>
      <w:bookmarkEnd w:id="13"/>
      <w:bookmarkEnd w:id="14"/>
    </w:p>
    <w:p>
      <w:pPr>
        <w:pStyle w:val="4"/>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5" w:name="_Toc15377198"/>
      <w:bookmarkStart w:id="16" w:name="_Toc15378445"/>
      <w:r>
        <w:rPr>
          <w:rFonts w:hint="eastAsia" w:ascii="仿宋" w:hAnsi="仿宋" w:eastAsia="仿宋"/>
          <w:bCs/>
          <w:color w:val="000000"/>
          <w:sz w:val="32"/>
          <w:szCs w:val="32"/>
        </w:rPr>
        <w:t>（一）主要职能。（职能参照</w:t>
      </w:r>
      <w:r>
        <w:rPr>
          <w:rFonts w:hint="eastAsia" w:ascii="仿宋" w:hAnsi="仿宋" w:eastAsia="仿宋"/>
          <w:bCs/>
          <w:color w:val="000000"/>
          <w:sz w:val="32"/>
          <w:szCs w:val="32"/>
          <w:lang w:eastAsia="zh-CN"/>
        </w:rPr>
        <w:t>市</w:t>
      </w:r>
      <w:r>
        <w:rPr>
          <w:rFonts w:hint="eastAsia" w:ascii="仿宋" w:hAnsi="仿宋" w:eastAsia="仿宋"/>
          <w:bCs/>
          <w:color w:val="000000"/>
          <w:sz w:val="32"/>
          <w:szCs w:val="32"/>
        </w:rPr>
        <w:t>政府批准的三定方案）</w:t>
      </w:r>
      <w:bookmarkEnd w:id="15"/>
      <w:bookmarkEnd w:id="16"/>
    </w:p>
    <w:p>
      <w:pPr>
        <w:ind w:firstLine="627" w:firstLineChars="196"/>
        <w:rPr>
          <w:rFonts w:hint="eastAsia"/>
          <w:sz w:val="32"/>
          <w:szCs w:val="32"/>
        </w:rPr>
      </w:pPr>
      <w:r>
        <w:rPr>
          <w:rFonts w:hint="eastAsia"/>
          <w:sz w:val="32"/>
          <w:szCs w:val="32"/>
        </w:rPr>
        <w:t>负责为城市规划提供技术服务、技术咨询、规划资料等；负责基础测绘的编制和组织实施，对全市测绘市场进行统一指导；负责村站建设相关事务性工作；负责城乡建设档案收集、整理、保管、利用等工作。</w:t>
      </w:r>
    </w:p>
    <w:p>
      <w:pPr>
        <w:pStyle w:val="4"/>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7" w:name="_Toc15377199"/>
      <w:bookmarkStart w:id="18"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7"/>
      <w:bookmarkEnd w:id="18"/>
    </w:p>
    <w:p>
      <w:pPr>
        <w:spacing w:line="60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、完成</w:t>
      </w:r>
      <w:r>
        <w:rPr>
          <w:rFonts w:ascii="仿宋_GB2312" w:eastAsia="仿宋_GB2312"/>
          <w:sz w:val="32"/>
          <w:szCs w:val="32"/>
        </w:rPr>
        <w:t>300</w:t>
      </w:r>
      <w:r>
        <w:rPr>
          <w:rFonts w:hint="eastAsia" w:ascii="仿宋_GB2312" w:eastAsia="仿宋_GB2312"/>
          <w:sz w:val="32"/>
          <w:szCs w:val="32"/>
        </w:rPr>
        <w:t>个农村聚居点污水建设。</w:t>
      </w:r>
    </w:p>
    <w:p>
      <w:pPr>
        <w:spacing w:line="60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、完成“四类重点”对象危房改造</w:t>
      </w:r>
      <w:r>
        <w:rPr>
          <w:rFonts w:ascii="仿宋_GB2312" w:eastAsia="仿宋_GB2312"/>
          <w:sz w:val="32"/>
          <w:szCs w:val="32"/>
        </w:rPr>
        <w:t>60</w:t>
      </w:r>
      <w:r>
        <w:rPr>
          <w:rFonts w:hint="eastAsia" w:ascii="仿宋_GB2312" w:eastAsia="仿宋_GB2312"/>
          <w:sz w:val="32"/>
          <w:szCs w:val="32"/>
        </w:rPr>
        <w:t>户。（</w:t>
      </w:r>
      <w:r>
        <w:rPr>
          <w:rFonts w:ascii="仿宋_GB2312" w:eastAsia="仿宋_GB2312"/>
          <w:sz w:val="32"/>
          <w:szCs w:val="32"/>
        </w:rPr>
        <w:t>55</w:t>
      </w:r>
      <w:r>
        <w:rPr>
          <w:rFonts w:hint="eastAsia" w:ascii="仿宋_GB2312" w:eastAsia="仿宋_GB2312"/>
          <w:sz w:val="32"/>
          <w:szCs w:val="32"/>
        </w:rPr>
        <w:t>户低保，</w:t>
      </w:r>
      <w:r>
        <w:rPr>
          <w:rFonts w:ascii="仿宋_GB2312" w:eastAsia="仿宋_GB2312"/>
          <w:sz w:val="32"/>
          <w:szCs w:val="32"/>
        </w:rPr>
        <w:t>5</w:t>
      </w:r>
      <w:r>
        <w:rPr>
          <w:rFonts w:hint="eastAsia" w:ascii="仿宋_GB2312" w:eastAsia="仿宋_GB2312"/>
          <w:sz w:val="32"/>
          <w:szCs w:val="32"/>
        </w:rPr>
        <w:t>户贫困残疾人），继续做好建档立卡贫困户“回头看、回头帮”工作。</w:t>
      </w:r>
    </w:p>
    <w:p>
      <w:pPr>
        <w:spacing w:line="60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、完成罗目镇特色小镇申报工作</w:t>
      </w:r>
    </w:p>
    <w:p>
      <w:pPr>
        <w:spacing w:line="60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、完成绥山镇洪川村，九里镇李桥村、宋湾村，龙池镇河心村，龙门乡王山村，罗目镇中心村、郭坪村特色村落申报工作。</w:t>
      </w:r>
    </w:p>
    <w:p>
      <w:pPr>
        <w:spacing w:line="60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、完成乡镇公厕改建</w:t>
      </w:r>
      <w:r>
        <w:rPr>
          <w:rFonts w:ascii="仿宋_GB2312" w:eastAsia="仿宋_GB2312"/>
          <w:sz w:val="32"/>
          <w:szCs w:val="32"/>
        </w:rPr>
        <w:t>5</w:t>
      </w:r>
      <w:r>
        <w:rPr>
          <w:rFonts w:hint="eastAsia" w:ascii="仿宋_GB2312" w:eastAsia="仿宋_GB2312"/>
          <w:sz w:val="32"/>
          <w:szCs w:val="32"/>
        </w:rPr>
        <w:t>座，新建</w:t>
      </w:r>
      <w:r>
        <w:rPr>
          <w:rFonts w:ascii="仿宋_GB2312" w:eastAsia="仿宋_GB2312"/>
          <w:sz w:val="32"/>
          <w:szCs w:val="32"/>
        </w:rPr>
        <w:t>2</w:t>
      </w:r>
      <w:r>
        <w:rPr>
          <w:rFonts w:hint="eastAsia" w:ascii="仿宋_GB2312" w:eastAsia="仿宋_GB2312"/>
          <w:sz w:val="32"/>
          <w:szCs w:val="32"/>
        </w:rPr>
        <w:t>座。</w:t>
      </w:r>
    </w:p>
    <w:p/>
    <w:p>
      <w:pPr>
        <w:pStyle w:val="3"/>
        <w:rPr>
          <w:rStyle w:val="12"/>
          <w:b w:val="0"/>
          <w:bCs w:val="0"/>
        </w:rPr>
      </w:pPr>
      <w:bookmarkStart w:id="19" w:name="_Toc15396601"/>
      <w:bookmarkStart w:id="20" w:name="_Toc15377200"/>
      <w:r>
        <w:rPr>
          <w:rFonts w:hint="eastAsia" w:ascii="黑体" w:eastAsia="黑体"/>
          <w:b w:val="0"/>
          <w:color w:val="000000"/>
        </w:rPr>
        <w:t>二、</w:t>
      </w:r>
      <w:r>
        <w:rPr>
          <w:rFonts w:hint="eastAsia" w:ascii="黑体" w:hAnsi="黑体" w:eastAsia="黑体"/>
          <w:b w:val="0"/>
          <w:color w:val="000000"/>
        </w:rPr>
        <w:t>机</w:t>
      </w:r>
      <w:r>
        <w:rPr>
          <w:rStyle w:val="12"/>
          <w:rFonts w:hint="eastAsia" w:ascii="黑体" w:hAnsi="黑体" w:eastAsia="黑体"/>
          <w:b w:val="0"/>
          <w:bCs w:val="0"/>
        </w:rPr>
        <w:t>构设置</w:t>
      </w:r>
      <w:bookmarkEnd w:id="19"/>
      <w:bookmarkEnd w:id="20"/>
    </w:p>
    <w:p>
      <w:pPr>
        <w:ind w:firstLine="800" w:firstLineChars="250"/>
        <w:rPr>
          <w:rFonts w:hint="eastAsia" w:ascii="仿宋" w:hAnsi="仿宋" w:eastAsia="仿宋"/>
          <w:sz w:val="32"/>
          <w:szCs w:val="32"/>
        </w:rPr>
      </w:pPr>
      <w:r>
        <w:rPr>
          <w:rFonts w:hint="eastAsia" w:ascii="仿宋" w:hAnsi="仿宋" w:eastAsia="仿宋"/>
          <w:sz w:val="32"/>
          <w:szCs w:val="32"/>
          <w:lang w:eastAsia="zh-CN"/>
        </w:rPr>
        <w:t>峨眉山市规划建设服务中心属于副科级一类公益事业单位，没有</w:t>
      </w:r>
      <w:r>
        <w:rPr>
          <w:rFonts w:hint="eastAsia" w:ascii="仿宋" w:hAnsi="仿宋" w:eastAsia="仿宋"/>
          <w:sz w:val="32"/>
          <w:szCs w:val="32"/>
        </w:rPr>
        <w:t>下属二级单位</w:t>
      </w:r>
      <w:r>
        <w:rPr>
          <w:rFonts w:hint="eastAsia" w:ascii="仿宋" w:hAnsi="仿宋" w:eastAsia="仿宋"/>
          <w:sz w:val="32"/>
          <w:szCs w:val="32"/>
          <w:lang w:eastAsia="zh-CN"/>
        </w:rPr>
        <w:t>，机构改革前属于峨眉山市住建局管理，机构改革后其建设职能划归峨眉山市市住建局，规划职能划归</w:t>
      </w:r>
      <w:r>
        <w:rPr>
          <w:rFonts w:hint="eastAsia" w:ascii="仿宋" w:hAnsi="仿宋" w:eastAsia="仿宋"/>
          <w:sz w:val="32"/>
          <w:szCs w:val="32"/>
          <w:lang w:val="en-US" w:eastAsia="zh-CN"/>
        </w:rPr>
        <w:t>峨眉山市自然资源局</w:t>
      </w:r>
      <w:r>
        <w:rPr>
          <w:rFonts w:hint="eastAsia" w:ascii="仿宋" w:hAnsi="仿宋" w:eastAsia="仿宋"/>
          <w:sz w:val="32"/>
          <w:szCs w:val="32"/>
        </w:rPr>
        <w:t>。</w:t>
      </w:r>
    </w:p>
    <w:p>
      <w:pPr>
        <w:pStyle w:val="2"/>
        <w:ind w:right="440"/>
        <w:jc w:val="right"/>
        <w:rPr>
          <w:rStyle w:val="11"/>
          <w:rFonts w:ascii="黑体" w:hAnsi="黑体" w:eastAsia="黑体"/>
          <w:b w:val="0"/>
          <w:bCs w:val="0"/>
        </w:rPr>
      </w:pPr>
      <w:bookmarkStart w:id="21" w:name="_Toc15377204"/>
      <w:bookmarkStart w:id="22"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11"/>
          <w:rFonts w:hint="eastAsia" w:ascii="黑体" w:hAnsi="黑体" w:eastAsia="黑体"/>
          <w:b w:val="0"/>
          <w:bCs w:val="0"/>
        </w:rPr>
        <w:t>2019年度部门决算情况说明</w:t>
      </w:r>
      <w:bookmarkEnd w:id="21"/>
      <w:bookmarkEnd w:id="22"/>
    </w:p>
    <w:p/>
    <w:p>
      <w:pPr>
        <w:pStyle w:val="13"/>
        <w:numPr>
          <w:ilvl w:val="0"/>
          <w:numId w:val="1"/>
        </w:numPr>
        <w:spacing w:line="600" w:lineRule="exact"/>
        <w:ind w:firstLineChars="0"/>
        <w:outlineLvl w:val="1"/>
        <w:rPr>
          <w:rStyle w:val="12"/>
          <w:rFonts w:ascii="黑体" w:hAnsi="黑体" w:eastAsia="黑体"/>
          <w:b w:val="0"/>
        </w:rPr>
      </w:pPr>
      <w:bookmarkStart w:id="23" w:name="_Toc15377205"/>
      <w:bookmarkStart w:id="24" w:name="_Toc15396603"/>
      <w:r>
        <w:rPr>
          <w:rFonts w:hint="eastAsia" w:ascii="黑体" w:hAnsi="黑体" w:eastAsia="黑体"/>
          <w:color w:val="000000"/>
          <w:sz w:val="32"/>
          <w:szCs w:val="32"/>
        </w:rPr>
        <w:t>收</w:t>
      </w:r>
      <w:r>
        <w:rPr>
          <w:rStyle w:val="12"/>
          <w:rFonts w:hint="eastAsia" w:ascii="黑体" w:hAnsi="黑体" w:eastAsia="黑体"/>
          <w:b w:val="0"/>
        </w:rPr>
        <w:t>入支出决算总体情况说明</w:t>
      </w:r>
      <w:bookmarkEnd w:id="23"/>
      <w:bookmarkEnd w:id="24"/>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593.6</w:t>
      </w:r>
      <w:r>
        <w:rPr>
          <w:rFonts w:hint="eastAsia" w:ascii="仿宋" w:hAnsi="仿宋" w:eastAsia="仿宋"/>
          <w:color w:val="000000"/>
          <w:sz w:val="32"/>
          <w:szCs w:val="32"/>
        </w:rPr>
        <w:t>万元。与2018年相比，收、支总计各</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54.77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8</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是年初结转</w:t>
      </w:r>
      <w:r>
        <w:rPr>
          <w:rFonts w:hint="eastAsia" w:ascii="仿宋" w:hAnsi="仿宋" w:eastAsia="仿宋"/>
          <w:color w:val="000000"/>
          <w:sz w:val="32"/>
          <w:szCs w:val="32"/>
          <w:lang w:val="en-US" w:eastAsia="zh-CN"/>
        </w:rPr>
        <w:t>变动</w:t>
      </w:r>
      <w:r>
        <w:rPr>
          <w:rFonts w:hint="eastAsia" w:ascii="仿宋" w:hAnsi="仿宋" w:eastAsia="仿宋"/>
          <w:color w:val="000000"/>
          <w:sz w:val="32"/>
          <w:szCs w:val="32"/>
          <w:lang w:eastAsia="zh-CN"/>
        </w:rPr>
        <w:t>。</w:t>
      </w:r>
    </w:p>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13"/>
        <w:numPr>
          <w:ilvl w:val="0"/>
          <w:numId w:val="1"/>
        </w:numPr>
        <w:spacing w:line="600" w:lineRule="exact"/>
        <w:ind w:firstLineChars="0"/>
        <w:outlineLvl w:val="1"/>
        <w:rPr>
          <w:rStyle w:val="12"/>
          <w:rFonts w:ascii="黑体" w:hAnsi="黑体" w:eastAsia="黑体"/>
          <w:b w:val="0"/>
        </w:rPr>
      </w:pPr>
      <w:bookmarkStart w:id="25" w:name="_Toc15377206"/>
      <w:bookmarkStart w:id="26" w:name="_Toc15396604"/>
      <w:r>
        <w:rPr>
          <w:rFonts w:hint="eastAsia" w:ascii="黑体" w:hAnsi="黑体" w:eastAsia="黑体"/>
          <w:color w:val="000000"/>
          <w:sz w:val="32"/>
          <w:szCs w:val="32"/>
        </w:rPr>
        <w:t>收</w:t>
      </w:r>
      <w:r>
        <w:rPr>
          <w:rStyle w:val="12"/>
          <w:rFonts w:hint="eastAsia" w:ascii="黑体" w:hAnsi="黑体" w:eastAsia="黑体"/>
          <w:b w:val="0"/>
        </w:rPr>
        <w:t>入决算情况说明</w:t>
      </w:r>
      <w:bookmarkEnd w:id="25"/>
      <w:bookmarkEnd w:id="26"/>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588.57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588.57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13"/>
        <w:numPr>
          <w:ilvl w:val="0"/>
          <w:numId w:val="1"/>
        </w:numPr>
        <w:spacing w:line="600" w:lineRule="exact"/>
        <w:ind w:firstLineChars="0"/>
        <w:outlineLvl w:val="1"/>
        <w:rPr>
          <w:rStyle w:val="12"/>
          <w:rFonts w:ascii="黑体" w:hAnsi="黑体" w:eastAsia="黑体"/>
          <w:b w:val="0"/>
        </w:rPr>
      </w:pPr>
      <w:bookmarkStart w:id="27" w:name="_Toc15396605"/>
      <w:bookmarkStart w:id="28" w:name="_Toc15377207"/>
      <w:r>
        <w:rPr>
          <w:rFonts w:hint="eastAsia" w:ascii="黑体" w:hAnsi="黑体" w:eastAsia="黑体"/>
          <w:color w:val="000000"/>
          <w:sz w:val="32"/>
          <w:szCs w:val="32"/>
        </w:rPr>
        <w:t>支</w:t>
      </w:r>
      <w:r>
        <w:rPr>
          <w:rStyle w:val="12"/>
          <w:rFonts w:hint="eastAsia" w:ascii="黑体" w:hAnsi="黑体" w:eastAsia="黑体"/>
          <w:b w:val="0"/>
        </w:rPr>
        <w:t>出决算情况说明</w:t>
      </w:r>
      <w:bookmarkEnd w:id="27"/>
      <w:bookmarkEnd w:id="28"/>
    </w:p>
    <w:p>
      <w:pPr>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588.57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488.22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82.95</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100.35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17.05</w:t>
      </w:r>
      <w:r>
        <w:rPr>
          <w:rFonts w:ascii="仿宋" w:hAnsi="仿宋" w:eastAsia="仿宋"/>
          <w:color w:val="000000"/>
          <w:sz w:val="32"/>
          <w:szCs w:val="32"/>
        </w:rPr>
        <w:t>%</w:t>
      </w:r>
      <w:r>
        <w:rPr>
          <w:rFonts w:hint="eastAsia" w:ascii="仿宋" w:hAnsi="仿宋" w:eastAsia="仿宋"/>
          <w:color w:val="000000"/>
          <w:sz w:val="32"/>
          <w:szCs w:val="32"/>
        </w:rPr>
        <w:t>。</w:t>
      </w:r>
    </w:p>
    <w:p>
      <w:pPr>
        <w:rPr>
          <w:rFonts w:hint="eastAsia" w:ascii="仿宋" w:hAnsi="仿宋" w:eastAsia="仿宋"/>
          <w:color w:val="000000"/>
          <w:sz w:val="32"/>
          <w:szCs w:val="32"/>
        </w:rPr>
      </w:pPr>
    </w:p>
    <w:p>
      <w:pPr>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outlineLvl w:val="1"/>
        <w:rPr>
          <w:rStyle w:val="12"/>
          <w:rFonts w:ascii="黑体" w:hAnsi="黑体" w:eastAsia="黑体"/>
          <w:b w:val="0"/>
        </w:rPr>
      </w:pPr>
      <w:bookmarkStart w:id="29" w:name="_Toc15396606"/>
      <w:bookmarkStart w:id="30" w:name="_Toc15377208"/>
      <w:r>
        <w:rPr>
          <w:rFonts w:hint="eastAsia" w:ascii="黑体" w:hAnsi="黑体" w:eastAsia="黑体"/>
          <w:color w:val="000000"/>
          <w:sz w:val="32"/>
          <w:szCs w:val="32"/>
        </w:rPr>
        <w:t>四、财</w:t>
      </w:r>
      <w:r>
        <w:rPr>
          <w:rStyle w:val="12"/>
          <w:rFonts w:hint="eastAsia" w:ascii="黑体" w:hAnsi="黑体" w:eastAsia="黑体"/>
          <w:b w:val="0"/>
        </w:rPr>
        <w:t>政拨款收入支出决算总体情况说明</w:t>
      </w:r>
      <w:bookmarkEnd w:id="29"/>
      <w:bookmarkEnd w:id="30"/>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2019年度</w:t>
      </w:r>
      <w:r>
        <w:rPr>
          <w:rFonts w:hint="eastAsia" w:ascii="仿宋" w:hAnsi="仿宋" w:eastAsia="仿宋"/>
          <w:color w:val="000000"/>
          <w:sz w:val="32"/>
          <w:szCs w:val="32"/>
          <w:lang w:eastAsia="zh-CN"/>
        </w:rPr>
        <w:t>财政拨款</w:t>
      </w:r>
      <w:r>
        <w:rPr>
          <w:rFonts w:hint="eastAsia" w:ascii="仿宋" w:hAnsi="仿宋" w:eastAsia="仿宋"/>
          <w:color w:val="000000"/>
          <w:sz w:val="32"/>
          <w:szCs w:val="32"/>
        </w:rPr>
        <w:t>收、支总计</w:t>
      </w:r>
      <w:r>
        <w:rPr>
          <w:rFonts w:hint="eastAsia" w:ascii="仿宋" w:hAnsi="仿宋" w:eastAsia="仿宋"/>
          <w:color w:val="000000"/>
          <w:sz w:val="32"/>
          <w:szCs w:val="32"/>
          <w:lang w:val="en-US" w:eastAsia="zh-CN"/>
        </w:rPr>
        <w:t>593.6</w:t>
      </w:r>
      <w:r>
        <w:rPr>
          <w:rFonts w:hint="eastAsia" w:ascii="仿宋" w:hAnsi="仿宋" w:eastAsia="仿宋"/>
          <w:color w:val="000000"/>
          <w:sz w:val="32"/>
          <w:szCs w:val="32"/>
        </w:rPr>
        <w:t>万元。与2018年相比，</w:t>
      </w:r>
      <w:r>
        <w:rPr>
          <w:rFonts w:hint="eastAsia" w:ascii="仿宋" w:hAnsi="仿宋" w:eastAsia="仿宋"/>
          <w:color w:val="000000"/>
          <w:sz w:val="32"/>
          <w:szCs w:val="32"/>
          <w:lang w:eastAsia="zh-CN"/>
        </w:rPr>
        <w:t>财政拨款</w:t>
      </w:r>
      <w:r>
        <w:rPr>
          <w:rFonts w:hint="eastAsia" w:ascii="仿宋" w:hAnsi="仿宋" w:eastAsia="仿宋"/>
          <w:color w:val="000000"/>
          <w:sz w:val="32"/>
          <w:szCs w:val="32"/>
        </w:rPr>
        <w:t>收、支总计各各</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54.77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8</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是年初结转</w:t>
      </w:r>
      <w:r>
        <w:rPr>
          <w:rFonts w:hint="eastAsia" w:ascii="仿宋" w:hAnsi="仿宋" w:eastAsia="仿宋"/>
          <w:color w:val="000000"/>
          <w:sz w:val="32"/>
          <w:szCs w:val="32"/>
          <w:lang w:val="en-US" w:eastAsia="zh-CN"/>
        </w:rPr>
        <w:t>变动</w:t>
      </w:r>
      <w:r>
        <w:rPr>
          <w:rFonts w:hint="eastAsia" w:ascii="仿宋" w:hAnsi="仿宋" w:eastAsia="仿宋"/>
          <w:color w:val="000000"/>
          <w:sz w:val="32"/>
          <w:szCs w:val="32"/>
          <w:lang w:eastAsia="zh-CN"/>
        </w:rPr>
        <w:t>。</w:t>
      </w:r>
    </w:p>
    <w:p>
      <w:pPr>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outlineLvl w:val="1"/>
        <w:rPr>
          <w:rStyle w:val="12"/>
          <w:rFonts w:ascii="黑体" w:hAnsi="黑体" w:eastAsia="黑体"/>
          <w:b w:val="0"/>
        </w:rPr>
      </w:pPr>
      <w:bookmarkStart w:id="31" w:name="_Toc15396607"/>
      <w:bookmarkStart w:id="32"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2"/>
          <w:rFonts w:hint="eastAsia" w:ascii="黑体" w:hAnsi="黑体" w:eastAsia="黑体"/>
          <w:b w:val="0"/>
        </w:rPr>
        <w:t>般公共预算财政拨款支出决算情况说明</w:t>
      </w:r>
      <w:bookmarkEnd w:id="31"/>
      <w:bookmarkEnd w:id="32"/>
    </w:p>
    <w:p>
      <w:pPr>
        <w:spacing w:line="600" w:lineRule="exact"/>
        <w:ind w:firstLine="643" w:firstLineChars="200"/>
        <w:outlineLvl w:val="2"/>
        <w:rPr>
          <w:rFonts w:ascii="仿宋" w:hAnsi="仿宋" w:eastAsia="仿宋"/>
          <w:b/>
          <w:color w:val="000000"/>
          <w:sz w:val="32"/>
          <w:szCs w:val="32"/>
        </w:rPr>
      </w:pPr>
      <w:bookmarkStart w:id="33" w:name="_Toc15377210"/>
      <w:r>
        <w:rPr>
          <w:rFonts w:hint="eastAsia" w:ascii="仿宋" w:hAnsi="仿宋" w:eastAsia="仿宋"/>
          <w:b/>
          <w:color w:val="000000"/>
          <w:sz w:val="32"/>
          <w:szCs w:val="32"/>
        </w:rPr>
        <w:t>（一）一般公共预算财政拨款支出决算总体情况</w:t>
      </w:r>
      <w:bookmarkEnd w:id="33"/>
    </w:p>
    <w:p>
      <w:pPr>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588.57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支出减少</w:t>
      </w:r>
      <w:r>
        <w:rPr>
          <w:rFonts w:hint="eastAsia" w:ascii="仿宋" w:hAnsi="仿宋" w:eastAsia="仿宋"/>
          <w:color w:val="000000"/>
          <w:sz w:val="32"/>
          <w:szCs w:val="32"/>
          <w:lang w:val="en-US" w:eastAsia="zh-CN"/>
        </w:rPr>
        <w:t>25.34</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减少</w:t>
      </w:r>
      <w:r>
        <w:rPr>
          <w:rFonts w:hint="eastAsia" w:ascii="仿宋" w:hAnsi="仿宋" w:eastAsia="仿宋"/>
          <w:color w:val="000000"/>
          <w:sz w:val="32"/>
          <w:szCs w:val="32"/>
          <w:lang w:val="en-US" w:eastAsia="zh-CN"/>
        </w:rPr>
        <w:t>4</w:t>
      </w:r>
      <w:r>
        <w:rPr>
          <w:rFonts w:ascii="仿宋" w:hAnsi="仿宋" w:eastAsia="仿宋"/>
          <w:color w:val="000000"/>
          <w:sz w:val="32"/>
          <w:szCs w:val="32"/>
        </w:rPr>
        <w:t>%</w:t>
      </w:r>
      <w:r>
        <w:rPr>
          <w:rFonts w:hint="eastAsia" w:ascii="仿宋" w:hAnsi="仿宋" w:eastAsia="仿宋"/>
          <w:color w:val="000000"/>
          <w:sz w:val="32"/>
          <w:szCs w:val="32"/>
        </w:rPr>
        <w:t>。</w:t>
      </w:r>
    </w:p>
    <w:p>
      <w:pPr>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3" w:firstLineChars="200"/>
        <w:outlineLvl w:val="2"/>
        <w:rPr>
          <w:rFonts w:ascii="仿宋" w:hAnsi="仿宋" w:eastAsia="仿宋"/>
          <w:b/>
          <w:color w:val="000000"/>
          <w:sz w:val="32"/>
          <w:szCs w:val="32"/>
        </w:rPr>
      </w:pPr>
      <w:bookmarkStart w:id="34" w:name="_Toc15377211"/>
      <w:r>
        <w:rPr>
          <w:rFonts w:hint="eastAsia" w:ascii="仿宋" w:hAnsi="仿宋" w:eastAsia="仿宋"/>
          <w:b/>
          <w:color w:val="000000"/>
          <w:sz w:val="32"/>
          <w:szCs w:val="32"/>
        </w:rPr>
        <w:t>（二）一般公共预算财政拨款支出决算结构情况</w:t>
      </w:r>
      <w:bookmarkEnd w:id="34"/>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lang w:val="en-US" w:eastAsia="zh-CN"/>
        </w:rPr>
        <w:t>588.57</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34.96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5.94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8.28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城乡社区支出</w:t>
      </w:r>
      <w:r>
        <w:rPr>
          <w:rFonts w:hint="eastAsia" w:ascii="仿宋" w:hAnsi="仿宋" w:eastAsia="仿宋"/>
          <w:color w:val="000000" w:themeColor="text1"/>
          <w:sz w:val="32"/>
          <w:szCs w:val="32"/>
          <w:lang w:val="en-US" w:eastAsia="zh-CN"/>
          <w14:textFill>
            <w14:solidFill>
              <w14:schemeClr w14:val="tx1"/>
            </w14:solidFill>
          </w14:textFill>
        </w:rPr>
        <w:t>518.39</w:t>
      </w:r>
      <w:r>
        <w:rPr>
          <w:rFonts w:hint="eastAsia" w:ascii="仿宋" w:hAnsi="仿宋" w:eastAsia="仿宋"/>
          <w:color w:val="000000" w:themeColor="text1"/>
          <w:sz w:val="32"/>
          <w:szCs w:val="32"/>
          <w:lang w:eastAsia="zh-CN"/>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88.07%</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26.95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4.58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3" w:firstLineChars="200"/>
        <w:outlineLvl w:val="2"/>
        <w:rPr>
          <w:rFonts w:ascii="仿宋" w:hAnsi="仿宋" w:eastAsia="仿宋"/>
          <w:b/>
          <w:color w:val="000000"/>
          <w:sz w:val="32"/>
          <w:szCs w:val="32"/>
        </w:rPr>
      </w:pPr>
      <w:bookmarkStart w:id="35" w:name="_Toc15377212"/>
      <w:r>
        <w:rPr>
          <w:rFonts w:hint="eastAsia" w:ascii="仿宋" w:hAnsi="仿宋" w:eastAsia="仿宋"/>
          <w:b/>
          <w:color w:val="000000"/>
          <w:sz w:val="32"/>
          <w:szCs w:val="32"/>
        </w:rPr>
        <w:t>（三）一般公共预算财政拨款支出决算具体情况</w:t>
      </w:r>
      <w:bookmarkEnd w:id="35"/>
    </w:p>
    <w:p>
      <w:pPr>
        <w:spacing w:line="600" w:lineRule="exact"/>
        <w:ind w:firstLine="643" w:firstLineChars="200"/>
        <w:outlineLvl w:val="2"/>
        <w:rPr>
          <w:rFonts w:ascii="仿宋" w:hAnsi="仿宋" w:eastAsia="仿宋"/>
          <w:color w:val="FF0000"/>
          <w:sz w:val="32"/>
          <w:szCs w:val="32"/>
        </w:rPr>
      </w:pPr>
      <w:bookmarkStart w:id="36" w:name="_Toc15377444"/>
      <w:bookmarkStart w:id="37" w:name="_Toc15377213"/>
      <w:bookmarkStart w:id="38" w:name="_Toc15378460"/>
      <w:r>
        <w:rPr>
          <w:rFonts w:hint="eastAsia" w:ascii="仿宋" w:hAnsi="仿宋" w:eastAsia="仿宋"/>
          <w:b/>
          <w:color w:val="000000" w:themeColor="text1"/>
          <w:sz w:val="32"/>
          <w:szCs w:val="32"/>
          <w14:textFill>
            <w14:solidFill>
              <w14:schemeClr w14:val="tx1"/>
            </w14:solidFill>
          </w14:textFill>
        </w:rPr>
        <w:t>2019年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588.57万元</w:t>
      </w:r>
      <w:r>
        <w:rPr>
          <w:rFonts w:hint="eastAsia" w:ascii="仿宋" w:hAnsi="仿宋" w:eastAsia="仿宋"/>
          <w:color w:val="000000" w:themeColor="text1"/>
          <w:sz w:val="32"/>
          <w:szCs w:val="32"/>
          <w14:textFill>
            <w14:solidFill>
              <w14:schemeClr w14:val="tx1"/>
            </w14:solidFill>
          </w14:textFill>
        </w:rPr>
        <w:t>，</w:t>
      </w:r>
      <w:r>
        <w:rPr>
          <w:rStyle w:val="9"/>
          <w:rFonts w:hint="eastAsia" w:ascii="仿宋" w:hAnsi="仿宋" w:eastAsia="仿宋"/>
          <w:bCs/>
          <w:color w:val="000000" w:themeColor="text1"/>
          <w:sz w:val="32"/>
          <w:szCs w:val="32"/>
          <w14:textFill>
            <w14:solidFill>
              <w14:schemeClr w14:val="tx1"/>
            </w14:solidFill>
          </w14:textFill>
        </w:rPr>
        <w:t>完成</w:t>
      </w:r>
      <w:r>
        <w:rPr>
          <w:rStyle w:val="9"/>
          <w:rFonts w:hint="eastAsia" w:ascii="仿宋" w:hAnsi="仿宋" w:eastAsia="仿宋"/>
          <w:bCs/>
          <w:color w:val="000000"/>
          <w:sz w:val="32"/>
          <w:szCs w:val="32"/>
        </w:rPr>
        <w:t>预算</w:t>
      </w:r>
      <w:r>
        <w:rPr>
          <w:rStyle w:val="9"/>
          <w:rFonts w:hint="eastAsia" w:ascii="仿宋" w:hAnsi="仿宋" w:eastAsia="仿宋"/>
          <w:bCs/>
          <w:color w:val="000000"/>
          <w:sz w:val="32"/>
          <w:szCs w:val="32"/>
          <w:lang w:val="en-US" w:eastAsia="zh-CN"/>
        </w:rPr>
        <w:t>99.15</w:t>
      </w:r>
      <w:r>
        <w:rPr>
          <w:rStyle w:val="9"/>
          <w:rFonts w:ascii="仿宋" w:hAnsi="仿宋" w:eastAsia="仿宋"/>
          <w:bCs/>
          <w:color w:val="000000"/>
          <w:sz w:val="32"/>
          <w:szCs w:val="32"/>
        </w:rPr>
        <w:t>%</w:t>
      </w:r>
      <w:r>
        <w:rPr>
          <w:rStyle w:val="9"/>
          <w:rFonts w:hint="eastAsia" w:ascii="仿宋" w:hAnsi="仿宋" w:eastAsia="仿宋"/>
          <w:bCs/>
          <w:color w:val="000000"/>
          <w:sz w:val="32"/>
          <w:szCs w:val="32"/>
        </w:rPr>
        <w:t>。其中：</w:t>
      </w:r>
      <w:bookmarkEnd w:id="36"/>
      <w:bookmarkEnd w:id="37"/>
      <w:bookmarkEnd w:id="38"/>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1</w:t>
      </w:r>
      <w:r>
        <w:rPr>
          <w:rStyle w:val="9"/>
          <w:rFonts w:ascii="仿宋" w:hAnsi="仿宋" w:eastAsia="仿宋"/>
          <w:bCs/>
          <w:color w:val="000000"/>
          <w:sz w:val="32"/>
          <w:szCs w:val="32"/>
        </w:rPr>
        <w:t>.</w:t>
      </w:r>
      <w:r>
        <w:rPr>
          <w:rStyle w:val="9"/>
          <w:rFonts w:hint="eastAsia" w:ascii="仿宋" w:hAnsi="仿宋" w:eastAsia="仿宋"/>
          <w:bCs/>
          <w:color w:val="000000"/>
          <w:sz w:val="30"/>
          <w:szCs w:val="30"/>
        </w:rPr>
        <w:t>社会保障和就业（类）行政事业单位离退休（款）机关事业单位基本养老保险缴费支出（项）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23.92</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0" w:firstLineChars="200"/>
        <w:rPr>
          <w:rStyle w:val="9"/>
          <w:rFonts w:hint="eastAsia" w:ascii="仿宋" w:hAnsi="仿宋" w:eastAsia="仿宋"/>
          <w:b w:val="0"/>
          <w:bCs/>
          <w:color w:val="000000"/>
          <w:sz w:val="32"/>
          <w:szCs w:val="32"/>
        </w:rPr>
      </w:pPr>
      <w:r>
        <w:rPr>
          <w:rStyle w:val="9"/>
          <w:rFonts w:hint="eastAsia" w:ascii="仿宋" w:hAnsi="仿宋" w:eastAsia="仿宋"/>
          <w:b w:val="0"/>
          <w:bCs/>
          <w:color w:val="000000"/>
          <w:sz w:val="32"/>
          <w:szCs w:val="32"/>
          <w:lang w:val="en-US" w:eastAsia="zh-CN"/>
        </w:rPr>
        <w:t>2.</w:t>
      </w:r>
      <w:r>
        <w:rPr>
          <w:rStyle w:val="9"/>
          <w:rFonts w:hint="eastAsia" w:ascii="仿宋" w:hAnsi="仿宋" w:eastAsia="仿宋"/>
          <w:bCs/>
          <w:color w:val="000000"/>
          <w:sz w:val="30"/>
          <w:szCs w:val="30"/>
        </w:rPr>
        <w:t>社会保障和就业（类）行政事业单位离退休（款）机关事业单位职业年金缴费支出（项）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11.04</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0" w:firstLineChars="200"/>
        <w:rPr>
          <w:rStyle w:val="9"/>
          <w:rFonts w:hint="eastAsia" w:ascii="仿宋" w:hAnsi="仿宋" w:eastAsia="仿宋"/>
          <w:b w:val="0"/>
          <w:bCs/>
          <w:color w:val="000000"/>
          <w:sz w:val="32"/>
          <w:szCs w:val="32"/>
          <w:lang w:eastAsia="zh-CN"/>
        </w:rPr>
      </w:pP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3</w:t>
      </w:r>
      <w:r>
        <w:rPr>
          <w:rStyle w:val="9"/>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9"/>
          <w:rFonts w:hint="eastAsia" w:ascii="仿宋" w:hAnsi="仿宋" w:eastAsia="仿宋"/>
          <w:bCs/>
          <w:color w:val="000000"/>
          <w:sz w:val="32"/>
          <w:szCs w:val="32"/>
        </w:rPr>
        <w:t>（类）行政事业单位医疗（款）</w:t>
      </w:r>
      <w:r>
        <w:rPr>
          <w:rStyle w:val="9"/>
          <w:rFonts w:hint="eastAsia" w:ascii="仿宋" w:hAnsi="仿宋" w:eastAsia="仿宋"/>
          <w:bCs/>
          <w:color w:val="000000"/>
          <w:sz w:val="32"/>
          <w:szCs w:val="32"/>
          <w:lang w:eastAsia="zh-CN"/>
        </w:rPr>
        <w:t>事业</w:t>
      </w:r>
      <w:r>
        <w:rPr>
          <w:rStyle w:val="9"/>
          <w:rFonts w:hint="eastAsia" w:ascii="仿宋" w:hAnsi="仿宋" w:eastAsia="仿宋"/>
          <w:bCs/>
          <w:color w:val="000000"/>
          <w:sz w:val="32"/>
          <w:szCs w:val="32"/>
        </w:rPr>
        <w:t>单位医疗（项）</w:t>
      </w:r>
      <w:r>
        <w:rPr>
          <w:rStyle w:val="9"/>
          <w:rFonts w:ascii="仿宋" w:hAnsi="仿宋" w:eastAsia="仿宋"/>
          <w:bCs/>
          <w:color w:val="000000"/>
          <w:sz w:val="32"/>
          <w:szCs w:val="32"/>
        </w:rPr>
        <w:t>:</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8.28</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4.</w:t>
      </w:r>
      <w:r>
        <w:rPr>
          <w:rStyle w:val="9"/>
          <w:rFonts w:hint="eastAsia" w:ascii="仿宋" w:hAnsi="仿宋" w:eastAsia="仿宋"/>
          <w:bCs/>
          <w:color w:val="000000"/>
          <w:sz w:val="32"/>
          <w:szCs w:val="32"/>
        </w:rPr>
        <w:t>城乡社区支出（类）</w:t>
      </w:r>
      <w:r>
        <w:rPr>
          <w:rStyle w:val="9"/>
          <w:rFonts w:hint="eastAsia" w:ascii="仿宋" w:hAnsi="仿宋" w:eastAsia="仿宋"/>
          <w:bCs/>
          <w:color w:val="000000"/>
          <w:sz w:val="32"/>
          <w:szCs w:val="32"/>
          <w:lang w:eastAsia="zh-CN"/>
        </w:rPr>
        <w:t>城乡社区管理事务</w:t>
      </w:r>
      <w:r>
        <w:rPr>
          <w:rStyle w:val="9"/>
          <w:rFonts w:hint="eastAsia" w:ascii="仿宋" w:hAnsi="仿宋" w:eastAsia="仿宋"/>
          <w:bCs/>
          <w:color w:val="000000"/>
          <w:sz w:val="32"/>
          <w:szCs w:val="32"/>
        </w:rPr>
        <w:t>（款）其他</w:t>
      </w:r>
      <w:r>
        <w:rPr>
          <w:rStyle w:val="9"/>
          <w:rFonts w:hint="eastAsia" w:ascii="仿宋" w:hAnsi="仿宋" w:eastAsia="仿宋"/>
          <w:bCs/>
          <w:color w:val="000000"/>
          <w:sz w:val="32"/>
          <w:szCs w:val="32"/>
          <w:lang w:eastAsia="zh-CN"/>
        </w:rPr>
        <w:t>城乡社区管理事务</w:t>
      </w:r>
      <w:r>
        <w:rPr>
          <w:rStyle w:val="9"/>
          <w:rFonts w:hint="eastAsia" w:ascii="仿宋" w:hAnsi="仿宋" w:eastAsia="仿宋"/>
          <w:bCs/>
          <w:color w:val="000000"/>
          <w:sz w:val="32"/>
          <w:szCs w:val="32"/>
        </w:rPr>
        <w:t>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518.38</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98.6</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，决算数小于预算数的主要原因</w:t>
      </w:r>
      <w:r>
        <w:rPr>
          <w:rStyle w:val="9"/>
          <w:rFonts w:hint="eastAsia" w:ascii="仿宋" w:hAnsi="仿宋" w:eastAsia="仿宋"/>
          <w:b w:val="0"/>
          <w:bCs/>
          <w:color w:val="000000"/>
          <w:sz w:val="32"/>
          <w:szCs w:val="32"/>
          <w:lang w:eastAsia="zh-CN"/>
        </w:rPr>
        <w:t>是个别项目尾款尚未支付</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5.</w:t>
      </w:r>
      <w:r>
        <w:rPr>
          <w:rStyle w:val="9"/>
          <w:rFonts w:hint="eastAsia" w:ascii="仿宋" w:hAnsi="仿宋" w:eastAsia="仿宋"/>
          <w:bCs/>
          <w:color w:val="000000"/>
          <w:sz w:val="32"/>
          <w:szCs w:val="32"/>
        </w:rPr>
        <w:t>住房保障支出（类）住房改革支出（款）住房公积金（项）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26.95</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99.04</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lang w:eastAsia="zh-CN"/>
        </w:rPr>
        <w:t>，决算数小于预算数的主要原因是少数项目尾款尚未支付</w:t>
      </w:r>
      <w:r>
        <w:rPr>
          <w:rStyle w:val="9"/>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12"/>
        </w:rPr>
      </w:pPr>
      <w:bookmarkStart w:id="39" w:name="_Toc15396608"/>
      <w:bookmarkStart w:id="40"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2"/>
          <w:rFonts w:hint="eastAsia" w:ascii="黑体" w:hAnsi="黑体" w:eastAsia="黑体"/>
          <w:b w:val="0"/>
        </w:rPr>
        <w:t>般公共预算财政拨款基本支出决算情况说明</w:t>
      </w:r>
      <w:bookmarkEnd w:id="39"/>
      <w:bookmarkEnd w:id="40"/>
      <w:r>
        <w:rPr>
          <w:rStyle w:val="12"/>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1245.64</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451.29</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36.93</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2"/>
          <w:rFonts w:ascii="黑体" w:hAnsi="黑体" w:eastAsia="黑体"/>
          <w:b w:val="0"/>
        </w:rPr>
      </w:pPr>
      <w:bookmarkStart w:id="41" w:name="_Toc15377215"/>
      <w:bookmarkStart w:id="42" w:name="_Toc15396609"/>
      <w:r>
        <w:rPr>
          <w:rFonts w:hint="eastAsia" w:ascii="黑体" w:eastAsia="黑体"/>
          <w:color w:val="000000"/>
          <w:sz w:val="32"/>
          <w:szCs w:val="32"/>
        </w:rPr>
        <w:t>七、</w:t>
      </w:r>
      <w:r>
        <w:rPr>
          <w:rStyle w:val="12"/>
          <w:rFonts w:hint="eastAsia" w:ascii="黑体" w:hAnsi="黑体" w:eastAsia="黑体"/>
        </w:rPr>
        <w:t>“</w:t>
      </w:r>
      <w:r>
        <w:rPr>
          <w:rStyle w:val="12"/>
          <w:rFonts w:hint="eastAsia" w:ascii="黑体" w:hAnsi="黑体" w:eastAsia="黑体"/>
          <w:b w:val="0"/>
        </w:rPr>
        <w:t>三公”经费财政拨款支出决算情况说明</w:t>
      </w:r>
      <w:bookmarkEnd w:id="41"/>
      <w:bookmarkEnd w:id="42"/>
    </w:p>
    <w:p>
      <w:pPr>
        <w:spacing w:line="600" w:lineRule="exact"/>
        <w:ind w:firstLine="640"/>
        <w:outlineLvl w:val="2"/>
        <w:rPr>
          <w:rFonts w:ascii="仿宋" w:hAnsi="仿宋" w:eastAsia="仿宋"/>
          <w:b/>
          <w:color w:val="000000"/>
          <w:sz w:val="32"/>
          <w:szCs w:val="32"/>
        </w:rPr>
      </w:pPr>
      <w:bookmarkStart w:id="43" w:name="_Toc15377216"/>
      <w:r>
        <w:rPr>
          <w:rFonts w:hint="eastAsia" w:ascii="仿宋" w:hAnsi="仿宋" w:eastAsia="仿宋"/>
          <w:b/>
          <w:color w:val="000000"/>
          <w:sz w:val="32"/>
          <w:szCs w:val="32"/>
        </w:rPr>
        <w:t>（一）“三公”经费财政拨款支出决算总体情况说明</w:t>
      </w:r>
      <w:bookmarkEnd w:id="4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2.27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26.7</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坚持执行上级相关规定励行节约</w:t>
      </w:r>
      <w:r>
        <w:rPr>
          <w:rFonts w:hint="eastAsia" w:ascii="仿宋" w:hAnsi="仿宋" w:eastAsia="仿宋"/>
          <w:color w:val="000000"/>
          <w:sz w:val="32"/>
          <w:szCs w:val="32"/>
        </w:rPr>
        <w:t>。</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44" w:name="_Toc15377217"/>
      <w:r>
        <w:rPr>
          <w:rFonts w:hint="eastAsia" w:ascii="仿宋" w:hAnsi="仿宋" w:eastAsia="仿宋"/>
          <w:b/>
          <w:color w:val="000000"/>
          <w:sz w:val="32"/>
          <w:szCs w:val="32"/>
        </w:rPr>
        <w:t>（二）“三公”经费财政拨款支出决算具体情况说明</w:t>
      </w:r>
      <w:bookmarkEnd w:id="44"/>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2.27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9"/>
          <w:rFonts w:hint="eastAsia" w:ascii="仿宋" w:hAnsi="仿宋" w:eastAsia="仿宋"/>
          <w:b w:val="0"/>
          <w:bCs/>
          <w:color w:val="000000"/>
          <w:sz w:val="32"/>
          <w:szCs w:val="32"/>
        </w:rPr>
        <w:t>完成预算</w:t>
      </w:r>
      <w:r>
        <w:rPr>
          <w:rStyle w:val="9"/>
          <w:rFonts w:hint="eastAsia" w:ascii="仿宋" w:hAnsi="仿宋" w:eastAsia="仿宋"/>
          <w:b w:val="0"/>
          <w:bCs/>
          <w:color w:val="000000"/>
          <w:sz w:val="32"/>
          <w:szCs w:val="32"/>
          <w:lang w:val="en-US" w:eastAsia="zh-CN"/>
        </w:rPr>
        <w:t>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2.27</w:t>
      </w:r>
      <w:r>
        <w:rPr>
          <w:rFonts w:hint="eastAsia" w:ascii="仿宋_GB2312" w:eastAsia="仿宋_GB2312"/>
          <w:color w:val="000000"/>
          <w:sz w:val="32"/>
          <w:szCs w:val="32"/>
        </w:rPr>
        <w:t>万元,</w:t>
      </w:r>
      <w:r>
        <w:rPr>
          <w:rStyle w:val="9"/>
          <w:rFonts w:hint="eastAsia" w:ascii="仿宋" w:hAnsi="仿宋" w:eastAsia="仿宋"/>
          <w:b w:val="0"/>
          <w:bCs/>
          <w:color w:val="000000"/>
          <w:sz w:val="32"/>
          <w:szCs w:val="32"/>
        </w:rPr>
        <w:t>完成预算</w:t>
      </w:r>
      <w:r>
        <w:rPr>
          <w:rStyle w:val="9"/>
          <w:rFonts w:hint="eastAsia" w:ascii="仿宋" w:hAnsi="仿宋" w:eastAsia="仿宋"/>
          <w:b w:val="0"/>
          <w:bCs/>
          <w:color w:val="000000"/>
          <w:sz w:val="32"/>
          <w:szCs w:val="32"/>
          <w:lang w:val="en-US" w:eastAsia="zh-CN"/>
        </w:rPr>
        <w:t>26.7</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4.11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64</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励行节约。</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2.27</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开展规划建设服务管理</w:t>
      </w:r>
      <w:r>
        <w:rPr>
          <w:rFonts w:hint="eastAsia" w:ascii="仿宋_GB2312" w:eastAsia="仿宋_GB2312"/>
          <w:color w:val="000000"/>
          <w:sz w:val="32"/>
          <w:szCs w:val="32"/>
        </w:rPr>
        <w:t>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0</w:t>
      </w:r>
      <w:r>
        <w:rPr>
          <w:rStyle w:val="9"/>
          <w:rFonts w:hint="eastAsia" w:ascii="仿宋" w:hAnsi="仿宋" w:eastAsia="仿宋"/>
          <w:b w:val="0"/>
          <w:bCs/>
          <w:color w:val="000000"/>
          <w:sz w:val="32"/>
          <w:szCs w:val="32"/>
        </w:rPr>
        <w:t>。</w:t>
      </w:r>
    </w:p>
    <w:p>
      <w:pPr>
        <w:spacing w:line="600" w:lineRule="exact"/>
        <w:ind w:firstLine="640"/>
        <w:outlineLvl w:val="1"/>
        <w:rPr>
          <w:rStyle w:val="12"/>
          <w:rFonts w:ascii="黑体" w:hAnsi="黑体" w:eastAsia="黑体"/>
        </w:rPr>
      </w:pPr>
      <w:bookmarkStart w:id="45" w:name="_Toc15396610"/>
      <w:bookmarkStart w:id="46" w:name="_Toc15377218"/>
      <w:r>
        <w:rPr>
          <w:rFonts w:hint="eastAsia" w:ascii="黑体" w:eastAsia="黑体"/>
          <w:color w:val="000000"/>
          <w:sz w:val="32"/>
          <w:szCs w:val="32"/>
        </w:rPr>
        <w:t>八、</w:t>
      </w:r>
      <w:r>
        <w:rPr>
          <w:rStyle w:val="12"/>
          <w:rFonts w:hint="eastAsia" w:ascii="黑体" w:hAnsi="黑体" w:eastAsia="黑体"/>
          <w:b w:val="0"/>
        </w:rPr>
        <w:t>政府性基金预算支出决算情况说明</w:t>
      </w:r>
      <w:bookmarkEnd w:id="45"/>
      <w:bookmarkEnd w:id="46"/>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12"/>
          <w:rFonts w:ascii="黑体" w:hAnsi="黑体" w:eastAsia="黑体"/>
          <w:b w:val="0"/>
        </w:rPr>
      </w:pPr>
      <w:bookmarkStart w:id="47" w:name="_Toc15377219"/>
      <w:bookmarkStart w:id="48" w:name="_Toc15396611"/>
      <w:r>
        <w:rPr>
          <w:rStyle w:val="12"/>
          <w:rFonts w:hint="eastAsia" w:ascii="黑体" w:hAnsi="黑体" w:eastAsia="黑体"/>
          <w:b w:val="0"/>
        </w:rPr>
        <w:t>国有资本经营预算支出决算情况说明</w:t>
      </w:r>
      <w:bookmarkEnd w:id="47"/>
      <w:bookmarkEnd w:id="48"/>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12"/>
          <w:rFonts w:ascii="黑体" w:hAnsi="黑体" w:eastAsia="黑体"/>
        </w:rPr>
      </w:pPr>
      <w:bookmarkStart w:id="49" w:name="_Toc15396612"/>
      <w:bookmarkStart w:id="50" w:name="_Toc15377221"/>
      <w:r>
        <w:rPr>
          <w:rFonts w:hint="eastAsia" w:ascii="黑体" w:hAnsi="黑体" w:eastAsia="黑体"/>
          <w:color w:val="000000"/>
          <w:sz w:val="32"/>
          <w:szCs w:val="32"/>
        </w:rPr>
        <w:t>十</w:t>
      </w:r>
      <w:r>
        <w:rPr>
          <w:rStyle w:val="12"/>
          <w:rFonts w:hint="eastAsia" w:ascii="黑体" w:hAnsi="黑体" w:eastAsia="黑体"/>
        </w:rPr>
        <w:t>、</w:t>
      </w:r>
      <w:r>
        <w:rPr>
          <w:rStyle w:val="12"/>
          <w:rFonts w:hint="eastAsia" w:ascii="黑体" w:hAnsi="黑体" w:eastAsia="黑体"/>
          <w:b w:val="0"/>
        </w:rPr>
        <w:t>其他重要事项的情况说明</w:t>
      </w:r>
      <w:bookmarkEnd w:id="49"/>
      <w:bookmarkEnd w:id="50"/>
    </w:p>
    <w:p>
      <w:pPr>
        <w:spacing w:line="600" w:lineRule="exact"/>
        <w:ind w:firstLine="643" w:firstLineChars="200"/>
        <w:outlineLvl w:val="2"/>
        <w:rPr>
          <w:rFonts w:ascii="仿宋" w:hAnsi="仿宋" w:eastAsia="仿宋"/>
          <w:color w:val="000000"/>
          <w:sz w:val="32"/>
          <w:szCs w:val="32"/>
        </w:rPr>
      </w:pPr>
      <w:bookmarkStart w:id="51" w:name="_Toc15377222"/>
      <w:r>
        <w:rPr>
          <w:rFonts w:hint="eastAsia" w:ascii="仿宋" w:hAnsi="仿宋" w:eastAsia="仿宋"/>
          <w:b/>
          <w:color w:val="000000"/>
          <w:sz w:val="32"/>
          <w:szCs w:val="32"/>
        </w:rPr>
        <w:t>（一）机关运行经费支出情况</w:t>
      </w:r>
      <w:bookmarkEnd w:id="51"/>
    </w:p>
    <w:p>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峨眉山市规划建设服务中心</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3"/>
      <w:r>
        <w:rPr>
          <w:rFonts w:hint="eastAsia" w:ascii="仿宋" w:hAnsi="仿宋" w:eastAsia="仿宋"/>
          <w:b/>
          <w:color w:val="000000"/>
          <w:sz w:val="32"/>
          <w:szCs w:val="32"/>
        </w:rPr>
        <w:t>（二）政府采购支出情况</w:t>
      </w:r>
      <w:bookmarkEnd w:id="52"/>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峨眉山市规划建设服务中心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4"/>
      <w:r>
        <w:rPr>
          <w:rFonts w:hint="eastAsia" w:ascii="仿宋" w:hAnsi="仿宋" w:eastAsia="仿宋"/>
          <w:b/>
          <w:color w:val="000000"/>
          <w:sz w:val="32"/>
          <w:szCs w:val="32"/>
        </w:rPr>
        <w:t>（三）国有资产占有使用情况</w:t>
      </w:r>
      <w:bookmarkEnd w:id="53"/>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highlight w:val="none"/>
        </w:rPr>
        <w:t>截至</w:t>
      </w: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9年</w:t>
      </w:r>
      <w:r>
        <w:rPr>
          <w:rFonts w:ascii="仿宋_GB2312" w:eastAsia="仿宋_GB2312"/>
          <w:color w:val="000000"/>
          <w:sz w:val="32"/>
          <w:szCs w:val="32"/>
          <w:highlight w:val="none"/>
        </w:rPr>
        <w:t>12</w:t>
      </w:r>
      <w:r>
        <w:rPr>
          <w:rFonts w:hint="eastAsia" w:ascii="仿宋_GB2312" w:eastAsia="仿宋_GB2312"/>
          <w:color w:val="000000"/>
          <w:sz w:val="32"/>
          <w:szCs w:val="32"/>
          <w:highlight w:val="none"/>
        </w:rPr>
        <w:t>月</w:t>
      </w:r>
      <w:r>
        <w:rPr>
          <w:rFonts w:ascii="仿宋_GB2312" w:eastAsia="仿宋_GB2312"/>
          <w:color w:val="000000"/>
          <w:sz w:val="32"/>
          <w:szCs w:val="32"/>
          <w:highlight w:val="none"/>
        </w:rPr>
        <w:t>31</w:t>
      </w:r>
      <w:r>
        <w:rPr>
          <w:rFonts w:hint="eastAsia" w:ascii="仿宋_GB2312" w:eastAsia="仿宋_GB2312"/>
          <w:color w:val="000000"/>
          <w:sz w:val="32"/>
          <w:szCs w:val="32"/>
          <w:highlight w:val="none"/>
        </w:rPr>
        <w:t>日，</w:t>
      </w:r>
      <w:r>
        <w:rPr>
          <w:rFonts w:hint="eastAsia" w:ascii="仿宋_GB2312" w:eastAsia="仿宋_GB2312"/>
          <w:color w:val="000000"/>
          <w:sz w:val="32"/>
          <w:szCs w:val="32"/>
          <w:highlight w:val="none"/>
          <w:lang w:eastAsia="zh-CN"/>
        </w:rPr>
        <w:t>峨眉山市</w:t>
      </w:r>
      <w:r>
        <w:rPr>
          <w:rFonts w:hint="eastAsia" w:ascii="仿宋_GB2312" w:eastAsia="仿宋_GB2312"/>
          <w:color w:val="000000"/>
          <w:sz w:val="32"/>
          <w:szCs w:val="32"/>
          <w:lang w:eastAsia="zh-CN"/>
        </w:rPr>
        <w:t>规划建设服务中心</w:t>
      </w:r>
      <w:r>
        <w:rPr>
          <w:rFonts w:hint="eastAsia" w:ascii="仿宋_GB2312" w:eastAsia="仿宋_GB2312"/>
          <w:color w:val="000000"/>
          <w:sz w:val="32"/>
          <w:szCs w:val="32"/>
          <w:highlight w:val="none"/>
        </w:rPr>
        <w:t>共有车辆</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辆，其中：主要领导干部用车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辆、机要通信用车</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辆、应急保障用车</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辆、</w:t>
      </w:r>
      <w:r>
        <w:rPr>
          <w:rFonts w:hint="eastAsia" w:ascii="仿宋_GB2312" w:eastAsia="仿宋_GB2312"/>
          <w:color w:val="000000"/>
          <w:sz w:val="32"/>
          <w:szCs w:val="32"/>
          <w:highlight w:val="none"/>
          <w:lang w:eastAsia="zh-CN"/>
        </w:rPr>
        <w:t>执法执勤车</w:t>
      </w:r>
      <w:r>
        <w:rPr>
          <w:rFonts w:hint="eastAsia" w:ascii="仿宋_GB2312" w:eastAsia="仿宋_GB2312"/>
          <w:color w:val="000000"/>
          <w:sz w:val="32"/>
          <w:szCs w:val="32"/>
          <w:highlight w:val="none"/>
          <w:lang w:val="en-US" w:eastAsia="zh-CN"/>
        </w:rPr>
        <w:t>1辆、</w:t>
      </w:r>
      <w:r>
        <w:rPr>
          <w:rFonts w:hint="eastAsia" w:ascii="仿宋_GB2312" w:eastAsia="仿宋_GB2312"/>
          <w:color w:val="000000"/>
          <w:sz w:val="32"/>
          <w:szCs w:val="32"/>
          <w:highlight w:val="none"/>
        </w:rPr>
        <w:t>其他用车</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辆</w:t>
      </w:r>
      <w:r>
        <w:rPr>
          <w:rFonts w:hint="eastAsia" w:ascii="仿宋_GB2312" w:eastAsia="仿宋_GB2312"/>
          <w:color w:val="000000"/>
          <w:sz w:val="32"/>
          <w:szCs w:val="32"/>
          <w:highlight w:val="none"/>
          <w:lang w:eastAsia="zh-CN"/>
        </w:rPr>
        <w:t>。</w:t>
      </w:r>
      <w:r>
        <w:rPr>
          <w:rFonts w:hint="eastAsia" w:ascii="仿宋_GB2312" w:eastAsia="仿宋_GB2312"/>
          <w:color w:val="000000" w:themeColor="text1"/>
          <w:sz w:val="32"/>
          <w:szCs w:val="32"/>
          <w:highlight w:val="none"/>
          <w14:textFill>
            <w14:solidFill>
              <w14:schemeClr w14:val="tx1"/>
            </w14:solidFill>
          </w14:textFill>
        </w:rPr>
        <w:t>其他用车主要是用于</w:t>
      </w:r>
      <w:r>
        <w:rPr>
          <w:rFonts w:hint="eastAsia" w:ascii="仿宋_GB2312" w:eastAsia="仿宋_GB2312"/>
          <w:color w:val="000000" w:themeColor="text1"/>
          <w:sz w:val="32"/>
          <w:szCs w:val="32"/>
          <w:highlight w:val="none"/>
          <w:lang w:eastAsia="zh-CN"/>
          <w14:textFill>
            <w14:solidFill>
              <w14:schemeClr w14:val="tx1"/>
            </w14:solidFill>
          </w14:textFill>
        </w:rPr>
        <w:t>开展规划建设服务管理。</w:t>
      </w:r>
      <w:r>
        <w:rPr>
          <w:rFonts w:hint="eastAsia" w:ascii="仿宋_GB2312" w:eastAsia="仿宋_GB2312"/>
          <w:color w:val="000000" w:themeColor="text1"/>
          <w:sz w:val="32"/>
          <w:szCs w:val="32"/>
          <w:highlight w:val="none"/>
          <w14:textFill>
            <w14:solidFill>
              <w14:schemeClr w14:val="tx1"/>
            </w14:solidFill>
          </w14:textFill>
        </w:rPr>
        <w:t>单价</w:t>
      </w:r>
      <w:r>
        <w:rPr>
          <w:rFonts w:ascii="仿宋_GB2312" w:eastAsia="仿宋_GB2312"/>
          <w:color w:val="000000" w:themeColor="text1"/>
          <w:sz w:val="32"/>
          <w:szCs w:val="32"/>
          <w:highlight w:val="none"/>
          <w14:textFill>
            <w14:solidFill>
              <w14:schemeClr w14:val="tx1"/>
            </w14:solidFill>
          </w14:textFill>
        </w:rPr>
        <w:t>50</w:t>
      </w:r>
      <w:r>
        <w:rPr>
          <w:rFonts w:hint="eastAsia" w:ascii="仿宋_GB2312" w:eastAsia="仿宋_GB2312"/>
          <w:color w:val="000000" w:themeColor="text1"/>
          <w:sz w:val="32"/>
          <w:szCs w:val="32"/>
          <w:highlight w:val="none"/>
          <w14:textFill>
            <w14:solidFill>
              <w14:schemeClr w14:val="tx1"/>
            </w14:solidFill>
          </w14:textFill>
        </w:rPr>
        <w:t>万元以上通用设备</w:t>
      </w:r>
      <w:r>
        <w:rPr>
          <w:rFonts w:hint="eastAsia" w:ascii="仿宋_GB2312" w:eastAsia="仿宋_GB2312"/>
          <w:color w:val="000000" w:themeColor="text1"/>
          <w:sz w:val="32"/>
          <w:szCs w:val="32"/>
          <w:highlight w:val="none"/>
          <w:lang w:val="en-US" w:eastAsia="zh-CN"/>
          <w14:textFill>
            <w14:solidFill>
              <w14:schemeClr w14:val="tx1"/>
            </w14:solidFill>
          </w14:textFill>
        </w:rPr>
        <w:t>0</w:t>
      </w:r>
      <w:r>
        <w:rPr>
          <w:rFonts w:hint="eastAsia" w:ascii="仿宋_GB2312" w:eastAsia="仿宋_GB2312"/>
          <w:color w:val="000000" w:themeColor="text1"/>
          <w:sz w:val="32"/>
          <w:szCs w:val="32"/>
          <w:highlight w:val="none"/>
          <w14:textFill>
            <w14:solidFill>
              <w14:schemeClr w14:val="tx1"/>
            </w14:solidFill>
          </w14:textFill>
        </w:rPr>
        <w:t>台（套），单价</w:t>
      </w:r>
      <w:r>
        <w:rPr>
          <w:rFonts w:ascii="仿宋_GB2312" w:eastAsia="仿宋_GB2312"/>
          <w:color w:val="000000" w:themeColor="text1"/>
          <w:sz w:val="32"/>
          <w:szCs w:val="32"/>
          <w:highlight w:val="none"/>
          <w14:textFill>
            <w14:solidFill>
              <w14:schemeClr w14:val="tx1"/>
            </w14:solidFill>
          </w14:textFill>
        </w:rPr>
        <w:t>100</w:t>
      </w:r>
      <w:r>
        <w:rPr>
          <w:rFonts w:hint="eastAsia" w:ascii="仿宋_GB2312" w:eastAsia="仿宋_GB2312"/>
          <w:color w:val="000000"/>
          <w:sz w:val="32"/>
          <w:szCs w:val="32"/>
          <w:highlight w:val="none"/>
        </w:rPr>
        <w:t>万元以上专用设备</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台（套</w:t>
      </w:r>
      <w:r>
        <w:rPr>
          <w:rFonts w:hint="eastAsia" w:ascii="仿宋_GB2312" w:eastAsia="仿宋_GB2312"/>
          <w:color w:val="000000"/>
          <w:sz w:val="32"/>
          <w:szCs w:val="32"/>
        </w:rPr>
        <w:t>）。</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widowControl/>
        <w:jc w:val="left"/>
        <w:rPr>
          <w:rFonts w:hint="eastAsia" w:ascii="仿宋" w:hAnsi="仿宋" w:eastAsia="仿宋"/>
          <w:b/>
          <w:color w:val="000000"/>
          <w:sz w:val="32"/>
          <w:szCs w:val="32"/>
        </w:rPr>
      </w:pPr>
      <w:r>
        <w:rPr>
          <w:rFonts w:hint="eastAsia" w:ascii="仿宋" w:hAnsi="仿宋" w:eastAsia="仿宋"/>
          <w:b/>
          <w:color w:val="000000"/>
          <w:sz w:val="32"/>
          <w:szCs w:val="32"/>
        </w:rPr>
        <w:t>（</w:t>
      </w:r>
    </w:p>
    <w:p>
      <w:pPr>
        <w:widowControl/>
        <w:jc w:val="left"/>
        <w:rPr>
          <w:rFonts w:hint="eastAsia" w:ascii="仿宋" w:hAnsi="仿宋" w:eastAsia="仿宋"/>
          <w:b/>
          <w:color w:val="000000"/>
          <w:sz w:val="32"/>
          <w:szCs w:val="32"/>
        </w:rPr>
      </w:pPr>
    </w:p>
    <w:p>
      <w:pPr>
        <w:widowControl/>
        <w:jc w:val="left"/>
        <w:rPr>
          <w:rFonts w:hint="eastAsia" w:ascii="仿宋" w:hAnsi="仿宋" w:eastAsia="仿宋"/>
          <w:b/>
          <w:color w:val="000000"/>
          <w:sz w:val="32"/>
          <w:szCs w:val="32"/>
        </w:rPr>
      </w:pPr>
    </w:p>
    <w:p>
      <w:pPr>
        <w:numPr>
          <w:ilvl w:val="0"/>
          <w:numId w:val="3"/>
        </w:numPr>
        <w:spacing w:line="600" w:lineRule="exact"/>
        <w:ind w:firstLine="660" w:firstLineChars="150"/>
        <w:jc w:val="center"/>
        <w:outlineLvl w:val="0"/>
        <w:rPr>
          <w:rStyle w:val="11"/>
          <w:rFonts w:ascii="黑体" w:hAnsi="黑体" w:eastAsia="黑体"/>
          <w:b w:val="0"/>
        </w:rPr>
      </w:pPr>
      <w:bookmarkStart w:id="54" w:name="_Toc15377225"/>
      <w:bookmarkStart w:id="55" w:name="_Toc15396613"/>
      <w:r>
        <w:rPr>
          <w:rFonts w:hint="eastAsia" w:ascii="黑体" w:hAnsi="黑体" w:eastAsia="黑体"/>
          <w:color w:val="000000"/>
          <w:sz w:val="44"/>
          <w:szCs w:val="44"/>
        </w:rPr>
        <w:t>名</w:t>
      </w:r>
      <w:r>
        <w:rPr>
          <w:rStyle w:val="11"/>
          <w:rFonts w:hint="eastAsia" w:ascii="黑体" w:hAnsi="黑体" w:eastAsia="黑体"/>
          <w:b w:val="0"/>
        </w:rPr>
        <w:t>词解释</w:t>
      </w:r>
      <w:bookmarkEnd w:id="54"/>
      <w:bookmarkEnd w:id="55"/>
    </w:p>
    <w:p>
      <w:pPr>
        <w:spacing w:line="600" w:lineRule="exact"/>
        <w:jc w:val="left"/>
        <w:rPr>
          <w:rFonts w:ascii="宋体"/>
          <w:b/>
          <w:color w:val="000000"/>
          <w:sz w:val="44"/>
          <w:szCs w:val="44"/>
        </w:rPr>
      </w:pPr>
    </w:p>
    <w:p>
      <w:pPr>
        <w:pStyle w:val="1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1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1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1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1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1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1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
          <w:color w:val="000000"/>
          <w:sz w:val="32"/>
          <w:szCs w:val="32"/>
          <w:lang w:val="en-US" w:eastAsia="zh-CN"/>
        </w:rPr>
      </w:pPr>
      <w:r>
        <w:rPr>
          <w:rFonts w:hint="eastAsia" w:ascii="仿宋_GB2312" w:eastAsia="仿宋_GB2312"/>
          <w:color w:val="000000"/>
          <w:sz w:val="32"/>
          <w:szCs w:val="32"/>
          <w:lang w:val="en-US" w:eastAsia="zh-CN"/>
        </w:rPr>
        <w:t>9.</w:t>
      </w:r>
      <w:r>
        <w:rPr>
          <w:rStyle w:val="9"/>
          <w:rFonts w:hint="eastAsia" w:ascii="仿宋" w:hAnsi="仿宋" w:eastAsia="仿宋"/>
          <w:bCs/>
          <w:color w:val="000000"/>
          <w:sz w:val="30"/>
          <w:szCs w:val="30"/>
        </w:rPr>
        <w:t>社会保障和就业（类）行政事业单位离退休（款）机关事业单位基本养老保险缴费支出（项）</w:t>
      </w:r>
      <w:r>
        <w:rPr>
          <w:rStyle w:val="9"/>
          <w:rFonts w:hint="eastAsia" w:ascii="仿宋" w:hAnsi="仿宋" w:eastAsia="仿宋"/>
          <w:bCs/>
          <w:color w:val="000000"/>
          <w:sz w:val="30"/>
          <w:szCs w:val="30"/>
          <w:lang w:eastAsia="zh-CN"/>
        </w:rPr>
        <w:t>：指机关事业单位实施养老保险制度由单位缴纳的基本养老保险支出。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Style w:val="9"/>
          <w:rFonts w:hint="eastAsia" w:ascii="仿宋" w:hAnsi="仿宋" w:eastAsia="仿宋"/>
          <w:bCs/>
          <w:color w:val="000000"/>
          <w:sz w:val="30"/>
          <w:szCs w:val="30"/>
        </w:rPr>
        <w:t>社会保障和就业（类）行政事业单位离退休（款）机关事业单位职业年金缴费支出（项）</w:t>
      </w:r>
      <w:r>
        <w:rPr>
          <w:rStyle w:val="9"/>
          <w:rFonts w:ascii="仿宋" w:hAnsi="仿宋" w:eastAsia="仿宋"/>
          <w:bCs/>
          <w:color w:val="000000"/>
          <w:sz w:val="32"/>
          <w:szCs w:val="32"/>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机关事业单位实施养老保险制度由单位实际缴纳的职业年金支出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1</w:t>
      </w:r>
      <w:r>
        <w:rPr>
          <w:rFonts w:ascii="仿宋_GB2312" w:eastAsia="仿宋_GB2312"/>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9"/>
          <w:rFonts w:hint="eastAsia" w:ascii="仿宋" w:hAnsi="仿宋" w:eastAsia="仿宋"/>
          <w:bCs/>
          <w:color w:val="000000"/>
          <w:sz w:val="32"/>
          <w:szCs w:val="32"/>
        </w:rPr>
        <w:t>（类）行政事业单位医疗（款）</w:t>
      </w:r>
      <w:r>
        <w:rPr>
          <w:rStyle w:val="9"/>
          <w:rFonts w:hint="eastAsia" w:ascii="仿宋" w:hAnsi="仿宋" w:eastAsia="仿宋"/>
          <w:bCs/>
          <w:color w:val="000000"/>
          <w:sz w:val="32"/>
          <w:szCs w:val="32"/>
          <w:lang w:eastAsia="zh-CN"/>
        </w:rPr>
        <w:t>事业</w:t>
      </w:r>
      <w:r>
        <w:rPr>
          <w:rStyle w:val="9"/>
          <w:rFonts w:hint="eastAsia" w:ascii="仿宋" w:hAnsi="仿宋" w:eastAsia="仿宋"/>
          <w:bCs/>
          <w:color w:val="000000"/>
          <w:sz w:val="32"/>
          <w:szCs w:val="32"/>
        </w:rPr>
        <w:t>单位医疗（项）</w:t>
      </w:r>
      <w:r>
        <w:rPr>
          <w:rStyle w:val="9"/>
          <w:rFonts w:hint="eastAsia" w:ascii="仿宋" w:hAnsi="仿宋" w:eastAsia="仿宋"/>
          <w:bCs/>
          <w:color w:val="000000"/>
          <w:sz w:val="32"/>
          <w:szCs w:val="32"/>
          <w:lang w:eastAsia="zh-CN"/>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财政部门安排的事业单位基本医疗保险缴费经费，未参加医疗保险的事业单位的公费医疗经费，按国家规定享受离休人员待遇的医疗经费</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2</w:t>
      </w:r>
      <w:r>
        <w:rPr>
          <w:rFonts w:ascii="仿宋_GB2312" w:eastAsia="仿宋_GB2312"/>
          <w:color w:val="000000"/>
          <w:sz w:val="32"/>
          <w:szCs w:val="32"/>
        </w:rPr>
        <w:t>.</w:t>
      </w:r>
      <w:r>
        <w:rPr>
          <w:rStyle w:val="9"/>
          <w:rFonts w:hint="eastAsia" w:ascii="仿宋" w:hAnsi="仿宋" w:eastAsia="仿宋"/>
          <w:bCs/>
          <w:color w:val="000000"/>
          <w:sz w:val="32"/>
          <w:szCs w:val="32"/>
        </w:rPr>
        <w:t>城乡社区支出（类）</w:t>
      </w:r>
      <w:r>
        <w:rPr>
          <w:rStyle w:val="9"/>
          <w:rFonts w:hint="eastAsia" w:ascii="仿宋" w:hAnsi="仿宋" w:eastAsia="仿宋"/>
          <w:bCs/>
          <w:color w:val="000000"/>
          <w:sz w:val="32"/>
          <w:szCs w:val="32"/>
          <w:lang w:eastAsia="zh-CN"/>
        </w:rPr>
        <w:t>城乡社区管理事务</w:t>
      </w:r>
      <w:r>
        <w:rPr>
          <w:rStyle w:val="9"/>
          <w:rFonts w:hint="eastAsia" w:ascii="仿宋" w:hAnsi="仿宋" w:eastAsia="仿宋"/>
          <w:bCs/>
          <w:color w:val="000000"/>
          <w:sz w:val="32"/>
          <w:szCs w:val="32"/>
        </w:rPr>
        <w:t xml:space="preserve">（款） </w:t>
      </w:r>
      <w:r>
        <w:rPr>
          <w:rStyle w:val="9"/>
          <w:rFonts w:hint="eastAsia" w:ascii="仿宋" w:hAnsi="仿宋" w:eastAsia="仿宋"/>
          <w:bCs/>
          <w:color w:val="000000"/>
          <w:sz w:val="32"/>
          <w:szCs w:val="32"/>
          <w:lang w:eastAsia="zh-CN"/>
        </w:rPr>
        <w:t>其他城乡社区支出</w:t>
      </w:r>
      <w:r>
        <w:rPr>
          <w:rStyle w:val="9"/>
          <w:rFonts w:hint="eastAsia" w:ascii="仿宋" w:hAnsi="仿宋" w:eastAsia="仿宋"/>
          <w:bCs/>
          <w:color w:val="000000"/>
          <w:sz w:val="32"/>
          <w:szCs w:val="32"/>
        </w:rPr>
        <w:t>（项）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其他用于城乡社区方面的支出</w:t>
      </w:r>
      <w:r>
        <w:rPr>
          <w:rFonts w:hint="eastAsia" w:ascii="仿宋_GB2312" w:eastAsia="仿宋_GB2312"/>
          <w:color w:val="000000"/>
          <w:sz w:val="32"/>
          <w:szCs w:val="32"/>
        </w:rPr>
        <w:t>。</w:t>
      </w:r>
    </w:p>
    <w:p>
      <w:pPr>
        <w:ind w:firstLine="643" w:firstLineChars="200"/>
        <w:rPr>
          <w:rStyle w:val="9"/>
          <w:rFonts w:hint="eastAsia" w:ascii="仿宋" w:hAnsi="仿宋" w:eastAsia="仿宋"/>
          <w:b w:val="0"/>
          <w:bCs/>
          <w:color w:val="000000"/>
          <w:sz w:val="32"/>
          <w:szCs w:val="32"/>
          <w:lang w:eastAsia="zh-CN"/>
        </w:rPr>
      </w:pPr>
      <w:r>
        <w:rPr>
          <w:rStyle w:val="9"/>
          <w:rFonts w:hint="eastAsia" w:ascii="仿宋" w:hAnsi="仿宋" w:eastAsia="仿宋"/>
          <w:bCs/>
          <w:color w:val="000000"/>
          <w:sz w:val="32"/>
          <w:szCs w:val="32"/>
          <w:lang w:val="en-US" w:eastAsia="zh-CN"/>
        </w:rPr>
        <w:t>13.</w:t>
      </w:r>
      <w:r>
        <w:rPr>
          <w:rStyle w:val="9"/>
          <w:rFonts w:hint="eastAsia" w:ascii="仿宋" w:hAnsi="仿宋" w:eastAsia="仿宋"/>
          <w:bCs/>
          <w:color w:val="000000"/>
          <w:sz w:val="32"/>
          <w:szCs w:val="32"/>
        </w:rPr>
        <w:t>住房保障支出（类）住房改革支出（款）住房公积金（项）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lang w:eastAsia="zh-CN"/>
        </w:rPr>
        <w:t>指行政事业单位按人力资源和社会保障部、财政部规定的基本工资和津贴补贴以及规定比例为职工缴纳的住房公积金。</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1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pStyle w:val="14"/>
        <w:spacing w:line="560" w:lineRule="exact"/>
        <w:ind w:firstLine="640" w:firstLineChars="200"/>
        <w:rPr>
          <w:rFonts w:hint="eastAsia" w:ascii="仿宋_GB2312" w:eastAsia="仿宋_GB2312"/>
          <w:sz w:val="32"/>
          <w:szCs w:val="32"/>
        </w:rPr>
      </w:pPr>
      <w:bookmarkStart w:id="56" w:name="_Toc15377226"/>
      <w:r>
        <w:rPr>
          <w:rFonts w:hint="eastAsia" w:ascii="仿宋_GB2312" w:eastAsia="仿宋_GB2312"/>
          <w:sz w:val="32"/>
          <w:szCs w:val="32"/>
        </w:rPr>
        <w:t xml:space="preserve">1.财政拨款收入：指省级财政当年拨付的资金。 </w:t>
      </w:r>
    </w:p>
    <w:p>
      <w:pPr>
        <w:pStyle w:val="1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pPr>
        <w:pStyle w:val="1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1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pPr>
        <w:pStyle w:val="1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1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7.社会保障和就业：208-05-04指未实行归口管理的行政单位（包括实行公务员管理的事业单位）开支的离退休支出；208-05-05指机关事业单位实施养老保险制度由单位缴纳的基本养老保险费支出；</w:t>
      </w:r>
      <w:r>
        <w:rPr>
          <w:rFonts w:hint="eastAsia" w:ascii="仿宋_GB2312" w:eastAsia="仿宋_GB2312"/>
          <w:color w:val="000000"/>
          <w:sz w:val="32"/>
          <w:szCs w:val="32"/>
          <w:lang w:val="en-US" w:eastAsia="zh-CN"/>
        </w:rPr>
        <w:t>208-05-06指机关事业单位实施养老保险制度由单位实际缴纳的职业年金支出；</w:t>
      </w:r>
      <w:r>
        <w:rPr>
          <w:rFonts w:hint="eastAsia" w:ascii="仿宋_GB2312" w:eastAsia="仿宋_GB2312"/>
          <w:color w:val="000000"/>
          <w:sz w:val="32"/>
          <w:szCs w:val="32"/>
        </w:rPr>
        <w:t>208-08-99指其他用于优抚方面的支出</w:t>
      </w:r>
      <w:r>
        <w:rPr>
          <w:rFonts w:hint="eastAsia" w:ascii="仿宋_GB2312" w:eastAsia="仿宋_GB2312"/>
          <w:color w:val="000000"/>
          <w:sz w:val="32"/>
          <w:szCs w:val="32"/>
          <w:lang w:eastAsia="zh-CN"/>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8.医疗卫生与计划生育：210-</w:t>
      </w:r>
      <w:r>
        <w:rPr>
          <w:rFonts w:hint="eastAsia" w:ascii="仿宋_GB2312" w:eastAsia="仿宋_GB2312"/>
          <w:color w:val="000000"/>
          <w:sz w:val="32"/>
          <w:szCs w:val="32"/>
          <w:lang w:val="en-US" w:eastAsia="zh-CN"/>
        </w:rPr>
        <w:t>11-01</w:t>
      </w:r>
      <w:r>
        <w:rPr>
          <w:rFonts w:hint="eastAsia" w:ascii="仿宋_GB2312" w:eastAsia="仿宋_GB2312"/>
          <w:color w:val="000000"/>
          <w:sz w:val="32"/>
          <w:szCs w:val="32"/>
        </w:rPr>
        <w:t>指财政部门集中安排的行政单位基本医疗保险缴费经费，未参加医疗保险的行政单位的公费医疗经费</w:t>
      </w:r>
      <w:r>
        <w:rPr>
          <w:rFonts w:hint="eastAsia" w:ascii="仿宋_GB2312" w:eastAsia="仿宋_GB2312"/>
          <w:color w:val="000000"/>
          <w:sz w:val="32"/>
          <w:szCs w:val="32"/>
          <w:lang w:eastAsia="zh-CN"/>
        </w:rPr>
        <w:t>等</w:t>
      </w:r>
      <w:r>
        <w:rPr>
          <w:rFonts w:hint="eastAsia" w:ascii="仿宋_GB2312" w:eastAsia="仿宋_GB2312"/>
          <w:color w:val="000000"/>
          <w:sz w:val="32"/>
          <w:szCs w:val="32"/>
        </w:rPr>
        <w:t>；210-</w:t>
      </w:r>
      <w:r>
        <w:rPr>
          <w:rFonts w:hint="eastAsia" w:ascii="仿宋_GB2312" w:eastAsia="仿宋_GB2312"/>
          <w:color w:val="000000"/>
          <w:sz w:val="32"/>
          <w:szCs w:val="32"/>
          <w:lang w:val="en-US" w:eastAsia="zh-CN"/>
        </w:rPr>
        <w:t>11-02</w:t>
      </w:r>
      <w:r>
        <w:rPr>
          <w:rFonts w:hint="eastAsia" w:ascii="仿宋_GB2312" w:eastAsia="仿宋_GB2312"/>
          <w:color w:val="000000"/>
          <w:sz w:val="32"/>
          <w:szCs w:val="32"/>
        </w:rPr>
        <w:t>指财政部门集中安排的事业单位基本医疗保险缴费经费，未参加医疗保险的事业单位的公费医疗经费，按国家规定享受离休人员待遇人员的医疗经费。</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9、城乡社区支出：212-03-99指其他用于城乡社区公共设施方面的支出；</w:t>
      </w:r>
      <w:r>
        <w:rPr>
          <w:rFonts w:hint="eastAsia" w:ascii="仿宋_GB2312" w:eastAsia="仿宋_GB2312"/>
          <w:color w:val="000000"/>
          <w:sz w:val="32"/>
          <w:szCs w:val="32"/>
        </w:rPr>
        <w:t>212-08-01指地方人民政府在征地和收购土地过程中支付的土地补偿费、安置补助费、地上附着物和青苗补偿费、拆迁补偿费支出；212-08-02指地方人民政府用于前期土地开发性支出以及与前期土地开支相关的费用等支出；212-08-05指土地出让收入用于补助被征地农民社会保障支出以及保持被征地农民原有生活水平支出；212-08-06指土地出让收入用于土地出让业务费用的开支；212-10-02指从国有土地收益基金收入中安排用于收储土地需要支付的前期土地开发性支出以及与前期土地开发相关的费用等支出</w:t>
      </w:r>
      <w:r>
        <w:rPr>
          <w:rFonts w:hint="eastAsia" w:ascii="仿宋_GB2312" w:eastAsia="仿宋_GB2312"/>
          <w:color w:val="000000"/>
          <w:sz w:val="32"/>
          <w:szCs w:val="32"/>
          <w:lang w:eastAsia="zh-CN"/>
        </w:rPr>
        <w:t>。</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10.农林水支出：213-05-99反映其他用于农村（包括国有农场、国有林场）扶贫开发等方面的支出； 213-99-99反映除化解债务支出以外其他用于农林水方面的支出。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国土海洋气象等支出：220-01-01指行政单位（包括实行公务员管理的事业单位）的基本支出；220-01-02指行政单位（包括实行公务员管理的事业单位）未单独设置荐级科目的其他项目支出；212-01-06指国土资源部门土地利用监测、耕地保护、土地分等定级、土地评估等方面的支出；212-01-08指国土资源行业业务管理经费支出，包括行业标准、规程、规范管理、宣传、内部审计、财务监督，行风建设等方面的支出；220-01-11指地质灾害防治项目支出；220-01-1</w:t>
      </w:r>
      <w:r>
        <w:rPr>
          <w:rFonts w:hint="eastAsia" w:ascii="仿宋_GB2312" w:eastAsia="仿宋_GB2312"/>
          <w:color w:val="000000"/>
          <w:sz w:val="32"/>
          <w:szCs w:val="32"/>
          <w:lang w:val="en-US" w:eastAsia="zh-CN"/>
        </w:rPr>
        <w:t>3指用于中国地质调查局开展陆域海域公益性基础地质调查、重要能源资源矿产调查；服务国民经济和生态文明建设，开展重要经济区和城市群综合地质调查、地质灾害隐患和水文地质环境调查；服务“一带一路”、军民融合等国家重大战略，开展相关地质调查工作；以及加强地质资源环境信息化建设，提高地质调查能力和科技水平等相关支出</w:t>
      </w:r>
      <w:r>
        <w:rPr>
          <w:rFonts w:hint="eastAsia" w:ascii="仿宋_GB2312" w:eastAsia="仿宋_GB2312"/>
          <w:color w:val="000000"/>
          <w:sz w:val="32"/>
          <w:szCs w:val="32"/>
        </w:rPr>
        <w:t>；220-01-50指事业单位的基本支出，不包括行政单位（包括实行公务员管理的事业单位）后勤服务中心、医务室等附属事业单位；220-01-99指其他用于国土资源事务方面的支出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220-99-01指其他用于国土海洋气象等方面的支出。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.住房保障支出：221-02-01指行政事业单位按人力资源和社会保障部、财政部规定的基本工资和津贴补贴以及规定比例为职工缴纳的住房公积金。</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13、债务付息支出：232-04-11指地方政府用于归还其他一般债务利息所发生的支出。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.结余分配：指事业单位按规定提取的职工福利基金、事业基金和缴纳的所得税，以及建设单位按规定应交回的基本建设竣工项目结余资金。</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 xml:space="preserve">.项目支出：指在基本支出之外为完成特定行政任务和事业发展目标所发生的支出。 </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.经营支出：指事业单位在专业业务活动及其辅助活动之外开展非独立核算经营活动发生的支出。</w:t>
      </w:r>
    </w:p>
    <w:p>
      <w:pPr>
        <w:pStyle w:val="1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9</w:t>
      </w:r>
      <w:r>
        <w:rPr>
          <w:rFonts w:hint="eastAsia" w:ascii="仿宋_GB2312" w:eastAsia="仿宋_GB2312"/>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4"/>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jc w:val="left"/>
        <w:rPr>
          <w:rStyle w:val="11"/>
          <w:rFonts w:ascii="黑体" w:hAnsi="黑体" w:eastAsia="黑体"/>
          <w:b w:val="0"/>
        </w:rPr>
      </w:pPr>
      <w:r>
        <w:rPr>
          <w:rFonts w:ascii="宋体"/>
          <w:b/>
          <w:color w:val="000000"/>
          <w:sz w:val="44"/>
          <w:szCs w:val="44"/>
        </w:rPr>
        <w:br w:type="page"/>
      </w:r>
    </w:p>
    <w:p>
      <w:pPr>
        <w:widowControl/>
        <w:jc w:val="left"/>
        <w:rPr>
          <w:rStyle w:val="11"/>
          <w:rFonts w:ascii="黑体" w:hAnsi="黑体" w:eastAsia="黑体"/>
          <w:b w:val="0"/>
        </w:rPr>
      </w:pPr>
    </w:p>
    <w:p>
      <w:pPr>
        <w:widowControl/>
        <w:jc w:val="left"/>
        <w:rPr>
          <w:rStyle w:val="11"/>
          <w:rFonts w:ascii="黑体" w:hAnsi="黑体" w:eastAsia="黑体"/>
          <w:b w:val="0"/>
        </w:rPr>
      </w:pPr>
    </w:p>
    <w:p>
      <w:pPr>
        <w:widowControl/>
        <w:jc w:val="left"/>
        <w:rPr>
          <w:rStyle w:val="11"/>
          <w:rFonts w:ascii="黑体" w:hAnsi="黑体" w:eastAsia="黑体"/>
          <w:b w:val="0"/>
        </w:rPr>
      </w:pPr>
    </w:p>
    <w:p>
      <w:pPr>
        <w:spacing w:line="600" w:lineRule="exact"/>
        <w:jc w:val="center"/>
        <w:outlineLvl w:val="0"/>
        <w:rPr>
          <w:rStyle w:val="11"/>
          <w:rFonts w:ascii="黑体" w:hAnsi="黑体" w:eastAsia="黑体"/>
          <w:b w:val="0"/>
        </w:rPr>
      </w:pPr>
    </w:p>
    <w:p>
      <w:pPr>
        <w:spacing w:line="600" w:lineRule="exact"/>
        <w:jc w:val="center"/>
        <w:outlineLvl w:val="0"/>
        <w:rPr>
          <w:rStyle w:val="11"/>
          <w:rFonts w:ascii="黑体" w:hAnsi="黑体" w:eastAsia="黑体"/>
          <w:b w:val="0"/>
        </w:rPr>
      </w:pPr>
    </w:p>
    <w:p>
      <w:pPr>
        <w:spacing w:line="600" w:lineRule="exact"/>
        <w:jc w:val="center"/>
        <w:outlineLvl w:val="0"/>
        <w:rPr>
          <w:rStyle w:val="11"/>
          <w:rFonts w:ascii="黑体" w:hAnsi="黑体" w:eastAsia="黑体"/>
          <w:b w:val="0"/>
        </w:rPr>
      </w:pPr>
      <w:bookmarkStart w:id="57" w:name="_Toc15396618"/>
      <w:r>
        <w:rPr>
          <w:rFonts w:hint="eastAsia" w:ascii="黑体" w:hAnsi="黑体" w:eastAsia="黑体"/>
          <w:color w:val="000000"/>
          <w:sz w:val="44"/>
          <w:szCs w:val="44"/>
        </w:rPr>
        <w:t>第</w:t>
      </w:r>
      <w:r>
        <w:rPr>
          <w:rStyle w:val="11"/>
          <w:rFonts w:hint="eastAsia" w:ascii="黑体" w:hAnsi="黑体" w:eastAsia="黑体"/>
          <w:b w:val="0"/>
          <w:lang w:eastAsia="zh-CN"/>
        </w:rPr>
        <w:t>四</w:t>
      </w:r>
      <w:r>
        <w:rPr>
          <w:rStyle w:val="11"/>
          <w:rFonts w:hint="eastAsia" w:ascii="黑体" w:hAnsi="黑体" w:eastAsia="黑体"/>
          <w:b w:val="0"/>
        </w:rPr>
        <w:t>部分 附表</w:t>
      </w:r>
      <w:bookmarkEnd w:id="56"/>
      <w:bookmarkEnd w:id="57"/>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8" w:name="_Toc15396619"/>
      <w:r>
        <w:rPr>
          <w:rFonts w:hint="eastAsia" w:ascii="仿宋" w:hAnsi="仿宋" w:eastAsia="仿宋"/>
          <w:b w:val="0"/>
          <w:color w:val="000000"/>
        </w:rPr>
        <w:t>一、收</w:t>
      </w:r>
      <w:r>
        <w:rPr>
          <w:rStyle w:val="12"/>
          <w:rFonts w:hint="eastAsia" w:ascii="仿宋" w:hAnsi="仿宋" w:eastAsia="仿宋"/>
          <w:b w:val="0"/>
          <w:bCs w:val="0"/>
        </w:rPr>
        <w:t>入支出决算总表</w:t>
      </w:r>
      <w:bookmarkEnd w:id="58"/>
    </w:p>
    <w:p>
      <w:pPr>
        <w:pStyle w:val="3"/>
        <w:rPr>
          <w:rFonts w:ascii="仿宋" w:hAnsi="仿宋" w:eastAsia="仿宋"/>
          <w:color w:val="000000"/>
        </w:rPr>
      </w:pPr>
      <w:bookmarkStart w:id="59" w:name="_Toc15396620"/>
      <w:r>
        <w:rPr>
          <w:rFonts w:hint="eastAsia" w:ascii="仿宋" w:hAnsi="仿宋" w:eastAsia="仿宋"/>
          <w:b w:val="0"/>
          <w:color w:val="000000"/>
        </w:rPr>
        <w:t>二、收</w:t>
      </w:r>
      <w:r>
        <w:rPr>
          <w:rStyle w:val="12"/>
          <w:rFonts w:hint="eastAsia" w:ascii="仿宋" w:hAnsi="仿宋" w:eastAsia="仿宋"/>
          <w:b w:val="0"/>
          <w:bCs w:val="0"/>
        </w:rPr>
        <w:t>入决算表</w:t>
      </w:r>
      <w:bookmarkEnd w:id="59"/>
    </w:p>
    <w:p>
      <w:pPr>
        <w:pStyle w:val="3"/>
        <w:rPr>
          <w:rFonts w:ascii="仿宋" w:hAnsi="仿宋" w:eastAsia="仿宋"/>
          <w:color w:val="000000"/>
        </w:rPr>
      </w:pPr>
      <w:bookmarkStart w:id="60" w:name="_Toc15396621"/>
      <w:r>
        <w:rPr>
          <w:rStyle w:val="12"/>
          <w:rFonts w:hint="eastAsia" w:ascii="仿宋" w:hAnsi="仿宋" w:eastAsia="仿宋"/>
          <w:b w:val="0"/>
          <w:bCs w:val="0"/>
        </w:rPr>
        <w:t>三、</w:t>
      </w:r>
      <w:r>
        <w:rPr>
          <w:rFonts w:hint="eastAsia" w:ascii="仿宋" w:hAnsi="仿宋" w:eastAsia="仿宋"/>
          <w:b w:val="0"/>
          <w:color w:val="000000"/>
        </w:rPr>
        <w:t>支</w:t>
      </w:r>
      <w:r>
        <w:rPr>
          <w:rStyle w:val="12"/>
          <w:rFonts w:hint="eastAsia" w:ascii="仿宋" w:hAnsi="仿宋" w:eastAsia="仿宋"/>
          <w:b w:val="0"/>
          <w:bCs w:val="0"/>
        </w:rPr>
        <w:t>出决算表</w:t>
      </w:r>
      <w:bookmarkEnd w:id="60"/>
    </w:p>
    <w:p>
      <w:pPr>
        <w:pStyle w:val="3"/>
        <w:rPr>
          <w:rFonts w:ascii="仿宋" w:hAnsi="仿宋" w:eastAsia="仿宋"/>
          <w:b w:val="0"/>
          <w:color w:val="000000"/>
        </w:rPr>
      </w:pPr>
      <w:bookmarkStart w:id="61" w:name="_Toc15396622"/>
      <w:r>
        <w:rPr>
          <w:rStyle w:val="12"/>
          <w:rFonts w:hint="eastAsia" w:ascii="仿宋" w:hAnsi="仿宋" w:eastAsia="仿宋"/>
          <w:b w:val="0"/>
          <w:bCs w:val="0"/>
        </w:rPr>
        <w:t>四、</w:t>
      </w:r>
      <w:r>
        <w:rPr>
          <w:rFonts w:hint="eastAsia" w:ascii="仿宋" w:hAnsi="仿宋" w:eastAsia="仿宋"/>
          <w:b w:val="0"/>
          <w:color w:val="000000"/>
        </w:rPr>
        <w:t>财</w:t>
      </w:r>
      <w:r>
        <w:rPr>
          <w:rStyle w:val="12"/>
          <w:rFonts w:hint="eastAsia" w:ascii="仿宋" w:hAnsi="仿宋" w:eastAsia="仿宋"/>
          <w:b w:val="0"/>
          <w:bCs w:val="0"/>
        </w:rPr>
        <w:t>政拨款收入支出决算总表</w:t>
      </w:r>
      <w:bookmarkEnd w:id="61"/>
    </w:p>
    <w:p>
      <w:pPr>
        <w:pStyle w:val="3"/>
        <w:rPr>
          <w:rStyle w:val="12"/>
          <w:rFonts w:ascii="仿宋" w:hAnsi="仿宋" w:eastAsia="仿宋"/>
          <w:b w:val="0"/>
          <w:bCs w:val="0"/>
        </w:rPr>
      </w:pPr>
      <w:bookmarkStart w:id="62" w:name="_Toc15396623"/>
      <w:r>
        <w:rPr>
          <w:rStyle w:val="12"/>
          <w:rFonts w:hint="eastAsia" w:ascii="仿宋" w:hAnsi="仿宋" w:eastAsia="仿宋"/>
          <w:b w:val="0"/>
          <w:bCs w:val="0"/>
        </w:rPr>
        <w:t>五、</w:t>
      </w:r>
      <w:r>
        <w:rPr>
          <w:rFonts w:hint="eastAsia" w:ascii="仿宋" w:hAnsi="仿宋" w:eastAsia="仿宋"/>
          <w:b w:val="0"/>
          <w:color w:val="000000"/>
        </w:rPr>
        <w:t>财</w:t>
      </w:r>
      <w:r>
        <w:rPr>
          <w:rStyle w:val="12"/>
          <w:rFonts w:hint="eastAsia" w:ascii="仿宋" w:hAnsi="仿宋" w:eastAsia="仿宋"/>
          <w:b w:val="0"/>
          <w:bCs w:val="0"/>
        </w:rPr>
        <w:t>政拨款支出决算明细表</w:t>
      </w:r>
      <w:bookmarkEnd w:id="62"/>
      <w:bookmarkStart w:id="63" w:name="_Toc15396624"/>
    </w:p>
    <w:p>
      <w:pPr>
        <w:pStyle w:val="3"/>
        <w:rPr>
          <w:rFonts w:ascii="仿宋" w:hAnsi="仿宋" w:eastAsia="仿宋"/>
          <w:color w:val="000000"/>
        </w:rPr>
      </w:pPr>
      <w:r>
        <w:rPr>
          <w:rStyle w:val="12"/>
          <w:rFonts w:hint="eastAsia" w:ascii="仿宋" w:hAnsi="仿宋" w:eastAsia="仿宋"/>
          <w:b w:val="0"/>
          <w:bCs w:val="0"/>
        </w:rPr>
        <w:t>六、</w:t>
      </w:r>
      <w:r>
        <w:rPr>
          <w:rFonts w:hint="eastAsia" w:ascii="仿宋" w:hAnsi="仿宋" w:eastAsia="仿宋"/>
          <w:b w:val="0"/>
          <w:color w:val="000000"/>
        </w:rPr>
        <w:t>一</w:t>
      </w:r>
      <w:r>
        <w:rPr>
          <w:rStyle w:val="12"/>
          <w:rFonts w:hint="eastAsia" w:ascii="仿宋" w:hAnsi="仿宋" w:eastAsia="仿宋"/>
          <w:b w:val="0"/>
          <w:bCs w:val="0"/>
        </w:rPr>
        <w:t>般公共预算财政拨款支出决算表</w:t>
      </w:r>
      <w:bookmarkEnd w:id="63"/>
    </w:p>
    <w:p>
      <w:pPr>
        <w:pStyle w:val="3"/>
        <w:rPr>
          <w:rFonts w:ascii="仿宋" w:hAnsi="仿宋" w:eastAsia="仿宋"/>
          <w:color w:val="000000"/>
        </w:rPr>
      </w:pPr>
      <w:bookmarkStart w:id="64" w:name="_Toc15396625"/>
      <w:r>
        <w:rPr>
          <w:rStyle w:val="12"/>
          <w:rFonts w:hint="eastAsia" w:ascii="仿宋" w:hAnsi="仿宋" w:eastAsia="仿宋"/>
          <w:b w:val="0"/>
          <w:bCs w:val="0"/>
        </w:rPr>
        <w:t>七、</w:t>
      </w:r>
      <w:r>
        <w:rPr>
          <w:rFonts w:hint="eastAsia" w:ascii="仿宋" w:hAnsi="仿宋" w:eastAsia="仿宋"/>
          <w:b w:val="0"/>
          <w:color w:val="000000"/>
        </w:rPr>
        <w:t>一</w:t>
      </w:r>
      <w:r>
        <w:rPr>
          <w:rStyle w:val="12"/>
          <w:rFonts w:hint="eastAsia" w:ascii="仿宋" w:hAnsi="仿宋" w:eastAsia="仿宋"/>
          <w:b w:val="0"/>
          <w:bCs w:val="0"/>
        </w:rPr>
        <w:t>般公共预算财政拨款支出决算明细表</w:t>
      </w:r>
      <w:bookmarkEnd w:id="64"/>
    </w:p>
    <w:p>
      <w:pPr>
        <w:pStyle w:val="3"/>
        <w:rPr>
          <w:rFonts w:ascii="仿宋" w:hAnsi="仿宋" w:eastAsia="仿宋"/>
          <w:color w:val="000000"/>
        </w:rPr>
      </w:pPr>
      <w:bookmarkStart w:id="65" w:name="_Toc15396626"/>
      <w:r>
        <w:rPr>
          <w:rStyle w:val="12"/>
          <w:rFonts w:hint="eastAsia" w:ascii="仿宋" w:hAnsi="仿宋" w:eastAsia="仿宋"/>
          <w:b w:val="0"/>
          <w:bCs w:val="0"/>
        </w:rPr>
        <w:t>八、</w:t>
      </w:r>
      <w:r>
        <w:rPr>
          <w:rFonts w:hint="eastAsia" w:ascii="仿宋" w:hAnsi="仿宋" w:eastAsia="仿宋"/>
          <w:b w:val="0"/>
          <w:color w:val="000000"/>
        </w:rPr>
        <w:t>一</w:t>
      </w:r>
      <w:r>
        <w:rPr>
          <w:rStyle w:val="12"/>
          <w:rFonts w:hint="eastAsia" w:ascii="仿宋" w:hAnsi="仿宋" w:eastAsia="仿宋"/>
          <w:b w:val="0"/>
          <w:bCs w:val="0"/>
        </w:rPr>
        <w:t>般公共预算财政拨款基本支出决算表</w:t>
      </w:r>
      <w:bookmarkEnd w:id="65"/>
    </w:p>
    <w:p>
      <w:pPr>
        <w:pStyle w:val="3"/>
        <w:rPr>
          <w:rFonts w:ascii="仿宋" w:hAnsi="仿宋" w:eastAsia="仿宋"/>
          <w:color w:val="000000"/>
        </w:rPr>
      </w:pPr>
      <w:bookmarkStart w:id="66" w:name="_Toc15396627"/>
      <w:r>
        <w:rPr>
          <w:rStyle w:val="12"/>
          <w:rFonts w:hint="eastAsia" w:ascii="仿宋" w:hAnsi="仿宋" w:eastAsia="仿宋"/>
          <w:b w:val="0"/>
          <w:bCs w:val="0"/>
        </w:rPr>
        <w:t>九、</w:t>
      </w:r>
      <w:r>
        <w:rPr>
          <w:rFonts w:hint="eastAsia" w:ascii="仿宋" w:hAnsi="仿宋" w:eastAsia="仿宋"/>
          <w:b w:val="0"/>
          <w:color w:val="000000"/>
        </w:rPr>
        <w:t>一</w:t>
      </w:r>
      <w:r>
        <w:rPr>
          <w:rStyle w:val="12"/>
          <w:rFonts w:hint="eastAsia" w:ascii="仿宋" w:hAnsi="仿宋" w:eastAsia="仿宋"/>
          <w:b w:val="0"/>
          <w:bCs w:val="0"/>
        </w:rPr>
        <w:t>般公共预算财政拨款项目支出决算表</w:t>
      </w:r>
      <w:bookmarkEnd w:id="66"/>
    </w:p>
    <w:p>
      <w:pPr>
        <w:pStyle w:val="3"/>
        <w:rPr>
          <w:rFonts w:ascii="仿宋" w:hAnsi="仿宋" w:eastAsia="仿宋"/>
          <w:color w:val="000000"/>
        </w:rPr>
      </w:pPr>
      <w:bookmarkStart w:id="67" w:name="_Toc15396628"/>
      <w:r>
        <w:rPr>
          <w:rStyle w:val="12"/>
          <w:rFonts w:hint="eastAsia" w:ascii="仿宋" w:hAnsi="仿宋" w:eastAsia="仿宋"/>
          <w:b w:val="0"/>
          <w:bCs w:val="0"/>
        </w:rPr>
        <w:t>十、</w:t>
      </w:r>
      <w:r>
        <w:rPr>
          <w:rFonts w:hint="eastAsia" w:ascii="仿宋" w:hAnsi="仿宋" w:eastAsia="仿宋"/>
          <w:b w:val="0"/>
          <w:color w:val="000000"/>
        </w:rPr>
        <w:t>一</w:t>
      </w:r>
      <w:r>
        <w:rPr>
          <w:rStyle w:val="12"/>
          <w:rFonts w:hint="eastAsia" w:ascii="仿宋" w:hAnsi="仿宋" w:eastAsia="仿宋"/>
          <w:b w:val="0"/>
          <w:bCs w:val="0"/>
        </w:rPr>
        <w:t>般公共预算财政拨款“三公”经费支出决算表</w:t>
      </w:r>
      <w:bookmarkEnd w:id="67"/>
    </w:p>
    <w:p>
      <w:pPr>
        <w:pStyle w:val="3"/>
        <w:rPr>
          <w:rFonts w:ascii="仿宋" w:hAnsi="仿宋" w:eastAsia="仿宋"/>
          <w:color w:val="000000"/>
        </w:rPr>
      </w:pPr>
      <w:bookmarkStart w:id="68" w:name="_Toc15396629"/>
      <w:r>
        <w:rPr>
          <w:rStyle w:val="12"/>
          <w:rFonts w:hint="eastAsia" w:ascii="仿宋" w:hAnsi="仿宋" w:eastAsia="仿宋"/>
          <w:b w:val="0"/>
          <w:bCs w:val="0"/>
        </w:rPr>
        <w:t>十一、</w:t>
      </w:r>
      <w:r>
        <w:rPr>
          <w:rFonts w:hint="eastAsia" w:ascii="仿宋" w:hAnsi="仿宋" w:eastAsia="仿宋"/>
          <w:b w:val="0"/>
          <w:color w:val="000000"/>
        </w:rPr>
        <w:t>政</w:t>
      </w:r>
      <w:r>
        <w:rPr>
          <w:rStyle w:val="12"/>
          <w:rFonts w:hint="eastAsia" w:ascii="仿宋" w:hAnsi="仿宋" w:eastAsia="仿宋"/>
          <w:b w:val="0"/>
          <w:bCs w:val="0"/>
        </w:rPr>
        <w:t>府性基金预算财政拨款收入支出决算表</w:t>
      </w:r>
      <w:bookmarkEnd w:id="68"/>
    </w:p>
    <w:p>
      <w:pPr>
        <w:pStyle w:val="3"/>
        <w:rPr>
          <w:rFonts w:ascii="仿宋" w:hAnsi="仿宋" w:eastAsia="仿宋"/>
          <w:color w:val="000000"/>
        </w:rPr>
      </w:pPr>
      <w:bookmarkStart w:id="69" w:name="_Toc15396630"/>
      <w:r>
        <w:rPr>
          <w:rStyle w:val="12"/>
          <w:rFonts w:hint="eastAsia" w:ascii="仿宋" w:hAnsi="仿宋" w:eastAsia="仿宋"/>
          <w:b w:val="0"/>
          <w:bCs w:val="0"/>
        </w:rPr>
        <w:t>十二、</w:t>
      </w:r>
      <w:r>
        <w:rPr>
          <w:rFonts w:hint="eastAsia" w:ascii="仿宋" w:hAnsi="仿宋" w:eastAsia="仿宋"/>
          <w:b w:val="0"/>
          <w:color w:val="000000"/>
        </w:rPr>
        <w:t>政</w:t>
      </w:r>
      <w:r>
        <w:rPr>
          <w:rStyle w:val="12"/>
          <w:rFonts w:hint="eastAsia" w:ascii="仿宋" w:hAnsi="仿宋" w:eastAsia="仿宋"/>
          <w:b w:val="0"/>
          <w:bCs w:val="0"/>
        </w:rPr>
        <w:t>府性基金预算财政拨款“三公”经费支出决算表</w:t>
      </w:r>
      <w:bookmarkEnd w:id="69"/>
    </w:p>
    <w:p>
      <w:pPr>
        <w:pStyle w:val="3"/>
        <w:rPr>
          <w:rFonts w:ascii="仿宋" w:hAnsi="仿宋" w:eastAsia="仿宋"/>
          <w:color w:val="000000" w:themeColor="text1"/>
          <w14:textFill>
            <w14:solidFill>
              <w14:schemeClr w14:val="tx1"/>
            </w14:solidFill>
          </w14:textFill>
        </w:rPr>
      </w:pPr>
      <w:bookmarkStart w:id="70" w:name="_Toc15396631"/>
      <w:r>
        <w:rPr>
          <w:rStyle w:val="12"/>
          <w:rFonts w:hint="eastAsia" w:ascii="仿宋" w:hAnsi="仿宋" w:eastAsia="仿宋"/>
          <w:b w:val="0"/>
          <w:bCs w:val="0"/>
        </w:rPr>
        <w:t>十三、</w:t>
      </w:r>
      <w:r>
        <w:rPr>
          <w:rFonts w:hint="eastAsia" w:ascii="仿宋" w:hAnsi="仿宋" w:eastAsia="仿宋"/>
          <w:b w:val="0"/>
          <w:color w:val="000000"/>
        </w:rPr>
        <w:t>国</w:t>
      </w:r>
      <w:r>
        <w:rPr>
          <w:rStyle w:val="12"/>
          <w:rFonts w:hint="eastAsia" w:ascii="仿宋" w:hAnsi="仿宋" w:eastAsia="仿宋"/>
          <w:b w:val="0"/>
          <w:bCs w:val="0"/>
        </w:rPr>
        <w:t>有资本经营预算支出决算表</w:t>
      </w:r>
      <w:bookmarkEnd w:id="70"/>
    </w:p>
    <w:p>
      <w:pPr>
        <w:rPr>
          <w:rFonts w:hint="eastAsia" w:eastAsia="宋体"/>
          <w:lang w:eastAsia="zh-CN"/>
        </w:rPr>
      </w:pPr>
    </w:p>
    <w:p>
      <w:pPr>
        <w:rPr>
          <w:rFonts w:hint="eastAsia" w:eastAsia="宋体"/>
          <w:lang w:eastAsia="zh-CN"/>
        </w:rPr>
      </w:pPr>
    </w:p>
    <w:p>
      <w:pPr>
        <w:rPr>
          <w:rFonts w:hint="eastAsia" w:ascii="仿宋" w:hAnsi="仿宋" w:eastAsia="仿宋"/>
          <w:color w:val="00000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924F7"/>
    <w:rsid w:val="19AE4A45"/>
    <w:rsid w:val="30B81341"/>
    <w:rsid w:val="474924F7"/>
    <w:rsid w:val="6B3D3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toc 2"/>
    <w:basedOn w:val="1"/>
    <w:next w:val="1"/>
    <w:unhideWhenUsed/>
    <w:qFormat/>
    <w:uiPriority w:val="39"/>
    <w:pPr>
      <w:tabs>
        <w:tab w:val="right" w:leader="dot" w:pos="8296"/>
      </w:tabs>
      <w:ind w:left="420" w:leftChars="200"/>
    </w:pPr>
  </w:style>
  <w:style w:type="character" w:styleId="9">
    <w:name w:val="Strong"/>
    <w:basedOn w:val="8"/>
    <w:qFormat/>
    <w:uiPriority w:val="99"/>
    <w:rPr>
      <w:b/>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标题 1 Char"/>
    <w:basedOn w:val="8"/>
    <w:link w:val="2"/>
    <w:qFormat/>
    <w:uiPriority w:val="9"/>
    <w:rPr>
      <w:b/>
      <w:bCs/>
      <w:kern w:val="44"/>
      <w:sz w:val="44"/>
      <w:szCs w:val="44"/>
    </w:rPr>
  </w:style>
  <w:style w:type="character" w:customStyle="1" w:styleId="12">
    <w:name w:val="标题 2 Char"/>
    <w:basedOn w:val="8"/>
    <w:link w:val="3"/>
    <w:qFormat/>
    <w:uiPriority w:val="9"/>
    <w:rPr>
      <w:rFonts w:asciiTheme="majorHAnsi" w:hAnsiTheme="majorHAnsi" w:eastAsiaTheme="majorEastAsia" w:cstheme="majorBidi"/>
      <w:b/>
      <w:bCs/>
      <w:sz w:val="32"/>
      <w:szCs w:val="32"/>
    </w:rPr>
  </w:style>
  <w:style w:type="paragraph" w:styleId="13">
    <w:name w:val="List Paragraph"/>
    <w:basedOn w:val="1"/>
    <w:qFormat/>
    <w:uiPriority w:val="34"/>
    <w:pPr>
      <w:ind w:firstLine="420" w:firstLineChars="200"/>
    </w:pPr>
  </w:style>
  <w:style w:type="paragraph" w:customStyle="1" w:styleId="1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：收支决算总计变动</a:t>
            </a:r>
            <a:endParaRPr altLang="en-US"/>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收支决算总计（万元）</c:v>
                </c:pt>
              </c:strCache>
            </c:strRef>
          </c:tx>
          <c:spPr>
            <a:solidFill>
              <a:schemeClr val="accent1"/>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648.37</c:v>
                </c:pt>
                <c:pt idx="1">
                  <c:v>593.6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408940129"/>
        <c:axId val="715663604"/>
      </c:barChart>
      <c:catAx>
        <c:axId val="40894012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5663604"/>
        <c:crosses val="autoZero"/>
        <c:auto val="1"/>
        <c:lblAlgn val="ctr"/>
        <c:lblOffset val="100"/>
        <c:noMultiLvlLbl val="0"/>
      </c:catAx>
      <c:valAx>
        <c:axId val="7156636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894012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zh-CN"/>
              <a:t>：收入决算结构图</a:t>
            </a:r>
            <a:endParaRPr altLang="zh-CN"/>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本年收入决算金额（万元）</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Lbls>
            <c:delete val="1"/>
          </c:dLbls>
          <c:cat>
            <c:strRef>
              <c:f>Sheet1!$A$2</c:f>
              <c:strCache>
                <c:ptCount val="1"/>
                <c:pt idx="0">
                  <c:v>一般公共预算财政拨款</c:v>
                </c:pt>
              </c:strCache>
            </c:strRef>
          </c:cat>
          <c:val>
            <c:numRef>
              <c:f>Sheet1!$B$2</c:f>
              <c:numCache>
                <c:formatCode>General</c:formatCode>
                <c:ptCount val="1"/>
                <c:pt idx="0">
                  <c:v>588.57</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rPr altLang="en-US"/>
              <a:t>：</a:t>
            </a:r>
            <a:r>
              <a:t>支出决算结构</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财政拨款支出决算（万元）</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delete val="1"/>
          </c:dLbls>
          <c:cat>
            <c:strRef>
              <c:f>Sheet1!$A$2:$A$3</c:f>
              <c:strCache>
                <c:ptCount val="2"/>
                <c:pt idx="0">
                  <c:v>基本支出</c:v>
                </c:pt>
                <c:pt idx="1">
                  <c:v>项目支出</c:v>
                </c:pt>
              </c:strCache>
            </c:strRef>
          </c:cat>
          <c:val>
            <c:numRef>
              <c:f>Sheet1!$B$2:$B$3</c:f>
              <c:numCache>
                <c:formatCode>General</c:formatCode>
                <c:ptCount val="2"/>
                <c:pt idx="0">
                  <c:v>488.22</c:v>
                </c:pt>
                <c:pt idx="1">
                  <c:v>100.35</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：财政拨款收支决算总计变动</a:t>
            </a:r>
            <a:endParaRPr altLang="en-US"/>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财政拨款收支决算总计（万元）</c:v>
                </c:pt>
              </c:strCache>
            </c:strRef>
          </c:tx>
          <c:spPr>
            <a:solidFill>
              <a:schemeClr val="accent1"/>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648.37</c:v>
                </c:pt>
                <c:pt idx="1">
                  <c:v>593.6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933848082"/>
        <c:axId val="950418200"/>
      </c:barChart>
      <c:catAx>
        <c:axId val="9338480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0418200"/>
        <c:crosses val="autoZero"/>
        <c:auto val="1"/>
        <c:lblAlgn val="ctr"/>
        <c:lblOffset val="100"/>
        <c:noMultiLvlLbl val="0"/>
      </c:catAx>
      <c:valAx>
        <c:axId val="950418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384808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5</a:t>
            </a:r>
            <a:r>
              <a:rPr altLang="en-US"/>
              <a:t>：</a:t>
            </a:r>
            <a:r>
              <a:t>一般公共预算拨款支出总体情况</a:t>
            </a: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一般公共预算拨款支出（万元）</c:v>
                </c:pt>
              </c:strCache>
            </c:strRef>
          </c:tx>
          <c:spPr>
            <a:solidFill>
              <a:schemeClr val="accent1"/>
            </a:solidFill>
            <a:ln w="19050">
              <a:solidFill>
                <a:schemeClr val="lt1"/>
              </a:solidFill>
            </a:ln>
            <a:effectLst/>
            <a:sp3d contourW="25400"/>
          </c:spPr>
          <c:invertIfNegative val="0"/>
          <c:dLbls>
            <c:delete val="1"/>
          </c:dLbls>
          <c:cat>
            <c:strRef>
              <c:f>Sheet1!$A$2:$A$3</c:f>
              <c:strCache>
                <c:ptCount val="2"/>
                <c:pt idx="0">
                  <c:v>2018年</c:v>
                </c:pt>
                <c:pt idx="1">
                  <c:v>2019年</c:v>
                </c:pt>
              </c:strCache>
            </c:strRef>
          </c:cat>
          <c:val>
            <c:numRef>
              <c:f>Sheet1!$B$2:$B$3</c:f>
              <c:numCache>
                <c:formatCode>General</c:formatCode>
                <c:ptCount val="2"/>
                <c:pt idx="0">
                  <c:v>613.91</c:v>
                </c:pt>
                <c:pt idx="1">
                  <c:v>588.57</c:v>
                </c:pt>
              </c:numCache>
            </c:numRef>
          </c:val>
        </c:ser>
        <c:dLbls>
          <c:showLegendKey val="0"/>
          <c:showVal val="0"/>
          <c:showCatName val="0"/>
          <c:showSerName val="0"/>
          <c:showPercent val="0"/>
          <c:showBubbleSize val="0"/>
        </c:dLbls>
        <c:gapWidth val="150"/>
        <c:overlap val="100"/>
        <c:axId val="469421160"/>
        <c:axId val="785887920"/>
      </c:barChart>
      <c:catAx>
        <c:axId val="46942116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5887920"/>
        <c:crosses val="autoZero"/>
        <c:auto val="1"/>
        <c:lblAlgn val="ctr"/>
        <c:lblOffset val="100"/>
        <c:noMultiLvlLbl val="0"/>
      </c:catAx>
      <c:valAx>
        <c:axId val="785887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94211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6</a:t>
            </a:r>
            <a:r>
              <a:rPr altLang="en-US"/>
              <a:t>：</a:t>
            </a:r>
            <a:r>
              <a:t>一般公共预算拨款支出结构图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一般公共预算拨款支出（万元）</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Lbls>
            <c:delete val="1"/>
          </c:dLbls>
          <c:cat>
            <c:strRef>
              <c:f>Sheet1!$A$2:$A$5</c:f>
              <c:strCache>
                <c:ptCount val="4"/>
                <c:pt idx="0">
                  <c:v>社会保障和就业</c:v>
                </c:pt>
                <c:pt idx="1">
                  <c:v>卫生健康支出</c:v>
                </c:pt>
                <c:pt idx="2">
                  <c:v>  其他城乡社区管理事务支出</c:v>
                </c:pt>
                <c:pt idx="3">
                  <c:v>  住房公积金</c:v>
                </c:pt>
              </c:strCache>
            </c:strRef>
          </c:cat>
          <c:val>
            <c:numRef>
              <c:f>Sheet1!$B$2:$B$5</c:f>
              <c:numCache>
                <c:formatCode>General</c:formatCode>
                <c:ptCount val="4"/>
                <c:pt idx="0">
                  <c:v>34.96</c:v>
                </c:pt>
                <c:pt idx="1">
                  <c:v>8.28</c:v>
                </c:pt>
                <c:pt idx="2">
                  <c:v>518.39</c:v>
                </c:pt>
                <c:pt idx="3">
                  <c:v>26.95</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7</a:t>
            </a:r>
            <a:r>
              <a:rPr altLang="en-US"/>
              <a:t>：</a:t>
            </a:r>
            <a:r>
              <a:t>三公经费财政拨款支出结构</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三公经费财政拨款支出决算（万元）</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Lbls>
            <c:delete val="1"/>
          </c:dLbls>
          <c:cat>
            <c:strRef>
              <c:f>Sheet1!$A$2</c:f>
              <c:strCache>
                <c:ptCount val="1"/>
                <c:pt idx="0">
                  <c:v>公务用车购置及运行维护费支出</c:v>
                </c:pt>
              </c:strCache>
            </c:strRef>
          </c:cat>
          <c:val>
            <c:numRef>
              <c:f>Sheet1!$B$2</c:f>
              <c:numCache>
                <c:formatCode>General</c:formatCode>
                <c:ptCount val="1"/>
                <c:pt idx="0">
                  <c:v>2.27</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2020-11-02T03:14:00Z</dcterms:created>
  <dc:creator>Administrator</dc:creator>
  <cp:lastModifiedBy>毛毛虫</cp:lastModifiedBy>
  <dcterms:modified xsi:type="dcterms:W3CDTF">2020-11-02T07:41:27Z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