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8441"/>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96476"/>
      <w:bookmarkStart w:id="9" w:name="_Toc15377194"/>
      <w:bookmarkStart w:id="10" w:name="_Toc15306268"/>
      <w:bookmarkStart w:id="11" w:name="_Toc15396598"/>
      <w:r>
        <w:rPr>
          <w:rFonts w:hint="eastAsia" w:ascii="方正小标宋简体" w:hAnsi="宋体" w:eastAsia="方正小标宋简体"/>
          <w:color w:val="000000"/>
          <w:sz w:val="72"/>
          <w:szCs w:val="72"/>
          <w:lang w:eastAsia="zh-CN"/>
        </w:rPr>
        <w:t>峨眉山市森林公安局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7"/>
      </w:pPr>
      <w:r>
        <w:rPr>
          <w:rFonts w:hint="eastAsia"/>
        </w:rPr>
        <w:t>公开时间：2020年</w:t>
      </w:r>
      <w:r>
        <w:rPr>
          <w:rFonts w:hint="eastAsia"/>
          <w:lang w:val="en-US" w:eastAsia="zh-CN"/>
        </w:rPr>
        <w:t>10</w:t>
      </w:r>
      <w:r>
        <w:rPr>
          <w:rFonts w:hint="eastAsia"/>
        </w:rPr>
        <w:t>月</w:t>
      </w:r>
      <w:r>
        <w:rPr>
          <w:rFonts w:hint="eastAsia"/>
          <w:lang w:val="en-US" w:eastAsia="zh-CN"/>
        </w:rPr>
        <w:t>30</w:t>
      </w:r>
      <w:r>
        <w:rPr>
          <w:rFonts w:hint="eastAsia"/>
        </w:rPr>
        <w:t>日</w:t>
      </w:r>
    </w:p>
    <w:p/>
    <w:p>
      <w:pPr>
        <w:pStyle w:val="7"/>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8"/>
        <w:adjustRightInd w:val="0"/>
        <w:snapToGrid w:val="0"/>
        <w:spacing w:line="440" w:lineRule="exact"/>
        <w:jc w:val="left"/>
        <w:rPr>
          <w:rFonts w:ascii="仿宋" w:hAnsi="仿宋" w:eastAsia="仿宋"/>
          <w:sz w:val="24"/>
        </w:rPr>
      </w:pPr>
      <w:r>
        <w:rPr>
          <w:rFonts w:hint="eastAsia"/>
          <w:sz w:val="24"/>
        </w:rPr>
        <w:t>一、基本职能及主要工作</w:t>
      </w:r>
    </w:p>
    <w:p>
      <w:pPr>
        <w:pStyle w:val="8"/>
        <w:adjustRightInd w:val="0"/>
        <w:snapToGrid w:val="0"/>
        <w:spacing w:line="440" w:lineRule="exact"/>
        <w:jc w:val="left"/>
        <w:rPr>
          <w:rFonts w:ascii="仿宋" w:hAnsi="仿宋" w:eastAsia="仿宋" w:cstheme="minorBidi"/>
          <w:sz w:val="24"/>
        </w:rPr>
      </w:pPr>
      <w:r>
        <w:rPr>
          <w:rFonts w:hint="eastAsia"/>
          <w:sz w:val="24"/>
        </w:rPr>
        <w:t>二、机构设置</w:t>
      </w:r>
    </w:p>
    <w:p>
      <w:pPr>
        <w:pStyle w:val="7"/>
        <w:adjustRightInd w:val="0"/>
        <w:snapToGrid w:val="0"/>
        <w:spacing w:before="0" w:line="440" w:lineRule="exact"/>
        <w:jc w:val="left"/>
        <w:rPr>
          <w:sz w:val="24"/>
          <w:szCs w:val="24"/>
        </w:rPr>
      </w:pPr>
      <w:r>
        <w:rPr>
          <w:rFonts w:hint="eastAsia"/>
          <w:sz w:val="24"/>
        </w:rPr>
        <w:t>第二部分度部门决算情况说明</w:t>
      </w:r>
    </w:p>
    <w:p>
      <w:pPr>
        <w:pStyle w:val="8"/>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8"/>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8"/>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2"/>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7"/>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7"/>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7"/>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13"/>
          <w:rFonts w:ascii="黑体" w:hAnsi="黑体" w:eastAsia="黑体"/>
          <w:b/>
          <w:bCs w:val="0"/>
        </w:rPr>
      </w:pPr>
      <w:r>
        <w:rPr>
          <w:rFonts w:hint="eastAsia" w:ascii="黑体" w:hAnsi="黑体" w:eastAsia="黑体"/>
          <w:b w:val="0"/>
        </w:rPr>
        <w:t xml:space="preserve">第一部分 </w:t>
      </w:r>
      <w:r>
        <w:rPr>
          <w:rStyle w:val="13"/>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4"/>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4"/>
      <w:bookmarkEnd w:id="15"/>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w:t>
      </w:r>
      <w:r>
        <w:rPr>
          <w:rFonts w:hint="eastAsia" w:ascii="仿宋" w:hAnsi="仿宋" w:eastAsia="仿宋"/>
          <w:bCs/>
          <w:color w:val="000000"/>
          <w:sz w:val="32"/>
          <w:szCs w:val="32"/>
          <w:lang w:eastAsia="zh-CN"/>
        </w:rPr>
        <w:t>市</w:t>
      </w:r>
      <w:r>
        <w:rPr>
          <w:rFonts w:hint="eastAsia" w:ascii="仿宋" w:hAnsi="仿宋" w:eastAsia="仿宋"/>
          <w:bCs/>
          <w:color w:val="000000"/>
          <w:sz w:val="32"/>
          <w:szCs w:val="32"/>
        </w:rPr>
        <w:t>政府批准的三定方案）</w:t>
      </w:r>
      <w:bookmarkEnd w:id="16"/>
      <w:bookmarkEnd w:id="17"/>
    </w:p>
    <w:p>
      <w:pPr>
        <w:snapToGrid w:val="0"/>
        <w:spacing w:line="520" w:lineRule="exact"/>
        <w:ind w:firstLine="560" w:firstLineChars="200"/>
        <w:rPr>
          <w:rFonts w:hint="eastAsia" w:ascii="宋体" w:hAnsi="宋体"/>
          <w:sz w:val="28"/>
          <w:szCs w:val="28"/>
        </w:rPr>
      </w:pPr>
      <w:r>
        <w:rPr>
          <w:rFonts w:hint="eastAsia" w:ascii="宋体" w:hAnsi="宋体"/>
          <w:sz w:val="28"/>
          <w:szCs w:val="28"/>
        </w:rPr>
        <w:t>负责指导、组织全市林区社会治安管理工作和森林公安业务及基层基础建设，管理森林公安队伍，协调、督查、查处破坏森林资源案件，组织、协调、侦破重特大森林案件，指导、协调全市森林防火宣传、预防、扑火工作，拟定全市森林防火工作规划，及时发布森林防火信息。负责全市森林防火指挥部日常工作。</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60" w:lineRule="exact"/>
        <w:ind w:firstLine="800" w:firstLineChars="250"/>
      </w:pPr>
      <w:r>
        <w:rPr>
          <w:rFonts w:hint="eastAsia" w:ascii="仿宋_GB2312" w:eastAsia="仿宋_GB2312"/>
          <w:sz w:val="32"/>
          <w:szCs w:val="32"/>
        </w:rPr>
        <w:t>一年来，峨眉山市森林公安工作在峨眉山市自然资源局党组的领导下，在乐山市森林公安局和峨眉山市公安局的具体指导下，紧紧围绕市委、市政府各项工作要求，认真贯彻落实上级的各项指示、精神，</w:t>
      </w:r>
      <w:r>
        <w:rPr>
          <w:rFonts w:hint="eastAsia" w:ascii="华文仿宋" w:hAnsi="华文仿宋" w:eastAsia="华文仿宋"/>
          <w:sz w:val="32"/>
          <w:szCs w:val="32"/>
        </w:rPr>
        <w:t>先后组织开展了打击破坏森林和野生动植物资源违法犯罪活动为主要内容的“打击破坏野生动物资源犯罪专项行动”、“守护绿川2号行动”、“森林火灾案件侦破查处专项行动”、“</w:t>
      </w:r>
      <w:r>
        <w:rPr>
          <w:rFonts w:hint="eastAsia" w:ascii="仿宋_GB2312" w:eastAsia="仿宋_GB2312" w:cs="仿宋_GB2312-WinCharSetFFFF-H"/>
          <w:kern w:val="0"/>
          <w:sz w:val="32"/>
          <w:szCs w:val="32"/>
        </w:rPr>
        <w:t>打击整治枪支爆炸物品违法犯罪专项行动</w:t>
      </w:r>
      <w:r>
        <w:rPr>
          <w:rFonts w:hint="eastAsia" w:ascii="华文仿宋" w:hAnsi="华文仿宋" w:eastAsia="华文仿宋"/>
          <w:sz w:val="32"/>
          <w:szCs w:val="32"/>
        </w:rPr>
        <w:t>”以及“打黑除恶专项斗争”等工作，</w:t>
      </w:r>
      <w:r>
        <w:rPr>
          <w:rFonts w:hint="eastAsia" w:ascii="仿宋_GB2312" w:hAnsi="Calibri" w:eastAsia="仿宋_GB2312"/>
          <w:sz w:val="32"/>
          <w:szCs w:val="32"/>
        </w:rPr>
        <w:t>充分发挥森林公安的职能作用，进一步加大打击破坏森林资源和野生动植物资源的违法犯罪活动的力度；进一步贯彻落实《森林防火条例》的各项措施，严格加强火源管理，有效地维护了林区社会的稳定。共接处警</w:t>
      </w:r>
      <w:r>
        <w:rPr>
          <w:rFonts w:hint="eastAsia" w:ascii="仿宋_GB2312" w:eastAsia="仿宋_GB2312"/>
          <w:sz w:val="32"/>
          <w:szCs w:val="32"/>
        </w:rPr>
        <w:t>70</w:t>
      </w:r>
      <w:r>
        <w:rPr>
          <w:rFonts w:hint="eastAsia" w:ascii="仿宋_GB2312" w:hAnsi="Calibri" w:eastAsia="仿宋_GB2312"/>
          <w:sz w:val="32"/>
          <w:szCs w:val="32"/>
        </w:rPr>
        <w:t>余次，清查木材交易市场</w:t>
      </w:r>
      <w:r>
        <w:rPr>
          <w:rFonts w:hint="eastAsia" w:ascii="仿宋_GB2312" w:eastAsia="仿宋_GB2312"/>
          <w:sz w:val="32"/>
          <w:szCs w:val="32"/>
        </w:rPr>
        <w:t>26</w:t>
      </w:r>
      <w:r>
        <w:rPr>
          <w:rFonts w:hint="eastAsia" w:ascii="仿宋_GB2312" w:hAnsi="Calibri" w:eastAsia="仿宋_GB2312"/>
          <w:sz w:val="32"/>
          <w:szCs w:val="32"/>
        </w:rPr>
        <w:t>处，清查木材经营加工场所</w:t>
      </w:r>
      <w:r>
        <w:rPr>
          <w:rFonts w:hint="eastAsia" w:ascii="仿宋_GB2312" w:eastAsia="仿宋_GB2312"/>
          <w:sz w:val="32"/>
          <w:szCs w:val="32"/>
        </w:rPr>
        <w:t>45</w:t>
      </w:r>
      <w:r>
        <w:rPr>
          <w:rFonts w:hint="eastAsia" w:ascii="仿宋_GB2312" w:hAnsi="Calibri" w:eastAsia="仿宋_GB2312"/>
          <w:sz w:val="32"/>
          <w:szCs w:val="32"/>
        </w:rPr>
        <w:t>处、清查征占用林地场点61处，共查处各类林业行政案件11起，处罚违法人员10人；收缴罚没款7万余元。查破刑事案件2起，取保候审1人，刑拘3人，逮捕3人，起诉4人。救助放生国家二级和省级野生动物15余只。全年全市未发生一起森林火灾。</w:t>
      </w:r>
    </w:p>
    <w:p>
      <w:pPr>
        <w:pStyle w:val="3"/>
        <w:rPr>
          <w:rStyle w:val="14"/>
          <w:b w:val="0"/>
          <w:bCs w:val="0"/>
        </w:rPr>
      </w:pPr>
      <w:bookmarkStart w:id="67" w:name="_GoBack"/>
      <w:bookmarkEnd w:id="67"/>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峨眉山市森林公安局属于行政单位，</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4"/>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峨眉山市森林公安局</w:t>
      </w:r>
      <w:r>
        <w:rPr>
          <w:rFonts w:hint="eastAsia" w:ascii="仿宋" w:hAnsi="仿宋" w:eastAsia="仿宋"/>
          <w:color w:val="000000"/>
          <w:sz w:val="32"/>
          <w:szCs w:val="32"/>
        </w:rPr>
        <w:t>2019年度部门决算编制范围的二级预算单位</w:t>
      </w:r>
      <w:r>
        <w:rPr>
          <w:rFonts w:hint="eastAsia" w:ascii="仿宋" w:hAnsi="仿宋" w:eastAsia="仿宋"/>
          <w:color w:val="000000"/>
          <w:sz w:val="32"/>
          <w:szCs w:val="32"/>
          <w:lang w:eastAsia="zh-CN"/>
        </w:rPr>
        <w:t>无。</w:t>
      </w:r>
    </w:p>
    <w:p>
      <w:pPr>
        <w:widowControl/>
        <w:jc w:val="left"/>
        <w:rPr>
          <w:rFonts w:ascii="仿宋" w:hAnsi="仿宋" w:eastAsia="仿宋"/>
          <w:color w:val="000000"/>
          <w:kern w:val="0"/>
          <w:sz w:val="32"/>
          <w:szCs w:val="32"/>
        </w:rPr>
      </w:pPr>
      <w:r>
        <w:rPr>
          <w:rFonts w:hint="eastAsia" w:ascii="仿宋" w:hAnsi="仿宋" w:eastAsia="仿宋"/>
          <w:color w:val="000000"/>
          <w:sz w:val="32"/>
          <w:szCs w:val="32"/>
          <w:lang w:val="en-US" w:eastAsia="zh-CN"/>
        </w:rPr>
        <w:t xml:space="preserve">    峨眉山市森林公安局原属于峨眉市林业局管理，机构改革后暂由峨眉山市自然资源局代管，目前已整体移交峨眉山市公安局并取消独立法人资格。</w:t>
      </w:r>
      <w:r>
        <w:rPr>
          <w:rFonts w:ascii="仿宋" w:hAnsi="仿宋" w:eastAsia="仿宋"/>
          <w:color w:val="000000"/>
          <w:sz w:val="32"/>
          <w:szCs w:val="32"/>
        </w:rPr>
        <w:br w:type="page"/>
      </w:r>
    </w:p>
    <w:p>
      <w:pPr>
        <w:pStyle w:val="2"/>
        <w:ind w:right="440"/>
        <w:jc w:val="right"/>
        <w:rPr>
          <w:rStyle w:val="13"/>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3"/>
          <w:rFonts w:hint="eastAsia" w:ascii="黑体" w:hAnsi="黑体" w:eastAsia="黑体"/>
          <w:b w:val="0"/>
          <w:bCs w:val="0"/>
        </w:rPr>
        <w:t>2019年度部门决算情况说明</w:t>
      </w:r>
      <w:bookmarkEnd w:id="22"/>
      <w:bookmarkEnd w:id="23"/>
    </w:p>
    <w:p/>
    <w:p>
      <w:pPr>
        <w:pStyle w:val="15"/>
        <w:numPr>
          <w:ilvl w:val="0"/>
          <w:numId w:val="1"/>
        </w:numPr>
        <w:spacing w:line="600" w:lineRule="exact"/>
        <w:ind w:firstLineChars="0"/>
        <w:outlineLvl w:val="1"/>
        <w:rPr>
          <w:rStyle w:val="14"/>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344.41</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56.97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是公安待遇调整增加。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5"/>
        <w:numPr>
          <w:ilvl w:val="0"/>
          <w:numId w:val="1"/>
        </w:numPr>
        <w:spacing w:line="600" w:lineRule="exact"/>
        <w:ind w:firstLineChars="0"/>
        <w:outlineLvl w:val="1"/>
        <w:rPr>
          <w:rStyle w:val="14"/>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4"/>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324.64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324.64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5"/>
        <w:numPr>
          <w:ilvl w:val="0"/>
          <w:numId w:val="1"/>
        </w:numPr>
        <w:spacing w:line="600" w:lineRule="exact"/>
        <w:ind w:firstLineChars="0"/>
        <w:outlineLvl w:val="1"/>
        <w:rPr>
          <w:rStyle w:val="14"/>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4"/>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327.77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308.2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19.57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outlineLvl w:val="1"/>
        <w:rPr>
          <w:rStyle w:val="14"/>
          <w:rFonts w:ascii="黑体" w:hAnsi="黑体" w:eastAsia="黑体"/>
          <w:b w:val="0"/>
        </w:rPr>
      </w:pPr>
      <w:r>
        <w:rPr>
          <w:rFonts w:hint="eastAsia" w:ascii="黑体" w:hAnsi="黑体" w:eastAsia="黑体"/>
          <w:color w:val="000000"/>
          <w:sz w:val="32"/>
          <w:szCs w:val="32"/>
        </w:rPr>
        <w:t>财</w:t>
      </w:r>
      <w:r>
        <w:rPr>
          <w:rStyle w:val="14"/>
          <w:rFonts w:hint="eastAsia" w:ascii="黑体" w:hAnsi="黑体" w:eastAsia="黑体"/>
          <w:b w:val="0"/>
        </w:rPr>
        <w:t>政拨款收入支出决算总体情况说明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w:t>
      </w:r>
      <w:r>
        <w:rPr>
          <w:rFonts w:hint="eastAsia" w:ascii="仿宋" w:hAnsi="仿宋" w:eastAsia="仿宋"/>
          <w:color w:val="000000"/>
          <w:sz w:val="32"/>
          <w:szCs w:val="32"/>
          <w:lang w:val="en-US" w:eastAsia="zh-CN"/>
        </w:rPr>
        <w:t>344.41</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56.97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公安待遇调整增加。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3" w:firstLineChars="200"/>
        <w:outlineLvl w:val="1"/>
        <w:rPr>
          <w:rStyle w:val="14"/>
          <w:rFonts w:ascii="黑体" w:hAnsi="黑体" w:eastAsia="黑体"/>
          <w:b w:val="0"/>
        </w:rPr>
      </w:pP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327.77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60.1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公安待遇调整增加。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（二）</w:t>
      </w:r>
      <w:r>
        <w:rPr>
          <w:rFonts w:hint="eastAsia" w:ascii="仿宋" w:hAnsi="仿宋" w:eastAsia="仿宋"/>
          <w:b/>
          <w:color w:val="000000"/>
          <w:sz w:val="32"/>
          <w:szCs w:val="32"/>
        </w:rPr>
        <w:t>一般公共预算财政拨款支出决算结构情况</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327.77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27.69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8.45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7.51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2.29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农林水支出</w:t>
      </w:r>
      <w:r>
        <w:rPr>
          <w:rFonts w:hint="eastAsia" w:ascii="仿宋" w:hAnsi="仿宋" w:eastAsia="仿宋"/>
          <w:color w:val="000000" w:themeColor="text1"/>
          <w:sz w:val="32"/>
          <w:szCs w:val="32"/>
          <w:lang w:val="en-US" w:eastAsia="zh-CN"/>
          <w14:textFill>
            <w14:solidFill>
              <w14:schemeClr w14:val="tx1"/>
            </w14:solidFill>
          </w14:textFill>
        </w:rPr>
        <w:t>267.43</w:t>
      </w:r>
      <w:r>
        <w:rPr>
          <w:rFonts w:hint="eastAsia" w:ascii="仿宋" w:hAnsi="仿宋" w:eastAsia="仿宋"/>
          <w:color w:val="000000" w:themeColor="text1"/>
          <w:sz w:val="32"/>
          <w:szCs w:val="32"/>
          <w:lang w:eastAsia="zh-CN"/>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81.59%；</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25.14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7.67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pPr>
        <w:spacing w:line="600" w:lineRule="exact"/>
        <w:ind w:firstLine="643" w:firstLineChars="200"/>
        <w:outlineLvl w:val="2"/>
        <w:rPr>
          <w:rFonts w:ascii="仿宋" w:hAnsi="仿宋" w:eastAsia="仿宋"/>
          <w:color w:val="FF0000"/>
          <w:sz w:val="32"/>
          <w:szCs w:val="32"/>
        </w:rPr>
      </w:pPr>
      <w:bookmarkStart w:id="32" w:name="_Toc15377444"/>
      <w:bookmarkStart w:id="33" w:name="_Toc15378460"/>
      <w:bookmarkStart w:id="34" w:name="_Toc15377213"/>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327.77</w:t>
      </w:r>
      <w:r>
        <w:rPr>
          <w:rFonts w:hint="eastAsia" w:ascii="仿宋" w:hAnsi="仿宋" w:eastAsia="仿宋"/>
          <w:color w:val="000000" w:themeColor="text1"/>
          <w:sz w:val="32"/>
          <w:szCs w:val="32"/>
          <w14:textFill>
            <w14:solidFill>
              <w14:schemeClr w14:val="tx1"/>
            </w14:solidFill>
          </w14:textFill>
        </w:rPr>
        <w:t>，</w:t>
      </w:r>
      <w:r>
        <w:rPr>
          <w:rStyle w:val="11"/>
          <w:rFonts w:hint="eastAsia" w:ascii="仿宋" w:hAnsi="仿宋" w:eastAsia="仿宋"/>
          <w:bCs/>
          <w:color w:val="000000" w:themeColor="text1"/>
          <w:sz w:val="32"/>
          <w:szCs w:val="32"/>
          <w14:textFill>
            <w14:solidFill>
              <w14:schemeClr w14:val="tx1"/>
            </w14:solidFill>
          </w14:textFill>
        </w:rPr>
        <w:t>完成</w:t>
      </w:r>
      <w:r>
        <w:rPr>
          <w:rStyle w:val="11"/>
          <w:rFonts w:hint="eastAsia" w:ascii="仿宋" w:hAnsi="仿宋" w:eastAsia="仿宋"/>
          <w:bCs/>
          <w:color w:val="000000"/>
          <w:sz w:val="32"/>
          <w:szCs w:val="32"/>
        </w:rPr>
        <w:t>预算</w:t>
      </w:r>
      <w:r>
        <w:rPr>
          <w:rStyle w:val="11"/>
          <w:rFonts w:hint="eastAsia" w:ascii="仿宋" w:hAnsi="仿宋" w:eastAsia="仿宋"/>
          <w:bCs/>
          <w:color w:val="000000"/>
          <w:sz w:val="32"/>
          <w:szCs w:val="32"/>
          <w:lang w:val="en-US" w:eastAsia="zh-CN"/>
        </w:rPr>
        <w:t>95.17</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。其中：</w:t>
      </w:r>
      <w:bookmarkEnd w:id="32"/>
      <w:bookmarkEnd w:id="33"/>
      <w:bookmarkEnd w:id="34"/>
    </w:p>
    <w:p>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1</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社会保障和就业（类）行政事业单位离退休（款）机关事业单位基本养老保险缴费支出（项）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19.08</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84</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，决算数小于预算数的主要原因是</w:t>
      </w:r>
      <w:r>
        <w:rPr>
          <w:rStyle w:val="11"/>
          <w:rFonts w:hint="eastAsia" w:ascii="仿宋" w:hAnsi="仿宋" w:eastAsia="仿宋"/>
          <w:b w:val="0"/>
          <w:bCs/>
          <w:color w:val="000000"/>
          <w:sz w:val="32"/>
          <w:szCs w:val="32"/>
          <w:lang w:eastAsia="zh-CN"/>
        </w:rPr>
        <w:t>上年结转</w:t>
      </w:r>
      <w:r>
        <w:rPr>
          <w:rStyle w:val="11"/>
          <w:rFonts w:hint="eastAsia" w:ascii="仿宋" w:hAnsi="仿宋" w:eastAsia="仿宋"/>
          <w:b w:val="0"/>
          <w:bCs/>
          <w:color w:val="000000"/>
          <w:sz w:val="32"/>
          <w:szCs w:val="32"/>
        </w:rPr>
        <w:t>。</w:t>
      </w:r>
    </w:p>
    <w:p>
      <w:pPr>
        <w:spacing w:line="600" w:lineRule="exact"/>
        <w:ind w:firstLine="640" w:firstLineChars="200"/>
        <w:rPr>
          <w:rStyle w:val="11"/>
          <w:rFonts w:hint="eastAsia" w:ascii="仿宋" w:hAnsi="仿宋" w:eastAsia="仿宋"/>
          <w:b w:val="0"/>
          <w:bCs/>
          <w:color w:val="000000"/>
          <w:sz w:val="32"/>
          <w:szCs w:val="32"/>
        </w:rPr>
      </w:pPr>
      <w:r>
        <w:rPr>
          <w:rStyle w:val="11"/>
          <w:rFonts w:hint="eastAsia" w:ascii="仿宋" w:hAnsi="仿宋" w:eastAsia="仿宋"/>
          <w:b w:val="0"/>
          <w:bCs/>
          <w:color w:val="000000"/>
          <w:sz w:val="32"/>
          <w:szCs w:val="32"/>
          <w:lang w:val="en-US" w:eastAsia="zh-CN"/>
        </w:rPr>
        <w:t>2.</w:t>
      </w:r>
      <w:r>
        <w:rPr>
          <w:rStyle w:val="11"/>
          <w:rFonts w:hint="eastAsia" w:ascii="仿宋" w:hAnsi="仿宋" w:eastAsia="仿宋"/>
          <w:bCs/>
          <w:color w:val="000000"/>
          <w:sz w:val="32"/>
          <w:szCs w:val="32"/>
        </w:rPr>
        <w:t>社会保障和就业（类）行政事业单位离退休（款）机关事业单位职业年金缴费支出（项）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8.61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0" w:firstLineChars="200"/>
        <w:rPr>
          <w:rStyle w:val="11"/>
          <w:rFonts w:hint="eastAsia" w:ascii="仿宋" w:hAnsi="仿宋" w:eastAsia="仿宋"/>
          <w:b w:val="0"/>
          <w:bCs/>
          <w:color w:val="000000"/>
          <w:sz w:val="32"/>
          <w:szCs w:val="32"/>
        </w:rPr>
      </w:pPr>
      <w:r>
        <w:rPr>
          <w:rStyle w:val="11"/>
          <w:rFonts w:hint="eastAsia" w:ascii="仿宋" w:hAnsi="仿宋" w:eastAsia="仿宋"/>
          <w:b w:val="0"/>
          <w:bCs/>
          <w:color w:val="000000"/>
          <w:sz w:val="32"/>
          <w:szCs w:val="32"/>
          <w:lang w:val="en-US" w:eastAsia="zh-CN"/>
        </w:rPr>
        <w:t>3.</w:t>
      </w:r>
      <w:r>
        <w:rPr>
          <w:rStyle w:val="11"/>
          <w:rFonts w:hint="eastAsia" w:ascii="仿宋" w:hAnsi="仿宋" w:eastAsia="仿宋"/>
          <w:bCs/>
          <w:color w:val="000000"/>
          <w:sz w:val="32"/>
          <w:szCs w:val="32"/>
        </w:rPr>
        <w:t>卫生健康支出（类）行政事业单位医疗（款）行政单位医疗（项）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7.51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96.4</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eastAsia="zh-CN"/>
        </w:rPr>
        <w:t>，</w:t>
      </w:r>
      <w:r>
        <w:rPr>
          <w:rStyle w:val="11"/>
          <w:rFonts w:hint="eastAsia" w:ascii="仿宋" w:hAnsi="仿宋" w:eastAsia="仿宋"/>
          <w:b w:val="0"/>
          <w:bCs/>
          <w:color w:val="000000"/>
          <w:sz w:val="32"/>
          <w:szCs w:val="32"/>
        </w:rPr>
        <w:t>决算数小于预算数的主要原因是</w:t>
      </w:r>
      <w:r>
        <w:rPr>
          <w:rStyle w:val="11"/>
          <w:rFonts w:hint="eastAsia" w:ascii="仿宋" w:hAnsi="仿宋" w:eastAsia="仿宋"/>
          <w:b w:val="0"/>
          <w:bCs/>
          <w:color w:val="000000"/>
          <w:sz w:val="32"/>
          <w:szCs w:val="32"/>
          <w:lang w:eastAsia="zh-CN"/>
        </w:rPr>
        <w:t>上年结转</w:t>
      </w:r>
      <w:r>
        <w:rPr>
          <w:rStyle w:val="11"/>
          <w:rFonts w:hint="eastAsia" w:ascii="仿宋" w:hAnsi="仿宋" w:eastAsia="仿宋"/>
          <w:b w:val="0"/>
          <w:bCs/>
          <w:color w:val="000000"/>
          <w:sz w:val="32"/>
          <w:szCs w:val="32"/>
        </w:rPr>
        <w:t>。</w:t>
      </w:r>
    </w:p>
    <w:p>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4.</w:t>
      </w:r>
      <w:r>
        <w:rPr>
          <w:rStyle w:val="11"/>
          <w:rFonts w:hint="eastAsia" w:ascii="仿宋" w:hAnsi="仿宋" w:eastAsia="仿宋"/>
          <w:bCs/>
          <w:color w:val="000000"/>
          <w:sz w:val="32"/>
          <w:szCs w:val="32"/>
        </w:rPr>
        <w:t>农林水支出（类）林业和草原（款）行政运行（项）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247.86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5.</w:t>
      </w:r>
      <w:r>
        <w:rPr>
          <w:rStyle w:val="11"/>
          <w:rFonts w:hint="eastAsia" w:ascii="仿宋" w:hAnsi="仿宋" w:eastAsia="仿宋"/>
          <w:bCs/>
          <w:color w:val="000000"/>
          <w:sz w:val="32"/>
          <w:szCs w:val="32"/>
        </w:rPr>
        <w:t>农林水支出（类）林业和草原（款） 执法与监督（项）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19.57</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60.97</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，决算数小于预算数的主要原因是</w:t>
      </w:r>
      <w:r>
        <w:rPr>
          <w:rStyle w:val="11"/>
          <w:rFonts w:hint="eastAsia" w:ascii="仿宋" w:hAnsi="仿宋" w:eastAsia="仿宋"/>
          <w:b w:val="0"/>
          <w:bCs/>
          <w:color w:val="000000"/>
          <w:sz w:val="32"/>
          <w:szCs w:val="32"/>
          <w:lang w:eastAsia="zh-CN"/>
        </w:rPr>
        <w:t>上年结转</w:t>
      </w:r>
      <w:r>
        <w:rPr>
          <w:rStyle w:val="11"/>
          <w:rFonts w:hint="eastAsia" w:ascii="仿宋" w:hAnsi="仿宋" w:eastAsia="仿宋"/>
          <w:b w:val="0"/>
          <w:bCs/>
          <w:color w:val="000000"/>
          <w:sz w:val="32"/>
          <w:szCs w:val="32"/>
        </w:rPr>
        <w:t>。</w:t>
      </w:r>
    </w:p>
    <w:p>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6.</w:t>
      </w:r>
      <w:r>
        <w:rPr>
          <w:rStyle w:val="11"/>
          <w:rFonts w:hint="eastAsia" w:ascii="仿宋" w:hAnsi="仿宋" w:eastAsia="仿宋"/>
          <w:bCs/>
          <w:color w:val="000000"/>
          <w:sz w:val="32"/>
          <w:szCs w:val="32"/>
        </w:rPr>
        <w:t>住房保障支出（类）住房改革支出（款）住房公积金（项）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25.14</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4"/>
        </w:rPr>
      </w:pPr>
      <w:bookmarkStart w:id="35" w:name="_Toc15396608"/>
      <w:bookmarkStart w:id="3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35"/>
      <w:bookmarkEnd w:id="36"/>
      <w:r>
        <w:rPr>
          <w:rStyle w:val="1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308.2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265.31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42.9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4"/>
          <w:rFonts w:ascii="黑体" w:hAnsi="黑体" w:eastAsia="黑体"/>
          <w:b w:val="0"/>
        </w:rPr>
      </w:pPr>
      <w:bookmarkStart w:id="37" w:name="_Toc15377215"/>
      <w:bookmarkStart w:id="38" w:name="_Toc15396609"/>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37"/>
      <w:bookmarkEnd w:id="38"/>
    </w:p>
    <w:p>
      <w:pPr>
        <w:spacing w:line="600" w:lineRule="exact"/>
        <w:ind w:firstLine="640"/>
        <w:outlineLvl w:val="2"/>
        <w:rPr>
          <w:rFonts w:ascii="仿宋" w:hAnsi="仿宋" w:eastAsia="仿宋"/>
          <w:b/>
          <w:color w:val="000000"/>
          <w:sz w:val="32"/>
          <w:szCs w:val="32"/>
        </w:rPr>
      </w:pPr>
      <w:bookmarkStart w:id="39" w:name="_Toc15377216"/>
      <w:r>
        <w:rPr>
          <w:rFonts w:hint="eastAsia" w:ascii="仿宋" w:hAnsi="仿宋" w:eastAsia="仿宋"/>
          <w:b/>
          <w:color w:val="000000"/>
          <w:sz w:val="32"/>
          <w:szCs w:val="32"/>
        </w:rPr>
        <w:t>（一）“三公”经费财政拨款支出决算总体情况说明</w:t>
      </w:r>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5.11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39.31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坚持执行上级相关规定励行节约</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0" w:name="_Toc15377217"/>
      <w:r>
        <w:rPr>
          <w:rFonts w:hint="eastAsia" w:ascii="仿宋" w:hAnsi="仿宋" w:eastAsia="仿宋"/>
          <w:b/>
          <w:color w:val="000000"/>
          <w:sz w:val="32"/>
          <w:szCs w:val="32"/>
        </w:rPr>
        <w:t>（二）“三公”经费财政拨款支出决算具体情况说明</w:t>
      </w:r>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98.8</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rPr>
        <w:t>。具体情况如下：</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5.05</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50.52</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2.46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5.05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森林公安办案</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hint="default" w:ascii="仿宋_GB2312" w:eastAsia="仿宋_GB2312"/>
          <w:color w:val="000000"/>
          <w:sz w:val="32"/>
          <w:szCs w:val="32"/>
          <w:lang w:val="en-US"/>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2</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0.35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励行节约和上级检查接待减少</w:t>
      </w:r>
      <w:r>
        <w:rPr>
          <w:rFonts w:hint="eastAsia" w:ascii="仿宋_GB2312" w:eastAsia="仿宋_GB2312"/>
          <w:color w:val="000000"/>
          <w:sz w:val="32"/>
          <w:szCs w:val="32"/>
          <w:lang w:val="en-US" w:eastAsia="zh-CN"/>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0.06</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自然资源管理</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接待省、市森林公安检查</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41" w:name="_Toc15377218"/>
      <w:bookmarkStart w:id="42" w:name="_Toc15396610"/>
    </w:p>
    <w:p>
      <w:pPr>
        <w:spacing w:line="600" w:lineRule="exact"/>
        <w:ind w:firstLine="640"/>
        <w:outlineLvl w:val="1"/>
        <w:rPr>
          <w:rStyle w:val="14"/>
          <w:rFonts w:ascii="黑体" w:hAnsi="黑体" w:eastAsia="黑体"/>
        </w:rPr>
      </w:pPr>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2"/>
        </w:numPr>
        <w:spacing w:line="600" w:lineRule="exact"/>
        <w:ind w:firstLine="640"/>
        <w:outlineLvl w:val="1"/>
        <w:rPr>
          <w:rStyle w:val="14"/>
          <w:rFonts w:ascii="黑体" w:hAnsi="黑体" w:eastAsia="黑体"/>
          <w:b w:val="0"/>
        </w:rPr>
      </w:pPr>
      <w:bookmarkStart w:id="43" w:name="_Toc15377219"/>
      <w:bookmarkStart w:id="44" w:name="_Toc15396611"/>
      <w:r>
        <w:rPr>
          <w:rStyle w:val="14"/>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14"/>
          <w:rFonts w:ascii="黑体" w:hAnsi="黑体" w:eastAsia="黑体"/>
        </w:rPr>
      </w:pPr>
      <w:bookmarkStart w:id="45" w:name="_Toc15396612"/>
      <w:bookmarkStart w:id="46" w:name="_Toc15377221"/>
      <w:r>
        <w:rPr>
          <w:rFonts w:hint="eastAsia" w:ascii="黑体" w:hAnsi="黑体" w:eastAsia="黑体"/>
          <w:color w:val="000000"/>
          <w:sz w:val="32"/>
          <w:szCs w:val="32"/>
        </w:rPr>
        <w:t>十</w:t>
      </w:r>
      <w:r>
        <w:rPr>
          <w:rStyle w:val="14"/>
          <w:rFonts w:hint="eastAsia" w:ascii="黑体" w:hAnsi="黑体" w:eastAsia="黑体"/>
        </w:rPr>
        <w:t>、</w:t>
      </w:r>
      <w:r>
        <w:rPr>
          <w:rStyle w:val="14"/>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color w:val="000000"/>
          <w:sz w:val="32"/>
          <w:szCs w:val="32"/>
        </w:rPr>
      </w:pPr>
      <w:bookmarkStart w:id="47" w:name="_Toc15377222"/>
      <w:r>
        <w:rPr>
          <w:rFonts w:hint="eastAsia" w:ascii="仿宋" w:hAnsi="仿宋" w:eastAsia="仿宋"/>
          <w:b/>
          <w:color w:val="000000"/>
          <w:sz w:val="32"/>
          <w:szCs w:val="32"/>
        </w:rPr>
        <w:t>（一）机关运行经费支出情况</w:t>
      </w:r>
      <w:bookmarkEnd w:id="47"/>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峨眉山市森林公安局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42.9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8.74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办案增加。</w:t>
      </w:r>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3"/>
      <w:r>
        <w:rPr>
          <w:rFonts w:hint="eastAsia" w:ascii="仿宋" w:hAnsi="仿宋" w:eastAsia="仿宋"/>
          <w:b/>
          <w:color w:val="000000"/>
          <w:sz w:val="32"/>
          <w:szCs w:val="32"/>
        </w:rPr>
        <w:t>（二）政府采购支出情况</w:t>
      </w:r>
      <w:bookmarkEnd w:id="4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峨眉山市森林公安局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（三）国有资产占有使用情况</w:t>
      </w:r>
      <w:bookmarkEnd w:id="49"/>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峨眉山市森林公安局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执法执勤车</w:t>
      </w:r>
      <w:r>
        <w:rPr>
          <w:rFonts w:hint="eastAsia" w:ascii="仿宋_GB2312" w:eastAsia="仿宋_GB2312"/>
          <w:color w:val="000000"/>
          <w:sz w:val="32"/>
          <w:szCs w:val="32"/>
          <w:lang w:val="en-US" w:eastAsia="zh-CN"/>
        </w:rPr>
        <w:t>2辆、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numPr>
          <w:ilvl w:val="0"/>
          <w:numId w:val="3"/>
        </w:numPr>
        <w:spacing w:line="600" w:lineRule="exact"/>
        <w:ind w:firstLine="660" w:firstLineChars="150"/>
        <w:jc w:val="center"/>
        <w:outlineLvl w:val="0"/>
        <w:rPr>
          <w:rStyle w:val="13"/>
          <w:rFonts w:ascii="黑体" w:hAnsi="黑体" w:eastAsia="黑体"/>
          <w:b w:val="0"/>
        </w:rPr>
      </w:pPr>
      <w:bookmarkStart w:id="50" w:name="_Toc15396613"/>
      <w:bookmarkStart w:id="51" w:name="_Toc15377225"/>
      <w:r>
        <w:rPr>
          <w:rFonts w:hint="eastAsia" w:ascii="黑体" w:hAnsi="黑体" w:eastAsia="黑体"/>
          <w:color w:val="000000"/>
          <w:sz w:val="44"/>
          <w:szCs w:val="44"/>
        </w:rPr>
        <w:t>名</w:t>
      </w:r>
      <w:r>
        <w:rPr>
          <w:rStyle w:val="13"/>
          <w:rFonts w:hint="eastAsia" w:ascii="黑体" w:hAnsi="黑体" w:eastAsia="黑体"/>
          <w:b w:val="0"/>
        </w:rPr>
        <w:t>词解释</w:t>
      </w:r>
      <w:bookmarkEnd w:id="50"/>
      <w:bookmarkEnd w:id="51"/>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
          <w:color w:val="000000"/>
          <w:sz w:val="32"/>
          <w:szCs w:val="32"/>
          <w:lang w:val="en-US" w:eastAsia="zh-CN"/>
        </w:rPr>
      </w:pPr>
      <w:r>
        <w:rPr>
          <w:rFonts w:hint="eastAsia" w:ascii="仿宋_GB2312" w:eastAsia="仿宋_GB2312"/>
          <w:color w:val="000000"/>
          <w:sz w:val="32"/>
          <w:szCs w:val="32"/>
          <w:lang w:val="en-US" w:eastAsia="zh-CN"/>
        </w:rPr>
        <w:t>9.</w:t>
      </w:r>
      <w:r>
        <w:rPr>
          <w:rStyle w:val="11"/>
          <w:rFonts w:hint="eastAsia" w:ascii="仿宋" w:hAnsi="仿宋" w:eastAsia="仿宋"/>
          <w:bCs/>
          <w:color w:val="000000"/>
          <w:sz w:val="30"/>
          <w:szCs w:val="30"/>
        </w:rPr>
        <w:t>社会保障和就业（类）行政事业单位离退休（款）机关事业单位基本养老保险缴费支出（项）</w:t>
      </w:r>
      <w:r>
        <w:rPr>
          <w:rStyle w:val="11"/>
          <w:rFonts w:hint="eastAsia" w:ascii="仿宋" w:hAnsi="仿宋" w:eastAsia="仿宋"/>
          <w:bCs/>
          <w:color w:val="000000"/>
          <w:sz w:val="30"/>
          <w:szCs w:val="30"/>
          <w:lang w:eastAsia="zh-CN"/>
        </w:rPr>
        <w:t>：指机关事业单位实施养老保险制度由单位缴纳的基本养老保险支出。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Style w:val="11"/>
          <w:rFonts w:hint="eastAsia" w:ascii="仿宋" w:hAnsi="仿宋" w:eastAsia="仿宋"/>
          <w:bCs/>
          <w:color w:val="000000"/>
          <w:sz w:val="30"/>
          <w:szCs w:val="30"/>
        </w:rPr>
        <w:t>社会保障和就业（类）行政事业单位离退休（款）机关事业单位职业年金缴费支出（项）</w:t>
      </w:r>
      <w:r>
        <w:rPr>
          <w:rStyle w:val="11"/>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Style w:val="11"/>
          <w:rFonts w:hint="eastAsia" w:ascii="仿宋" w:hAnsi="仿宋" w:eastAsia="仿宋"/>
          <w:bCs/>
          <w:color w:val="000000"/>
          <w:sz w:val="32"/>
          <w:szCs w:val="32"/>
        </w:rPr>
        <w:t>卫生健康支出（类）行政事业单位医疗（款）行政单位医疗（项）</w:t>
      </w:r>
      <w:r>
        <w:rPr>
          <w:rStyle w:val="11"/>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财政部门安排的行政单位（包括实行公务员管理的事业单位）基本医疗保险缴费经费，未参加医疗保险的行政单位的公费医疗经费，按国家规定享受离休人员、红军老战士待遇人员的医疗经费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Style w:val="11"/>
          <w:rFonts w:hint="eastAsia" w:ascii="仿宋" w:hAnsi="仿宋" w:eastAsia="仿宋"/>
          <w:bCs/>
          <w:color w:val="000000"/>
          <w:sz w:val="32"/>
          <w:szCs w:val="32"/>
        </w:rPr>
        <w:t>农林水支出（类）林业和草原（款）行政运行（项）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行政单位（包括实行公务员管理的事业单位）的基本支出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Style w:val="11"/>
          <w:rFonts w:hint="eastAsia" w:ascii="仿宋" w:hAnsi="仿宋" w:eastAsia="仿宋"/>
          <w:bCs/>
          <w:color w:val="000000"/>
          <w:sz w:val="32"/>
          <w:szCs w:val="32"/>
        </w:rPr>
        <w:t>农林水支出（类）林业和草原（款）</w:t>
      </w:r>
      <w:r>
        <w:rPr>
          <w:rStyle w:val="11"/>
          <w:rFonts w:hint="eastAsia" w:ascii="仿宋" w:hAnsi="仿宋" w:eastAsia="仿宋"/>
          <w:bCs/>
          <w:color w:val="000000"/>
          <w:sz w:val="32"/>
          <w:szCs w:val="32"/>
          <w:lang w:eastAsia="zh-CN"/>
        </w:rPr>
        <w:t>执法与监督</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执法与监督队伍建设，刑事、行政案件受到、查处和督办，行政许可、复议与诉讼管理等方面的支出</w:t>
      </w:r>
      <w:r>
        <w:rPr>
          <w:rFonts w:hint="eastAsia" w:ascii="仿宋_GB2312" w:eastAsia="仿宋_GB2312"/>
          <w:color w:val="000000"/>
          <w:sz w:val="32"/>
          <w:szCs w:val="32"/>
        </w:rPr>
        <w:t>。</w:t>
      </w:r>
    </w:p>
    <w:p>
      <w:pPr>
        <w:ind w:firstLine="643" w:firstLineChars="200"/>
        <w:rPr>
          <w:rStyle w:val="11"/>
          <w:rFonts w:hint="eastAsia" w:ascii="仿宋" w:hAnsi="仿宋" w:eastAsia="仿宋"/>
          <w:b w:val="0"/>
          <w:bCs/>
          <w:color w:val="000000"/>
          <w:sz w:val="32"/>
          <w:szCs w:val="32"/>
          <w:lang w:eastAsia="zh-CN"/>
        </w:rPr>
      </w:pPr>
      <w:r>
        <w:rPr>
          <w:rStyle w:val="11"/>
          <w:rFonts w:hint="eastAsia" w:ascii="仿宋" w:hAnsi="仿宋" w:eastAsia="仿宋"/>
          <w:bCs/>
          <w:color w:val="000000"/>
          <w:sz w:val="32"/>
          <w:szCs w:val="32"/>
          <w:lang w:val="en-US" w:eastAsia="zh-CN"/>
        </w:rPr>
        <w:t>14、</w:t>
      </w:r>
      <w:r>
        <w:rPr>
          <w:rStyle w:val="11"/>
          <w:rFonts w:hint="eastAsia" w:ascii="仿宋" w:hAnsi="仿宋" w:eastAsia="仿宋"/>
          <w:bCs/>
          <w:color w:val="000000"/>
          <w:sz w:val="32"/>
          <w:szCs w:val="32"/>
        </w:rPr>
        <w:t>住房保障支出（类）住房改革支出（款）住房公积金（项）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lang w:eastAsia="zh-CN"/>
        </w:rPr>
        <w:t>指行政事业单位按人力资源和社会保障部、财政部规定的基本工资和津贴补贴以及规定比例为职工缴纳的住房公积金。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widowControl/>
        <w:jc w:val="left"/>
        <w:rPr>
          <w:rStyle w:val="13"/>
          <w:rFonts w:ascii="黑体" w:hAnsi="黑体" w:eastAsia="黑体"/>
          <w:b w:val="0"/>
        </w:rPr>
      </w:pPr>
      <w:bookmarkStart w:id="52" w:name="_Toc15377226"/>
      <w:r>
        <w:rPr>
          <w:rFonts w:ascii="宋体"/>
          <w:b/>
          <w:color w:val="000000"/>
          <w:sz w:val="44"/>
          <w:szCs w:val="44"/>
        </w:rPr>
        <w:br w:type="page"/>
      </w:r>
    </w:p>
    <w:p>
      <w:pPr>
        <w:spacing w:line="600" w:lineRule="exact"/>
        <w:jc w:val="center"/>
        <w:outlineLvl w:val="0"/>
        <w:rPr>
          <w:rStyle w:val="13"/>
          <w:rFonts w:ascii="黑体" w:hAnsi="黑体" w:eastAsia="黑体"/>
          <w:b w:val="0"/>
        </w:rPr>
      </w:pPr>
    </w:p>
    <w:p>
      <w:pPr>
        <w:spacing w:line="600" w:lineRule="exact"/>
        <w:jc w:val="center"/>
        <w:outlineLvl w:val="0"/>
        <w:rPr>
          <w:rStyle w:val="13"/>
          <w:rFonts w:ascii="黑体" w:hAnsi="黑体" w:eastAsia="黑体"/>
          <w:b w:val="0"/>
        </w:rPr>
      </w:pPr>
      <w:bookmarkStart w:id="53" w:name="_Toc15396618"/>
      <w:r>
        <w:rPr>
          <w:rFonts w:hint="eastAsia" w:ascii="黑体" w:hAnsi="黑体" w:eastAsia="黑体"/>
          <w:color w:val="000000"/>
          <w:sz w:val="44"/>
          <w:szCs w:val="44"/>
        </w:rPr>
        <w:t>第</w:t>
      </w:r>
      <w:r>
        <w:rPr>
          <w:rStyle w:val="13"/>
          <w:rFonts w:hint="eastAsia" w:ascii="黑体" w:hAnsi="黑体" w:eastAsia="黑体"/>
          <w:b w:val="0"/>
          <w:lang w:eastAsia="zh-CN"/>
        </w:rPr>
        <w:t>四</w:t>
      </w:r>
      <w:r>
        <w:rPr>
          <w:rStyle w:val="13"/>
          <w:rFonts w:hint="eastAsia" w:ascii="黑体" w:hAnsi="黑体" w:eastAsia="黑体"/>
          <w:b w:val="0"/>
        </w:rPr>
        <w:t>部分 附表</w:t>
      </w:r>
      <w:bookmarkEnd w:id="52"/>
      <w:bookmarkEnd w:id="5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4"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54"/>
    </w:p>
    <w:p>
      <w:pPr>
        <w:pStyle w:val="3"/>
        <w:rPr>
          <w:rFonts w:ascii="仿宋" w:hAnsi="仿宋" w:eastAsia="仿宋"/>
          <w:color w:val="000000"/>
        </w:rPr>
      </w:pPr>
      <w:bookmarkStart w:id="55" w:name="_Toc15396620"/>
      <w:r>
        <w:rPr>
          <w:rFonts w:hint="eastAsia" w:ascii="仿宋" w:hAnsi="仿宋" w:eastAsia="仿宋"/>
          <w:b w:val="0"/>
          <w:color w:val="000000"/>
        </w:rPr>
        <w:t>二、收</w:t>
      </w:r>
      <w:r>
        <w:rPr>
          <w:rStyle w:val="14"/>
          <w:rFonts w:hint="eastAsia" w:ascii="仿宋" w:hAnsi="仿宋" w:eastAsia="仿宋"/>
          <w:b w:val="0"/>
          <w:bCs w:val="0"/>
        </w:rPr>
        <w:t>入决算表</w:t>
      </w:r>
      <w:bookmarkEnd w:id="55"/>
    </w:p>
    <w:p>
      <w:pPr>
        <w:pStyle w:val="3"/>
        <w:rPr>
          <w:rFonts w:ascii="仿宋" w:hAnsi="仿宋" w:eastAsia="仿宋"/>
          <w:color w:val="000000"/>
        </w:rPr>
      </w:pPr>
      <w:bookmarkStart w:id="56"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出决算表</w:t>
      </w:r>
      <w:bookmarkEnd w:id="56"/>
    </w:p>
    <w:p>
      <w:pPr>
        <w:pStyle w:val="3"/>
        <w:rPr>
          <w:rFonts w:ascii="仿宋" w:hAnsi="仿宋" w:eastAsia="仿宋"/>
          <w:b w:val="0"/>
          <w:color w:val="000000"/>
        </w:rPr>
      </w:pPr>
      <w:bookmarkStart w:id="57"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57"/>
    </w:p>
    <w:p>
      <w:pPr>
        <w:pStyle w:val="3"/>
        <w:rPr>
          <w:rStyle w:val="14"/>
          <w:rFonts w:ascii="仿宋" w:hAnsi="仿宋" w:eastAsia="仿宋"/>
          <w:b w:val="0"/>
          <w:bCs w:val="0"/>
        </w:rPr>
      </w:pPr>
      <w:bookmarkStart w:id="58"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w:t>
      </w:r>
      <w:bookmarkEnd w:id="58"/>
      <w:bookmarkStart w:id="59" w:name="_Toc15396624"/>
    </w:p>
    <w:p>
      <w:pPr>
        <w:pStyle w:val="3"/>
        <w:rPr>
          <w:rFonts w:ascii="仿宋" w:hAnsi="仿宋" w:eastAsia="仿宋"/>
          <w:color w:val="000000"/>
        </w:rPr>
      </w:pPr>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59"/>
    </w:p>
    <w:p>
      <w:pPr>
        <w:pStyle w:val="3"/>
        <w:rPr>
          <w:rFonts w:ascii="仿宋" w:hAnsi="仿宋" w:eastAsia="仿宋"/>
          <w:color w:val="000000"/>
        </w:rPr>
      </w:pPr>
      <w:bookmarkStart w:id="60"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60"/>
    </w:p>
    <w:p>
      <w:pPr>
        <w:pStyle w:val="3"/>
        <w:rPr>
          <w:rFonts w:ascii="仿宋" w:hAnsi="仿宋" w:eastAsia="仿宋"/>
          <w:color w:val="000000"/>
        </w:rPr>
      </w:pPr>
      <w:bookmarkStart w:id="61"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61"/>
    </w:p>
    <w:p>
      <w:pPr>
        <w:pStyle w:val="3"/>
        <w:rPr>
          <w:rFonts w:ascii="仿宋" w:hAnsi="仿宋" w:eastAsia="仿宋"/>
          <w:color w:val="000000"/>
        </w:rPr>
      </w:pPr>
      <w:bookmarkStart w:id="62"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62"/>
    </w:p>
    <w:p>
      <w:pPr>
        <w:pStyle w:val="3"/>
        <w:rPr>
          <w:rFonts w:ascii="仿宋" w:hAnsi="仿宋" w:eastAsia="仿宋"/>
          <w:color w:val="000000"/>
        </w:rPr>
      </w:pPr>
      <w:bookmarkStart w:id="63"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63"/>
    </w:p>
    <w:p>
      <w:pPr>
        <w:pStyle w:val="3"/>
        <w:rPr>
          <w:rFonts w:ascii="仿宋" w:hAnsi="仿宋" w:eastAsia="仿宋"/>
          <w:color w:val="000000"/>
        </w:rPr>
      </w:pPr>
      <w:bookmarkStart w:id="64"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64"/>
    </w:p>
    <w:p>
      <w:pPr>
        <w:pStyle w:val="3"/>
        <w:rPr>
          <w:rFonts w:ascii="仿宋" w:hAnsi="仿宋" w:eastAsia="仿宋"/>
          <w:color w:val="000000"/>
        </w:rPr>
      </w:pPr>
      <w:bookmarkStart w:id="65"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65"/>
    </w:p>
    <w:p>
      <w:pPr>
        <w:pStyle w:val="3"/>
        <w:rPr>
          <w:rFonts w:ascii="仿宋" w:hAnsi="仿宋" w:eastAsia="仿宋"/>
          <w:color w:val="000000" w:themeColor="text1"/>
          <w14:textFill>
            <w14:solidFill>
              <w14:schemeClr w14:val="tx1"/>
            </w14:solidFill>
          </w14:textFill>
        </w:rPr>
      </w:pPr>
      <w:bookmarkStart w:id="66"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有资本经营预算支出决算表</w:t>
      </w:r>
      <w:bookmarkEnd w:id="66"/>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仿宋_GB2312-WinCharSetFFFF-H">
    <w:altName w:val="仿宋_GB2312"/>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D5D77"/>
    <w:rsid w:val="18D429BB"/>
    <w:rsid w:val="28CD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287.44</c:v>
                </c:pt>
                <c:pt idx="1">
                  <c:v>344.41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83737336"/>
        <c:axId val="908539171"/>
      </c:barChart>
      <c:catAx>
        <c:axId val="183737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539171"/>
        <c:crosses val="autoZero"/>
        <c:auto val="1"/>
        <c:lblAlgn val="ctr"/>
        <c:lblOffset val="100"/>
        <c:noMultiLvlLbl val="0"/>
      </c:catAx>
      <c:valAx>
        <c:axId val="9085391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737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51125"/>
          <c:y val="0.0225"/>
        </c:manualLayout>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收入金额（万元）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一般公共预算财政拨款收入</c:v>
                </c:pt>
              </c:strCache>
            </c:strRef>
          </c:cat>
          <c:val>
            <c:numRef>
              <c:f>Sheet1!$B$2</c:f>
              <c:numCache>
                <c:formatCode>General</c:formatCode>
                <c:ptCount val="1"/>
                <c:pt idx="0">
                  <c:v>324.64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支出金额（万元）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elete val="1"/>
          </c:dLbls>
          <c:cat>
            <c:strRef>
              <c:f>Sheet1!$A$2:$A$3</c:f>
              <c:strCache>
                <c:ptCount val="2"/>
                <c:pt idx="0">
                  <c:v>基本支出</c:v>
                </c:pt>
                <c:pt idx="1">
                  <c:v>项目支出</c:v>
                </c:pt>
              </c:strCache>
            </c:strRef>
          </c:cat>
          <c:val>
            <c:numRef>
              <c:f>Sheet1!$B$2:$B$3</c:f>
              <c:numCache>
                <c:formatCode>General</c:formatCode>
                <c:ptCount val="2"/>
                <c:pt idx="0">
                  <c:v>308.2</c:v>
                </c:pt>
                <c:pt idx="1">
                  <c:v>19.57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287.44</c:v>
                </c:pt>
                <c:pt idx="1">
                  <c:v>344.41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62357582"/>
        <c:axId val="346011321"/>
      </c:barChart>
      <c:catAx>
        <c:axId val="623575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011321"/>
        <c:crosses val="autoZero"/>
        <c:auto val="1"/>
        <c:lblAlgn val="ctr"/>
        <c:lblOffset val="100"/>
        <c:noMultiLvlLbl val="0"/>
      </c:catAx>
      <c:valAx>
        <c:axId val="3460113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3575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一般公共预算财政拨款支出情况</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一般公共预算财政拨款支出（万元）</c:v>
                </c:pt>
              </c:strCache>
            </c:strRef>
          </c:tx>
          <c:spPr>
            <a:solidFill>
              <a:schemeClr val="accent1"/>
            </a:solidFill>
            <a:ln w="19050">
              <a:solidFill>
                <a:schemeClr val="lt1"/>
              </a:solidFill>
            </a:ln>
            <a:effectLst/>
            <a:sp3d contourW="25400"/>
          </c:spPr>
          <c:invertIfNegative val="0"/>
          <c:dLbls>
            <c:delete val="1"/>
          </c:dLbls>
          <c:cat>
            <c:strRef>
              <c:f>Sheet1!$A$2:$A$3</c:f>
              <c:strCache>
                <c:ptCount val="2"/>
                <c:pt idx="0">
                  <c:v>2018年</c:v>
                </c:pt>
                <c:pt idx="1">
                  <c:v>2019年</c:v>
                </c:pt>
              </c:strCache>
            </c:strRef>
          </c:cat>
          <c:val>
            <c:numRef>
              <c:f>Sheet1!$B$2:$B$3</c:f>
              <c:numCache>
                <c:formatCode>General</c:formatCode>
                <c:ptCount val="2"/>
                <c:pt idx="0">
                  <c:v>267.67</c:v>
                </c:pt>
                <c:pt idx="1">
                  <c:v>327.77</c:v>
                </c:pt>
              </c:numCache>
            </c:numRef>
          </c:val>
        </c:ser>
        <c:dLbls>
          <c:showLegendKey val="0"/>
          <c:showVal val="0"/>
          <c:showCatName val="0"/>
          <c:showSerName val="0"/>
          <c:showPercent val="0"/>
          <c:showBubbleSize val="0"/>
        </c:dLbls>
        <c:gapWidth val="150"/>
        <c:overlap val="100"/>
        <c:axId val="919612927"/>
        <c:axId val="360389267"/>
      </c:barChart>
      <c:catAx>
        <c:axId val="91961292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0389267"/>
        <c:crosses val="autoZero"/>
        <c:auto val="1"/>
        <c:lblAlgn val="ctr"/>
        <c:lblOffset val="100"/>
        <c:noMultiLvlLbl val="0"/>
      </c:catAx>
      <c:valAx>
        <c:axId val="3603892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6129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一般公共预算财政拨款支出结构</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一般公共预算财政拨款支出（万元）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elete val="1"/>
          </c:dLbls>
          <c:cat>
            <c:strRef>
              <c:f>Sheet1!$A$2:$A$5</c:f>
              <c:strCache>
                <c:ptCount val="4"/>
                <c:pt idx="0">
                  <c:v>社会保障和就业</c:v>
                </c:pt>
                <c:pt idx="1">
                  <c:v>卫生健康</c:v>
                </c:pt>
                <c:pt idx="2">
                  <c:v>农林水</c:v>
                </c:pt>
                <c:pt idx="3">
                  <c:v>住房保障</c:v>
                </c:pt>
              </c:strCache>
            </c:strRef>
          </c:cat>
          <c:val>
            <c:numRef>
              <c:f>Sheet1!$B$2:$B$5</c:f>
              <c:numCache>
                <c:formatCode>General</c:formatCode>
                <c:ptCount val="4"/>
                <c:pt idx="0">
                  <c:v>27.69</c:v>
                </c:pt>
                <c:pt idx="1">
                  <c:v>7.51</c:v>
                </c:pt>
                <c:pt idx="2">
                  <c:v>267.43</c:v>
                </c:pt>
                <c:pt idx="3">
                  <c:v>25.14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“三公”经费财政拨款支出(万元）</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“三公”经费财政拨款支出(万元）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elete val="1"/>
          </c:dLbls>
          <c:cat>
            <c:strRef>
              <c:f>Sheet1!$A$2:$A$3</c:f>
              <c:strCache>
                <c:ptCount val="2"/>
                <c:pt idx="0">
                  <c:v>公务用车购置及运行维护费支出</c:v>
                </c:pt>
                <c:pt idx="1">
                  <c:v>公务接待费支出</c:v>
                </c:pt>
              </c:strCache>
            </c:strRef>
          </c:cat>
          <c:val>
            <c:numRef>
              <c:f>Sheet1!$B$2:$B$3</c:f>
              <c:numCache>
                <c:formatCode>General</c:formatCode>
                <c:ptCount val="2"/>
                <c:pt idx="0">
                  <c:v>5.05</c:v>
                </c:pt>
                <c:pt idx="1">
                  <c:v>0.06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2020-11-02T01:27:00Z</dcterms:created>
  <dc:creator>Administrator</dc:creator>
  <cp:lastModifiedBy>Administrator</cp:lastModifiedBy>
  <dcterms:modified xsi:type="dcterms:W3CDTF">2020-11-02T02:18:45Z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